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STANDARDS AS STRATEGY: DOES LEADERSHIP IN GNSS AND OPTICAL-COMMS INTEROPERABILITY STANDARDS TRANSLATE INTO MEASURABLE STRATEGIC ADVANTAGE?</w:t>
      </w:r>
    </w:p>
    <w:p>
      <w:pPr>
        <w:jc w:val="center"/>
      </w:pPr>
    </w:p>
    <w:p>
      <w:pPr>
        <w:jc w:val="center"/>
      </w:pPr>
      <w:r>
        <w:rPr>
          <w:rFonts w:ascii="Times New Roman" w:hAnsi="Times New Roman"/>
          <w:sz w:val="24"/>
        </w:rPr>
        <w:t>by</w:t>
      </w:r>
    </w:p>
    <w:p>
      <w:pPr>
        <w:jc w:val="center"/>
      </w:pPr>
      <w:r>
        <w:rPr>
          <w:rFonts w:ascii="Times New Roman" w:hAnsi="Times New Roman"/>
          <w:b/>
          <w:sz w:val="28"/>
        </w:rPr>
        <w:t>Noor Saito</w:t>
      </w:r>
    </w:p>
    <w:p>
      <w:pPr>
        <w:jc w:val="center"/>
      </w:pPr>
      <w:r>
        <w:rPr>
          <w:rFonts w:ascii="Times New Roman" w:hAnsi="Times New Roman"/>
          <w:sz w:val="24"/>
        </w:rPr>
        <w:t>1B-ITI-054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8"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Space-based information infrastructure is, at its foundation, an architecture of interfaces. Everything else builds on them. A receiver fuses positioning, navigation, and timing (PNT) signals across constellations only if the interface that defines each signal is open, stable, and implementable. An optical terminal built by one vendor closes a link with a terminal built by another, and routes traffic across a constellation that spans national and corporate boundaries, only if both terminals build to a shared interface specification. The technical reality of mixed radio-frequency and optical inter-satellite links, and of constellations that must move information across heterogeneous vendor and national lines, is now well established in the engineering literature</w:t>
      </w:r>
      <w:r>
        <w:t xml:space="preserve"> </w:t>
      </w:r>
      <w:hyperlink w:anchor="ref-5">
        <w:r>
          <w:rPr>
            <w:rStyle w:val="Hyperlink"/>
          </w:rPr>
          <w:t xml:space="preserve">[5]</w:t>
        </w:r>
      </w:hyperlink>
      <w:r>
        <w:t xml:space="preserve">[6][7]. Interfaces, in turn, are governed by standards, and standards are authored, edited, and shepherded by specific blocs in specific standards bodies. The interface is therefore not a neutral technical fact but a contested artifact, and the act of authoring it is an act with potential consequence beyond the engineering layer.</w:t>
      </w:r>
    </w:p>
    <w:p>
      <w:pPr>
        <w:pStyle w:val="BodyText"/>
        <w:spacing w:line="480" w:lineRule="auto"/>
        <w:ind w:firstLine="720"/>
      </w:pPr>
      <w:r>
        <w:t xml:space="preserve">A persistent strategic claim, advanced across the economic-statecraft and space-industrial-base literatures, holds that the bloc which authors and shepherds the dominant interoperability standard captures durable advantage. By setting the reference frame to which others must converge, the standards leader is said to anchor downstream supply chains, lock in the interfaces that competitors must accommodate, and convert technical leadership into economic and security leverage</w:t>
      </w:r>
      <w:r>
        <w:t xml:space="preserve"> </w:t>
      </w:r>
      <w:hyperlink w:anchor="ref-1">
        <w:r>
          <w:rPr>
            <w:rStyle w:val="Hyperlink"/>
          </w:rPr>
          <w:t xml:space="preserve">[1]</w:t>
        </w:r>
      </w:hyperlink>
      <w:r>
        <w:t xml:space="preserve">[3][4]. The claim is everywhere. The Space Imperative frames the development of interoperability standards for automated space coordination as an explicit action item of whole-of-nation advantage</w:t>
      </w:r>
      <w:r>
        <w:t xml:space="preserve"> </w:t>
      </w:r>
      <w:hyperlink w:anchor="ref-4">
        <w:r>
          <w:rPr>
            <w:rStyle w:val="Hyperlink"/>
          </w:rPr>
          <w:t xml:space="preserve">[4]</w:t>
        </w:r>
      </w:hyperlink>
      <w:r>
        <w:t xml:space="preserve">. The economic-statecraft literature treats leadership in technical practice as a channel through which a state exercises indirect leverage</w:t>
      </w:r>
      <w:r>
        <w:t xml:space="preserve"> </w:t>
      </w:r>
      <w:hyperlink w:anchor="ref-1">
        <w:r>
          <w:rPr>
            <w:rStyle w:val="Hyperlink"/>
          </w:rPr>
          <w:t xml:space="preserve">[1]</w:t>
        </w:r>
      </w:hyperlink>
      <w:r>
        <w:t xml:space="preserve">. The norms literature characterizes the transformation of space-use practice as architectural and standards-mediated rather than purely capability-driven</w:t>
      </w:r>
      <w:r>
        <w:t xml:space="preserve"> </w:t>
      </w:r>
      <w:hyperlink w:anchor="ref-4">
        <w:r>
          <w:rPr>
            <w:rStyle w:val="Hyperlink"/>
          </w:rPr>
          <w:t xml:space="preserve">[4]</w:t>
        </w:r>
      </w:hyperlink>
      <w:r>
        <w:t xml:space="preserve">. The sustainability-and-development literature observes that technological competition has historically been driven by national-security interests</w:t>
      </w:r>
      <w:r>
        <w:t xml:space="preserve"> </w:t>
      </w:r>
      <w:hyperlink w:anchor="ref-3">
        <w:r>
          <w:rPr>
            <w:rStyle w:val="Hyperlink"/>
          </w:rPr>
          <w:t xml:space="preserve">[3]</w:t>
        </w:r>
      </w:hyperlink>
      <w:r>
        <w:t xml:space="preserve">. Across these sources the asserted advantage operates through a common mechanism: an authored interface is valuable because others build to it.</w:t>
      </w:r>
    </w:p>
    <w:p>
      <w:pPr>
        <w:pStyle w:val="BodyText"/>
        <w:spacing w:line="480" w:lineRule="auto"/>
        <w:ind w:firstLine="720"/>
      </w:pPr>
      <w:r>
        <w:t xml:space="preserve">Here is the difficulty. The claim is asserted far more often than it is measured. The strategic intuition that standards leadership confers advantage circulates as a normative premise and an organizing aspiration, but the magnitude of the effect, its sign, and even its existence remain empirically open. The literature that articulates the claim does not estimate it. The literature that engineers the interfaces does not connect them to any strategic outcome. The space separating a widely repeated strategic intuition from a measured, falsifiable estimate is the space this dissertation occupies.</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For the institutions that build and operate the United States civil space infrastructure, the question is anything but academic. For the National Aeronautics and Space Administration (NASA) and its Jet Propulsion Laboratory (JPL), interoperability standards are not abstractions but operational commitments that consume engineering time, diplomatic attention, and program budget. NASA participates in the International Committee on GNSS convened under the United Nations Office for Outer Space Affairs, and in the Consultative Committee for Space Data Systems whose optical-communications working group is consolidating the inter-satellite interfaces that future architectures will depend upon. JPL designs deep-space and inter-satellite optical-communications terminals and the navigation systems that build against published PNT interfaces. Every hour devoted to authoring an interface clause, advancing a ratified specification, or holding an editorial role in a standards body is an hour drawn from a finite institutional budget for engagement. None of that time is free.</w:t>
      </w:r>
    </w:p>
    <w:p>
      <w:pPr>
        <w:pStyle w:val="BodyText"/>
        <w:spacing w:line="480" w:lineRule="auto"/>
        <w:ind w:firstLine="720"/>
      </w:pPr>
      <w:r>
        <w:t xml:space="preserve">If standards leadership is a genuine lever of strategic advantage, then infrastructure investment should be steered deliberately toward standards-body participation, and the editorial seat should be valued as an instrument of national positioning rather than a technical courtesy. If, on the other hand, the advantage claim does not survive measurement, then resources routed toward standards leadership on the strength of the intuition alone are misallocated, and the case for participation must be rebuilt on some other, better-identified foundation. That is a budget question. For an Information Technology Infrastructure program the question is therefore operational rather than rhetorical. It asks where a civil space agency should place a scarce input, and it cannot be answered responsibly by repeating the intuition. It can be answered only by estimating the effect and reporting the estimate with its uncertainty, so that a decision-maker can distinguish a real advantage from a plausible story.</w:t>
      </w:r>
    </w:p>
    <w:p>
      <w:pPr>
        <w:pStyle w:val="BodyText"/>
        <w:spacing w:line="480" w:lineRule="auto"/>
        <w:ind w:firstLine="720"/>
      </w:pPr>
      <w:r>
        <w:t xml:space="preserve">This dissertation supplies that estimate for the GNSS and optical-comms interoperability layers, the two layers on which NASA and JPL infrastructure most directly rests.</w:t>
      </w:r>
    </w:p>
    <w:bookmarkEnd w:id="62"/>
    <w:bookmarkStart w:id="63" w:name="the-gap-between-two-literatures"/>
    <w:p>
      <w:pPr>
        <w:pStyle w:val="Heading2"/>
        <w:spacing w:line="480" w:lineRule="auto"/>
      </w:pPr>
      <w:r>
        <w:t xml:space="preserve">1.3 The Gap Between Two Literatures</w:t>
      </w:r>
    </w:p>
    <w:p>
      <w:pPr>
        <w:pStyle w:val="FirstParagraph"/>
        <w:spacing w:line="480" w:lineRule="auto"/>
      </w:pPr>
      <w:r>
        <w:t xml:space="preserve">Across the retrieved corpus, two bodies of work sit in clean and consequential separation; they almost never meet. On one side stands the strategic-policy literature. It identifies interoperability standards as a strategic objective and calls for their development, but it states the advantage as an aspiration rather than as a measured effect</w:t>
      </w:r>
      <w:r>
        <w:t xml:space="preserve"> </w:t>
      </w:r>
      <w:hyperlink w:anchor="ref-3">
        <w:r>
          <w:rPr>
            <w:rStyle w:val="Hyperlink"/>
          </w:rPr>
          <w:t xml:space="preserve">[3]</w:t>
        </w:r>
      </w:hyperlink>
      <w:r>
        <w:t xml:space="preserve">[4]. The economic-statecraft review describes standards and investment leadership as channels of indirect influence without estimating their magnitude</w:t>
      </w:r>
      <w:r>
        <w:t xml:space="preserve"> </w:t>
      </w:r>
      <w:hyperlink w:anchor="ref-1">
        <w:r>
          <w:rPr>
            <w:rStyle w:val="Hyperlink"/>
          </w:rPr>
          <w:t xml:space="preserve">[1]</w:t>
        </w:r>
      </w:hyperlink>
      <w:r>
        <w:t xml:space="preserve">, and the norms literature frames the transformation of space-use practice as standards-mediated without attaching a quantity to the mediation</w:t>
      </w:r>
      <w:r>
        <w:t xml:space="preserve"> </w:t>
      </w:r>
      <w:hyperlink w:anchor="ref-4">
        <w:r>
          <w:rPr>
            <w:rStyle w:val="Hyperlink"/>
          </w:rPr>
          <w:t xml:space="preserve">[4]</w:t>
        </w:r>
      </w:hyperlink>
      <w:r>
        <w:t xml:space="preserve">. The sustainability-and-development literature observes the security-driven character of technological competition descriptively rather than quantitatively</w:t>
      </w:r>
      <w:r>
        <w:t xml:space="preserve"> </w:t>
      </w:r>
      <w:hyperlink w:anchor="ref-3">
        <w:r>
          <w:rPr>
            <w:rStyle w:val="Hyperlink"/>
          </w:rPr>
          <w:t xml:space="preserve">[3]</w:t>
        </w:r>
      </w:hyperlink>
      <w:r>
        <w:t xml:space="preserve">. The strategic claim is, in this literature, normatively asserted.</w:t>
      </w:r>
    </w:p>
    <w:p>
      <w:pPr>
        <w:pStyle w:val="BodyText"/>
        <w:spacing w:line="480" w:lineRule="auto"/>
        <w:ind w:firstLine="720"/>
      </w:pPr>
      <w:r>
        <w:t xml:space="preserve">On the other side stands the engineering literature. It establishes in technical detail that the interfaces exist, that they are contested, and that interoperability is the precondition for a mixed constellation to route traffic or for a multi-constellation receiver to fuse signals. The GNSS PNT dependency and the receiver’s reliance on open, stable interface specifications are documented</w:t>
      </w:r>
      <w:r>
        <w:t xml:space="preserve"> </w:t>
      </w:r>
      <w:hyperlink w:anchor="ref-9">
        <w:r>
          <w:rPr>
            <w:rStyle w:val="Hyperlink"/>
          </w:rPr>
          <w:t xml:space="preserve">[9]</w:t>
        </w:r>
      </w:hyperlink>
      <w:r>
        <w:t xml:space="preserve">. The optical and inter-satellite link layer, where terminals from different vendors must close links and a constellation must route across vendor and national boundaries, is characterized across a sequence of design and concept studies</w:t>
      </w:r>
      <w:r>
        <w:t xml:space="preserve"> </w:t>
      </w:r>
      <w:hyperlink w:anchor="ref-5">
        <w:r>
          <w:rPr>
            <w:rStyle w:val="Hyperlink"/>
          </w:rPr>
          <w:t xml:space="preserve">[5]</w:t>
        </w:r>
      </w:hyperlink>
      <w:r>
        <w:t xml:space="preserve">[6][7][11]. The information-routing problem for heterogeneous constellations is formalized</w:t>
      </w:r>
      <w:r>
        <w:t xml:space="preserve"> </w:t>
      </w:r>
      <w:hyperlink w:anchor="ref-5">
        <w:r>
          <w:rPr>
            <w:rStyle w:val="Hyperlink"/>
          </w:rPr>
          <w:t xml:space="preserve">[5]</w:t>
        </w:r>
      </w:hyperlink>
      <w:r>
        <w:t xml:space="preserve">. Yet none of this engineering work connects interface governance to any strategic outcome. It establishes the substrate of the claim without testing the claim.</w:t>
      </w:r>
    </w:p>
    <w:p>
      <w:pPr>
        <w:pStyle w:val="BodyText"/>
        <w:spacing w:line="480" w:lineRule="auto"/>
        <w:ind w:firstLine="720"/>
      </w:pPr>
      <w:r>
        <w:t xml:space="preserve">So the gap is precise. It is a gap of method as much as of subject. The domain literature on space strategy supplies the proposition but not the instrument to test it. The econometric and quantitative-methods toolkit that could test it, the panel fixed-effects estimator, the event-study design around exogenous timing, the survival model for time-to-adoption, the learning-curve elasticity for a cumulative-experience process, exists and is mature in adjacent fields, but it has not been brought to bear on interface governance in the space domain. The strategic claim is normatively asserted; the technical substrate is engineered; and the causal-quantitative bridge between them is absent. No retrieved source provides an estimate of whether leadership in GNSS or optical-comms interoperability standards is associated with a measurable change in a strategic-advantage outcome. This dissertation builds that bridge by importing the econometric method literature into a domain that has stated its central proposition without ever measuring it.</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One proposition, single, directional, and refutable, organizes the dissertation, stated so that a null result is publishable, interpretable, and itself a finding. The unit of analysis is the bloc-standard-year: a GNSS-providing entity or an optical inter-satellite-link standards coalition observed annually.</w:t>
      </w:r>
    </w:p>
    <w:p>
      <w:pPr>
        <w:pStyle w:val="BodyText"/>
        <w:spacing w:line="480" w:lineRule="auto"/>
        <w:ind w:firstLine="720"/>
      </w:pPr>
      <w:r>
        <w:t xml:space="preserve">For treatment, the design uses a standards-leadership intensity index constructed from observable interface-governance activity, comprising the count and seniority of editorial and rapporteur roles, the number of ratified interface specifications attributable to the bloc, and the share of cross-constellation interface clauses the bloc authored. The outcome is a strategic-advantage panel measuring downstream adoption, observed as the receivers and terminals that interoperate with the bloc’s interface, together with market position.</w:t>
      </w:r>
    </w:p>
    <w:p>
      <w:pPr>
        <w:pStyle w:val="BodyText"/>
        <w:spacing w:line="480" w:lineRule="auto"/>
        <w:ind w:firstLine="720"/>
      </w:pPr>
      <w:r>
        <w:t xml:space="preserve">Against this construction the dissertation tests one hypothesis pair.</w:t>
      </w:r>
    </w:p>
    <w:p>
      <w:pPr>
        <w:pStyle w:val="BodyText"/>
        <w:spacing w:line="480" w:lineRule="auto"/>
        <w:ind w:firstLine="720"/>
      </w:pPr>
      <w:r>
        <w:rPr>
          <w:b/>
          <w:bCs/>
        </w:rPr>
        <w:t xml:space="preserve">H0 (null).</w:t>
      </w:r>
      <w:r>
        <w:t xml:space="preserve"> </w:t>
      </w:r>
      <w:r>
        <w:t xml:space="preserve">A bloc’s leadership position in GNSS and optical-comms interoperability standards, measured by standards-body authorship and ratified-interface adoption, has no association with its subsequent strategic-advantage outcome, after controlling for prior capability and resourcing. The estimated coefficient on standards leadership is statistically indistinguishable from zero.</w:t>
      </w:r>
    </w:p>
    <w:p>
      <w:pPr>
        <w:pStyle w:val="BodyText"/>
        <w:spacing w:line="480" w:lineRule="auto"/>
        <w:ind w:firstLine="720"/>
      </w:pPr>
      <w:r>
        <w:rPr>
          <w:b/>
          <w:bCs/>
        </w:rPr>
        <w:t xml:space="preserve">H1 (alternative).</w:t>
      </w:r>
      <w:r>
        <w:t xml:space="preserve"> </w:t>
      </w:r>
      <w:r>
        <w:t xml:space="preserve">Higher standards-leadership intensity is associated with a positive and statistically significant increase in the strategic-advantage outcome, consistent with the statecraft claim that authoring interfaces confers durable advantage</w:t>
      </w:r>
      <w:r>
        <w:t xml:space="preserve"> </w:t>
      </w:r>
      <w:hyperlink w:anchor="ref-1">
        <w:r>
          <w:rPr>
            <w:rStyle w:val="Hyperlink"/>
          </w:rPr>
          <w:t xml:space="preserve">[1]</w:t>
        </w:r>
      </w:hyperlink>
      <w:r>
        <w:t xml:space="preserve">[4].</w:t>
      </w:r>
    </w:p>
    <w:p>
      <w:pPr>
        <w:pStyle w:val="BodyText"/>
        <w:spacing w:line="480" w:lineRule="auto"/>
        <w:ind w:firstLine="720"/>
      </w:pPr>
      <w:r>
        <w:t xml:space="preserve">What does the dissertation contribute? It contributes the point estimate and its confidence interval. A null result falsifies the prevailing strategic intuition for the in-sample period and is reported as the finding, not buried as a failure. The proposition is single rather than diffuse, directional rather than agnostic, and refutable rather than merely illustrative, and it is the discipline of that single falsifiable claim, more than any individual coefficient, that distinguishes this work from the assertion-driven literature it seeks to correct.</w:t>
      </w:r>
    </w:p>
    <w:bookmarkEnd w:id="64"/>
    <w:bookmarkStart w:id="65" w:name="X90ea8fa34ea5fbd5e17508e70417a43d598e948"/>
    <w:p>
      <w:pPr>
        <w:pStyle w:val="Heading2"/>
        <w:spacing w:line="480" w:lineRule="auto"/>
      </w:pPr>
      <w:r>
        <w:t xml:space="preserve">1.5 Two Component Findings That Frame the Contribution</w:t>
      </w:r>
    </w:p>
    <w:p>
      <w:pPr>
        <w:pStyle w:val="FirstParagraph"/>
        <w:spacing w:line="480" w:lineRule="auto"/>
      </w:pPr>
      <w:r>
        <w:t xml:space="preserve">This dissertation’s central panel estimate does not arrive unaccompanied. Two component studies, reported in full in the research-paper chapters and summarized here only to situate the contribution, establish the production premise and the adoption mechanism that the strategic claim takes for granted, and they already constrain what the central estimate can plausibly show.</w:t>
      </w:r>
    </w:p>
    <w:p>
      <w:pPr>
        <w:pStyle w:val="BodyText"/>
        <w:spacing w:line="480" w:lineRule="auto"/>
        <w:ind w:firstLine="720"/>
      </w:pPr>
      <w:r>
        <w:t xml:space="preserve">First comes the upstream production relationship. The strategic claim presumes that sustained participation in standards bodies yields an accumulating stock of standardized interfaces that receiver and chipset makers can build against. Estimated as a learning curve over twenty-three dated GNSS interface-specification releases from six providers, the relationship between a provider’s cumulative standards-program experience and the cumulative supply of open interoperable signals is positive and statistically significant, with a log-log elasticity of 0.196 and a ninety-five percent confidence interval that excludes zero. The production premise survives the test, but the magnitude qualifies it sharply: an elasticity well below unity implies that each doubling of standards-program experience is associated with roughly a fifteen-percent increase in open-signal supply, a decelerating accumulation rather than the open-ended advantage the narrative literature implies.</w:t>
      </w:r>
    </w:p>
    <w:p>
      <w:pPr>
        <w:pStyle w:val="BodyText"/>
        <w:spacing w:line="480" w:lineRule="auto"/>
        <w:ind w:firstLine="720"/>
      </w:pPr>
      <w:r>
        <w:t xml:space="preserve">Second comes the adoption mechanism. The claim presumes that downstream actors converge quickly on an authored open interface because failing to do so strands their investment, so that early open-interface publication should accelerate uptake. Estimated as a Cox proportional-hazards survival model over the timing of chipset adoption across six constellations, early open-interface publication does not raise the adoption hazard; the point estimate runs in the opposite direction and is only marginally distinguishable from zero, while the broader interoperability-commitment indicator points in the predicted direction but cannot be distinguished from zero in a sample of that size. The naive adoption mechanism is contradicted for the GNSS receiver market over the observed period, most plausibly because the receiver industry adopts on its own silicon-generation schedule rather than on any single provider’s publication schedule</w:t>
      </w:r>
      <w:r>
        <w:t xml:space="preserve"> </w:t>
      </w:r>
      <w:hyperlink w:anchor="ref-9">
        <w:r>
          <w:rPr>
            <w:rStyle w:val="Hyperlink"/>
          </w:rPr>
          <w:t xml:space="preserve">[9]</w:t>
        </w:r>
      </w:hyperlink>
      <w:r>
        <w:t xml:space="preserve">.</w:t>
      </w:r>
    </w:p>
    <w:p>
      <w:pPr>
        <w:pStyle w:val="BodyText"/>
        <w:spacing w:line="480" w:lineRule="auto"/>
        <w:ind w:firstLine="720"/>
      </w:pPr>
      <w:r>
        <w:t xml:space="preserve">Read together, these two components neither confirm nor refute the strategic claim outright. They narrow it. The production process the claim assumes is real, significant, and inelastic; the simple adoption channel through which the claim is usually told does not operate in the form it predicts. This is precisely the configuration that motivates the dissertation’s larger and more carefully identified panel design, which can separate the breadth of an interoperability commitment from the timing of a publication, absorb the receiver-market maturation effect through time fixed effects, and exploit the staggered timing of ratification events as a quasi-experimental shock. The central contribution is built on the foundation these two findings lay.</w:t>
      </w:r>
    </w:p>
    <w:bookmarkEnd w:id="65"/>
    <w:bookmarkStart w:id="66" w:name="identification-strategy-in-brief"/>
    <w:p>
      <w:pPr>
        <w:pStyle w:val="Heading2"/>
        <w:spacing w:line="480" w:lineRule="auto"/>
      </w:pPr>
      <w:r>
        <w:t xml:space="preserve">1.6 Identification Strategy in Brief</w:t>
      </w:r>
    </w:p>
    <w:p>
      <w:pPr>
        <w:pStyle w:val="FirstParagraph"/>
        <w:spacing w:line="480" w:lineRule="auto"/>
      </w:pPr>
      <w:r>
        <w:t xml:space="preserve">In brief, the central estimate proceeds in two stages, detailed in the method chapter and previewed here to make the falsifiable claim concrete.</w:t>
      </w:r>
    </w:p>
    <w:p>
      <w:pPr>
        <w:pStyle w:val="BodyText"/>
        <w:spacing w:line="480" w:lineRule="auto"/>
        <w:ind w:firstLine="720"/>
      </w:pPr>
      <w:r>
        <w:t xml:space="preserve">A panel fixed-effects estimator with bloc and year fixed effects absorbs time-invariant bloc heterogeneity and common shocks, regressing the advantage outcome on lagged standards leadership plus controls for prior capability and resourcing. Because standards leadership may be endogenous to anticipated advantage, the second stage exploits the staggered timing of independent standards-ratification events as a quasi-experimental shock, estimating an event-study specification around ratification dates. Flat pre-trend coefficients followed by a post-ratification break are the signature of a real effect; a significant pre-trend invalidates the causal reading, and the chapter reports the invalidation. Nothing gets smoothed over. A directional lag structure addresses reverse causality, inference uses bloc-clustered standard errors, and a placebo test on non-ratified draft standards furnishes a falsification check.</w:t>
      </w:r>
    </w:p>
    <w:p>
      <w:pPr>
        <w:pStyle w:val="BodyText"/>
        <w:spacing w:line="480" w:lineRule="auto"/>
        <w:ind w:firstLine="720"/>
      </w:pPr>
      <w:r>
        <w:t xml:space="preserve">All data are public, version-stamped, and attributable to a bloc: provider interface-control and interface-specification publications, the proceedings of the International Committee on GNSS, the optical-communications documents of the Consultative Committee for Space Data Systems, and the downstream adoption record observable through receiver-capability disclosures and procurement records. Every record’s source document and retrieval date enters a provenance ledger before it enters the estimation sample.</w:t>
      </w:r>
    </w:p>
    <w:bookmarkEnd w:id="66"/>
    <w:bookmarkStart w:id="67" w:name="roadmap"/>
    <w:p>
      <w:pPr>
        <w:pStyle w:val="Heading2"/>
        <w:spacing w:line="480" w:lineRule="auto"/>
      </w:pPr>
      <w:r>
        <w:t xml:space="preserve">1.7 Roadmap</w:t>
      </w:r>
    </w:p>
    <w:p>
      <w:pPr>
        <w:pStyle w:val="FirstParagraph"/>
        <w:spacing w:line="480" w:lineRule="auto"/>
      </w:pPr>
      <w:r>
        <w:t xml:space="preserve">From here the dissertation proceeds as follows. Chapter 2 reviews the two literatures whose separation defines the problem, tracing the strategic-policy assertion of standards advantage and the engineering characterization of the interface substrate, and locating the precise point at which the causal-quantitative bridge is missing. Chapter 3 develops the theory, formalizing the standards-leadership construct, the strategic-advantage outcome, and the mechanisms of production and adoption that connect them, and deriving the single falsifiable hypothesis from that theory. Chapter 4 presents the data and provenance for both the GNSS PNT layer and the optical inter-satellite layer, documenting the construction of the leadership index, the advantage outcome, and the controls, and specifying the provenance ledger that governs admission to the estimation sample. Chapter 5 sets out the identification strategy and the econometric method in full, including the panel fixed-effects estimator, the event-study design, the lag structure, the clustering and inference choices, and the placebo and robustness battery. Chapters 6 and 7 report the two component studies in detail, the learning-curve estimate of interface production and the survival estimate of adoption timing, which establish and qualify the premises the central estimate depends upon. Chapter 8 reports the central panel and event-study estimates of the standards-leadership-to-advantage relationship, with the full robustness battery and the threats-to-validity analysis. Chapter 9 interprets the estimate against the strategic claim, states the boundary of external validity explicitly, draws the operational implications for NASA, JPL, and civil space infrastructure investment, and identifies the questions a wider panel and a maturing optical-interface record will be able to answer next. Throughout, the organizing commitment is the one stated at the outset: to convert a widely repeated strategic intuition into a measured, falsifiable estimate, and to report that estimate, whatever its sign, with the uncertainty that makes it usable for decision.</w:t>
      </w:r>
    </w:p>
    <w:bookmarkEnd w:id="67"/>
    <w:bookmarkEnd w:id="68"/>
    <w:bookmarkStart w:id="92" w:name="chapter-2.-literature-review"/>
    <w:p>
      <w:pPr>
        <w:pStyle w:val="Heading1"/>
        <w:spacing w:line="480" w:lineRule="auto"/>
      </w:pPr>
      <w:r>
        <w:t xml:space="preserve">Chapter 2. Literature Review</w:t>
      </w:r>
    </w:p>
    <w:bookmarkStart w:id="69" w:name="purpose-and-organization-of-the-review"/>
    <w:p>
      <w:pPr>
        <w:pStyle w:val="Heading2"/>
        <w:spacing w:line="480" w:lineRule="auto"/>
      </w:pPr>
      <w:r>
        <w:t xml:space="preserve">2.1 Purpose and Organization of the Review</w:t>
      </w:r>
    </w:p>
    <w:p>
      <w:pPr>
        <w:pStyle w:val="FirstParagraph"/>
        <w:spacing w:line="480" w:lineRule="auto"/>
      </w:pPr>
      <w:r>
        <w:t xml:space="preserve">This dissertation sits at the junction of two scholarly conversations that have, to date, proceeded in near-total isolation from one another. The first is a strategic and policy literature that asserts a causal relationship between leadership in interoperability standards and the accrual of durable national or bloc-level advantage. The second is an engineering and technical literature that documents, in fine and quantitative detail, the interface substrate over which that asserted advantage is supposed to operate: the open signal-in-space specifications of Global Navigation Satellite Systems (GNSS) and the emerging optical inter-satellite link (ISL) terminal standards that increasingly carry constellation traffic. The strategic literature names the lever; the engineering literature describes the machine the lever is attached to; neither measures the force transmitted between them. A third body of work, the cliometric and econometric methodology literature, supplies the estimators that could in principle close that distance, but it has not been brought to bear on interface governance as a treatment variable. This chapter maps that silence.</w:t>
      </w:r>
    </w:p>
    <w:p>
      <w:pPr>
        <w:pStyle w:val="BodyText"/>
        <w:spacing w:line="480" w:lineRule="auto"/>
        <w:ind w:firstLine="720"/>
      </w:pPr>
      <w:r>
        <w:t xml:space="preserve">This chapter reviews these literatures rigorously, demonstrates that they are genuinely unjoined rather than merely under-cited, and specifies the precise location of the gap this dissertation occupies.</w:t>
      </w:r>
    </w:p>
    <w:p>
      <w:pPr>
        <w:pStyle w:val="BodyText"/>
        <w:spacing w:line="480" w:lineRule="auto"/>
        <w:ind w:firstLine="720"/>
      </w:pPr>
      <w:r>
        <w:t xml:space="preserve">The argument proceeds in four movements. Section 2.2 reviews the strategic-statecraft literature that makes the advantage claim, isolating the exact propositions it advances and the exact form in which it leaves them unmeasured. Section 2.3 reviews the engineering literature on the two technical layers, establishing that the interfaces are real, contested, version-stamped, and attributable to identifiable blocs, which is the precondition for treating them as observable data. Section 2.4 reviews the cliometric and econometric methodology literature, including learning-curve estimation, panel fixed-effects identification, event-study and survival-analysis designs, and the inferential discipline that distinguishes a measured null from an absence of evidence. Section 2.5 synthesizes the three and states the gap as a single, falsifiable deficiency.</w:t>
      </w:r>
    </w:p>
    <w:p>
      <w:pPr>
        <w:pStyle w:val="BodyText"/>
        <w:spacing w:line="480" w:lineRule="auto"/>
        <w:ind w:firstLine="720"/>
      </w:pPr>
      <w:r>
        <w:t xml:space="preserve">Throughout, the review attends not only to what each literature claims but to the evidentiary register in which it claims it, because the central contribution of this dissertation is a change of register: from assertion to estimate.</w:t>
      </w:r>
    </w:p>
    <w:bookmarkEnd w:id="69"/>
    <w:bookmarkStart w:id="74" w:name="X7d59201de5923faa464ee342082bd15645cdedc"/>
    <w:p>
      <w:pPr>
        <w:pStyle w:val="Heading2"/>
        <w:spacing w:line="480" w:lineRule="auto"/>
      </w:pPr>
      <w:r>
        <w:t xml:space="preserve">2.2 The Strategic-Statecraft Literature: Standards as an Instrument of National Power</w:t>
      </w:r>
    </w:p>
    <w:bookmarkStart w:id="70" w:name="the-core-advantage-claim"/>
    <w:p>
      <w:pPr>
        <w:pStyle w:val="Heading3"/>
        <w:spacing w:line="480" w:lineRule="auto"/>
      </w:pPr>
      <w:r>
        <w:t xml:space="preserve">2.2.1 The Core Advantage Claim</w:t>
      </w:r>
    </w:p>
    <w:p>
      <w:pPr>
        <w:pStyle w:val="FirstParagraph"/>
        <w:spacing w:line="480" w:lineRule="auto"/>
      </w:pPr>
      <w:r>
        <w:t xml:space="preserve">Among the most frequently repeated claims in the contemporary space-economy and economic-statecraft literatures is the proposition that authoring a dominant technical standard confers strategic advantage; it is also among the least frequently tested. Repetition is not measurement. The economic-statecraft review treats leadership in technical practice as a channel through which a state exercises indirect leverage, positioning standards authorship alongside investment leadership and supply-chain anchoring as instruments by which technical primacy is converted into economic and security influence</w:t>
      </w:r>
      <w:r>
        <w:t xml:space="preserve"> </w:t>
      </w:r>
      <w:hyperlink w:anchor="ref-1">
        <w:r>
          <w:rPr>
            <w:rStyle w:val="Hyperlink"/>
          </w:rPr>
          <w:t xml:space="preserve">[1]</w:t>
        </w:r>
      </w:hyperlink>
      <w:r>
        <w:t xml:space="preserve">. The claim is structural rather than incidental: the entity that authors the interface is held to set the reference frame the rest of the market must adopt, and in doing so it captures a position that is difficult for competitors to dislodge because the cost of defection rises with each downstream actor that builds to the authored interface.</w:t>
      </w:r>
    </w:p>
    <w:p>
      <w:pPr>
        <w:pStyle w:val="BodyText"/>
        <w:spacing w:line="480" w:lineRule="auto"/>
        <w:ind w:firstLine="720"/>
      </w:pPr>
      <w:r>
        <w:t xml:space="preserve">In the space-industrial-base literature the same proposition arrives in a more operational vocabulary. The Space Imperative frames the development of interoperability standards for automated space coordination as an explicit action item of whole-of-nation advantage, treating standards leadership not as an analytic abstraction but as a recommended instrument of policy</w:t>
      </w:r>
      <w:r>
        <w:t xml:space="preserve"> </w:t>
      </w:r>
      <w:hyperlink w:anchor="ref-3">
        <w:r>
          <w:rPr>
            <w:rStyle w:val="Hyperlink"/>
          </w:rPr>
          <w:t xml:space="preserve">[3]</w:t>
        </w:r>
      </w:hyperlink>
      <w:r>
        <w:t xml:space="preserve">[10]. The recommendation presupposes the very causal relationship this dissertation tests: that investment in standards-body participation yields a return measured in strategic position. The framing is prescriptive, and its prescriptive force depends entirely on the unstated empirical premise that the return exists and is positive. The literature, in other words, advises blocs to lead standards on the strength of a relationship it has not estimated. No estimate backs the advice.</w:t>
      </w:r>
    </w:p>
    <w:bookmarkEnd w:id="70"/>
    <w:bookmarkStart w:id="71" w:name="X524545eff62a0a6ffe8999956b83631c86bdda9"/>
    <w:p>
      <w:pPr>
        <w:pStyle w:val="Heading3"/>
        <w:spacing w:line="480" w:lineRule="auto"/>
      </w:pPr>
      <w:r>
        <w:t xml:space="preserve">2.2.2 The Norms and Socio-Technical Transformation Strand</w:t>
      </w:r>
    </w:p>
    <w:p>
      <w:pPr>
        <w:pStyle w:val="FirstParagraph"/>
        <w:spacing w:line="480" w:lineRule="auto"/>
      </w:pPr>
      <w:r>
        <w:t xml:space="preserve">A related strand treats the transformation of space-use practice as architectural and standards-mediated rather than purely capability-driven. The norms literature on socio-technological transformative change holds that the trajectory of space activity is shaped by the interfaces and conventions that govern coordination, not only by the raw capability of the actors involved</w:t>
      </w:r>
      <w:r>
        <w:t xml:space="preserve"> </w:t>
      </w:r>
      <w:hyperlink w:anchor="ref-4">
        <w:r>
          <w:rPr>
            <w:rStyle w:val="Hyperlink"/>
          </w:rPr>
          <w:t xml:space="preserve">[4]</w:t>
        </w:r>
      </w:hyperlink>
      <w:r>
        <w:t xml:space="preserve">. This is a meaningful theoretical contribution because it relocates the locus of advantage from hardware to interface governance, which is precisely the relocation the present dissertation requires in order to treat standards leadership as a distinct causal variable separable from underlying capability. Yet the norms literature describes this relocation; it does not measure the magnitude of the advantage that follows from occupying the interface-authoring position. The transformation is characterized as architectural and consequential, but the consequence is asserted at the level of mechanism rather than estimated at the level of effect. Description is not estimation.</w:t>
      </w:r>
    </w:p>
    <w:bookmarkEnd w:id="71"/>
    <w:bookmarkStart w:id="72" w:name="the-security-driven-competition-strand"/>
    <w:p>
      <w:pPr>
        <w:pStyle w:val="Heading3"/>
        <w:spacing w:line="480" w:lineRule="auto"/>
      </w:pPr>
      <w:r>
        <w:t xml:space="preserve">2.2.3 The Security-Driven Competition Strand</w:t>
      </w:r>
    </w:p>
    <w:p>
      <w:pPr>
        <w:pStyle w:val="FirstParagraph"/>
        <w:spacing w:line="480" w:lineRule="auto"/>
      </w:pPr>
      <w:r>
        <w:t xml:space="preserve">A third and analytically important observation comes from the sustainability-and-development literature: technological competition in space has historically been driven by national-security interests rather than by commercial logic alone</w:t>
      </w:r>
      <w:r>
        <w:t xml:space="preserve"> </w:t>
      </w:r>
      <w:hyperlink w:anchor="ref-2">
        <w:r>
          <w:rPr>
            <w:rStyle w:val="Hyperlink"/>
          </w:rPr>
          <w:t xml:space="preserve">[2]</w:t>
        </w:r>
      </w:hyperlink>
      <w:r>
        <w:t xml:space="preserve">. This observation matters for the present design less as a claim about advantage than as a warning about confounding. If technological leadership is security-motivated, then the blocs that lead standards are systematically those with large, security-funded space programs, and any naive correlation between standards leadership and market position will be contaminated by the underlying scale and resourcing of the program. The literature thus identifies, descriptively, exactly the confounder that a credible identification strategy must absorb. It does so, however, without proposing any such strategy. The observation that competition is security-driven is offered as historical characterization, not as a covariate to be controlled, and the literature does not proceed to the estimation problem that its own observation makes unavoidable.</w:t>
      </w:r>
    </w:p>
    <w:bookmarkEnd w:id="72"/>
    <w:bookmarkStart w:id="73" w:name="X04fa29b1e8f35afac7e57166456aaef411d475a"/>
    <w:p>
      <w:pPr>
        <w:pStyle w:val="Heading3"/>
        <w:spacing w:line="480" w:lineRule="auto"/>
      </w:pPr>
      <w:r>
        <w:t xml:space="preserve">2.2.4 The Evidentiary Register of the Strategic Literature</w:t>
      </w:r>
    </w:p>
    <w:p>
      <w:pPr>
        <w:pStyle w:val="FirstParagraph"/>
        <w:spacing w:line="480" w:lineRule="auto"/>
      </w:pPr>
      <w:r>
        <w:t xml:space="preserve">Read as a body, the strategic-statecraft literature exhibits a consistent and diagnosable evidentiary pattern. It advances a directional causal claim (standards leadership yields advantage), it specifies a plausible mechanism (reference-frame capture and supply-chain anchoring), and it identifies a confounder (security-driven scale). What it never supplies is a point estimate of the effect, a confidence interval around that estimate, or an identification strategy capable of separating the asserted causal channel from the confounders the literature itself names</w:t>
      </w:r>
      <w:r>
        <w:t xml:space="preserve"> </w:t>
      </w:r>
      <w:hyperlink w:anchor="ref-1">
        <w:r>
          <w:rPr>
            <w:rStyle w:val="Hyperlink"/>
          </w:rPr>
          <w:t xml:space="preserve">[1]</w:t>
        </w:r>
      </w:hyperlink>
      <w:r>
        <w:t xml:space="preserve">[2][3][4][10]. The claim is normatively asserted and prescriptively deployed, but it remains, in the strict sense, unmeasured. This is not a marginal omission. Because the literature is used to justify the allocation of infrastructure investment toward standards-body participation, the absence of a measured effect means that a policy recommendation of real budgetary consequence rests on an untested premise.</w:t>
      </w:r>
    </w:p>
    <w:p>
      <w:pPr>
        <w:pStyle w:val="BodyText"/>
        <w:spacing w:line="480" w:lineRule="auto"/>
        <w:ind w:firstLine="720"/>
      </w:pPr>
      <w:r>
        <w:t xml:space="preserve">Here, then, lies the first half of the gap this dissertation addresses: the advantage claim is articulated with precision and repeated with confidence, but it is never converted into an estimate against which it could be falsified.</w:t>
      </w:r>
    </w:p>
    <w:bookmarkEnd w:id="73"/>
    <w:bookmarkEnd w:id="74"/>
    <w:bookmarkStart w:id="79" w:name="X09176f12031d1281e8d49ddbbbc7c4b87c48c40"/>
    <w:p>
      <w:pPr>
        <w:pStyle w:val="Heading2"/>
        <w:spacing w:line="480" w:lineRule="auto"/>
      </w:pPr>
      <w:r>
        <w:t xml:space="preserve">2.3 The Engineering Literature: The Interoperability Substrate as Observable Data</w:t>
      </w:r>
    </w:p>
    <w:bookmarkStart w:id="75" w:name="gnss-interfaces-and-the-pnt-dependency"/>
    <w:p>
      <w:pPr>
        <w:pStyle w:val="Heading3"/>
        <w:spacing w:line="480" w:lineRule="auto"/>
      </w:pPr>
      <w:r>
        <w:t xml:space="preserve">2.3.1 GNSS Interfaces and the PNT Dependency</w:t>
      </w:r>
    </w:p>
    <w:p>
      <w:pPr>
        <w:pStyle w:val="FirstParagraph"/>
        <w:spacing w:line="480" w:lineRule="auto"/>
      </w:pPr>
      <w:r>
        <w:t xml:space="preserve">Turn to the engineering record and the picture inverts: the interfaces over which the asserted advantage is supposed to operate are not abstractions but concrete, dated, publicly available, and bloc-attributable documents. This is the precondition for any quantitative test, because a treatment variable must be observable before it can be estimated. The positioning, navigation, and timing (PNT) layer is the layer where the interface record is longest, most complete, and most fully public. Each operational GNSS provider publishes versioned signal-in-space interface-control documentation that defines the open civil signals a receiver may acquire, and these documents carry release dates, version stamps, and clear national or bloc authorship. The record can be audited.</w:t>
      </w:r>
    </w:p>
    <w:p>
      <w:pPr>
        <w:pStyle w:val="BodyText"/>
        <w:spacing w:line="480" w:lineRule="auto"/>
        <w:ind w:firstLine="720"/>
      </w:pPr>
      <w:r>
        <w:t xml:space="preserve">Provenance here is granular and verifiable across all six constellations the present dissertation studies. The United States publishes the IS-GPS-200, IS-GPS-705, and IS-GPS-800 lineage defining the L1 C/A, L2C, L5, and L1C civil signals through the GPS.gov interface-document registry and the US Coast Guard Navigation Center technical references</w:t>
      </w:r>
      <w:r>
        <w:t xml:space="preserve"> </w:t>
      </w:r>
      <w:hyperlink w:anchor="ref-13">
        <w:r>
          <w:rPr>
            <w:rStyle w:val="Hyperlink"/>
          </w:rPr>
          <w:t xml:space="preserve">[13]</w:t>
        </w:r>
      </w:hyperlink>
      <w:r>
        <w:t xml:space="preserve">. The European Union publishes the Galileo Open Service Signal-in-Space Interface Control Document through the European GNSS Service Centre, defining the E1, E5a, E5b, and E6 open signals across versions 1.2 through 2.1</w:t>
      </w:r>
      <w:r>
        <w:t xml:space="preserve"> </w:t>
      </w:r>
      <w:hyperlink w:anchor="ref-14">
        <w:r>
          <w:rPr>
            <w:rStyle w:val="Hyperlink"/>
          </w:rPr>
          <w:t xml:space="preserve">[14]</w:t>
        </w:r>
      </w:hyperlink>
      <w:r>
        <w:t xml:space="preserve">. China publishes the BeiDou open-service interface specification covering the B1I, B2a, B1C, and B3I signals through the official BeiDou ICD portal and the CSNO test and assessment center</w:t>
      </w:r>
      <w:r>
        <w:t xml:space="preserve"> </w:t>
      </w:r>
      <w:hyperlink w:anchor="ref-15">
        <w:r>
          <w:rPr>
            <w:rStyle w:val="Hyperlink"/>
          </w:rPr>
          <w:t xml:space="preserve">[15]</w:t>
        </w:r>
      </w:hyperlink>
      <w:r>
        <w:t xml:space="preserve">. Russia publishes the GLONASS interface-control documentation across editions 4.0, 5.0, and 5.1 and the later CDMA L1 edition, covering the L1OF and L2OF FDMA signals and the L1OC CDMA signal</w:t>
      </w:r>
      <w:r>
        <w:t xml:space="preserve"> </w:t>
      </w:r>
      <w:hyperlink w:anchor="ref-16">
        <w:r>
          <w:rPr>
            <w:rStyle w:val="Hyperlink"/>
          </w:rPr>
          <w:t xml:space="preserve">[16]</w:t>
        </w:r>
      </w:hyperlink>
      <w:r>
        <w:t xml:space="preserve">. Japan publishes the Quasi-Zenith Satellite System interface specification through its Cabinet Office and JAXA</w:t>
      </w:r>
      <w:r>
        <w:t xml:space="preserve"> </w:t>
      </w:r>
      <w:hyperlink w:anchor="ref-17">
        <w:r>
          <w:rPr>
            <w:rStyle w:val="Hyperlink"/>
          </w:rPr>
          <w:t xml:space="preserve">[17]</w:t>
        </w:r>
      </w:hyperlink>
      <w:r>
        <w:t xml:space="preserve">, and India publishes the IRNSS/NavIC signal-in-space ICD covering the L5, S-band, and L1 standard-positioning-service signals through ISRO</w:t>
      </w:r>
      <w:r>
        <w:t xml:space="preserve"> </w:t>
      </w:r>
      <w:hyperlink w:anchor="ref-18">
        <w:r>
          <w:rPr>
            <w:rStyle w:val="Hyperlink"/>
          </w:rPr>
          <w:t xml:space="preserve">[18]</w:t>
        </w:r>
      </w:hyperlink>
      <w:r>
        <w:t xml:space="preserve">. Each entry carries a date.</w:t>
      </w:r>
    </w:p>
    <w:p>
      <w:pPr>
        <w:pStyle w:val="BodyText"/>
        <w:spacing w:line="480" w:lineRule="auto"/>
        <w:ind w:firstLine="720"/>
      </w:pPr>
      <w:r>
        <w:t xml:space="preserve">Why does this catalogue matter? It matters because the standards-leadership treatment can be constructed from version-stamped public records attributable to a bloc, which is exactly what a fixed-effects, event-study, learning-curve, or survival design requires. The point is methodological rather than descriptive.</w:t>
      </w:r>
    </w:p>
    <w:p>
      <w:pPr>
        <w:pStyle w:val="BodyText"/>
        <w:spacing w:line="480" w:lineRule="auto"/>
        <w:ind w:firstLine="720"/>
      </w:pPr>
      <w:r>
        <w:t xml:space="preserve">Beyond provenance, there is dependency. The technical literature establishes why these interfaces are consequential. The fusion of signals across constellations in a multi-constellation receiver depends on the published interface for each system being open and stable enough to implement, and the ionospheric and propagation environment that conditions GNSS performance is itself a documented constraint on receiver design</w:t>
      </w:r>
      <w:r>
        <w:t xml:space="preserve"> </w:t>
      </w:r>
      <w:hyperlink w:anchor="ref-25">
        <w:r>
          <w:rPr>
            <w:rStyle w:val="Hyperlink"/>
          </w:rPr>
          <w:t xml:space="preserve">[25]</w:t>
        </w:r>
      </w:hyperlink>
      <w:r>
        <w:t xml:space="preserve">. Work on orbit prediction and ephemeris strategy for GNSS satellites further documents the operational machinery behind the published signals, confirming that the interface is the visible surface of a deep and contested technical system rather than a mere formality</w:t>
      </w:r>
      <w:r>
        <w:t xml:space="preserve"> </w:t>
      </w:r>
      <w:hyperlink w:anchor="ref-32">
        <w:r>
          <w:rPr>
            <w:rStyle w:val="Hyperlink"/>
          </w:rPr>
          <w:t xml:space="preserve">[32]</w:t>
        </w:r>
      </w:hyperlink>
      <w:r>
        <w:t xml:space="preserve">. Alternative and visual-based PNT architectures have been proposed precisely because dependence on the GNSS interface is recognized as a strategic vulnerability, which underscores that the interface is treated, within the engineering community itself, as a locus of contention rather than a settled commodity</w:t>
      </w:r>
      <w:r>
        <w:t xml:space="preserve"> </w:t>
      </w:r>
      <w:hyperlink w:anchor="ref-33">
        <w:r>
          <w:rPr>
            <w:rStyle w:val="Hyperlink"/>
          </w:rPr>
          <w:t xml:space="preserve">[33]</w:t>
        </w:r>
      </w:hyperlink>
      <w:r>
        <w:t xml:space="preserve">.</w:t>
      </w:r>
    </w:p>
    <w:bookmarkEnd w:id="75"/>
    <w:bookmarkStart w:id="76" w:name="the-optical-inter-satellite-link-layer"/>
    <w:p>
      <w:pPr>
        <w:pStyle w:val="Heading3"/>
        <w:spacing w:line="480" w:lineRule="auto"/>
      </w:pPr>
      <w:r>
        <w:t xml:space="preserve">2.3.2 The Optical Inter-Satellite Link Layer</w:t>
      </w:r>
    </w:p>
    <w:p>
      <w:pPr>
        <w:pStyle w:val="FirstParagraph"/>
        <w:spacing w:line="480" w:lineRule="auto"/>
      </w:pPr>
      <w:r>
        <w:t xml:space="preserve">On the optical-communications layer the same interface logic appears in a less mature but rapidly consolidating form. The pattern repeats. Optical inter-satellite links increasingly carry the traffic that routes across heterogeneous constellations, and terminal interoperability depends on a shared, implementable interface in exactly the way receiver interoperability depends on the GNSS signal-in-space specification. The engineering literature documents the design and miniaturization of optical-communication terminals for nano and micro satellites, establishing that terminals from different vendors are being built against converging interface assumptions</w:t>
      </w:r>
      <w:r>
        <w:t xml:space="preserve"> </w:t>
      </w:r>
      <w:hyperlink w:anchor="ref-6">
        <w:r>
          <w:rPr>
            <w:rStyle w:val="Hyperlink"/>
          </w:rPr>
          <w:t xml:space="preserve">[6]</w:t>
        </w:r>
      </w:hyperlink>
      <w:r>
        <w:t xml:space="preserve">[11]. The VISION concept for laser crosslink systems using nanosatellites in formation flying demonstrates that crosslink interoperability is an explicit design objective, requiring terminals built by different parties to close a link and route traffic across vendor and national boundaries</w:t>
      </w:r>
      <w:r>
        <w:t xml:space="preserve"> </w:t>
      </w:r>
      <w:hyperlink w:anchor="ref-7">
        <w:r>
          <w:rPr>
            <w:rStyle w:val="Hyperlink"/>
          </w:rPr>
          <w:t xml:space="preserve">[7]</w:t>
        </w:r>
      </w:hyperlink>
      <w:r>
        <w:t xml:space="preserve">[12]. Work on information routing in satellite constellations via stereographic projection and static digraph formalizes the routing problem that a heterogeneous, multi-vendor constellation must solve, and that problem is tractable only when the inter-terminal interface is shared and standardized</w:t>
      </w:r>
      <w:r>
        <w:t xml:space="preserve"> </w:t>
      </w:r>
      <w:hyperlink w:anchor="ref-5">
        <w:r>
          <w:rPr>
            <w:rStyle w:val="Hyperlink"/>
          </w:rPr>
          <w:t xml:space="preserve">[5]</w:t>
        </w:r>
      </w:hyperlink>
      <w:r>
        <w:t xml:space="preserve">. Foundational route-theory work for constellation design supplies the analytic backbone for reasoning about how traffic moves across a constellation once its links are interoperable</w:t>
      </w:r>
      <w:r>
        <w:t xml:space="preserve"> </w:t>
      </w:r>
      <w:hyperlink w:anchor="ref-9">
        <w:r>
          <w:rPr>
            <w:rStyle w:val="Hyperlink"/>
          </w:rPr>
          <w:t xml:space="preserve">[9]</w:t>
        </w:r>
      </w:hyperlink>
      <w:r>
        <w:t xml:space="preserve">.</w:t>
      </w:r>
    </w:p>
    <w:p>
      <w:pPr>
        <w:pStyle w:val="BodyText"/>
        <w:spacing w:line="480" w:lineRule="auto"/>
        <w:ind w:firstLine="720"/>
      </w:pPr>
      <w:r>
        <w:t xml:space="preserve">In standards terms, the optical layer is where the PNT layer was several decades ago: the interfaces exist, they are contested, and they are beginning to consolidate into ratified specifications with attributable authorship, but the public release record is shorter and the standardization process less settled. This asymmetry is itself analytically useful. It means the PNT layer can serve as the primary estimation site, where the interface record is long enough to support identification, while the optical layer furnishes an independent and forward-looking test of the same relationships as its standards mature.</w:t>
      </w:r>
    </w:p>
    <w:bookmarkEnd w:id="76"/>
    <w:bookmarkStart w:id="77" w:name="Xb38968d46ea9858663abe6d42a2b2581fdd4dbd"/>
    <w:p>
      <w:pPr>
        <w:pStyle w:val="Heading3"/>
        <w:spacing w:line="480" w:lineRule="auto"/>
      </w:pPr>
      <w:r>
        <w:t xml:space="preserve">2.3.3 Governance, Liability, and the Institutional Surround</w:t>
      </w:r>
    </w:p>
    <w:p>
      <w:pPr>
        <w:pStyle w:val="FirstParagraph"/>
        <w:spacing w:line="480" w:lineRule="auto"/>
      </w:pPr>
      <w:r>
        <w:t xml:space="preserve">A smaller but relevant strand documents the institutional and governance context within which space interfaces are authored. Work on evolving governance in the space sector, tracing the shift from Legacy Space to New Space models, establishes that the institutional arrangements governing standardization are themselves in flux, which bears on the attribution of standards authorship to blocs across time</w:t>
      </w:r>
      <w:r>
        <w:t xml:space="preserve"> </w:t>
      </w:r>
      <w:hyperlink w:anchor="ref-28">
        <w:r>
          <w:rPr>
            <w:rStyle w:val="Hyperlink"/>
          </w:rPr>
          <w:t xml:space="preserve">[28]</w:t>
        </w:r>
      </w:hyperlink>
      <w:r>
        <w:t xml:space="preserve">. Analyses of legal liability for artificial intelligence and autonomous systems in outer space, and of the agent-based and distributed approaches to space-systems management, indicate that the coordination problems standardization is meant to solve are intensifying as constellations grow more autonomous and heterogeneous</w:t>
      </w:r>
      <w:r>
        <w:t xml:space="preserve"> </w:t>
      </w:r>
      <w:hyperlink w:anchor="ref-30">
        <w:r>
          <w:rPr>
            <w:rStyle w:val="Hyperlink"/>
          </w:rPr>
          <w:t xml:space="preserve">[30]</w:t>
        </w:r>
      </w:hyperlink>
      <w:r>
        <w:t xml:space="preserve">[34]. Coordination problems are multiplying. This institutional literature does not estimate advantage either, but it confirms that interface governance is an active, contested, and consequential arena rather than a clerical one, which is a necessary background condition for treating standards leadership as a strategically meaningful variable.</w:t>
      </w:r>
    </w:p>
    <w:bookmarkEnd w:id="77"/>
    <w:bookmarkStart w:id="78" w:name="Xa907a3c326f67f2cec55e47ab22e5e8621fd9ae"/>
    <w:p>
      <w:pPr>
        <w:pStyle w:val="Heading3"/>
        <w:spacing w:line="480" w:lineRule="auto"/>
      </w:pPr>
      <w:r>
        <w:t xml:space="preserve">2.3.4 The Evidentiary Register of the Engineering Literature</w:t>
      </w:r>
    </w:p>
    <w:p>
      <w:pPr>
        <w:pStyle w:val="FirstParagraph"/>
        <w:spacing w:line="480" w:lineRule="auto"/>
      </w:pPr>
      <w:r>
        <w:t xml:space="preserve">In evidentiary register, the engineering literature is the strategic literature’s mirror image. Where the strategic literature asserts an effect without an observable treatment, the engineering literature characterizes the treatment in exhaustive observable detail without ever connecting it to a strategic outcome. The GNSS interface documents are dated, versioned, and attributable</w:t>
      </w:r>
      <w:r>
        <w:t xml:space="preserve"> </w:t>
      </w:r>
      <w:hyperlink w:anchor="ref-13">
        <w:r>
          <w:rPr>
            <w:rStyle w:val="Hyperlink"/>
          </w:rPr>
          <w:t xml:space="preserve">[13]</w:t>
        </w:r>
      </w:hyperlink>
      <w:r>
        <w:t xml:space="preserve">[14][15][16][17][18]; the optical terminal and crosslink literature is precise about interface convergence and routing</w:t>
      </w:r>
      <w:r>
        <w:t xml:space="preserve"> </w:t>
      </w:r>
      <w:hyperlink w:anchor="ref-5">
        <w:r>
          <w:rPr>
            <w:rStyle w:val="Hyperlink"/>
          </w:rPr>
          <w:t xml:space="preserve">[5]</w:t>
        </w:r>
      </w:hyperlink>
      <w:r>
        <w:t xml:space="preserve">[6][7][9][11][12]; the dependency and vulnerability of the PNT layer is well characterized</w:t>
      </w:r>
      <w:r>
        <w:t xml:space="preserve"> </w:t>
      </w:r>
      <w:hyperlink w:anchor="ref-25">
        <w:r>
          <w:rPr>
            <w:rStyle w:val="Hyperlink"/>
          </w:rPr>
          <w:t xml:space="preserve">[25]</w:t>
        </w:r>
      </w:hyperlink>
      <w:r>
        <w:t xml:space="preserve">[32][33]. Yet none of these works regresses interface governance on any measure of strategic advantage, market position, or downstream adoption. The engineering literature engineers the substrate and stops at its edge. It never crosses.</w:t>
      </w:r>
    </w:p>
    <w:p>
      <w:pPr>
        <w:pStyle w:val="BodyText"/>
        <w:spacing w:line="480" w:lineRule="auto"/>
        <w:ind w:firstLine="720"/>
      </w:pPr>
      <w:r>
        <w:t xml:space="preserve">And here lies the second half of the gap: the treatment variable is fully observable and fully described, but it is never treated as a treatment, never entered into an estimating equation, never connected to the outcome the strategic literature cares about.</w:t>
      </w:r>
    </w:p>
    <w:bookmarkEnd w:id="78"/>
    <w:bookmarkEnd w:id="79"/>
    <w:bookmarkStart w:id="87" w:name="X07fe73e594277fc276c6392b9242153367417e1"/>
    <w:p>
      <w:pPr>
        <w:pStyle w:val="Heading2"/>
        <w:spacing w:line="480" w:lineRule="auto"/>
      </w:pPr>
      <w:r>
        <w:t xml:space="preserve">2.4 The Cliometric and Econometric Methodology Literature</w:t>
      </w:r>
    </w:p>
    <w:bookmarkStart w:id="80" w:name="X7a3de4f5053db432cb1d2a111f0bba666b61602"/>
    <w:p>
      <w:pPr>
        <w:pStyle w:val="Heading3"/>
        <w:spacing w:line="480" w:lineRule="auto"/>
      </w:pPr>
      <w:r>
        <w:t xml:space="preserve">2.4.1 The Role of Quantitative Method as the Bridge</w:t>
      </w:r>
    </w:p>
    <w:p>
      <w:pPr>
        <w:pStyle w:val="FirstParagraph"/>
        <w:spacing w:line="480" w:lineRule="auto"/>
      </w:pPr>
      <w:r>
        <w:t xml:space="preserve">Instruments capable of joining the first two literatures do exist, and the third literature supplies them. The central methodological wager of this dissertation is that the unjoined state of the strategic and engineering literatures is not a substantive impossibility but a methodological omission. The strategic claim is a claim about an effect; the engineering record provides an observable treatment and observable outcomes; what is missing is the application of estimators capable of recovering the effect from the record with credible identification. Cliometrics, the application of formal econometric method to historical and institutional data, is the appropriate discipline because the standards record is precisely a historical, institutional, version-stamped dataset of the kind cliometric method was developed to exploit. The methodology literature relevant to this dissertation comprises four families of estimator, each matched to a distinct facet of the standards-to-advantage relationship. The tools are ready.</w:t>
      </w:r>
    </w:p>
    <w:bookmarkEnd w:id="80"/>
    <w:bookmarkStart w:id="81" w:name="X1cd4aa42547312bdf80ab18dadae844e24771a9"/>
    <w:p>
      <w:pPr>
        <w:pStyle w:val="Heading3"/>
        <w:spacing w:line="480" w:lineRule="auto"/>
      </w:pPr>
      <w:r>
        <w:t xml:space="preserve">2.4.2 Learning-Curve and Cumulative-Experience Estimation</w:t>
      </w:r>
    </w:p>
    <w:p>
      <w:pPr>
        <w:pStyle w:val="FirstParagraph"/>
        <w:spacing w:line="480" w:lineRule="auto"/>
      </w:pPr>
      <w:r>
        <w:t xml:space="preserve">First among the four families is the learning-curve specification, the canonical empirical form for a cumulative-experience process. The learning curve posits a log-log relationship between cumulative output and cumulative experience, with a slope that is a constant elasticity and an implied progress ratio describing how output scales with each doubling of experience. This form, borrowed from production economics, is directly applicable to interface governance under the premise that authoring open signals is itself a learned activity: a provider’s accumulating base of standards-body experience produces a growing stock of standardized interfaces at an estimable rate. Authoring, in other words, is learned. The first companion paper in this dissertation establishes that this form is not merely importable but estimable on the PNT record, recovering a positive and statistically significant elasticity of cumulative open-signal supply with respect to cumulative standards-program experience, while finding that elasticity to lie well below unity and therefore to describe a decelerating rather than unbounded accumulation. The learning-curve literature thus supplies the production-side estimator that the strategic claim’s mechanism implicitly assumes, and the technology-roadmapping methodology literature for future transportation systems demonstrates the broader applicability of structured cumulative-progression modeling to space-technology trajectories</w:t>
      </w:r>
      <w:r>
        <w:t xml:space="preserve"> </w:t>
      </w:r>
      <w:hyperlink w:anchor="ref-27">
        <w:r>
          <w:rPr>
            <w:rStyle w:val="Hyperlink"/>
          </w:rPr>
          <w:t xml:space="preserve">[27]</w:t>
        </w:r>
      </w:hyperlink>
      <w:r>
        <w:t xml:space="preserve">. The contribution of this estimator family is to convert the strategic literature’s assumed production process into a measured parameter with a confidence interval.</w:t>
      </w:r>
    </w:p>
    <w:bookmarkEnd w:id="81"/>
    <w:bookmarkStart w:id="82" w:name="X00e10c25bdbbb5e81ca06a3dd0cb1ca077f0d75"/>
    <w:p>
      <w:pPr>
        <w:pStyle w:val="Heading3"/>
        <w:spacing w:line="480" w:lineRule="auto"/>
      </w:pPr>
      <w:r>
        <w:t xml:space="preserve">2.4.3 Survival Analysis and the Timing of Adoption</w:t>
      </w:r>
    </w:p>
    <w:p>
      <w:pPr>
        <w:pStyle w:val="FirstParagraph"/>
        <w:spacing w:line="480" w:lineRule="auto"/>
      </w:pPr>
      <w:r>
        <w:t xml:space="preserve">Survival analysis forms the second family, specifically the Cox proportional-hazards model, which is the appropriate estimator when the outcome is a time-to-event with right-censoring and when the quantity of interest is the instantaneous hazard of an event conditional on covariates. Timing is the question here. The strategic claim contains a temporal premise that survival analysis isolates exactly: that downstream actors converge on an authored interface quickly because defection strands their investment, so that early publication of an open interface should raise the hazard of downstream adoption. The Cox specification is suited to this premise because it makes no parametric assumption about the baseline adoption hazard and because the hazard ratio on the leadership variable maps directly onto the speed-of-adoption claim. The second companion paper applies this estimator to the GNSS receiver-chipset market and finds that early open-interface publication does not raise the adoption hazard and that its point estimate runs, if anything, in the opposite direction, a result attributable to confounding between interface timing and the maturation of multi-constellation receiver silicon. The methodological lesson the survival literature teaches, and which that companion result instantiates, is that a cross-sectional hazard model conditioned only on interface variables will absorb market-readiness confounds into the leadership coefficient unless temporal controls are added, which is precisely the deficiency a panel design with time fixed effects is constructed to remedy.</w:t>
      </w:r>
    </w:p>
    <w:bookmarkEnd w:id="82"/>
    <w:bookmarkStart w:id="83" w:name="panel-fixed-effects-identification"/>
    <w:p>
      <w:pPr>
        <w:pStyle w:val="Heading3"/>
        <w:spacing w:line="480" w:lineRule="auto"/>
      </w:pPr>
      <w:r>
        <w:t xml:space="preserve">2.4.4 Panel Fixed-Effects Identification</w:t>
      </w:r>
    </w:p>
    <w:p>
      <w:pPr>
        <w:pStyle w:val="FirstParagraph"/>
        <w:spacing w:line="480" w:lineRule="auto"/>
      </w:pPr>
      <w:r>
        <w:t xml:space="preserve">Panel fixed effects form the third family and the workhorse of the dissertation’s primary design. With bloc and year fixed effects, the estimator absorbs time-invariant bloc heterogeneity and common temporal shocks, regressing the advantage outcome on lagged standards leadership plus controls for prior capability and resourcing. This addresses directly the confounder the strategic literature itself identifies, namely that larger, security-funded programs both lead standards and capture markets for reasons unrelated to the interface</w:t>
      </w:r>
      <w:r>
        <w:t xml:space="preserve"> </w:t>
      </w:r>
      <w:hyperlink w:anchor="ref-2">
        <w:r>
          <w:rPr>
            <w:rStyle w:val="Hyperlink"/>
          </w:rPr>
          <w:t xml:space="preserve">[2]</w:t>
        </w:r>
      </w:hyperlink>
      <w:r>
        <w:t xml:space="preserve">. The bloc fixed effect absorbs the time-invariant component of program scale, and the explicit capability and resourcing controls absorb its time-varying component, isolating the within-bloc, over-time association between standards leadership and advantage that the naive cross-sectional correlation cannot recover. The fixed-effects design is the estimator that converts the strategic literature’s descriptive identification of a confounder into a formal control for it. The confounder becomes a covariate.</w:t>
      </w:r>
    </w:p>
    <w:bookmarkEnd w:id="83"/>
    <w:bookmarkStart w:id="84" w:name="X91b8d9d8ec9f6b169e72cc96c9845003386914d"/>
    <w:p>
      <w:pPr>
        <w:pStyle w:val="Heading3"/>
        <w:spacing w:line="480" w:lineRule="auto"/>
      </w:pPr>
      <w:r>
        <w:t xml:space="preserve">2.4.5 Event-Study and Quasi-Experimental Identification</w:t>
      </w:r>
    </w:p>
    <w:p>
      <w:pPr>
        <w:pStyle w:val="FirstParagraph"/>
        <w:spacing w:line="480" w:lineRule="auto"/>
      </w:pPr>
      <w:r>
        <w:t xml:space="preserve">Last comes the event-study design, which addresses the endogeneity of standards leadership: blocs may lead standards precisely where they already anticipate advantage, so that a simple regression of advantage on leadership recovers reverse causality rather than a causal effect. Anticipation is the threat. The event-study estimator exploits the staggered timing of independent standards-ratification events as a quasi-experimental shock, estimating the outcome trajectory around ratification dates. The signature of a genuine effect is a flat pre-trend followed by a post-ratification break; a non-flat pre-trend invalidates the causal reading and is reported in exactly those terms. Pre-trend testing of the parallel-trends assumption, lagged treatment specifications that regress leadership at time t on advantage at later periods, bloc-clustered inference, and placebo tests on non-ratified draft standards together constitute the falsification battery that distinguishes a credible causal estimate from a spurious correlation. This identification apparatus is standard in the cliometric and applied-microeconometric tradition but has not, in the retrieved literature, been applied to interface governance.</w:t>
      </w:r>
    </w:p>
    <w:bookmarkEnd w:id="84"/>
    <w:bookmarkStart w:id="85" w:name="X0a9bc31f5a4036c576f7875de25c120989592be"/>
    <w:p>
      <w:pPr>
        <w:pStyle w:val="Heading3"/>
        <w:spacing w:line="480" w:lineRule="auto"/>
      </w:pPr>
      <w:r>
        <w:t xml:space="preserve">2.4.6 Inferential Discipline and the Publishable Null</w:t>
      </w:r>
    </w:p>
    <w:p>
      <w:pPr>
        <w:pStyle w:val="FirstParagraph"/>
        <w:spacing w:line="480" w:lineRule="auto"/>
      </w:pPr>
      <w:r>
        <w:t xml:space="preserve">A final and essential element of the methodology literature is its inferential discipline, and in particular its treatment of the null result. The null carries weight here. The strategic literature’s untested character means that a credible estimate is informative in either direction: a positive, significant coefficient supports the advantage claim, while a null result falsifies the prevailing intuition for the in-sample period and is itself the finding. This symmetry is a property the methodology literature insists upon and the narrative literature lacks. A precisely estimated null, reported with a confidence interval narrow enough to distinguish a true zero from an absence of statistical power, is a substantive contribution; the companion survival result, which fails to reject its null while pointing its sign against the hypothesis, is an instance of exactly this discipline in action. The standards-quality and data-utilization literature reinforces the broader point that the rigor of an estimate depends on the rigor of the underlying measurement, and that extending quality standards to non-traditional data sources is itself a methodological act</w:t>
      </w:r>
      <w:r>
        <w:t xml:space="preserve"> </w:t>
      </w:r>
      <w:hyperlink w:anchor="ref-24">
        <w:r>
          <w:rPr>
            <w:rStyle w:val="Hyperlink"/>
          </w:rPr>
          <w:t xml:space="preserve">[24]</w:t>
        </w:r>
      </w:hyperlink>
      <w:r>
        <w:t xml:space="preserve">. The methodology literature thus supplies not only the estimators but the inferential register in which their outputs become falsifiable claims rather than rhetorical ones.</w:t>
      </w:r>
    </w:p>
    <w:bookmarkEnd w:id="85"/>
    <w:bookmarkStart w:id="86" w:name="Xb75ead8b427546032537ad24d159710f6941660"/>
    <w:p>
      <w:pPr>
        <w:pStyle w:val="Heading3"/>
        <w:spacing w:line="480" w:lineRule="auto"/>
      </w:pPr>
      <w:r>
        <w:t xml:space="preserve">2.4.7 The Disconnection of Method from Substance</w:t>
      </w:r>
    </w:p>
    <w:p>
      <w:pPr>
        <w:pStyle w:val="FirstParagraph"/>
        <w:spacing w:line="480" w:lineRule="auto"/>
      </w:pPr>
      <w:r>
        <w:t xml:space="preserve">One observation about the methodology literature decides the matter: it is fully developed and entirely available, yet it has not been pointed at the substantive problem. Learning curves, hazard models, panel fixed effects, and event studies are mature, well-understood estimators. The standards record is a clean, version-stamped, bloc-attributable dataset of exactly the kind these estimators were built to exploit. The strategic claim is a directional hypothesis of exactly the kind these estimators were built to test. What is absent is the act of joining: no retrieved work applies cumulative-experience, survival, fixed-effects, or event-study estimation to GNSS or optical-comms interface governance as a treatment in order to recover a strategic-advantage effect. The methodology is not missing. Its application to this substance is.</w:t>
      </w:r>
    </w:p>
    <w:bookmarkEnd w:id="86"/>
    <w:bookmarkEnd w:id="87"/>
    <w:bookmarkStart w:id="91" w:name="synthesis-and-the-gap"/>
    <w:p>
      <w:pPr>
        <w:pStyle w:val="Heading2"/>
        <w:spacing w:line="480" w:lineRule="auto"/>
      </w:pPr>
      <w:r>
        <w:t xml:space="preserve">2.5 Synthesis and the Gap</w:t>
      </w:r>
    </w:p>
    <w:bookmarkStart w:id="88" w:name="X5c843c196fc2e019dda9bd0733c05f4e23809e1"/>
    <w:p>
      <w:pPr>
        <w:pStyle w:val="Heading3"/>
        <w:spacing w:line="480" w:lineRule="auto"/>
      </w:pPr>
      <w:r>
        <w:t xml:space="preserve">2.5.1 The Three Literatures and Their Mutual Silence</w:t>
      </w:r>
    </w:p>
    <w:p>
      <w:pPr>
        <w:pStyle w:val="FirstParagraph"/>
        <w:spacing w:line="480" w:lineRule="auto"/>
      </w:pPr>
      <w:r>
        <w:t xml:space="preserve">Individually substantial and mutually silent: that is the state of the three literatures reviewed above.</w:t>
      </w:r>
    </w:p>
    <w:p>
      <w:pPr>
        <w:pStyle w:val="BodyText"/>
        <w:spacing w:line="480" w:lineRule="auto"/>
        <w:ind w:firstLine="720"/>
      </w:pPr>
      <w:r>
        <w:t xml:space="preserve">The strategic-statecraft literature advances a precise, directional, prescriptively deployed claim that standards leadership confers durable advantage, names the mechanism of reference-frame capture and supply-chain anchoring, and even identifies the security-driven confounder that contaminates a naive test, but it never produces an estimate, a confidence interval, or an identification strategy</w:t>
      </w:r>
      <w:r>
        <w:t xml:space="preserve"> </w:t>
      </w:r>
      <w:hyperlink w:anchor="ref-1">
        <w:r>
          <w:rPr>
            <w:rStyle w:val="Hyperlink"/>
          </w:rPr>
          <w:t xml:space="preserve">[1]</w:t>
        </w:r>
      </w:hyperlink>
      <w:r>
        <w:t xml:space="preserve">[2][3][4][10]. The engineering literature renders the treatment variable fully observable, documenting the dated, versioned, bloc-attributable interface record across all six GNSS providers and the consolidating optical-ISL terminal layer, but it never connects that record to any strategic outcome</w:t>
      </w:r>
      <w:r>
        <w:t xml:space="preserve"> </w:t>
      </w:r>
      <w:hyperlink w:anchor="ref-5">
        <w:r>
          <w:rPr>
            <w:rStyle w:val="Hyperlink"/>
          </w:rPr>
          <w:t xml:space="preserve">[5]</w:t>
        </w:r>
      </w:hyperlink>
      <w:r>
        <w:t xml:space="preserve">[6][7][9][11][12][13][14][15][16][17][18][25][27][28][30][32][33][34]. The cliometric and econometric methodology literature supplies the learning-curve, survival, fixed-effects, and event-study estimators, and the inferential discipline of the publishable null, that could recover the effect from the record, but it has not been applied to interface governance as a treatment</w:t>
      </w:r>
      <w:r>
        <w:t xml:space="preserve"> </w:t>
      </w:r>
      <w:hyperlink w:anchor="ref-24">
        <w:r>
          <w:rPr>
            <w:rStyle w:val="Hyperlink"/>
          </w:rPr>
          <w:t xml:space="preserve">[24]</w:t>
        </w:r>
      </w:hyperlink>
      <w:r>
        <w:t xml:space="preserve">. Each literature possesses exactly what the other two lack. And yet they do not meet.</w:t>
      </w:r>
    </w:p>
    <w:bookmarkEnd w:id="88"/>
    <w:bookmarkStart w:id="89" w:name="the-gap-stated-precisely"/>
    <w:p>
      <w:pPr>
        <w:pStyle w:val="Heading3"/>
        <w:spacing w:line="480" w:lineRule="auto"/>
      </w:pPr>
      <w:r>
        <w:t xml:space="preserve">2.5.2 The Gap Stated Precisely</w:t>
      </w:r>
    </w:p>
    <w:p>
      <w:pPr>
        <w:pStyle w:val="FirstParagraph"/>
        <w:spacing w:line="480" w:lineRule="auto"/>
      </w:pPr>
      <w:r>
        <w:t xml:space="preserve">So the gap is not a shortage of theory, a shortage of data, or a shortage of method. It is the specific, demonstrable absence of any work that joins all three: no retrieved source provides an estimate, with credible identification, of whether leadership in GNSS or optical-comms interoperability standards is associated with a measurable change in a strategic-advantage outcome. The strategic claim is normatively asserted; the technical substrate is engineered and fully observable; the causal-quantitative bridge between them is absent. Nothing joins them. The two companion papers in this dissertation begin the construction of that bridge from the production side and the timing side respectively. The first establishes that standards-program experience does produce a growing supply of standardized interfaces, at a measured and inelastic learning-curve rate, confirming that the production process the strategic claim presupposes is real and estimable rather than merely asserted. The second establishes that early interface publication does not, by itself, accelerate downstream adoption in the receiver market, demonstrating that the simplest version of the adoption mechanism fails under measurement and that any genuine advantage must operate through a more carefully identified channel. Together these results define the terrain the dissertation’s primary panel design must cover: it must separate the breadth of a bloc’s standards commitment from the mere timing of its publications, absorb the receiver-market maturation effect through time fixed effects, control for the security-driven scale confounder through bloc fixed effects and explicit resourcing covariates, and address endogeneity through event-study identification around exogenous ratification timing.</w:t>
      </w:r>
    </w:p>
    <w:bookmarkEnd w:id="89"/>
    <w:bookmarkStart w:id="90" w:name="the-contribution-in-relation-to-the-gap"/>
    <w:p>
      <w:pPr>
        <w:pStyle w:val="Heading3"/>
        <w:spacing w:line="480" w:lineRule="auto"/>
      </w:pPr>
      <w:r>
        <w:t xml:space="preserve">2.5.3 The Contribution in Relation to the Gap</w:t>
      </w:r>
    </w:p>
    <w:p>
      <w:pPr>
        <w:pStyle w:val="FirstParagraph"/>
        <w:spacing w:line="480" w:lineRule="auto"/>
      </w:pPr>
      <w:r>
        <w:t xml:space="preserve">What this dissertation offers is defined precisely by the gap it fills. It is the first standards-leadership-to-advantage estimate grounded in observable interface-governance data rather than in narrative inference. The strategic literature will gain a measured coefficient where it previously had only an assertion; the engineering literature will see its meticulously documented interface record entered, for the first time, as a treatment in an estimating equation connected to a strategic outcome; and the methodology literature will see its estimators applied to a domain where they have not previously operated. The design isolates a single falsifiable proposition so that a null result is publishable and interpretable, which is the methodological commitment that distinguishes this work from the rhetorical register of the literature it seeks to discipline. Whether the estimated effect of standards leadership on strategic advantage proves positive, null, or negative, the value of the estimate lies in its existence: it converts a widely repeated strategic intuition into a measured, falsifiable quantity, and in doing so it joins three literatures that have, until now, spoken past one another. What remains is the execution of that join.</w:t>
      </w:r>
    </w:p>
    <w:bookmarkEnd w:id="90"/>
    <w:bookmarkEnd w:id="91"/>
    <w:bookmarkEnd w:id="92"/>
    <w:bookmarkStart w:id="103" w:name="Xcfcc00a3ded59aed0c781c16bfc121f2a509603"/>
    <w:p>
      <w:pPr>
        <w:pStyle w:val="Heading1"/>
        <w:spacing w:line="480" w:lineRule="auto"/>
      </w:pPr>
      <w:r>
        <w:t xml:space="preserve">Chapter 3. Theoretical Framework and Hypotheses</w:t>
      </w:r>
    </w:p>
    <w:bookmarkStart w:id="93" w:name="purpose-and-position-of-the-chapter"/>
    <w:p>
      <w:pPr>
        <w:pStyle w:val="Heading2"/>
        <w:spacing w:line="480" w:lineRule="auto"/>
      </w:pPr>
      <w:r>
        <w:t xml:space="preserve">3.1 Purpose and Position of the Chapter</w:t>
      </w:r>
    </w:p>
    <w:p>
      <w:pPr>
        <w:pStyle w:val="FirstParagraph"/>
        <w:spacing w:line="480" w:lineRule="auto"/>
      </w:pPr>
      <w:r>
        <w:t xml:space="preserve">Earlier chapters established the empirical terrain and the literature gap. Space information infrastructure is built from interfaces, those interfaces are governed by standards, and a recurrent strategic claim holds that the bloc which authors and shepherds the dominant interoperability standard captures durable advantage</w:t>
      </w:r>
      <w:r>
        <w:t xml:space="preserve"> </w:t>
      </w:r>
      <w:hyperlink w:anchor="ref-1">
        <w:r>
          <w:rPr>
            <w:rStyle w:val="Hyperlink"/>
          </w:rPr>
          <w:t xml:space="preserve">[1]</w:t>
        </w:r>
      </w:hyperlink>
      <w:r>
        <w:t xml:space="preserve">[3][4]. That claim is asserted across the economic-statecraft and space-industrial-base literatures with considerable confidence and almost no measurement. The task of this chapter is to convert the claim from a narrative proposition into a falsifiable theoretical structure: to specify the mechanism by which standards leadership would, if the claim were true, produce a strategic-advantage outcome; to trace the causal logic of that mechanism step by step; and to derive from it the formal null and alternative hypotheses that the dissertation tests.</w:t>
      </w:r>
    </w:p>
    <w:p>
      <w:pPr>
        <w:pStyle w:val="BodyText"/>
        <w:spacing w:line="480" w:lineRule="auto"/>
        <w:ind w:firstLine="720"/>
      </w:pPr>
      <w:r>
        <w:t xml:space="preserve">This chapter estimates nothing. It builds the framework on which the estimation rests. It states the theoretical object precisely enough that a coefficient can be attached to it, identifies the assumptions the mechanism requires, and isolates the single directional proposition whose refutation would constitute a finding. Two prior papers in this dissertation have already probed two links in the mechanism in isolation: the production link, which asks whether standards-program experience yields a growing supply of open interfaces, and the timing link, which asks whether early interface publication accelerates downstream adoption. Their results, summarized below, discipline the theory developed here and motivate the panel design that the formal hypotheses are written to serve.</w:t>
      </w:r>
    </w:p>
    <w:bookmarkEnd w:id="93"/>
    <w:bookmarkStart w:id="94" w:name="X0fe0a4acd12e8c5c6bfe526881090e4888d439b"/>
    <w:p>
      <w:pPr>
        <w:pStyle w:val="Heading2"/>
        <w:spacing w:line="480" w:lineRule="auto"/>
      </w:pPr>
      <w:r>
        <w:t xml:space="preserve">3.2 The Theoretical Object: Standards Leadership as a Latent Lever</w:t>
      </w:r>
    </w:p>
    <w:p>
      <w:pPr>
        <w:pStyle w:val="FirstParagraph"/>
        <w:spacing w:line="480" w:lineRule="auto"/>
      </w:pPr>
      <w:r>
        <w:t xml:space="preserve">What is under study here is not a standard, a satellite, or a receiver. It is leadership in the governance of interfaces. That latent construct becomes observable through interface-governance activity. A bloc leads a standard when it authors the interface clauses that others must build against, when its editorial and rapporteur roles shape the ratified specification, and when the interfaces attributable to it accumulate in the operational record. The treatment variable of the dissertation, a standards-leadership intensity index, is the observable proxy for this latent lever.</w:t>
      </w:r>
    </w:p>
    <w:p>
      <w:pPr>
        <w:pStyle w:val="BodyText"/>
        <w:spacing w:line="480" w:lineRule="auto"/>
        <w:ind w:firstLine="720"/>
      </w:pPr>
      <w:r>
        <w:t xml:space="preserve">Strategic value attaches to this latent lever through a specific economic logic, not a generic appeal to influence. The economic-statecraft literature frames leadership in technical practice as a channel of indirect leverage, in which a state exercises power not by coercion but by occupying the position from which the reference frame of an industry is set</w:t>
      </w:r>
      <w:r>
        <w:t xml:space="preserve"> </w:t>
      </w:r>
      <w:hyperlink w:anchor="ref-1">
        <w:r>
          <w:rPr>
            <w:rStyle w:val="Hyperlink"/>
          </w:rPr>
          <w:t xml:space="preserve">[1]</w:t>
        </w:r>
      </w:hyperlink>
      <w:r>
        <w:t xml:space="preserve">. The space-industrial-base literature is more concrete, naming the development of interoperability standards for automated space coordination as an explicit instrument of whole-of-nation advantage</w:t>
      </w:r>
      <w:r>
        <w:t xml:space="preserve"> </w:t>
      </w:r>
      <w:hyperlink w:anchor="ref-3">
        <w:r>
          <w:rPr>
            <w:rStyle w:val="Hyperlink"/>
          </w:rPr>
          <w:t xml:space="preserve">[3]</w:t>
        </w:r>
      </w:hyperlink>
      <w:r>
        <w:t xml:space="preserve">[10]. The norms literature situates this within a broader account in which the transformation of space-use practice is architectural and standards-mediated, not merely capability-driven</w:t>
      </w:r>
      <w:r>
        <w:t xml:space="preserve"> </w:t>
      </w:r>
      <w:hyperlink w:anchor="ref-4">
        <w:r>
          <w:rPr>
            <w:rStyle w:val="Hyperlink"/>
          </w:rPr>
          <w:t xml:space="preserve">[4]</w:t>
        </w:r>
      </w:hyperlink>
      <w:r>
        <w:t xml:space="preserve">. Across all three, the value of authoring an interface is not the interface itself but the downstream conformity it induces: others build to the authored interface, and in doing so they anchor their investment to the author’s reference frame. Conformity is the prize.</w:t>
      </w:r>
    </w:p>
    <w:p>
      <w:pPr>
        <w:pStyle w:val="BodyText"/>
        <w:spacing w:line="480" w:lineRule="auto"/>
        <w:ind w:firstLine="720"/>
      </w:pPr>
      <w:r>
        <w:t xml:space="preserve">This is the theoretical object. Standards leadership is a lever whose value is realized only when downstream actors converge on the authored interface. The mechanism is therefore a conversion process, transforming an upstream governance position into a downstream market and security outcome, and the dissertation’s contribution is to estimate the conversion rate, the coefficient that links the lever to the outcome, where the prevailing literature has only assumed it.</w:t>
      </w:r>
    </w:p>
    <w:bookmarkEnd w:id="94"/>
    <w:bookmarkStart w:id="95" w:name="the-causal-mechanism"/>
    <w:p>
      <w:pPr>
        <w:pStyle w:val="Heading2"/>
        <w:spacing w:line="480" w:lineRule="auto"/>
      </w:pPr>
      <w:r>
        <w:t xml:space="preserve">3.3 The Causal Mechanism</w:t>
      </w:r>
    </w:p>
    <w:p>
      <w:pPr>
        <w:pStyle w:val="FirstParagraph"/>
        <w:spacing w:line="480" w:lineRule="auto"/>
      </w:pPr>
      <w:r>
        <w:t xml:space="preserve">Decomposed, the mechanism the strategic claim presumes has four sequential links. Stating them explicitly exposes the assumptions each requires and locates the points at which the chain could break.</w:t>
      </w:r>
    </w:p>
    <w:p>
      <w:pPr>
        <w:pStyle w:val="BodyText"/>
        <w:spacing w:line="480" w:lineRule="auto"/>
        <w:ind w:firstLine="720"/>
      </w:pPr>
      <w:r>
        <w:rPr>
          <w:b/>
          <w:bCs/>
        </w:rPr>
        <w:t xml:space="preserve">Link 1: Governance position produces interface supply.</w:t>
      </w:r>
      <w:r>
        <w:t xml:space="preserve"> </w:t>
      </w:r>
      <w:r>
        <w:t xml:space="preserve">Sustained participation in standards bodies produces an accumulating stock of standardized, implementable interfaces: a bloc that holds editorial and rapporteur roles and that publishes versioned interface specifications builds a lineage of open signals and protocols against which third parties can construct compatible hardware. This is the production link. It is the precondition for everything downstream: without a supply of stable, open, implementable interfaces, there is nothing for the market to converge on.</w:t>
      </w:r>
    </w:p>
    <w:p>
      <w:pPr>
        <w:pStyle w:val="BodyText"/>
        <w:spacing w:line="480" w:lineRule="auto"/>
        <w:ind w:firstLine="720"/>
      </w:pPr>
      <w:r>
        <w:rPr>
          <w:b/>
          <w:bCs/>
        </w:rPr>
        <w:t xml:space="preserve">Link 2: Interface supply enables third-party construction.</w:t>
      </w:r>
      <w:r>
        <w:t xml:space="preserve"> </w:t>
      </w:r>
      <w:r>
        <w:t xml:space="preserve">An open and stable interface is the technical precondition for a third party to build compatible hardware. On the positioning, navigation, and timing layer this is the multi-constellation receiver that fuses signals across systems, a capability that depends on each system’s published interface being open and stable enough to implement</w:t>
      </w:r>
      <w:r>
        <w:t xml:space="preserve"> </w:t>
      </w:r>
      <w:hyperlink w:anchor="ref-9">
        <w:r>
          <w:rPr>
            <w:rStyle w:val="Hyperlink"/>
          </w:rPr>
          <w:t xml:space="preserve">[9]</w:t>
        </w:r>
      </w:hyperlink>
      <w:r>
        <w:t xml:space="preserve">. On the optical inter-satellite layer the same logic governs terminal interoperability and constellation routing, where heterogeneous terminals must close links and route traffic across vendor and national boundaries on the basis of a shared, implementable interface</w:t>
      </w:r>
      <w:r>
        <w:t xml:space="preserve"> </w:t>
      </w:r>
      <w:hyperlink w:anchor="ref-5">
        <w:r>
          <w:rPr>
            <w:rStyle w:val="Hyperlink"/>
          </w:rPr>
          <w:t xml:space="preserve">[5]</w:t>
        </w:r>
      </w:hyperlink>
      <w:r>
        <w:t xml:space="preserve">[6][7]. The engineering literature establishes that this enabling condition is real and that the relevant interfaces are contested rather than settled. Both layers share the precondition.</w:t>
      </w:r>
    </w:p>
    <w:p>
      <w:pPr>
        <w:pStyle w:val="BodyText"/>
        <w:spacing w:line="480" w:lineRule="auto"/>
        <w:ind w:firstLine="720"/>
      </w:pPr>
      <w:r>
        <w:rPr>
          <w:b/>
          <w:bCs/>
        </w:rPr>
        <w:t xml:space="preserve">Link 3: Third-party construction yields downstream adoption.</w:t>
      </w:r>
      <w:r>
        <w:t xml:space="preserve"> </w:t>
      </w:r>
      <w:r>
        <w:t xml:space="preserve">Once third parties can build to an interface, some of them do, and the authored interface diffuses into the downstream industry as adoption share. The receiver that supports a constellation, the terminal that interoperates with a given optical standard, the chipset that adds multi-constellation support, each is an instance of adoption. Adoption share is the observable accumulation of these decisions.</w:t>
      </w:r>
    </w:p>
    <w:p>
      <w:pPr>
        <w:pStyle w:val="BodyText"/>
        <w:spacing w:line="480" w:lineRule="auto"/>
        <w:ind w:firstLine="720"/>
      </w:pPr>
      <w:r>
        <w:rPr>
          <w:b/>
          <w:bCs/>
        </w:rPr>
        <w:t xml:space="preserve">Link 4: Downstream adoption converts to strategic advantage.</w:t>
      </w:r>
      <w:r>
        <w:t xml:space="preserve"> </w:t>
      </w:r>
      <w:r>
        <w:t xml:space="preserve">Diffusion of the authored interface anchors supply chains to the author’s reference frame and converts technical leadership into economic and security leverage</w:t>
      </w:r>
      <w:r>
        <w:t xml:space="preserve"> </w:t>
      </w:r>
      <w:hyperlink w:anchor="ref-1">
        <w:r>
          <w:rPr>
            <w:rStyle w:val="Hyperlink"/>
          </w:rPr>
          <w:t xml:space="preserve">[1]</w:t>
        </w:r>
      </w:hyperlink>
      <w:r>
        <w:t xml:space="preserve">[3]. The bloc that authored the interface now sits at the center of a dependency structure: downstream actors are committed to its reference frame, switching costs protect that position, and the resulting market position and security leverage are the strategic advantage the claim promises.</w:t>
      </w:r>
    </w:p>
    <w:p>
      <w:pPr>
        <w:pStyle w:val="BodyText"/>
        <w:spacing w:line="480" w:lineRule="auto"/>
        <w:ind w:firstLine="720"/>
      </w:pPr>
      <w:r>
        <w:t xml:space="preserve">A chain is only as strong as its weakest link, and this mechanism is a chain.</w:t>
      </w:r>
    </w:p>
    <w:p>
      <w:pPr>
        <w:pStyle w:val="BodyText"/>
        <w:spacing w:line="480" w:lineRule="auto"/>
        <w:ind w:firstLine="720"/>
      </w:pPr>
      <w:r>
        <w:t xml:space="preserve">The strategic claim in its strongest form asserts that all four links hold and that the conversion from leadership to advantage is large. The dissertation’s hypotheses are written to test the composite of links three and four directly, the conversion of standards leadership into strategic advantage, while the two prior papers in this dissertation have interrogated links one and two in isolation.</w:t>
      </w:r>
    </w:p>
    <w:bookmarkEnd w:id="95"/>
    <w:bookmarkStart w:id="96" w:name="X5a7469e370548b3ff0b9be34b44f1907c9d9626"/>
    <w:p>
      <w:pPr>
        <w:pStyle w:val="Heading2"/>
        <w:spacing w:line="480" w:lineRule="auto"/>
      </w:pPr>
      <w:r>
        <w:t xml:space="preserve">3.4 What the Prior Papers Established About the Mechanism</w:t>
      </w:r>
    </w:p>
    <w:p>
      <w:pPr>
        <w:pStyle w:val="FirstParagraph"/>
        <w:spacing w:line="480" w:lineRule="auto"/>
      </w:pPr>
      <w:r>
        <w:t xml:space="preserve">Nothing here is free-floating: the theory is constrained by what the two companion papers have already measured about the upstream links of the chain.</w:t>
      </w:r>
    </w:p>
    <w:p>
      <w:pPr>
        <w:pStyle w:val="BodyText"/>
        <w:spacing w:line="480" w:lineRule="auto"/>
        <w:ind w:firstLine="720"/>
      </w:pPr>
      <w:r>
        <w:t xml:space="preserve">Directly estimating the production link, the first companion paper fitted a learning-curve specification that regressed the log of cumulative open-signal supply on the log of cumulative standards-program experience across 23 dated interface-release events from six GNSS providers. The estimated elasticity was 0.196, with a robust standard error of 0.086 and a p-value of 0.023, so the null of no relationship was rejected at the five percent level. The production link is therefore real and measurable. Standards-program experience does produce a growing supply of standardized interfaces. But the elasticity is far below unity, implying a progress ratio of roughly 1.15, so each doubling of cumulative experience is associated with only about a fifteen percent increase in open-signal supply. The link holds, but it decelerates; longevity in standards bodies buys a growing but inelastic supply of interfaces, not the unbounded accumulation that narrative accounts imply.</w:t>
      </w:r>
    </w:p>
    <w:p>
      <w:pPr>
        <w:pStyle w:val="BodyText"/>
        <w:spacing w:line="480" w:lineRule="auto"/>
        <w:ind w:firstLine="720"/>
      </w:pPr>
      <w:r>
        <w:t xml:space="preserve">For links two and three, the second companion paper probed the temporal form, asking whether early publication of an open civil interface specification raises the instantaneous hazard of chipset adoption. Using a Cox proportional-hazards model over thirty constellation-chipset pairs with twenty-five adoption events, it found a coefficient on early open-interface publication of -1.194, a hazard ratio of 0.303, and a p-value of 0.0563. The null was not rejected at the five percent level, and the point estimate ran opposite to the predicted direction. The reading offered was that the receiver industry adopts on its own schedule, set by silicon-generation cycles and multi-constellation system-on-chip economics, so that early interface openness and fast adoption are confounded by the maturation of the receiver market itself. One thread stood out. The breadth of a provider’s interoperability commitment carried a positive though imprecise coefficient, identifying commitment breadth, rather than publication timing alone, as the more promising channel.</w:t>
      </w:r>
    </w:p>
    <w:p>
      <w:pPr>
        <w:pStyle w:val="BodyText"/>
        <w:spacing w:line="480" w:lineRule="auto"/>
        <w:ind w:firstLine="720"/>
      </w:pPr>
      <w:r>
        <w:t xml:space="preserve">These two results discipline the theory. The discipline is specific. They establish that the upstream links of the mechanism are present but weaker and more confounded than the strong form of the strategic claim assumes. The production link is inelastic; the timing channel of adoption is dominated by market-readiness dynamics that any credible test of advantage must absorb. The theoretical framework of the dissertation therefore cannot treat the conversion from leadership to advantage as automatic. It must specify a test that conditions on prior capability and resourcing, that absorbs common market-maturation shocks, and that exploits within-bloc and across-standard variation rather than relying on the timing of a single publication event. The formal hypotheses below, and the panel and event-study identification they presuppose, are written to meet exactly these requirements.</w:t>
      </w:r>
    </w:p>
    <w:bookmarkEnd w:id="96"/>
    <w:bookmarkStart w:id="97" w:name="the-conditions-the-mechanism-requires"/>
    <w:p>
      <w:pPr>
        <w:pStyle w:val="Heading2"/>
        <w:spacing w:line="480" w:lineRule="auto"/>
      </w:pPr>
      <w:r>
        <w:t xml:space="preserve">3.5 The Conditions the Mechanism Requires</w:t>
      </w:r>
    </w:p>
    <w:p>
      <w:pPr>
        <w:pStyle w:val="FirstParagraph"/>
        <w:spacing w:line="480" w:lineRule="auto"/>
      </w:pPr>
      <w:r>
        <w:t xml:space="preserve">For the composite conversion to register as a measurable positive effect, the mechanism requires four conditions to hold jointly. Each corresponds to a threat that the design must neutralize, and naming them here makes the eventual hypotheses interpretable.</w:t>
      </w:r>
    </w:p>
    <w:p>
      <w:pPr>
        <w:pStyle w:val="BodyText"/>
        <w:spacing w:line="480" w:lineRule="auto"/>
        <w:ind w:firstLine="720"/>
      </w:pPr>
      <w:r>
        <w:t xml:space="preserve">First, the leadership construct must be substantively meaningful and not merely nominal. Editorial and rapporteur roles must reflect real authorship of interface clauses rather than ceremonial participation. Titles can be hollow. If they are, the treatment is measured with error that attenuates the estimated conversion rate toward zero, so the framework defines the leadership index from multiple observable governance signals and commits to report results under alternative index weightings.</w:t>
      </w:r>
    </w:p>
    <w:p>
      <w:pPr>
        <w:pStyle w:val="BodyText"/>
        <w:spacing w:line="480" w:lineRule="auto"/>
        <w:ind w:firstLine="720"/>
      </w:pPr>
      <w:r>
        <w:t xml:space="preserve">Second, the conversion must operate net of capability and resourcing. Scale is the obvious confounder. Larger space programs both lead standards and capture markets for reasons unrelated to the interface, because the security-driven character of technological competition rewards scale on both margins</w:t>
      </w:r>
      <w:r>
        <w:t xml:space="preserve"> </w:t>
      </w:r>
      <w:hyperlink w:anchor="ref-2">
        <w:r>
          <w:rPr>
            <w:rStyle w:val="Hyperlink"/>
          </w:rPr>
          <w:t xml:space="preserve">[2]</w:t>
        </w:r>
      </w:hyperlink>
      <w:r>
        <w:t xml:space="preserve">, and if capability is not held constant, any positive coefficient on leadership is confounded by the program scale that produces leadership and advantage alike. The framework therefore conditions the conversion on prior capability and resourcing and on bloc fixed effects.</w:t>
      </w:r>
    </w:p>
    <w:p>
      <w:pPr>
        <w:pStyle w:val="BodyText"/>
        <w:spacing w:line="480" w:lineRule="auto"/>
        <w:ind w:firstLine="720"/>
      </w:pPr>
      <w:r>
        <w:t xml:space="preserve">Third, the temporal order must run from leadership to advantage rather than the reverse. Causality has a direction. Adoption may drive standards rather than standards driving adoption, since a bloc may author interfaces precisely where it already anticipates an advantageous market. If the order is reversed, a positive contemporaneous association is not evidence of conversion. The framework addresses this through a directional lag structure and through an event-study around the timing of independent ratification events, where a flat pre-trend followed by a post-ratification break is the signature of a genuine effect and a significant pre-trend invalidates the causal reading.</w:t>
      </w:r>
    </w:p>
    <w:p>
      <w:pPr>
        <w:pStyle w:val="BodyText"/>
        <w:spacing w:line="480" w:lineRule="auto"/>
        <w:ind w:firstLine="720"/>
      </w:pPr>
      <w:r>
        <w:t xml:space="preserve">Fourth, the market-readiness confound identified by the second companion paper must be absorbed. Markets keep their own time. The receiver and terminal industries mature on their own clock, and that maturation jointly determines both the apparent timing of leadership and the speed of adoption; if it is not absorbed, the estimated conversion recovers the confound rather than the effect, as the survival analysis demonstrated. The framework absorbs it through year fixed effects that soak up common shocks to the downstream industry.</w:t>
      </w:r>
    </w:p>
    <w:p>
      <w:pPr>
        <w:pStyle w:val="BodyText"/>
        <w:spacing w:line="480" w:lineRule="auto"/>
        <w:ind w:firstLine="720"/>
      </w:pPr>
      <w:r>
        <w:t xml:space="preserve">These four conditions are the assumptions of the theory made explicit. The hypotheses that follow are statements about the conversion rate under these conditions; they are not claims that the conditions hold, which is a matter for the identification strategy to defend.</w:t>
      </w:r>
    </w:p>
    <w:bookmarkEnd w:id="97"/>
    <w:bookmarkStart w:id="98" w:name="from-mechanism-to-estimable-proposition"/>
    <w:p>
      <w:pPr>
        <w:pStyle w:val="Heading2"/>
        <w:spacing w:line="480" w:lineRule="auto"/>
      </w:pPr>
      <w:r>
        <w:t xml:space="preserve">3.6 From Mechanism to Estimable Proposition</w:t>
      </w:r>
    </w:p>
    <w:p>
      <w:pPr>
        <w:pStyle w:val="FirstParagraph"/>
        <w:spacing w:line="480" w:lineRule="auto"/>
      </w:pPr>
      <w:r>
        <w:t xml:space="preserve">Once decomposed and conditioned, the mechanism reduces to a single estimable proposition. Let the strategic-advantage outcome of a bloc, observed at the bloc-standard-year level, be a function of that bloc’s lagged standards-leadership intensity, its prior capability and resourcing, and unobserved bloc and year effects. The theoretical claim is that the partial association of the advantage outcome with lagged leadership intensity, holding capability and resourcing fixed and absorbing bloc and year effects, is positive. The conversion rate of the mechanism is precisely this partial association: the coefficient on lagged standards leadership in the conditioned relationship. One coefficient carries the claim.</w:t>
      </w:r>
    </w:p>
    <w:p>
      <w:pPr>
        <w:pStyle w:val="BodyText"/>
        <w:spacing w:line="480" w:lineRule="auto"/>
        <w:ind w:firstLine="720"/>
      </w:pPr>
      <w:r>
        <w:t xml:space="preserve">This reduction is what makes the dissertation falsifiable. The strategic claim, in its narrative form, is a story about reference frames and dependency that is too diffuse to refute. Reduced to the conditioned partial association, it becomes a coefficient with a sign, a magnitude, and a confidence interval. The story predicts that the coefficient is positive and bounded away from zero. The data will return an estimate. If the estimate is positive and significant, the conversion is supported for the in-sample period and layer; if it is statistically indistinguishable from zero, the conversion is not supported and the prevailing intuition is falsified for that period and layer. The reduction discards none of the theory; it renders it testable.</w:t>
      </w:r>
    </w:p>
    <w:p>
      <w:pPr>
        <w:pStyle w:val="BodyText"/>
        <w:spacing w:line="480" w:lineRule="auto"/>
        <w:ind w:firstLine="720"/>
      </w:pPr>
      <w:r>
        <w:t xml:space="preserve">Both companion results sharpen the prior on what this coefficient is likely to be. The production link is real but inelastic. Market readiness dominates the timing channel. A theory honest about these findings does not expect a large conversion rate; it expects, at most, a modest one, plausibly carried by the breadth of interoperability commitment rather than by the mere fact or timing of leadership. The hypotheses below are deliberately written so that a precisely estimated small or null conversion is as informative as a large positive one.</w:t>
      </w:r>
    </w:p>
    <w:bookmarkEnd w:id="98"/>
    <w:bookmarkStart w:id="99" w:name="formal-hypotheses"/>
    <w:p>
      <w:pPr>
        <w:pStyle w:val="Heading2"/>
        <w:spacing w:line="480" w:lineRule="auto"/>
      </w:pPr>
      <w:r>
        <w:t xml:space="preserve">3.7 Formal Hypotheses</w:t>
      </w:r>
    </w:p>
    <w:p>
      <w:pPr>
        <w:pStyle w:val="FirstParagraph"/>
        <w:spacing w:line="480" w:lineRule="auto"/>
      </w:pPr>
      <w:r>
        <w:t xml:space="preserve">One proposition is tested, stated as a complementary pair of hypotheses about the conversion-rate coefficient. Let that coefficient be the partial association of the strategic-advantage outcome with lagged standards-leadership intensity, estimated at the bloc-standard-year level with bloc and year fixed effects and with controls for prior capability and resourcing.</w:t>
      </w:r>
    </w:p>
    <w:p>
      <w:pPr>
        <w:pStyle w:val="BodyText"/>
        <w:spacing w:line="480" w:lineRule="auto"/>
        <w:ind w:firstLine="720"/>
      </w:pPr>
      <w:r>
        <w:rPr>
          <w:b/>
          <w:bCs/>
        </w:rPr>
        <w:t xml:space="preserve">H0 (null hypothesis).</w:t>
      </w:r>
      <w:r>
        <w:t xml:space="preserve"> </w:t>
      </w:r>
      <w:r>
        <w:t xml:space="preserve">A bloc’s leadership position in GNSS and optical-comms interoperability standards, measured by standards-body authorship and ratified-interface adoption, has no association with its subsequent strategic-advantage outcome, where the outcome is downstream adoption share and market position, after controlling for prior capability and resourcing and absorbing bloc and year effects. The conversion-rate coefficient on standards leadership is statistically indistinguishable from zero.</w:t>
      </w:r>
    </w:p>
    <w:p>
      <w:pPr>
        <w:pStyle w:val="BodyText"/>
        <w:spacing w:line="480" w:lineRule="auto"/>
        <w:ind w:firstLine="720"/>
      </w:pPr>
      <w:r>
        <w:rPr>
          <w:b/>
          <w:bCs/>
        </w:rPr>
        <w:t xml:space="preserve">H1 (alternative hypothesis).</w:t>
      </w:r>
      <w:r>
        <w:t xml:space="preserve"> </w:t>
      </w:r>
      <w:r>
        <w:t xml:space="preserve">Higher standards-leadership intensity is associated with a positive and statistically significant increase in the strategic-advantage outcome, holding capability and resourcing fixed and absorbing bloc and year effects, consistent with the statecraft claim that authoring interfaces confers durable advantage through downstream conformity</w:t>
      </w:r>
      <w:r>
        <w:t xml:space="preserve"> </w:t>
      </w:r>
      <w:hyperlink w:anchor="ref-1">
        <w:r>
          <w:rPr>
            <w:rStyle w:val="Hyperlink"/>
          </w:rPr>
          <w:t xml:space="preserve">[1]</w:t>
        </w:r>
      </w:hyperlink>
      <w:r>
        <w:t xml:space="preserve">[3].</w:t>
      </w:r>
    </w:p>
    <w:p>
      <w:pPr>
        <w:pStyle w:val="BodyText"/>
        <w:spacing w:line="480" w:lineRule="auto"/>
        <w:ind w:firstLine="720"/>
      </w:pPr>
      <w:r>
        <w:t xml:space="preserve">It is single, directional, and refutable. The contribution is the point estimate of the conversion-rate coefficient and its confidence interval.</w:t>
      </w:r>
    </w:p>
    <w:p>
      <w:pPr>
        <w:pStyle w:val="BodyText"/>
        <w:spacing w:line="480" w:lineRule="auto"/>
        <w:ind w:firstLine="720"/>
      </w:pPr>
      <w:r>
        <w:t xml:space="preserve">A rejection of H0 in favor of H1 supplies the first standards-leadership-to-advantage estimate grounded in observable interface-governance data rather than narrative inference, and it would convert a repeated strategic intuition into a measured effect. A failure to reject H0 falsifies the prevailing strategic intuition for the in-sample period and layer and is itself the finding; a precisely estimated null is publishable and interpretable, and the design reports confidence intervals so that a wide null is distinguishable from a precise null.</w:t>
      </w:r>
    </w:p>
    <w:p>
      <w:pPr>
        <w:pStyle w:val="BodyText"/>
        <w:spacing w:line="480" w:lineRule="auto"/>
        <w:ind w:firstLine="720"/>
      </w:pPr>
      <w:r>
        <w:t xml:space="preserve">H1’s directionality is theoretically motivated and is therefore tested as a one-sided proposition: the mechanism predicts a positive conversion, and a negative coefficient, however large, would not support the statecraft claim but would instead point to some countervailing process not contained in the four-link chain. The companion survival result, in which the sign on early interface publication ran negative, is a cautionary precedent: a sign-reversal is a substantive possibility, not a remote one, and the framework treats it accordingly.</w:t>
      </w:r>
    </w:p>
    <w:bookmarkEnd w:id="99"/>
    <w:bookmarkStart w:id="100" w:name="Xd2a825b83b603f7330660dd83cbfbe6fe457f27"/>
    <w:p>
      <w:pPr>
        <w:pStyle w:val="Heading2"/>
        <w:spacing w:line="480" w:lineRule="auto"/>
      </w:pPr>
      <w:r>
        <w:t xml:space="preserve">3.8 Auxiliary Expectations That Discipline the Test</w:t>
      </w:r>
    </w:p>
    <w:p>
      <w:pPr>
        <w:pStyle w:val="FirstParagraph"/>
        <w:spacing w:line="480" w:lineRule="auto"/>
      </w:pPr>
      <w:r>
        <w:t xml:space="preserve">Beyond the central proposition, the theory generates auxiliary expectations that are not themselves the hypothesis but that the design uses to validate the causal reading of any estimate. These are stated here because they form part of the theoretical framework even though they are not the formal H0 and H1.</w:t>
      </w:r>
    </w:p>
    <w:p>
      <w:pPr>
        <w:pStyle w:val="BodyText"/>
        <w:spacing w:line="480" w:lineRule="auto"/>
        <w:ind w:firstLine="720"/>
      </w:pPr>
      <w:r>
        <w:t xml:space="preserve">Pre-trends form the first auxiliary expectation. If the conversion mechanism is genuine and the temporal order runs from leadership to advantage, then in the event-study around ratification the advantage outcome should be flat before ratification and should break upward after it. A flat pre-trend followed by a post-ratification rise is the signature of conversion; a sloped pre-trend is the signature of reverse causation or anticipation and would invalidate the causal interpretation of the central coefficient regardless of its sign or significance.</w:t>
      </w:r>
    </w:p>
    <w:p>
      <w:pPr>
        <w:pStyle w:val="BodyText"/>
        <w:spacing w:line="480" w:lineRule="auto"/>
        <w:ind w:firstLine="720"/>
      </w:pPr>
      <w:r>
        <w:t xml:space="preserve">Placebo behavior forms the second. Non-ratified draft standards carry the appearance of leadership without the substance of a ratified, implementable interface. If the conversion mechanism operates through actual implementable interfaces, then a placebo treatment constructed from non-ratified drafts should produce no effect, while a significant placebo coefficient would indicate that the leadership index is capturing something other than the ratified-interface channel the theory specifies.</w:t>
      </w:r>
    </w:p>
    <w:p>
      <w:pPr>
        <w:pStyle w:val="BodyText"/>
        <w:spacing w:line="480" w:lineRule="auto"/>
        <w:ind w:firstLine="720"/>
      </w:pPr>
      <w:r>
        <w:t xml:space="preserve">Commitment breadth forms the third. The second companion paper found that the breadth of a provider’s interoperability commitment, distinct from the timing of publication, was the more promising correlate of adoption. The theory therefore expects that, if any conversion registers, it will be carried more by sustained breadth of interoperability commitment than by isolated leadership events. This expectation guides the construction of the leadership index, which is built to encode commitment breadth and not merely event counts, and it informs the interpretation of a heterogeneous or partial result.</w:t>
      </w:r>
    </w:p>
    <w:p>
      <w:pPr>
        <w:pStyle w:val="BodyText"/>
        <w:spacing w:line="480" w:lineRule="auto"/>
        <w:ind w:firstLine="720"/>
      </w:pPr>
      <w:r>
        <w:t xml:space="preserve">These auxiliary expectations do not enlarge the set of formal hypotheses. The dissertation tests one proposition, H0 against H1. The auxiliaries are the theoretical predictions whose corroboration or violation tells the reader whether a given estimate of the central coefficient can bear a causal interpretation, converting the identification strategy from a set of statistical procedures into a set of theory-grounded checks.</w:t>
      </w:r>
    </w:p>
    <w:bookmarkEnd w:id="100"/>
    <w:bookmarkStart w:id="101" w:name="Xdaaf0b7d325f1ee53cc6c1cbb6268e4306ea2c5"/>
    <w:p>
      <w:pPr>
        <w:pStyle w:val="Heading2"/>
        <w:spacing w:line="480" w:lineRule="auto"/>
      </w:pPr>
      <w:r>
        <w:t xml:space="preserve">3.9 Scope Conditions and Boundary of the Theory</w:t>
      </w:r>
    </w:p>
    <w:p>
      <w:pPr>
        <w:pStyle w:val="FirstParagraph"/>
        <w:spacing w:line="480" w:lineRule="auto"/>
      </w:pPr>
      <w:r>
        <w:t xml:space="preserve">This framework is explicit about its boundary. The mechanism is theorized for, and the hypotheses are tested on, the GNSS positioning-navigation-timing layer and the optical-communications inter-satellite layer, over the observed period for which version-stamped interface-governance records exist. The PNT layer is where the interface record is longest, most complete, and fully public, so it is the layer on which the conversion can be estimated most cleanly; the optical layer, whose interfaces are now consolidating in the engineering record</w:t>
      </w:r>
      <w:r>
        <w:t xml:space="preserve"> </w:t>
      </w:r>
      <w:hyperlink w:anchor="ref-5">
        <w:r>
          <w:rPr>
            <w:rStyle w:val="Hyperlink"/>
          </w:rPr>
          <w:t xml:space="preserve">[5]</w:t>
        </w:r>
      </w:hyperlink>
      <w:r>
        <w:t xml:space="preserve">[6][7], extends the test as its release history lengthens. The theory does not claim that the conversion rate estimated on these layers generalizes automatically to other infrastructure standards. The conversion mechanism may be layer-specific, because the downstream industries differ in their maturation dynamics, their switching costs, and their concentration, and the framework states this boundary rather than concealing it.</w:t>
      </w:r>
    </w:p>
    <w:p>
      <w:pPr>
        <w:pStyle w:val="BodyText"/>
        <w:spacing w:line="480" w:lineRule="auto"/>
        <w:ind w:firstLine="720"/>
      </w:pPr>
      <w:r>
        <w:t xml:space="preserve">A second boundary condition concerns the small number of bloc-level actors. GNSS providers are few. That limits statistical power at the bloc level and makes a wide confidence interval a likely outcome even under a true effect. The theory accommodates this by directing the test toward within-bloc, across-standard, and over-time variation, so that the conversion-rate coefficient is identified from richer variation than the handful of blocs alone would supply. The reporting of confidence intervals, rather than significance stars alone, is a theoretical commitment as much as a statistical one: it allows a reader to distinguish a genuinely null mechanism from a mechanism that is real but imprecisely estimated in a small sample.</w:t>
      </w:r>
    </w:p>
    <w:bookmarkEnd w:id="101"/>
    <w:bookmarkStart w:id="102" w:name="summary"/>
    <w:p>
      <w:pPr>
        <w:pStyle w:val="Heading2"/>
        <w:spacing w:line="480" w:lineRule="auto"/>
      </w:pPr>
      <w:r>
        <w:t xml:space="preserve">3.10 Summary</w:t>
      </w:r>
    </w:p>
    <w:p>
      <w:pPr>
        <w:pStyle w:val="FirstParagraph"/>
        <w:spacing w:line="480" w:lineRule="auto"/>
      </w:pPr>
      <w:r>
        <w:t xml:space="preserve">This chapter has specified the theoretical object, the conversion of standards leadership into strategic advantage; decomposed the conversion into a four-link causal chain running from governance position through interface supply and third-party construction to downstream adoption and strategic leverage</w:t>
      </w:r>
      <w:r>
        <w:t xml:space="preserve"> </w:t>
      </w:r>
      <w:hyperlink w:anchor="ref-1">
        <w:r>
          <w:rPr>
            <w:rStyle w:val="Hyperlink"/>
          </w:rPr>
          <w:t xml:space="preserve">[1]</w:t>
        </w:r>
      </w:hyperlink>
      <w:r>
        <w:t xml:space="preserve">[3][9]; and constrained that chain with the two prior companion results, which establish that the upstream production link is real but inelastic and that the adoption channel is confounded by market maturation. From the conditioned mechanism it derived a single estimable proposition, the partial association of the advantage outcome with lagged standards leadership net of capability and resourcing and absorbing bloc and year effects, and stated that proposition as the complementary pair H0 and H1. It identified the four conditions the mechanism requires, the three auxiliary expectations that discipline the causal reading of any estimate, and the scope conditions that bound the claim. The chapter that follows operationalizes the leadership index, the advantage outcome, and the controls, and specifies the panel fixed-effects and event-study estimators through which H0 is confronted with the data. The framework is complete.</w:t>
      </w:r>
    </w:p>
    <w:bookmarkEnd w:id="102"/>
    <w:bookmarkEnd w:id="103"/>
    <w:bookmarkStart w:id="120" w:name="chapter-4.-data-and-measurement"/>
    <w:p>
      <w:pPr>
        <w:pStyle w:val="Heading1"/>
        <w:spacing w:line="480" w:lineRule="auto"/>
      </w:pPr>
      <w:r>
        <w:t xml:space="preserve">Chapter 4. Data and Measurement</w:t>
      </w:r>
    </w:p>
    <w:bookmarkStart w:id="104" w:name="purpose-and-scope-of-the-chapter"/>
    <w:p>
      <w:pPr>
        <w:pStyle w:val="Heading2"/>
        <w:spacing w:line="480" w:lineRule="auto"/>
      </w:pPr>
      <w:r>
        <w:t xml:space="preserve">4.1 Purpose and Scope of the Chapter</w:t>
      </w:r>
    </w:p>
    <w:p>
      <w:pPr>
        <w:pStyle w:val="FirstParagraph"/>
        <w:spacing w:line="480" w:lineRule="auto"/>
      </w:pPr>
      <w:r>
        <w:t xml:space="preserve">This chapter specifies the empirical materials on which the dissertation’s two estimating papers rest. It is deliberately granular, because the central methodological commitment of this work is that a strategic claim repeated narratively in the statecraft literature</w:t>
      </w:r>
      <w:r>
        <w:t xml:space="preserve"> </w:t>
      </w:r>
      <w:hyperlink w:anchor="ref-1">
        <w:r>
          <w:rPr>
            <w:rStyle w:val="Hyperlink"/>
          </w:rPr>
          <w:t xml:space="preserve">[1]</w:t>
        </w:r>
      </w:hyperlink>
      <w:r>
        <w:t xml:space="preserve">[3] can be converted into a measured estimate only if every variable that enters the estimators is traceable to a primary, version-stamped, publicly retrievable record. The chapter therefore does three things. It describes the two real datasets used in the companion papers, identifying their authoritative sources document by document. It fixes the unit of analysis for each dataset and explains why that unit is the correct one for the question each paper asks. And it sets out, variable by variable, how each measured quantity is constructed from primary records rather than imputed, assumed, or inferred from secondary commentary.</w:t>
      </w:r>
    </w:p>
    <w:p>
      <w:pPr>
        <w:pStyle w:val="BodyText"/>
        <w:spacing w:line="480" w:lineRule="auto"/>
        <w:ind w:firstLine="720"/>
      </w:pPr>
      <w:r>
        <w:t xml:space="preserve">Two datasets are in play. The first, used in the survival-analysis paper, is a constellation-chipset adoption panel that records when each receiver-chipset family added support for each Global Navigation Satellite System (GNSS) constellation. The second, used in the learning-curve paper, is an interface-release event dataset that records the dated, version-stamped publication history of each provider’s open civil interface specifications and the cumulative count of open signals those specifications define. The two datasets share a common spine: the six GNSS providers and the public interface-control documents (ICDs) and interface specifications (ISs) that those providers publish.</w:t>
      </w:r>
    </w:p>
    <w:p>
      <w:pPr>
        <w:pStyle w:val="BodyText"/>
        <w:spacing w:line="480" w:lineRule="auto"/>
        <w:ind w:firstLine="720"/>
      </w:pPr>
      <w:r>
        <w:t xml:space="preserve">They differ in their unit of observation and in what they treat as the dependent quantity, and that difference is the analytical division of labor between the two papers. The survival paper measures downstream uptake; the learning-curve paper measures upstream supply</w:t>
      </w:r>
      <w:r>
        <w:t xml:space="preserve"> </w:t>
      </w:r>
      <w:hyperlink w:anchor="ref-1">
        <w:r>
          <w:rPr>
            <w:rStyle w:val="Hyperlink"/>
          </w:rPr>
          <w:t xml:space="preserve">[1]</w:t>
        </w:r>
      </w:hyperlink>
      <w:r>
        <w:t xml:space="preserve">[3].</w:t>
      </w:r>
    </w:p>
    <w:p>
      <w:pPr>
        <w:pStyle w:val="BodyText"/>
        <w:spacing w:line="480" w:lineRule="auto"/>
        <w:ind w:firstLine="720"/>
      </w:pPr>
      <w:r>
        <w:t xml:space="preserve">To close, the chapter states the provenance discipline that governs both datasets, the treatment of the small number of observations that cannot be pinned to an exact dated release, and the measurement threats that the construction rules are designed to contain.</w:t>
      </w:r>
    </w:p>
    <w:bookmarkEnd w:id="104"/>
    <w:bookmarkStart w:id="105" w:name="X0e2a3b9e44b3b708af84ec360f10db44fc4e235"/>
    <w:p>
      <w:pPr>
        <w:pStyle w:val="Heading2"/>
        <w:spacing w:line="480" w:lineRule="auto"/>
      </w:pPr>
      <w:r>
        <w:t xml:space="preserve">4.2 The Common Spine: Providers and Their Interface Documents</w:t>
      </w:r>
    </w:p>
    <w:p>
      <w:pPr>
        <w:pStyle w:val="FirstParagraph"/>
        <w:spacing w:line="480" w:lineRule="auto"/>
      </w:pPr>
      <w:r>
        <w:t xml:space="preserve">Both datasets are built on the same population of six GNSS providers. Four are global systems: the United States Global Positioning System (GPS), the Russian GLONASS, the European Galileo, and the Chinese BeiDou. Two are regional systems: the Japanese Quasi-Zenith Satellite System (QZSS) and the Indian NavIC, formerly designated IRNSS. This population is not a sample drawn from a larger frame; it is the complete set of operational GNSS providers that publish open civil signal interface documents, so the analysis is a census of the population rather than an inference from a subset. No sampling frame exists beyond them. The small size of that population, six providers, is a feature of the strategic problem itself rather than a limitation of data collection, and the consequences for statistical power are addressed in the design of each estimator and acknowledged explicitly in the threats-to-validity discussion of the prospectus.</w:t>
      </w:r>
    </w:p>
    <w:p>
      <w:pPr>
        <w:pStyle w:val="BodyText"/>
        <w:spacing w:line="480" w:lineRule="auto"/>
        <w:ind w:firstLine="720"/>
      </w:pPr>
      <w:r>
        <w:t xml:space="preserve">For each provider, the authoritative source is its own official documentation registry, supplemented where necessary by the public technical-reference services that the providers or their host agencies maintain. Nothing here is secondhand. For GPS, the governing records are the GPS.gov interface-document registry and the United States Coast Guard Navigation Center technical references, which together document the ICD-GPS-200 lineage and the successor IS-GPS-200, IS-GPS-705, and IS-GPS-800 specifications defining the L1 C/A, L2C, L5, and L1C civil signals</w:t>
      </w:r>
      <w:r>
        <w:t xml:space="preserve"> </w:t>
      </w:r>
      <w:hyperlink w:anchor="ref-13">
        <w:r>
          <w:rPr>
            <w:rStyle w:val="Hyperlink"/>
          </w:rPr>
          <w:t xml:space="preserve">[13]</w:t>
        </w:r>
      </w:hyperlink>
      <w:r>
        <w:t xml:space="preserve">. For Galileo, the source is the European GNSS Service Centre and its published Open Service Signal-in-Space Interface Control Document (OS SIS ICD), across versions 1.2 through 2.1, which define the E1, E5a, E5b, and E6 open signals</w:t>
      </w:r>
      <w:r>
        <w:t xml:space="preserve"> </w:t>
      </w:r>
      <w:hyperlink w:anchor="ref-14">
        <w:r>
          <w:rPr>
            <w:rStyle w:val="Hyperlink"/>
          </w:rPr>
          <w:t xml:space="preserve">[14]</w:t>
        </w:r>
      </w:hyperlink>
      <w:r>
        <w:t xml:space="preserve">. For BeiDou, the source is the official BeiDou ICD portal of the China Satellite Navigation Office together with the CSNO test and assessment research center, covering the B1I, B2a, B1C, and B3I open-service signals</w:t>
      </w:r>
      <w:r>
        <w:t xml:space="preserve"> </w:t>
      </w:r>
      <w:hyperlink w:anchor="ref-15">
        <w:r>
          <w:rPr>
            <w:rStyle w:val="Hyperlink"/>
          </w:rPr>
          <w:t xml:space="preserve">[15]</w:t>
        </w:r>
      </w:hyperlink>
      <w:r>
        <w:t xml:space="preserve">. For GLONASS, the source is the archived ICD editions, specifically editions 4.0 (1998), 5.0 (2002), 5.1 (2008), and the CDMA L1 edition 1.0 (2016), which cover the L1OF and L2OF FDMA signals and the later L1OC CDMA signal</w:t>
      </w:r>
      <w:r>
        <w:t xml:space="preserve"> </w:t>
      </w:r>
      <w:hyperlink w:anchor="ref-16">
        <w:r>
          <w:rPr>
            <w:rStyle w:val="Hyperlink"/>
          </w:rPr>
          <w:t xml:space="preserve">[16]</w:t>
        </w:r>
      </w:hyperlink>
      <w:r>
        <w:t xml:space="preserve">. For QZSS, the source is the IS-QZSS lineage published jointly by the Cabinet Office of Japan and JAXA</w:t>
      </w:r>
      <w:r>
        <w:t xml:space="preserve"> </w:t>
      </w:r>
      <w:hyperlink w:anchor="ref-17">
        <w:r>
          <w:rPr>
            <w:rStyle w:val="Hyperlink"/>
          </w:rPr>
          <w:t xml:space="preserve">[17]</w:t>
        </w:r>
      </w:hyperlink>
      <w:r>
        <w:t xml:space="preserve">. For NavIC, the source is the Indian Space Research Organisation’s IRNSS/NavIC Signal-in-Space ICD for the Standard Positioning Service, across versions 1.0 (2014), 1.1 (2017), and the L1 v1.0 (2022) release, covering the L5, S-band, and L1 standard-positioning-service signals</w:t>
      </w:r>
      <w:r>
        <w:t xml:space="preserve"> </w:t>
      </w:r>
      <w:hyperlink w:anchor="ref-18">
        <w:r>
          <w:rPr>
            <w:rStyle w:val="Hyperlink"/>
          </w:rPr>
          <w:t xml:space="preserve">[18]</w:t>
        </w:r>
      </w:hyperlink>
      <w:r>
        <w:t xml:space="preserve">.</w:t>
      </w:r>
    </w:p>
    <w:p>
      <w:pPr>
        <w:pStyle w:val="BodyText"/>
        <w:spacing w:line="480" w:lineRule="auto"/>
        <w:ind w:firstLine="720"/>
      </w:pPr>
      <w:r>
        <w:t xml:space="preserve">These documents are the primary records from which every interface-side variable in both datasets is read. Each is publicly retrievable without privileged access, each carries a version designation and a publication date, and each attributes its content to a single national provider or its designated agency. Dates anchor everything. Those three properties, public availability, version stamping, and bloc attribution, are precisely the properties the estimating designs require, because they permit a variable to be anchored to a dated event and assigned to a bloc without recourse to interpretation. The retrieval date for the interface registries used in this dissertation is recorded as 2026-06-22 in the source files for both papers, fixing the state of each public registry at the moment of collection.</w:t>
      </w:r>
    </w:p>
    <w:bookmarkEnd w:id="105"/>
    <w:bookmarkStart w:id="110" w:name="X66577618f70f831bab8786641b179c879d1173c"/>
    <w:p>
      <w:pPr>
        <w:pStyle w:val="Heading2"/>
        <w:spacing w:line="480" w:lineRule="auto"/>
      </w:pPr>
      <w:r>
        <w:t xml:space="preserve">4.3 Dataset One: The Constellation-Chipset Adoption Panel</w:t>
      </w:r>
    </w:p>
    <w:bookmarkStart w:id="106" w:name="unit-of-analysis"/>
    <w:p>
      <w:pPr>
        <w:pStyle w:val="Heading3"/>
        <w:spacing w:line="480" w:lineRule="auto"/>
      </w:pPr>
      <w:r>
        <w:t xml:space="preserve">4.3.1 Unit of Analysis</w:t>
      </w:r>
    </w:p>
    <w:p>
      <w:pPr>
        <w:pStyle w:val="FirstParagraph"/>
        <w:spacing w:line="480" w:lineRule="auto"/>
      </w:pPr>
      <w:r>
        <w:t xml:space="preserve">Dataset one, used in the survival-analysis paper, takes the constellation-chipset family pair as its unit of observation. A row is the pairing of one of the six GNSS constellations with one of five major receiver-chipset families, where the chipset families are MediaTek, Broadcom, Qualcomm, u-blox, and a professional-grade Trimble category. Six constellations times five families yields thirty pairs. Of these thirty observations, twenty-five record a realized adoption event, the year in which the chipset family added support for the constellation, and five are right-censored at the 2024 observation cutoff because the chipset family had not added support by the end of the observation window.</w:t>
      </w:r>
    </w:p>
    <w:p>
      <w:pPr>
        <w:pStyle w:val="BodyText"/>
        <w:spacing w:line="480" w:lineRule="auto"/>
        <w:ind w:firstLine="720"/>
      </w:pPr>
      <w:r>
        <w:t xml:space="preserve">Why the pair? Because the survival paper asks whether early publication of an open civil interface is associated with a higher instantaneous rate of downstream chipset adoption.</w:t>
      </w:r>
    </w:p>
    <w:p>
      <w:pPr>
        <w:pStyle w:val="BodyText"/>
        <w:spacing w:line="480" w:lineRule="auto"/>
        <w:ind w:firstLine="720"/>
      </w:pPr>
      <w:r>
        <w:t xml:space="preserve">Adoption is a relationship between a supplied interface and an adopting manufacturer, so the relationship, not the constellation alone and not the chipset alone, is the natural unit. Treating the pair as the unit also lets the design exploit the fact that a single constellation is adopted at different times by different chipset families and that a single chipset family adopts different constellations at different times, which is the variation a duration model requires.</w:t>
      </w:r>
    </w:p>
    <w:bookmarkEnd w:id="106"/>
    <w:bookmarkStart w:id="107" w:name="construction-of-the-duration-variable"/>
    <w:p>
      <w:pPr>
        <w:pStyle w:val="Heading3"/>
        <w:spacing w:line="480" w:lineRule="auto"/>
      </w:pPr>
      <w:r>
        <w:t xml:space="preserve">4.3.2 Construction of the Duration Variable</w:t>
      </w:r>
    </w:p>
    <w:p>
      <w:pPr>
        <w:pStyle w:val="FirstParagraph"/>
        <w:spacing w:line="480" w:lineRule="auto"/>
      </w:pPr>
      <w:r>
        <w:t xml:space="preserve">A duration is the dependent quantity in the survival paper: the elapsed time until adoption. For each constellation-chipset pair, the duration is the number of years from the constellation’s open civil-signal baseline to the year in which the chipset family added support for that constellation. The baseline is defined as the earlier-binding of operational civil service or open interface-specification publication, and it is read from documented provider milestones rather than assigned by the analyst.</w:t>
      </w:r>
    </w:p>
    <w:p>
      <w:pPr>
        <w:pStyle w:val="BodyText"/>
        <w:spacing w:line="480" w:lineRule="auto"/>
        <w:ind w:firstLine="720"/>
      </w:pPr>
      <w:r>
        <w:t xml:space="preserve">Baseline dates are constructed as follows. GPS is anchored to its open Standard Positioning Service from the 1995 declaration of full operational capability. GLONASS is anchored to its 2011 restoration of full operational capability, with the explicit observation in the data that its English-language civil interface document lagged that service date, a fact that becomes the basis for the treatment coding described below. Galileo is anchored to the Open Service Signal-in-Space Interface Control Document at Issue 1.4 in September 2010. BeiDou is anchored to the open B1I interface specification version 1.0 of December 2012. QZSS is anchored to its interface specification published before service in 2010. NavIC is anchored to its Standard Positioning Service interface document of 2017. Each baseline is a dated, documented milestone drawn from the provider records described in Section 4.2, so the start of every duration is a primary-record event rather than an approximation.</w:t>
      </w:r>
    </w:p>
    <w:p>
      <w:pPr>
        <w:pStyle w:val="BodyText"/>
        <w:spacing w:line="480" w:lineRule="auto"/>
        <w:ind w:firstLine="720"/>
      </w:pPr>
      <w:r>
        <w:t xml:space="preserve">Adoption years, which close each duration, are read from documented chipset and module releases. The data file records specific dated releases as the evidentiary anchor for each adoption event: the MediaTek MT3339 supporting QZSS in 2011 and the MT3332/MT3333 five-in-one multi-GNSS system-on-chip in 2013, the Broadcom BCM47755 dual-frequency device presented in 2017, the u-blox M8 multi-GNSS family and the NavIC-capable NEO-F10N module of 2023, and the QZSS compatible-products registry maintained by the Japanese provider. Each adoption year therefore traces to a product or module release rather than to a market estimate. Where a pair did not reach adoption by the 2024 cutoff, the observation is right-censored at that cutoff, and the duration carries the censoring indicator rather than a fabricated event year. No year is guessed.</w:t>
      </w:r>
    </w:p>
    <w:bookmarkEnd w:id="107"/>
    <w:bookmarkStart w:id="108" w:name="X4282278a39da6e6efc4d52647c7acb3f4359cb5"/>
    <w:p>
      <w:pPr>
        <w:pStyle w:val="Heading3"/>
        <w:spacing w:line="480" w:lineRule="auto"/>
      </w:pPr>
      <w:r>
        <w:t xml:space="preserve">4.3.3 Construction of the Treatment and Covariates</w:t>
      </w:r>
    </w:p>
    <w:p>
      <w:pPr>
        <w:pStyle w:val="FirstParagraph"/>
        <w:spacing w:line="480" w:lineRule="auto"/>
      </w:pPr>
      <w:r>
        <w:t xml:space="preserve">Early open-interface publication serves as the treatment. It is a binary coding that distinguishes constellations that published an open civil interface specification at or near first service from those whose open civil interface materially lagged operational service. The decisive coding case is GLONASS, which is coded as a late open-interface system because its open civil interface document lagged its restored operational service, in contrast to systems whose interface publication coincided with or preceded service. The coding is therefore derived from the documented relationship between two primary-record dates, the service-baseline date and the interface-publication date, rather than from a subjective judgment about a provider’s openness.</w:t>
      </w:r>
    </w:p>
    <w:p>
      <w:pPr>
        <w:pStyle w:val="BodyText"/>
        <w:spacing w:line="480" w:lineRule="auto"/>
        <w:ind w:firstLine="720"/>
      </w:pPr>
      <w:r>
        <w:t xml:space="preserve">Two further covariates come from the same provider records. The first is an interoperability-commitment indicator, a binary variable recording whether the provider made an explicit multi-GNSS interoperability commitment. The second is a global-versus-regional indicator, which separates the four global systems from the two regional systems, QZSS and NavIC, and is read directly from each system’s declared service geometry; both covariates are structural facts about the provider that are stated in or derivable from the public provider documentation, so neither requires estimation.</w:t>
      </w:r>
    </w:p>
    <w:p>
      <w:pPr>
        <w:pStyle w:val="BodyText"/>
        <w:spacing w:line="480" w:lineRule="auto"/>
        <w:ind w:firstLine="720"/>
      </w:pPr>
      <w:r>
        <w:t xml:space="preserve">One limitation is acknowledged in the survival paper: the binary coding compresses a continuous leadership intensity into a two-level treatment.</w:t>
      </w:r>
    </w:p>
    <w:p>
      <w:pPr>
        <w:pStyle w:val="BodyText"/>
        <w:spacing w:line="480" w:lineRule="auto"/>
        <w:ind w:firstLine="720"/>
      </w:pPr>
      <w:r>
        <w:t xml:space="preserve">Honesty about it is deliberate, because the dissertation’s larger panel design, described in the prospectus, is the device that replaces this binary with a graded standards-leadership index. Within the survival cross-section, however, the binary is the coding the thirty-observation sample can support without overfitting.</w:t>
      </w:r>
    </w:p>
    <w:bookmarkEnd w:id="108"/>
    <w:bookmarkStart w:id="109" w:name="X3c064163ed5731c29fd0923e2992da794358c3a"/>
    <w:p>
      <w:pPr>
        <w:pStyle w:val="Heading3"/>
        <w:spacing w:line="480" w:lineRule="auto"/>
      </w:pPr>
      <w:r>
        <w:t xml:space="preserve">4.3.4 Handling of Imprecisely Dated Observations</w:t>
      </w:r>
    </w:p>
    <w:p>
      <w:pPr>
        <w:pStyle w:val="FirstParagraph"/>
        <w:spacing w:line="480" w:lineRule="auto"/>
      </w:pPr>
      <w:r>
        <w:t xml:space="preserve">A small share of adoption years could not be pinned to a single dated product release. The data file marks these as illustrative, and the survival paper reports that they constitute under fifteen percent of observations. Marking rather than silently imputing is the construction rule: an observation whose adoption year rests on a less precise source is flagged in the dataset so that its evidentiary status is visible to any reader and so that robustness checks can be run with and without the flagged rows. No adoption year is fabricated. Censored observations are never assigned a synthetic event date. This rule operationalizes the dissertation’s provenance commitment at the level of the individual cell.</w:t>
      </w:r>
    </w:p>
    <w:bookmarkEnd w:id="109"/>
    <w:bookmarkEnd w:id="110"/>
    <w:bookmarkStart w:id="116" w:name="Xe8c8655e7c96a092be09ae8a105dffd7d465b8c"/>
    <w:p>
      <w:pPr>
        <w:pStyle w:val="Heading2"/>
        <w:spacing w:line="480" w:lineRule="auto"/>
      </w:pPr>
      <w:r>
        <w:t xml:space="preserve">4.4 Dataset Two: The Interface-Release Event Dataset</w:t>
      </w:r>
    </w:p>
    <w:bookmarkStart w:id="111" w:name="unit-of-analysis-1"/>
    <w:p>
      <w:pPr>
        <w:pStyle w:val="Heading3"/>
        <w:spacing w:line="480" w:lineRule="auto"/>
      </w:pPr>
      <w:r>
        <w:t xml:space="preserve">4.4.1 Unit of Analysis</w:t>
      </w:r>
    </w:p>
    <w:p>
      <w:pPr>
        <w:pStyle w:val="FirstParagraph"/>
        <w:spacing w:line="480" w:lineRule="auto"/>
      </w:pPr>
      <w:r>
        <w:t xml:space="preserve">Dataset two, used in the learning-curve paper, takes the interface-release event as its unit of observation. A row is a single public interface document or revision published by one of the six providers. The estimation sample comprises twenty-three such dated release events across the six providers, GPS, GLONASS, Galileo, BeiDou, QZSS, and NavIC.</w:t>
      </w:r>
    </w:p>
    <w:p>
      <w:pPr>
        <w:pStyle w:val="BodyText"/>
        <w:spacing w:line="480" w:lineRule="auto"/>
        <w:ind w:firstLine="720"/>
      </w:pPr>
      <w:r>
        <w:t xml:space="preserve">Why the release event? Because the learning-curve paper asks an upstream production question rather than a downstream uptake question.</w:t>
      </w:r>
    </w:p>
    <w:p>
      <w:pPr>
        <w:pStyle w:val="BodyText"/>
        <w:spacing w:line="480" w:lineRule="auto"/>
        <w:ind w:firstLine="720"/>
      </w:pPr>
      <w:r>
        <w:t xml:space="preserve">It estimates the relationship between a provider’s cumulative standards-program experience and the cumulative supply of open interoperable signals its interface lineage defines. The quantity that accumulates is the stock of standardized interfaces, and the stock changes at discrete moments, namely when a provider publishes a new interface document or a revision that adds or refines an open signal. Output arrives in bursts. The release event is therefore the moment at which the production process produces output, which makes it the natural unit for a cumulative-experience model. Using the release event rather than the provider-year also allows both the within-provider accumulation of releases and the across-provider variation in program age to contribute to the estimated slope, which is the variation a single-elasticity learning curve must exploit when the provider count is only six.</w:t>
      </w:r>
    </w:p>
    <w:bookmarkEnd w:id="111"/>
    <w:bookmarkStart w:id="112" w:name="X30abc5917ca8f275f3b6becc6347fc40a0fc7b2"/>
    <w:p>
      <w:pPr>
        <w:pStyle w:val="Heading3"/>
        <w:spacing w:line="480" w:lineRule="auto"/>
      </w:pPr>
      <w:r>
        <w:t xml:space="preserve">4.4.2 Construction of the Outcome Variable: Cumulative Open-Signal Supply</w:t>
      </w:r>
    </w:p>
    <w:p>
      <w:pPr>
        <w:pStyle w:val="FirstParagraph"/>
        <w:spacing w:line="480" w:lineRule="auto"/>
      </w:pPr>
      <w:r>
        <w:t xml:space="preserve">For the learning-curve paper, the dependent quantity is the cumulative count of distinct open or civil interoperable signals defined in a provider’s interface lineage as of a given release. This count is read directly from the interface documents themselves and from their release announcements. It is not estimated. The construction proceeds by enumerating, for each provider, the open civil signals that its successive interface documents define, and recording at each release the running total of distinct signals defined up to and including that release.</w:t>
      </w:r>
    </w:p>
    <w:p>
      <w:pPr>
        <w:pStyle w:val="BodyText"/>
        <w:spacing w:line="480" w:lineRule="auto"/>
        <w:ind w:firstLine="720"/>
      </w:pPr>
      <w:r>
        <w:t xml:space="preserve">Signal enumerations anchor to the primary records identified in Section 4.2. For GPS, the L1 C/A, L2C, L5, and L1C civil signals are read from the ICD-GPS-200 lineage and the IS-GPS-200, IS-GPS-705, and IS-GPS-800 specifications</w:t>
      </w:r>
      <w:r>
        <w:t xml:space="preserve"> </w:t>
      </w:r>
      <w:hyperlink w:anchor="ref-13">
        <w:r>
          <w:rPr>
            <w:rStyle w:val="Hyperlink"/>
          </w:rPr>
          <w:t xml:space="preserve">[13]</w:t>
        </w:r>
      </w:hyperlink>
      <w:r>
        <w:t xml:space="preserve">. For Galileo, the E1, E5a, E5b, and E6 open signals are read from the published OS SIS ICD versions</w:t>
      </w:r>
      <w:r>
        <w:t xml:space="preserve"> </w:t>
      </w:r>
      <w:hyperlink w:anchor="ref-14">
        <w:r>
          <w:rPr>
            <w:rStyle w:val="Hyperlink"/>
          </w:rPr>
          <w:t xml:space="preserve">[14]</w:t>
        </w:r>
      </w:hyperlink>
      <w:r>
        <w:t xml:space="preserve">. For BeiDou, the B1I, B2a, B1C, and B3I open-service signals are read from the official ICD portal and the CSNO test and assessment center</w:t>
      </w:r>
      <w:r>
        <w:t xml:space="preserve"> </w:t>
      </w:r>
      <w:hyperlink w:anchor="ref-15">
        <w:r>
          <w:rPr>
            <w:rStyle w:val="Hyperlink"/>
          </w:rPr>
          <w:t xml:space="preserve">[15]</w:t>
        </w:r>
      </w:hyperlink>
      <w:r>
        <w:t xml:space="preserve">. For GLONASS, the L1OF and L2OF FDMA signals and the later L1OC CDMA signal are read from the archived ICD editions</w:t>
      </w:r>
      <w:r>
        <w:t xml:space="preserve"> </w:t>
      </w:r>
      <w:hyperlink w:anchor="ref-16">
        <w:r>
          <w:rPr>
            <w:rStyle w:val="Hyperlink"/>
          </w:rPr>
          <w:t xml:space="preserve">[16]</w:t>
        </w:r>
      </w:hyperlink>
      <w:r>
        <w:t xml:space="preserve">. For QZSS, the signals are read from the IS-QZSS lineage</w:t>
      </w:r>
      <w:r>
        <w:t xml:space="preserve"> </w:t>
      </w:r>
      <w:hyperlink w:anchor="ref-17">
        <w:r>
          <w:rPr>
            <w:rStyle w:val="Hyperlink"/>
          </w:rPr>
          <w:t xml:space="preserve">[17]</w:t>
        </w:r>
      </w:hyperlink>
      <w:r>
        <w:t xml:space="preserve">. For NavIC, the L5, S-band, and L1 standard-positioning-service signals are read from the ISRO signal-in-space ICD</w:t>
      </w:r>
      <w:r>
        <w:t xml:space="preserve"> </w:t>
      </w:r>
      <w:hyperlink w:anchor="ref-18">
        <w:r>
          <w:rPr>
            <w:rStyle w:val="Hyperlink"/>
          </w:rPr>
          <w:t xml:space="preserve">[18]</w:t>
        </w:r>
      </w:hyperlink>
      <w:r>
        <w:t xml:space="preserve">. Because the count is a count of named, documented signals defined in dated documents, every increment in the cumulative outcome corresponds to a specific signal definition appearing in a specific version of a specific provider’s interface lineage. Nothing is inferred.</w:t>
      </w:r>
    </w:p>
    <w:bookmarkEnd w:id="112"/>
    <w:bookmarkStart w:id="113" w:name="construction-of-the-experience-variable"/>
    <w:p>
      <w:pPr>
        <w:pStyle w:val="Heading3"/>
        <w:spacing w:line="480" w:lineRule="auto"/>
      </w:pPr>
      <w:r>
        <w:t xml:space="preserve">4.4.3 Construction of the Experience Variable</w:t>
      </w:r>
    </w:p>
    <w:p>
      <w:pPr>
        <w:pStyle w:val="FirstParagraph"/>
        <w:spacing w:line="480" w:lineRule="auto"/>
      </w:pPr>
      <w:r>
        <w:t xml:space="preserve">On the right-hand side sits cumulative standards-program experience, operationalized as the elapsed years between a provider’s earliest documented interface-control artifact and the release in question. The clock therefore starts at the first dated interface document attributable to the provider and is read off the same document registries that supply the signal counts. For GPS this anchors the experience clock to the ICD-GPS-200 lineage; for the other providers it anchors to the earliest dated ICD or IS edition each registry records.</w:t>
      </w:r>
    </w:p>
    <w:p>
      <w:pPr>
        <w:pStyle w:val="BodyText"/>
        <w:spacing w:line="480" w:lineRule="auto"/>
        <w:ind w:firstLine="720"/>
      </w:pPr>
      <w:r>
        <w:t xml:space="preserve">Anchoring is a sensitive construction choice, as the learning-curve paper states explicitly, because small differences in the earliest-artifact date move the experience values of the youngest providers most. The chapter records this candidly. The mitigation is twofold: the elapsed-years measure is read from documented dates rather than assigned, and the paper reports heteroskedasticity-robust standard errors and the full confidence interval so that a reader can judge how much weight the estimated slope can bear given the anchoring sensitivity. No experience value is imputed; each is the difference between two documented dates.</w:t>
      </w:r>
    </w:p>
    <w:bookmarkEnd w:id="113"/>
    <w:bookmarkStart w:id="114" w:name="transformation-for-estimation"/>
    <w:p>
      <w:pPr>
        <w:pStyle w:val="Heading3"/>
        <w:spacing w:line="480" w:lineRule="auto"/>
      </w:pPr>
      <w:r>
        <w:t xml:space="preserve">4.4.4 Transformation for Estimation</w:t>
      </w:r>
    </w:p>
    <w:p>
      <w:pPr>
        <w:pStyle w:val="FirstParagraph"/>
        <w:spacing w:line="480" w:lineRule="auto"/>
      </w:pPr>
      <w:r>
        <w:t xml:space="preserve">Both the outcome and the experience variable enter the estimator in natural-logarithm form, because the learning curve is a log-log relationship whose slope is a constant elasticity. The transformation is a property of the estimating equation rather than of the raw data construction: the underlying cumulative counts and elapsed-year values are the primary-record quantities, and the logarithm is applied at the estimation stage. This separation matters for provenance, because it keeps the raw, auditable quantities, a count of named signals and a difference of documented dates, distinct from the analytic transformation applied to them.</w:t>
      </w:r>
    </w:p>
    <w:bookmarkEnd w:id="114"/>
    <w:bookmarkStart w:id="115" w:name="completeness-of-primary-record-coverage"/>
    <w:p>
      <w:pPr>
        <w:pStyle w:val="Heading3"/>
        <w:spacing w:line="480" w:lineRule="auto"/>
      </w:pPr>
      <w:r>
        <w:t xml:space="preserve">4.4.5 Completeness of Primary-Record Coverage</w:t>
      </w:r>
    </w:p>
    <w:p>
      <w:pPr>
        <w:pStyle w:val="FirstParagraph"/>
        <w:spacing w:line="480" w:lineRule="auto"/>
      </w:pPr>
      <w:r>
        <w:t xml:space="preserve">Provenance runs stronger in the learning-curve dataset than in the adoption panel. The learning-curve paper states that no value in the twenty-three-row dataset is illustrative. All twenty-three rows are read from documented interface releases. This is possible because the interface-release record on the PNT layer is the longest and most completely public of the layers the dissertation examines, so every release event can be tied to a dated, version-stamped document. The contrast with the adoption panel, where under fifteen percent of adoption years are flagged as illustrative, reflects a real asymmetry in the underlying records: provider interface publications are uniformly dated and public, whereas the precise month or year a given chipset family added a given constellation is occasionally documented only at lower resolution. The datasets are constructed to surface that asymmetry rather than to conceal it.</w:t>
      </w:r>
    </w:p>
    <w:bookmarkEnd w:id="115"/>
    <w:bookmarkEnd w:id="116"/>
    <w:bookmarkStart w:id="117" w:name="X5a61d1cb4a3524fd575adc20ae1810757330ac8"/>
    <w:p>
      <w:pPr>
        <w:pStyle w:val="Heading2"/>
        <w:spacing w:line="480" w:lineRule="auto"/>
      </w:pPr>
      <w:r>
        <w:t xml:space="preserve">4.5 Provenance Discipline and the Provenance Ledger</w:t>
      </w:r>
    </w:p>
    <w:p>
      <w:pPr>
        <w:pStyle w:val="FirstParagraph"/>
        <w:spacing w:line="480" w:lineRule="auto"/>
      </w:pPr>
      <w:r>
        <w:t xml:space="preserve">Every record’s source document and retrieval date must enter a provenance ledger before the record enters the estimation sample; that is the prospectus commitment, and both datasets implement it at the row level. In the adoption panel, every row carries its source in the data file, so each duration’s start date, end date, and treatment coding can be traced to the milestone or release that justifies it. In the interface-release dataset, every observation likewise carries its source in the data file, so each cumulative-signal count and each experience value can be traced to the document and announcement that define it. The retrieval date of 2026-06-22 fixes the state of the public registries at collection, which is necessary because the registries are living documents that providers revise; recording the retrieval date makes the dataset reproducible against an archived state rather than against a moving target. The ledger sees everything.</w:t>
      </w:r>
    </w:p>
    <w:p>
      <w:pPr>
        <w:pStyle w:val="BodyText"/>
        <w:spacing w:line="480" w:lineRule="auto"/>
        <w:ind w:firstLine="720"/>
      </w:pPr>
      <w:r>
        <w:t xml:space="preserve">This discipline is what allows the dissertation to claim that its measured estimates rest on observable interface-governance data rather than on narrative inference</w:t>
      </w:r>
      <w:r>
        <w:t xml:space="preserve"> </w:t>
      </w:r>
      <w:hyperlink w:anchor="ref-1">
        <w:r>
          <w:rPr>
            <w:rStyle w:val="Hyperlink"/>
          </w:rPr>
          <w:t xml:space="preserve">[1]</w:t>
        </w:r>
      </w:hyperlink>
      <w:r>
        <w:t xml:space="preserve">[3][4]. What is under test? The claim is that authoring interoperability standards confers advantage. Testing it credibly requires that the standards-side variables, the timing and the supply of open interfaces, be measured from the standards themselves. By anchoring every standards-side quantity to a dated, public, bloc-attributable interface document, the data construction ensures that the treatment in the survival paper and the regressor in the learning-curve paper are records of governance activity rather than proxies inferred from outcomes. The separation of the standards-side measurement from the outcome-side measurement is also what protects the directional reading of the estimates against the reverse-causality concern, because the standards records are dated independently of the adoption records they are regressed against.</w:t>
      </w:r>
    </w:p>
    <w:bookmarkEnd w:id="117"/>
    <w:bookmarkStart w:id="118" w:name="Xd4787e1543baf794b4ef26d9c57a6adfe36c79a"/>
    <w:p>
      <w:pPr>
        <w:pStyle w:val="Heading2"/>
        <w:spacing w:line="480" w:lineRule="auto"/>
      </w:pPr>
      <w:r>
        <w:t xml:space="preserve">4.6 Measurement Threats Addressed by Construction</w:t>
      </w:r>
    </w:p>
    <w:p>
      <w:pPr>
        <w:pStyle w:val="FirstParagraph"/>
        <w:spacing w:line="480" w:lineRule="auto"/>
      </w:pPr>
      <w:r>
        <w:t xml:space="preserve">Three measurement threats are contained by the construction rules above rather than deferred to the estimation chapter. The first is construct validity of the leadership measure. In the survival paper the construct is a binary, and the chapter has stated plainly that this compresses a continuous notion of leadership into two levels; the construction rule that contains the resulting risk is that the binary is derived from the documented gap between service and interface-publication dates, so the coding is reproducible and not a matter of analyst discretion. The second is the dating sensitivity of the experience clock in the learning-curve dataset, contained by reading the clock from documented earliest-artifact dates and by reporting robust standard errors and the full confidence interval. The third is the resolution asymmetry in adoption dating, contained by flagging the under-fifteen-percent of adoption years that rest on lower-resolution sources as illustrative, so their influence can be assessed directly.</w:t>
      </w:r>
    </w:p>
    <w:p>
      <w:pPr>
        <w:pStyle w:val="BodyText"/>
        <w:spacing w:line="480" w:lineRule="auto"/>
        <w:ind w:firstLine="720"/>
      </w:pPr>
      <w:r>
        <w:t xml:space="preserve">A fourth threat, confounding of interface timing with the maturation of the receiver market, is a substantive rather than a measurement matter and is treated in the findings of the survival paper, where the GLONASS and GPS cases show that early openness and fast adoption are confounded by the arrival of multi-constellation silicon. The data construction cannot remove that confound, but it does isolate it: because the treatment is measured from interface-publication dates and the outcome from chipset-release dates, the confound appears as an interpretable pattern in the estimates rather than as an unmeasured contamination of the variables. The dissertation’s larger panel design is the device that absorbs the maturation effect through time fixed effects, and it can do so precisely because the underlying data are constructed at the dated-event level that a panel requires.</w:t>
      </w:r>
    </w:p>
    <w:bookmarkEnd w:id="118"/>
    <w:bookmarkStart w:id="119" w:name="summary-1"/>
    <w:p>
      <w:pPr>
        <w:pStyle w:val="Heading2"/>
        <w:spacing w:line="480" w:lineRule="auto"/>
      </w:pPr>
      <w:r>
        <w:t xml:space="preserve">4.7 Summary</w:t>
      </w:r>
    </w:p>
    <w:p>
      <w:pPr>
        <w:pStyle w:val="FirstParagraph"/>
        <w:spacing w:line="480" w:lineRule="auto"/>
      </w:pPr>
      <w:r>
        <w:t xml:space="preserve">Two datasets, built on a common spine of six GNSS providers and their public interface-control documents, form the dissertation’s empirical foundation. The first is a thirty-row constellation-chipset adoption panel whose unit is the constellation-chipset pair, whose dependent quantity is a right-censored duration to adoption constructed from documented service baselines and dated chipset releases, and whose treatment and covariates are coded from the documented relationship between service and interface-publication dates. The second is a twenty-three-row interface-release event dataset whose unit is the dated interface release, whose outcome is the cumulative count of named open civil signals read directly from interface documents, and whose regressor is the elapsed standards-program experience measured from each provider’s earliest documented interface artifact. Both datasets draw their interface-side variables from the providers’ own authoritative registries, the GPS.gov and Navigation Center references, the European GNSS Service Centre OS SIS ICD, the BeiDou ICD portal and CSNO center, the archived GLONASS ICD editions, the IS-QZSS lineage, and the ISRO NavIC ICD</w:t>
      </w:r>
      <w:r>
        <w:t xml:space="preserve"> </w:t>
      </w:r>
      <w:hyperlink w:anchor="ref-13">
        <w:r>
          <w:rPr>
            <w:rStyle w:val="Hyperlink"/>
          </w:rPr>
          <w:t xml:space="preserve">[13]</w:t>
        </w:r>
      </w:hyperlink>
      <w:r>
        <w:t xml:space="preserve">[14][15][16][17][18], each public, version-stamped, and bloc-attributable, and each retrieved at a recorded date and logged to a provenance ledger. The construction rules privilege traceability over convenience at every step, flagging imprecise observations rather than imputing them and keeping primary-record quantities distinct from analytic transformations, so that the estimates the following chapters report can be read as measurements of interface governance rather than as inferences about it</w:t>
      </w:r>
      <w:r>
        <w:t xml:space="preserve"> </w:t>
      </w:r>
      <w:hyperlink w:anchor="ref-1">
        <w:r>
          <w:rPr>
            <w:rStyle w:val="Hyperlink"/>
          </w:rPr>
          <w:t xml:space="preserve">[1]</w:t>
        </w:r>
      </w:hyperlink>
      <w:r>
        <w:t xml:space="preserve">[3]. Traceability was the design rule.</w:t>
      </w:r>
    </w:p>
    <w:bookmarkEnd w:id="119"/>
    <w:bookmarkEnd w:id="120"/>
    <w:bookmarkStart w:id="128" w:name="chapter-5.-methods-and-identification"/>
    <w:p>
      <w:pPr>
        <w:pStyle w:val="Heading1"/>
        <w:spacing w:line="480" w:lineRule="auto"/>
      </w:pPr>
      <w:r>
        <w:t xml:space="preserve">Chapter 5. Methods and Identification</w:t>
      </w:r>
    </w:p>
    <w:p>
      <w:pPr>
        <w:pStyle w:val="FirstParagraph"/>
        <w:spacing w:line="480" w:lineRule="auto"/>
      </w:pPr>
      <w:r>
        <w:t xml:space="preserve">This chapter specifies the estimators that carry the dissertation’s empirical weight, the identification logic that licenses a causal reading of their coefficients, and the threats to validity that bound how far those coefficients can be pushed. The organizing commitment is the one set out in the prospectus: the dissertation tests a single, directional, falsifiable proposition, namely whether a bloc’s leadership in GNSS and optical-communications interoperability standards is associated with a measurable shift in a strategic-advantage outcome, after prior capability and resourcing are held fixed</w:t>
      </w:r>
      <w:r>
        <w:t xml:space="preserve"> </w:t>
      </w:r>
      <w:hyperlink w:anchor="ref-3">
        <w:r>
          <w:rPr>
            <w:rStyle w:val="Hyperlink"/>
          </w:rPr>
          <w:t xml:space="preserve">[3]</w:t>
        </w:r>
      </w:hyperlink>
      <w:r>
        <w:t xml:space="preserve">[4]. Everything in this chapter exists to make that proposition refutable rather than merely illustrable, so that a null result is as interpretable as a positive one.</w:t>
      </w:r>
    </w:p>
    <w:p>
      <w:pPr>
        <w:pStyle w:val="BodyText"/>
        <w:spacing w:line="480" w:lineRule="auto"/>
        <w:ind w:firstLine="720"/>
      </w:pPr>
      <w:r>
        <w:t xml:space="preserve">Three movements organize the chapter. The first describes the three estimators in sequence, treating each as a distinct lens on a distinct sub-question rather than as interchangeable robustness checks. The second sets out the identification strategy that connects observed standards-governance activity to the advantage outcome, with the staggered timing of ratification events doing the causal work, and the third enumerates the threats to validity, attaches each to the specific design feature that bounds it, and is explicit about the residual exposure that no feature removes.</w:t>
      </w:r>
    </w:p>
    <w:bookmarkStart w:id="124" w:name="the-estimators"/>
    <w:p>
      <w:pPr>
        <w:pStyle w:val="Heading2"/>
        <w:spacing w:line="480" w:lineRule="auto"/>
      </w:pPr>
      <w:r>
        <w:t xml:space="preserve">5.1 The Estimators</w:t>
      </w:r>
    </w:p>
    <w:p>
      <w:pPr>
        <w:pStyle w:val="FirstParagraph"/>
        <w:spacing w:line="480" w:lineRule="auto"/>
      </w:pPr>
      <w:r>
        <w:t xml:space="preserve">Why three estimators? Because the strategic claim under interrogation is, on inspection, a chain of three linked propositions rather than a single one.</w:t>
      </w:r>
    </w:p>
    <w:p>
      <w:pPr>
        <w:pStyle w:val="BodyText"/>
        <w:spacing w:line="480" w:lineRule="auto"/>
        <w:ind w:firstLine="720"/>
      </w:pPr>
      <w:r>
        <w:t xml:space="preserve">The statecraft literature asserts that sustained standards-body participation produces a growing stock of standardized interfaces, that those interfaces are absorbed downstream, and that the downstream absorption converts into market and strategic advantage</w:t>
      </w:r>
      <w:r>
        <w:t xml:space="preserve"> </w:t>
      </w:r>
      <w:hyperlink w:anchor="ref-1">
        <w:r>
          <w:rPr>
            <w:rStyle w:val="Hyperlink"/>
          </w:rPr>
          <w:t xml:space="preserve">[1]</w:t>
        </w:r>
      </w:hyperlink>
      <w:r>
        <w:t xml:space="preserve">[3][4]. Each link admits a different estimator, and the dissertation estimates each on its own terms so that the chain can be inspected joint by joint rather than asserted whole.</w:t>
      </w:r>
    </w:p>
    <w:bookmarkStart w:id="121" w:name="Xe688c894759e709ff5245b5ff4688ef3e9d2cb7"/>
    <w:p>
      <w:pPr>
        <w:pStyle w:val="Heading3"/>
        <w:spacing w:line="480" w:lineRule="auto"/>
      </w:pPr>
      <w:r>
        <w:t xml:space="preserve">5.1.1 The Learning-Curve Estimator (Production Link)</w:t>
      </w:r>
    </w:p>
    <w:p>
      <w:pPr>
        <w:pStyle w:val="FirstParagraph"/>
        <w:spacing w:line="480" w:lineRule="auto"/>
      </w:pPr>
      <w:r>
        <w:t xml:space="preserve">Production comes first: does standards-program experience actually generate a growing supply of standardized interfaces, and at what rate? The form is a log-log ordinary-least-squares regression of the natural log of cumulative open-signal supply on the natural log of cumulative standards-program experience, the canonical learning-curve specification for a cumulative-experience process. The slope coefficient is a constant elasticity, and two raised to that slope is the progress ratio describing the multiplicative change in interface supply for each doubling of experience. The unit of observation is the interface-specification release event rather than the provider-year, a choice that lets within-provider accumulation of releases and across-provider variation in program age both contribute to the slope. Both margins matter.</w:t>
      </w:r>
    </w:p>
    <w:p>
      <w:pPr>
        <w:pStyle w:val="BodyText"/>
        <w:spacing w:line="480" w:lineRule="auto"/>
        <w:ind w:firstLine="720"/>
      </w:pPr>
      <w:r>
        <w:t xml:space="preserve">This estimator was applied to twenty-three dated interface-specification release events drawn from six GNSS providers (GPS, GLONASS, Galileo, BeiDou, QZSS, NavIC), each read directly from official, version-stamped interface documents whose provenance is logged</w:t>
      </w:r>
      <w:r>
        <w:t xml:space="preserve"> </w:t>
      </w:r>
      <w:hyperlink w:anchor="ref-13">
        <w:r>
          <w:rPr>
            <w:rStyle w:val="Hyperlink"/>
          </w:rPr>
          <w:t xml:space="preserve">[13]</w:t>
        </w:r>
      </w:hyperlink>
      <w:r>
        <w:t xml:space="preserve">[14][15][16][17][18]. The estimator returned an elasticity of 0.196 with a robust standard error of 0.086, a t-statistic of 2.28, and a p-value of 0.023, with a ninety-five percent confidence interval from 0.027 to 0.365 that excludes zero. Inference uses heteroskedasticity-robust standard errors because the variance of the residual is unlikely to be constant across providers of very different program ages. The substantive role of this estimator in the dissertation is not to test the strategic claim directly but to certify that the production process the claim presupposes is real and to recover its rate, which the estimator finds to be positive, significant, and strongly inelastic. The rate is the finding. That inelasticity is itself a bound on how much the downstream estimators can be asked to explain.</w:t>
      </w:r>
    </w:p>
    <w:bookmarkEnd w:id="121"/>
    <w:bookmarkStart w:id="122" w:name="X9d2ba63108bf8222f8173fdb5633814aef84a7e"/>
    <w:p>
      <w:pPr>
        <w:pStyle w:val="Heading3"/>
        <w:spacing w:line="480" w:lineRule="auto"/>
      </w:pPr>
      <w:r>
        <w:t xml:space="preserve">5.1.2 The Survival Estimator (Adoption-Timing Link)</w:t>
      </w:r>
    </w:p>
    <w:p>
      <w:pPr>
        <w:pStyle w:val="FirstParagraph"/>
        <w:spacing w:line="480" w:lineRule="auto"/>
      </w:pPr>
      <w:r>
        <w:t xml:space="preserve">Next is the adoption-timing premise: if authoring an open interface confers advantage through downstream uptake, then systems that publish open interfaces early should be absorbed into the receiver industry faster. The estimator is a Cox proportional-hazards model. The Cox specification is appropriate for three reasons that map onto the structure of the data. The outcome is a time-to-event with right-censoring, since several constellation-chipset pairs had not registered an adoption event by the observation cutoff. The Cox form makes no parametric assumption about the shape of the baseline adoption hazard, which matters here because the baseline is plausibly non-monotonic, rising and falling with silicon-generation cycles rather than following any smooth parametric family. And the quantity of interest, the hazard ratio on early open-interface publication, maps directly onto the theoretical claim about speed of adoption, so the estimator’s primary output is the theoretically relevant object without further transformation.</w:t>
      </w:r>
    </w:p>
    <w:p>
      <w:pPr>
        <w:pStyle w:val="BodyText"/>
        <w:spacing w:line="480" w:lineRule="auto"/>
        <w:ind w:firstLine="720"/>
      </w:pPr>
      <w:r>
        <w:t xml:space="preserve">Here the unit of observation is the constellation-chipset family pair, yielding thirty observations of which twenty-five are adoption events and five are right-censored at the 2024 cutoff. The model regresses the adoption hazard on three covariates: early open-interface publication, an interoperability-commitment indicator, and a global-versus-regional indicator. A hazard ratio above one on the leadership variable would support faster adoption; a ratio at or below one fails to support it. The estimator returned a coefficient on early open-interface publication of -1.194 with a standard error of 0.626, a hazard ratio of 0.303, and a ninety-five percent coefficient interval from -2.420 to 0.032 that includes zero by a narrow margin. The estimator therefore does not reject the null at the five percent level and contradicts the directional prediction by sign. The interoperability-commitment indicator returned a hazard ratio of 4.953 with a wide and non-significant interval, and the global-regional indicator was effectively null. The role of this estimator is to test the simplest version of the adoption mechanism and to expose its confounding with receiver-market maturation, a confound the panel design of the third estimator is built to absorb. Its job is diagnostic.</w:t>
      </w:r>
    </w:p>
    <w:bookmarkEnd w:id="122"/>
    <w:bookmarkStart w:id="123" w:name="Xd408c1b9c9592760653b18a76e0cf37fb1ff0d3"/>
    <w:p>
      <w:pPr>
        <w:pStyle w:val="Heading3"/>
        <w:spacing w:line="480" w:lineRule="auto"/>
      </w:pPr>
      <w:r>
        <w:t xml:space="preserve">5.1.3 The Panel Fixed-Effects and Event-Study Estimator (Advantage Link)</w:t>
      </w:r>
    </w:p>
    <w:p>
      <w:pPr>
        <w:pStyle w:val="FirstParagraph"/>
        <w:spacing w:line="480" w:lineRule="auto"/>
      </w:pPr>
      <w:r>
        <w:t xml:space="preserve">Center stage belongs to the third estimator, which carries the dissertation’s central proposition and is the locus of the identification strategy developed in Section 5.2. The unit of analysis is the bloc-standard-year. The treatment is a standards-leadership intensity index constructed from observable interface-governance activity: the count and seniority of editorial and rapporteur roles, the number of ratified interface specifications attributable to the bloc, and the share of cross-constellation interface clauses the bloc authored. The outcome is a strategic-advantage panel measuring downstream adoption, namely receivers and terminals interoperating with the bloc’s interface, and market position.</w:t>
      </w:r>
    </w:p>
    <w:p>
      <w:pPr>
        <w:pStyle w:val="BodyText"/>
        <w:spacing w:line="480" w:lineRule="auto"/>
        <w:ind w:firstLine="720"/>
      </w:pPr>
      <w:r>
        <w:t xml:space="preserve">Estimation proceeds in two stages. The stages are complementary rather than redundant. The first stage is a panel fixed-effects regression of the advantage outcome on lagged standards leadership plus controls for prior capability and resourcing, with bloc fixed effects and year fixed effects. Bloc fixed effects absorb all time-invariant heterogeneity across blocs, including the deep structural differences in program scale and national posture that would otherwise confound any cross-bloc comparison. Year fixed effects absorb common shocks, including the receiver-market maturation that the survival estimator could not separate from interface timing, since that maturation is a calendar-time phenomenon common to all blocs in a given year. The lag structure, regressing advantage at t on leadership at t minus k, encodes the directional claim and is the first line of defense against reverse causality.</w:t>
      </w:r>
    </w:p>
    <w:p>
      <w:pPr>
        <w:pStyle w:val="BodyText"/>
        <w:spacing w:line="480" w:lineRule="auto"/>
        <w:ind w:firstLine="720"/>
      </w:pPr>
      <w:r>
        <w:t xml:space="preserve">Stage two is an event-study specification estimated around standards-ratification dates. It regresses the advantage outcome on a set of event-time indicators spanning a window of leads and lags relative to each bloc’s ratification events, with the period immediately before ratification omitted as the reference. The coefficients on the lead indicators trace the pre-ratification trajectory and the coefficients on the lag indicators trace the post-ratification response. Inference throughout uses bloc-clustered standard errors, which allow arbitrary serial correlation within a bloc across years and are the appropriate level given that the treatment varies at the bloc level. The two stages share a sample and a control set; the fixed-effects stage delivers the average association and the event-study stage delivers the dynamic shape that licenses the causal interpretation. The shape does the licensing.</w:t>
      </w:r>
    </w:p>
    <w:bookmarkEnd w:id="123"/>
    <w:bookmarkEnd w:id="124"/>
    <w:bookmarkStart w:id="125" w:name="identification"/>
    <w:p>
      <w:pPr>
        <w:pStyle w:val="Heading2"/>
        <w:spacing w:line="480" w:lineRule="auto"/>
      </w:pPr>
      <w:r>
        <w:t xml:space="preserve">5.2 Identification</w:t>
      </w:r>
    </w:p>
    <w:p>
      <w:pPr>
        <w:pStyle w:val="FirstParagraph"/>
        <w:spacing w:line="480" w:lineRule="auto"/>
      </w:pPr>
      <w:r>
        <w:t xml:space="preserve">Let the identification problem be stated plainly. Standards leadership is not randomly assigned. A bloc may invest in authoring an interface precisely where it already anticipates downstream advantage, so a naive regression of advantage on leadership would recover the bloc’s expectations as much as any effect of the interface itself. The dissertation’s identification strategy is a layered response to this endogeneity, and each layer is designed so that its failure mode is observable rather than silent.</w:t>
      </w:r>
    </w:p>
    <w:p>
      <w:pPr>
        <w:pStyle w:val="BodyText"/>
        <w:spacing w:line="480" w:lineRule="auto"/>
        <w:ind w:firstLine="720"/>
      </w:pPr>
      <w:r>
        <w:t xml:space="preserve">Layer one is the fixed-effects structure already described. Bloc fixed effects strip out the part of the leadership-advantage correlation that is driven by stable differences across blocs, which is the largest and most obvious source of confounding. Year fixed effects strip out the part driven by common time trends. What survives is the within-bloc, over-time covariation between leadership and advantage, net of common shocks, which is a far cleaner object than the raw cross-sectional correlation but is still not, by itself, causal, because a bloc’s leadership and its advantage could move together over time for reasons internal to the bloc.</w:t>
      </w:r>
    </w:p>
    <w:p>
      <w:pPr>
        <w:pStyle w:val="BodyText"/>
        <w:spacing w:line="480" w:lineRule="auto"/>
        <w:ind w:firstLine="720"/>
      </w:pPr>
      <w:r>
        <w:t xml:space="preserve">Layer two is decisive: the staggered timing of independent standards-ratification events serves as a quasi-experimental shock. Ratification is a discrete, dated, externally scheduled event in a standards body’s calendar, and its timing is governed by the procedural cadence of the body rather than by the ratifying bloc’s instantaneous expectation of advantage. The dissertation exploits this by anchoring the event-study window on ratification dates and asking whether the advantage outcome breaks at ratification. The identifying assumption is the parallel-trends assumption: absent ratification, the treated bloc’s advantage outcome would have continued on the same trajectory as it followed before ratification. This assumption is not asserted; it is tested. The lead coefficients in the event study are exactly the pre-trend, and a flat sequence of lead coefficients statistically indistinguishable from zero is the empirical signature that the parallel-trends assumption holds. A flat pre-trend followed by a post-ratification break is the signature of a real effect; a sloped pre-trend invalidates the causal reading and is reported, not suppressed.</w:t>
      </w:r>
    </w:p>
    <w:p>
      <w:pPr>
        <w:pStyle w:val="BodyText"/>
        <w:spacing w:line="480" w:lineRule="auto"/>
        <w:ind w:firstLine="720"/>
      </w:pPr>
      <w:r>
        <w:t xml:space="preserve">A lag structure forms the third layer, addressing the specific reverse-causality channel in which downstream adoption drives standards rather than the reverse. By regressing advantage at t on leadership at t minus k, the design requires the putative cause to precede the effect in time. This does not by itself defeat reverse causality, since anticipatory behavior can run backward through expectations, but combined with the pre-trend test it constrains the reverse channel sharply: a reverse-causal world would manifest as a pre-ratification trend in the advantage outcome, which the lead coefficients would detect.</w:t>
      </w:r>
    </w:p>
    <w:p>
      <w:pPr>
        <w:pStyle w:val="BodyText"/>
        <w:spacing w:line="480" w:lineRule="auto"/>
        <w:ind w:firstLine="720"/>
      </w:pPr>
      <w:r>
        <w:t xml:space="preserve">Finally, a placebo test on non-ratified draft standards forms the fourth layer. Drafts should do nothing. Draft standards that were authored and advanced but never ratified carry the same authorship and seniority signature as ratified ones but lack the ratification event itself. If the estimated effect were an artifact of the kind of bloc that authors standards, rather than of ratification, then drafts should show the same break as ratifications. A null result on the placebo, no break around the pseudo-event date of a non-ratified draft, is the falsification check that the effect attaches to ratification specifically and not to authorship propensity in general.</w:t>
      </w:r>
    </w:p>
    <w:p>
      <w:pPr>
        <w:pStyle w:val="BodyText"/>
        <w:spacing w:line="480" w:lineRule="auto"/>
        <w:ind w:firstLine="720"/>
      </w:pPr>
      <w:r>
        <w:t xml:space="preserve">Taken together, the four layers convert a correlational claim into a conditionally causal one.</w:t>
      </w:r>
    </w:p>
    <w:p>
      <w:pPr>
        <w:pStyle w:val="BodyText"/>
        <w:spacing w:line="480" w:lineRule="auto"/>
        <w:ind w:firstLine="720"/>
      </w:pPr>
      <w:r>
        <w:t xml:space="preserve">The conditioning is explicit: the causal reading holds if the pre-trend is flat and the placebo is null, and the dissertation reports both diagnostics so that a reader can verify the condition rather than take it on trust.</w:t>
      </w:r>
    </w:p>
    <w:bookmarkEnd w:id="125"/>
    <w:bookmarkStart w:id="126" w:name="X1d189e0776bd0a9225211f020d00b109bd29bed"/>
    <w:p>
      <w:pPr>
        <w:pStyle w:val="Heading2"/>
        <w:spacing w:line="480" w:lineRule="auto"/>
      </w:pPr>
      <w:r>
        <w:t xml:space="preserve">5.3 Threats to Validity and How Each Is Bounded</w:t>
      </w:r>
    </w:p>
    <w:p>
      <w:pPr>
        <w:pStyle w:val="FirstParagraph"/>
        <w:spacing w:line="480" w:lineRule="auto"/>
      </w:pPr>
      <w:r>
        <w:t xml:space="preserve">No design of this kind is unconditionally clean, and the dissertation’s credibility rests on naming the threats precisely and stating exactly how far each is bounded and where residual exposure remains.</w:t>
      </w:r>
    </w:p>
    <w:p>
      <w:pPr>
        <w:pStyle w:val="BodyText"/>
        <w:spacing w:line="480" w:lineRule="auto"/>
        <w:ind w:firstLine="720"/>
      </w:pPr>
      <w:r>
        <w:rPr>
          <w:b/>
          <w:bCs/>
        </w:rPr>
        <w:t xml:space="preserve">Endogeneity of standards leadership.</w:t>
      </w:r>
      <w:r>
        <w:t xml:space="preserve"> </w:t>
      </w:r>
      <w:r>
        <w:t xml:space="preserve">The central threat is that blocs lead standards where they already expect advantage. It is bounded by three of the four identification layers acting together: lagged treatment requires temporal precedence, the event study around exogenously timed ratification breaks the contemporaneous correlation, and the placebo on non-ratified drafts isolates ratification from authorship propensity. The residual exposure is anticipatory investment that is perfectly timed to ratification, which the design cannot rule out by assumption but would partially reveal as a pre-trend; the bound is therefore conditional on the observed pre-trend being flat.</w:t>
      </w:r>
    </w:p>
    <w:p>
      <w:pPr>
        <w:pStyle w:val="BodyText"/>
        <w:spacing w:line="480" w:lineRule="auto"/>
        <w:ind w:firstLine="720"/>
      </w:pPr>
      <w:r>
        <w:rPr>
          <w:b/>
          <w:bCs/>
        </w:rPr>
        <w:t xml:space="preserve">Construct validity of the leadership index.</w:t>
      </w:r>
      <w:r>
        <w:t xml:space="preserve"> </w:t>
      </w:r>
      <w:r>
        <w:t xml:space="preserve">Editorial and rapporteur roles may not equal substantive influence, so the index may mismeasure the latent construct it stands for. This is bounded by reporting results under multiple index weightings as a robustness battery and by pre-registering the primary weighting before estimation, which prevents specification search across weightings from manufacturing a result. The residual exposure is that all weightings share the same observable inputs, so a construct that is systematically invisible in governance records, such as informal influence exercised outside the formal editorial process, is not captured by any weighting and is acknowledged as a limit on what the index can measure.</w:t>
      </w:r>
    </w:p>
    <w:p>
      <w:pPr>
        <w:pStyle w:val="BodyText"/>
        <w:spacing w:line="480" w:lineRule="auto"/>
        <w:ind w:firstLine="720"/>
      </w:pPr>
      <w:r>
        <w:rPr>
          <w:b/>
          <w:bCs/>
        </w:rPr>
        <w:t xml:space="preserve">Confounding by capability and resourcing.</w:t>
      </w:r>
      <w:r>
        <w:t xml:space="preserve"> </w:t>
      </w:r>
      <w:r>
        <w:t xml:space="preserve">Larger space programs both lead standards and capture markets for reasons unrelated to the interface, and the security-driven character of technological competition documented in the retrieved literature gives that confound a concrete mechanism</w:t>
      </w:r>
      <w:r>
        <w:t xml:space="preserve"> </w:t>
      </w:r>
      <w:hyperlink w:anchor="ref-2">
        <w:r>
          <w:rPr>
            <w:rStyle w:val="Hyperlink"/>
          </w:rPr>
          <w:t xml:space="preserve">[2]</w:t>
        </w:r>
      </w:hyperlink>
      <w:r>
        <w:t xml:space="preserve">. It is bounded by explicit capability and resourcing controls in the regression and by bloc fixed effects that absorb the time-invariant component of program scale. The residual exposure is time-varying capability that moves with leadership within a bloc, which fixed effects do not remove; the included controls are the bound on this channel, and their sufficiency is itself a maintained assumption, stated openly.</w:t>
      </w:r>
    </w:p>
    <w:p>
      <w:pPr>
        <w:pStyle w:val="BodyText"/>
        <w:spacing w:line="480" w:lineRule="auto"/>
        <w:ind w:firstLine="720"/>
      </w:pPr>
      <w:r>
        <w:rPr>
          <w:b/>
          <w:bCs/>
        </w:rPr>
        <w:t xml:space="preserve">Outcome measurement and reverse causality.</w:t>
      </w:r>
      <w:r>
        <w:t xml:space="preserve"> </w:t>
      </w:r>
      <w:r>
        <w:t xml:space="preserve">Adoption may drive standards rather than the reverse, and the outcome is measured from public adoption disclosures that carry their own coding choices. Both directions are live. The directional lag specification and the pre-trend test bound the reverse-causality channel, since a reverse-causal world produces a detectable pre-ratification trend. The survival paper’s own finding sharpens this concern empirically: the negative sign on early open-interface publication is most plausibly read as receiver-market maturation confounding interface timing, which is precisely the calendar-time confound the panel’s year fixed effects are introduced to absorb. The residual exposure is measurement error in the adoption outcome that correlates with ratification timing, which would not be removed by the lag structure and is flagged as a boundary on precision.</w:t>
      </w:r>
    </w:p>
    <w:p>
      <w:pPr>
        <w:pStyle w:val="BodyText"/>
        <w:spacing w:line="480" w:lineRule="auto"/>
        <w:ind w:firstLine="720"/>
      </w:pPr>
      <w:r>
        <w:rPr>
          <w:b/>
          <w:bCs/>
        </w:rPr>
        <w:t xml:space="preserve">External validity.</w:t>
      </w:r>
      <w:r>
        <w:t xml:space="preserve"> </w:t>
      </w:r>
      <w:r>
        <w:t xml:space="preserve">The findings cover the GNSS and optical-communications layers and the observed period and do not generalize automatically to other infrastructure standards. This boundary is stated rather than hidden. The PNT layer is where the interface record is longest and fully public, which is why the production and adoption links are estimated there first</w:t>
      </w:r>
      <w:r>
        <w:t xml:space="preserve"> </w:t>
      </w:r>
      <w:hyperlink w:anchor="ref-13">
        <w:r>
          <w:rPr>
            <w:rStyle w:val="Hyperlink"/>
          </w:rPr>
          <w:t xml:space="preserve">[13]</w:t>
        </w:r>
      </w:hyperlink>
      <w:r>
        <w:t xml:space="preserve">[14][15][16][17][18]; the optical inter-satellite layer, whose interfaces are still consolidating in the engineering literature</w:t>
      </w:r>
      <w:r>
        <w:t xml:space="preserve"> </w:t>
      </w:r>
      <w:hyperlink w:anchor="ref-5">
        <w:r>
          <w:rPr>
            <w:rStyle w:val="Hyperlink"/>
          </w:rPr>
          <w:t xml:space="preserve">[5]</w:t>
        </w:r>
      </w:hyperlink>
      <w:r>
        <w:t xml:space="preserve">[6][7][8], will furnish an independent test as its ratified-release record lengthens, but until then the optical-layer inference is the more provisional of the two.</w:t>
      </w:r>
    </w:p>
    <w:p>
      <w:pPr>
        <w:pStyle w:val="BodyText"/>
        <w:spacing w:line="480" w:lineRule="auto"/>
        <w:ind w:firstLine="720"/>
      </w:pPr>
      <w:r>
        <w:rPr>
          <w:b/>
          <w:bCs/>
        </w:rPr>
        <w:t xml:space="preserve">Small-N at the bloc level.</w:t>
      </w:r>
      <w:r>
        <w:t xml:space="preserve"> </w:t>
      </w:r>
      <w:r>
        <w:t xml:space="preserve">Few GNSS providers limits statistical power, and a wide null could be mistaken for a precise one. Power is scarce. This is bounded by exploiting three sources of variation rather than one, namely within-bloc over standards, across-bloc, and over-time, and by reporting confidence intervals on every estimate so that a wide null is visibly distinguishable from a precise null. The learning-curve interval from 0.027 to 0.365 and the survival coefficient interval from -2.420 to 0.032 are reported exactly as the estimators returned them for this reason. The residual exposure is irreducible: with six providers the panel cannot support a richly parameterized specification, which is why the estimators are kept deliberately parsimonious and the inferential claims kept correspondingly modest.</w:t>
      </w:r>
    </w:p>
    <w:bookmarkEnd w:id="126"/>
    <w:bookmarkStart w:id="127" w:name="summary-2"/>
    <w:p>
      <w:pPr>
        <w:pStyle w:val="Heading2"/>
        <w:spacing w:line="480" w:lineRule="auto"/>
      </w:pPr>
      <w:r>
        <w:t xml:space="preserve">5.4 Summary</w:t>
      </w:r>
    </w:p>
    <w:p>
      <w:pPr>
        <w:pStyle w:val="FirstParagraph"/>
        <w:spacing w:line="480" w:lineRule="auto"/>
      </w:pPr>
      <w:r>
        <w:t xml:space="preserve">Three estimators, three links of a single causal chain: that is the design. Each link gets its own lens. The learning-curve regression certifies that standards-program experience produces a growing but strongly inelastic supply of standardized interfaces, with an elasticity of 0.196. The Cox survival model tests the simplest adoption mechanism and finds it unsupported and confounded by market maturation. The panel fixed-effects and event-study estimator carries the central proposition, with identification resting on the staggered timing of ratification events, a parallel-trends assumption tested through pre-trend lead coefficients, a directional lag structure, and a placebo on non-ratified drafts. Each threat to validity is attached to the design feature that bounds it, and in every case the residual exposure that the feature does not remove is named rather than concealed. The result is a design in which a null finding falsifies the prevailing strategic intuition for the in-sample period and is itself a publishable, interpretable contribution.</w:t>
      </w:r>
    </w:p>
    <w:bookmarkEnd w:id="127"/>
    <w:bookmarkEnd w:id="128"/>
    <w:bookmarkStart w:id="144" w:name="chapter-6.-results"/>
    <w:p>
      <w:pPr>
        <w:pStyle w:val="Heading1"/>
        <w:spacing w:line="480" w:lineRule="auto"/>
      </w:pPr>
      <w:r>
        <w:t xml:space="preserve">Chapter 6. Results</w:t>
      </w:r>
    </w:p>
    <w:bookmarkStart w:id="129" w:name="orientation"/>
    <w:p>
      <w:pPr>
        <w:pStyle w:val="Heading2"/>
        <w:spacing w:line="480" w:lineRule="auto"/>
      </w:pPr>
      <w:r>
        <w:t xml:space="preserve">6.1 Orientation</w:t>
      </w:r>
    </w:p>
    <w:p>
      <w:pPr>
        <w:pStyle w:val="FirstParagraph"/>
        <w:spacing w:line="480" w:lineRule="auto"/>
      </w:pPr>
      <w:r>
        <w:t xml:space="preserve">This chapter presents the empirical findings of the two estimation studies that anchor the dissertation and interprets each result in the depth that a doctoral defense requires. The dissertation poses a single falsifiable proposition: that leadership in GNSS and optical-comms interoperability standards translates into measurable strategic advantage, a claim the economic-statecraft and space-industrial-base literatures assert far more often than they measure</w:t>
      </w:r>
      <w:r>
        <w:t xml:space="preserve"> </w:t>
      </w:r>
      <w:hyperlink w:anchor="ref-1">
        <w:r>
          <w:rPr>
            <w:rStyle w:val="Hyperlink"/>
          </w:rPr>
          <w:t xml:space="preserve">[1]</w:t>
        </w:r>
      </w:hyperlink>
      <w:r>
        <w:t xml:space="preserve">[3][4]. Two mechanisms hide inside it. The strategic claim, when unpacked, presumes them operating in sequence. The first is a production mechanism: sustained participation in standards bodies must actually produce a growing stock of standardized open interfaces for third parties to build against. The second is an adoption mechanism: that growing stock must then be absorbed quickly by the downstream industry, so that authoring the interface confers the reference-frame advantage the literature describes. The two studies reported here isolate these mechanisms one at a time. Paper 2 estimates the upstream production relationship through a learning-curve specification; Paper 1 estimates the downstream adoption-speed relationship through a survival model. Reporting them in that order, production before adoption, follows the logical structure of the mechanism rather than the order in which the papers are numbered, and it lets the chapter build the strategic argument as a chain whose links can be inspected individually.</w:t>
      </w:r>
    </w:p>
    <w:p>
      <w:pPr>
        <w:pStyle w:val="BodyText"/>
        <w:spacing w:line="480" w:lineRule="auto"/>
        <w:ind w:firstLine="720"/>
      </w:pPr>
      <w:r>
        <w:t xml:space="preserve">Both estimators were rerun against their source data before this chapter was written, and the figures reported below are exactly those the estimators returned. No coefficient, standard error, p-value, hazard ratio, elasticity, or fit statistic has been rounded toward a preferred value, adjusted, or reconstructed from memory. The numbers stand as returned. The full estimation tables, the specification configurations, the data files, and the diagnostic plots are reproduced as Appendix A; this chapter narrates and interprets the numbers rather than tabulating them. Where the two results agree, that agreement is itself a finding, because the two studies use different samples, different units of observation, and different estimators, so a coherent reading across them is not guaranteed by construction.</w:t>
      </w:r>
    </w:p>
    <w:bookmarkEnd w:id="129"/>
    <w:bookmarkStart w:id="134" w:name="Xfc2f5d17c06974f6c60257bc2b0b60dd3ae0d8e"/>
    <w:p>
      <w:pPr>
        <w:pStyle w:val="Heading2"/>
        <w:spacing w:line="480" w:lineRule="auto"/>
      </w:pPr>
      <w:r>
        <w:t xml:space="preserve">6.2 The Production Mechanism: A Learning Curve in Open-Signal Supply</w:t>
      </w:r>
    </w:p>
    <w:bookmarkStart w:id="130" w:name="what-was-estimated"/>
    <w:p>
      <w:pPr>
        <w:pStyle w:val="Heading3"/>
        <w:spacing w:line="480" w:lineRule="auto"/>
      </w:pPr>
      <w:r>
        <w:t xml:space="preserve">6.2.1 What was estimated</w:t>
      </w:r>
    </w:p>
    <w:p>
      <w:pPr>
        <w:pStyle w:val="FirstParagraph"/>
        <w:spacing w:line="480" w:lineRule="auto"/>
      </w:pPr>
      <w:r>
        <w:t xml:space="preserve">Link one in the strategic chain is the premise that standards-program experience produces standardized interfaces. The dissertation tests this premise on the positioning, navigation, and timing layer, where the interface record is longest, fully public, and version-stamped, and therefore where the production relationship can be estimated most cleanly. The estimation sample comprises 23 dated interface-specification release events drawn from the six GNSS providers, GPS, GLONASS, Galileo, BeiDou, QZSS, and NavIC. For each release the outcome is the cumulative count of distinct open or civil interoperable signals defined in that provider’s interface lineage as of the release date, and the experience variable is the elapsed years between the provider’s earliest documented interface-control artifact and the release in question. The estimator is a log-log ordinary-least-squares regression of the natural log of cumulative open-signal supply on the natural log of cumulative standards-program experience, the canonical learning-curve form, with heteroskedasticity-robust HC1 standard errors. The unit of observation is the release event, which lets both the within-provider accumulation of releases and the across-provider variation in program age contribute to the slope. The hypothesis is directional: H1 holds that the log-log elasticity is positive and statistically distinguishable from zero, supporting the production premise; H0 holds that the elasticity cannot be distinguished from zero. The data decide.</w:t>
      </w:r>
    </w:p>
    <w:bookmarkEnd w:id="130"/>
    <w:bookmarkStart w:id="131" w:name="the-estimate"/>
    <w:p>
      <w:pPr>
        <w:pStyle w:val="Heading3"/>
        <w:spacing w:line="480" w:lineRule="auto"/>
      </w:pPr>
      <w:r>
        <w:t xml:space="preserve">6.2.2 The estimate</w:t>
      </w:r>
    </w:p>
    <w:p>
      <w:pPr>
        <w:pStyle w:val="FirstParagraph"/>
        <w:spacing w:line="480" w:lineRule="auto"/>
      </w:pPr>
      <w:r>
        <w:t xml:space="preserve">A positive and statistically significant slope comes back. The elasticity of cumulative open-signal supply with respect to cumulative standards-program experience is 0.196, with a robust standard error of 0.086, a t-statistic of 2.28, and a p-value of 0.023. The 95 percent confidence interval on the elasticity runs from 0.027 to 0.365 and excludes zero across its full width. The intercept of the log-log line is 0.694, with a robust standard error of 0.216, a t-statistic of 3.21, and a p-value of 0.001, so the constant term is estimated far more precisely than the slope and is reliably distinguishable from zero. The model explains roughly 28 percent of the variation in log open-signal supply, with an R-squared of 0.282 across the 23 release events.</w:t>
      </w:r>
    </w:p>
    <w:p>
      <w:pPr>
        <w:pStyle w:val="BodyText"/>
        <w:spacing w:line="480" w:lineRule="auto"/>
        <w:ind w:firstLine="720"/>
      </w:pPr>
      <w:r>
        <w:t xml:space="preserve">Sign and significance come first. The slope is positive, and because its p-value of 0.023 falls below the conventional five percent threshold and its confidence interval excludes zero, H0 is rejected for the in-sample period. Standards-program experience and the supply of open interoperable interfaces are positively and significantly related. To the extent that the strategic claim presumes a production process in which sustained interface-governance activity yields a growing stock of standardized signals, that process is real and measurable rather than merely asserted. This is the affirmative half of the result, and it matters because the statecraft literature has never put a number on the relationship it takes for granted</w:t>
      </w:r>
      <w:r>
        <w:t xml:space="preserve"> </w:t>
      </w:r>
      <w:hyperlink w:anchor="ref-1">
        <w:r>
          <w:rPr>
            <w:rStyle w:val="Hyperlink"/>
          </w:rPr>
          <w:t xml:space="preserve">[1]</w:t>
        </w:r>
      </w:hyperlink>
      <w:r>
        <w:t xml:space="preserve">[3].</w:t>
      </w:r>
    </w:p>
    <w:bookmarkEnd w:id="131"/>
    <w:bookmarkStart w:id="132" w:name="what-the-magnitude-means"/>
    <w:p>
      <w:pPr>
        <w:pStyle w:val="Heading3"/>
        <w:spacing w:line="480" w:lineRule="auto"/>
      </w:pPr>
      <w:r>
        <w:t xml:space="preserve">6.2.3 What the magnitude means</w:t>
      </w:r>
    </w:p>
    <w:p>
      <w:pPr>
        <w:pStyle w:val="FirstParagraph"/>
        <w:spacing w:line="480" w:lineRule="auto"/>
      </w:pPr>
      <w:r>
        <w:t xml:space="preserve">Yet the substantive finding is not the sign but the size. An elasticity of 0.196 is well below unity, which places the production relationship firmly in the inelastic region. In a learning-curve framework the slope is a constant elasticity, and the quantity that translates it into an intuitive rate is the progress ratio, defined as two raised to the slope. Here that progress ratio is 1.15. The interpretation is direct: each doubling of a provider’s cumulative standards-program experience is associated with roughly a 15 percent increase in the count of open interoperable signals its interface lineage defines. A provider that has been authoring interfaces for twenty years and doubles that tenure to forty does not double its open-signal supply, or anything close to it; it adds on the order of fifteen percent. The accumulation is real, it is statistically detectable, and it decelerates sharply with experience.</w:t>
      </w:r>
    </w:p>
    <w:p>
      <w:pPr>
        <w:pStyle w:val="BodyText"/>
        <w:spacing w:line="480" w:lineRule="auto"/>
        <w:ind w:firstLine="720"/>
      </w:pPr>
      <w:r>
        <w:t xml:space="preserve">This decelerating, inelastic shape is materially different from the picture the narrative literature implies. Accounts that equate standards-body tenure with ever-expanding interface advantage describe something closer to an open-ended or near-linear accumulation, in which the bloc that stays longest at the table keeps pulling away. The elasticity contradicts that reading by a wide margin. The production premise survives the test, but in a heavily qualified form: longevity in standards bodies buys a growing but slowing supply of open interfaces, not an unbounded one. A strategy that treats every additional year of standards participation as buying a proportional increment of interface advantage overstates the production relationship by an order of magnitude, because the marginal open signal becomes harder to add as the lineage matures and the most valuable civil signals are defined early.</w:t>
      </w:r>
    </w:p>
    <w:bookmarkEnd w:id="132"/>
    <w:bookmarkStart w:id="133" w:name="reading-the-fit"/>
    <w:p>
      <w:pPr>
        <w:pStyle w:val="Heading3"/>
        <w:spacing w:line="480" w:lineRule="auto"/>
      </w:pPr>
      <w:r>
        <w:t xml:space="preserve">6.2.4 Reading the fit</w:t>
      </w:r>
    </w:p>
    <w:p>
      <w:pPr>
        <w:pStyle w:val="FirstParagraph"/>
        <w:spacing w:line="480" w:lineRule="auto"/>
      </w:pPr>
      <w:r>
        <w:t xml:space="preserve">Far from undercutting this interpretation, the modest R-squared of 0.282 reinforces it. That is not a weakness. Roughly seventy percent of the variation in log open-signal supply is left unexplained by cumulative experience alone, which is exactly what a learning-curve reading predicts: experience is one ordered input to open-signal supply, not its sole determinant. A large share of the residual variation reflects provider-specific signal-plan choices, frequency-band allocations, and national signal-design decisions that a single-elasticity curve is not built to capture, and that the parsimonious specification deliberately leaves out because the sample of 23 release events cannot support a richer model without overfitting. The fit statistic should therefore be read as consistent with the substantive story rather than as a weakness of it. A learning curve that explained nearly all the variation would imply that experience mechanically determines interface supply, which is not the claim; the claim is that experience is a significant ordered driver operating at a low, decelerating elasticity, and a fit of 0.282 is the empirical signature of precisely that. The precision of the intercept relative to the slope, with the intercept’s p-value of 0.001 against the slope’s 0.023, is also consistent with this: the level of open-signal supply at the experience anchor is well pinned down, while the rate at which it grows is detectable but estimated with the wider uncertainty that the confidence interval from 0.027 to 0.365 honestly reports.</w:t>
      </w:r>
    </w:p>
    <w:bookmarkEnd w:id="133"/>
    <w:bookmarkEnd w:id="134"/>
    <w:bookmarkStart w:id="140" w:name="X60ef0a493a6660f7ebed9452d2c753a4f235376"/>
    <w:p>
      <w:pPr>
        <w:pStyle w:val="Heading2"/>
        <w:spacing w:line="480" w:lineRule="auto"/>
      </w:pPr>
      <w:r>
        <w:t xml:space="preserve">6.3 The Adoption Mechanism: Survival Analysis of Chipset Uptake</w:t>
      </w:r>
    </w:p>
    <w:bookmarkStart w:id="135" w:name="what-was-estimated-1"/>
    <w:p>
      <w:pPr>
        <w:pStyle w:val="Heading3"/>
        <w:spacing w:line="480" w:lineRule="auto"/>
      </w:pPr>
      <w:r>
        <w:t xml:space="preserve">6.3.1 What was estimated</w:t>
      </w:r>
    </w:p>
    <w:p>
      <w:pPr>
        <w:pStyle w:val="FirstParagraph"/>
        <w:spacing w:line="480" w:lineRule="auto"/>
      </w:pPr>
      <w:r>
        <w:t xml:space="preserve">Link two is the adoption mechanism. Having established that standards-program experience does produce a growing, if inelastic, supply of open interfaces, the dissertation asks whether early publication of those open interfaces accelerates their absorption by the downstream receiver industry. This is the temporal premise on which the reference-frame argument actually rests: the claim is not merely that authoring an interface is valuable, but that the market converges on the authored interface quickly because failing to do so strands downstream investment</w:t>
      </w:r>
      <w:r>
        <w:t xml:space="preserve"> </w:t>
      </w:r>
      <w:hyperlink w:anchor="ref-1">
        <w:r>
          <w:rPr>
            <w:rStyle w:val="Hyperlink"/>
          </w:rPr>
          <w:t xml:space="preserve">[1]</w:t>
        </w:r>
      </w:hyperlink>
      <w:r>
        <w:t xml:space="preserve">[4]. Speed of downstream convergence is the observable signature of that mechanism, and a survival model is the natural estimator for a speed-to-event question.</w:t>
      </w:r>
    </w:p>
    <w:p>
      <w:pPr>
        <w:pStyle w:val="BodyText"/>
        <w:spacing w:line="480" w:lineRule="auto"/>
        <w:ind w:firstLine="720"/>
      </w:pPr>
      <w:r>
        <w:t xml:space="preserve">Units here are constellation-chipset family pairs. The six GNSS constellations, the four global systems GPS, GLONASS, Galileo, and BeiDou and the two regional systems QZSS and NavIC, are each paired with up to five major receiver-chipset families, yielding thirty observations. Twenty-five of these are adoption events and five are right-censored at the 2024 observation cutoff, meaning the chipset family had not yet added support for that constellation by the end of the observation window. The duration is the number of years from the constellation’s open civil-signal baseline to the year the chipset family added support. The estimator is a Cox proportional-hazards model, chosen because the outcome is a time to an event with right-censoring, because it imposes no parametric assumption on the shape of the baseline adoption hazard, and because the quantity of interest, the hazard ratio on early open-interface publication, maps directly onto the theoretical claim about adoption speed. The model regresses the adoption hazard on three covariates: early open-interface publication, an interoperability-commitment indicator, and a global-versus-regional indicator. The directional hypothesis H1 predicts a hazard ratio above one on the leadership variable, indicating faster adoption; H0 predicts a coefficient indistinguishable from zero. The model was estimated on all thirty observations with twenty-five events.</w:t>
      </w:r>
    </w:p>
    <w:bookmarkEnd w:id="135"/>
    <w:bookmarkStart w:id="136" w:name="X18fe0689494d932f212f917be8acd823c9f60c9"/>
    <w:p>
      <w:pPr>
        <w:pStyle w:val="Heading3"/>
        <w:spacing w:line="480" w:lineRule="auto"/>
      </w:pPr>
      <w:r>
        <w:t xml:space="preserve">6.3.2 The central estimate: early open-interface publication</w:t>
      </w:r>
    </w:p>
    <w:p>
      <w:pPr>
        <w:pStyle w:val="FirstParagraph"/>
        <w:spacing w:line="480" w:lineRule="auto"/>
      </w:pPr>
      <w:r>
        <w:t xml:space="preserve">Support for the adoption mechanism does not materialize in the form H1 predicts, and on the central variable the point estimate runs in the opposite direction. The coefficient on early open-interface publication is negative at -1.194, with a standard error of 0.626, a z-statistic of -1.91, and a p-value of 0.056. The corresponding hazard ratio is 0.303. The 95 percent confidence interval on the coefficient runs from -2.420 to 0.032, so it includes zero, but only by the narrow margin of that upper bound.</w:t>
      </w:r>
    </w:p>
    <w:p>
      <w:pPr>
        <w:pStyle w:val="BodyText"/>
        <w:spacing w:line="480" w:lineRule="auto"/>
        <w:ind w:firstLine="720"/>
      </w:pPr>
      <w:r>
        <w:t xml:space="preserve">Two readings follow, and both must be stated precisely because they pull in tension. First, on the question of statistical significance, H0 is not rejected at the five percent level. The p-value of 0.056 sits just above the conventional 0.05 threshold, and the confidence interval, by including zero, formally fails to reject the null that early open-interface publication has no association with adoption speed. By the rules of the test, the result is a non-rejection. Second, on the question of direction, the estimate actively contradicts the directional prediction of H1. H1 requires a hazard ratio above one; the estimated hazard ratio is 0.303, which is below one by a wide margin. A hazard ratio of 0.303 means that, holding the other covariates fixed, a constellation coded as an early open-interface publisher is associated with roughly a thirty percent instantaneous hazard of chipset adoption relative to a late publisher, that is, an adoption rate roughly two-thirds lower, not higher. The sign points the wrong way for the hypothesis. The honest summary is therefore not that the data are silent but that they are mildly hostile to the naive adoption mechanism: the leadership variable that most directly encodes early standards-leadership timing is associated, marginally and short of conventional significance, with slower rather than faster downstream uptake.</w:t>
      </w:r>
    </w:p>
    <w:bookmarkEnd w:id="136"/>
    <w:bookmarkStart w:id="137" w:name="the-interoperability-commitment-estimate"/>
    <w:p>
      <w:pPr>
        <w:pStyle w:val="Heading3"/>
        <w:spacing w:line="480" w:lineRule="auto"/>
      </w:pPr>
      <w:r>
        <w:t xml:space="preserve">6.3.3 The interoperability-commitment estimate</w:t>
      </w:r>
    </w:p>
    <w:p>
      <w:pPr>
        <w:pStyle w:val="FirstParagraph"/>
        <w:spacing w:line="480" w:lineRule="auto"/>
      </w:pPr>
      <w:r>
        <w:t xml:space="preserve">One estimate in either paper points cleanly in the direction the statecraft story predicts: the interoperability-commitment indicator. Its coefficient is positive at 1.600, with a standard error of 1.122, a z-statistic of 1.43, and a p-value of 0.154, giving a hazard ratio of 4.953. The 95 percent confidence interval on the coefficient runs from -0.598 to 3.798. A hazard ratio of nearly five would, if it could be trusted, be a large effect: systems whose providers made an explicit multi-constellation interoperability commitment would face an instantaneous adoption hazard almost five times that of systems without such a commitment. This is the breadth-of-commitment channel rather than the timing-of-publication channel, and its sign is exactly what the adoption mechanism would lead one to expect. The sign, at least, cooperates.</w:t>
      </w:r>
    </w:p>
    <w:p>
      <w:pPr>
        <w:pStyle w:val="BodyText"/>
        <w:spacing w:line="480" w:lineRule="auto"/>
        <w:ind w:firstLine="720"/>
      </w:pPr>
      <w:r>
        <w:t xml:space="preserve">Even so, the estimate cannot be distinguished from zero. The p-value of 0.154 is well above any conventional significance threshold, the standard error of 1.122 is large relative to the coefficient, and the confidence interval spans zero comfortably, from a negative lower bound to a positive upper bound. In a sample of thirty observations with twenty-five events and three covariates, the model simply does not have the power to pin down an effect of this kind with any precision. The right characterization is that the interoperability-commitment estimate is positive, large in point value, and imprecise, a suggestive but inconclusive signal rather than evidence. It is, nonetheless, the most promising thread in the survival results, because it isolates the breadth of an interoperability commitment from the mere timing of an interface publication and finds that the breadth channel, unlike the timing channel, at least carries the predicted sign.</w:t>
      </w:r>
    </w:p>
    <w:bookmarkEnd w:id="137"/>
    <w:bookmarkStart w:id="138" w:name="the-global-versus-regional-estimate"/>
    <w:p>
      <w:pPr>
        <w:pStyle w:val="Heading3"/>
        <w:spacing w:line="480" w:lineRule="auto"/>
      </w:pPr>
      <w:r>
        <w:t xml:space="preserve">6.3.4 The global-versus-regional estimate</w:t>
      </w:r>
    </w:p>
    <w:p>
      <w:pPr>
        <w:pStyle w:val="FirstParagraph"/>
        <w:spacing w:line="480" w:lineRule="auto"/>
      </w:pPr>
      <w:r>
        <w:t xml:space="preserve">Nothing moves in the third covariate. The global-versus-regional indicator is effectively null. Its coefficient is -0.082, with a standard error of 0.594, a z-statistic that is negligible, and a p-value of 0.890, giving a hazard ratio of 0.921. A hazard ratio of 0.921 is close enough to one, and a p-value of 0.890 close enough to certainty of no effect, that the structural distinction between global and regional systems carries essentially no information about adoption speed once the two interface variables are in the model. Whatever drives the timing of chipset adoption, it is not captured by whether a constellation is global or regional. This is a clean null, reported without embellishment; it tells the reader that the survival result is not being driven by a confound between system scope and interface characteristics, because system scope, entered directly, does no work.</w:t>
      </w:r>
    </w:p>
    <w:bookmarkEnd w:id="138"/>
    <w:bookmarkStart w:id="139" w:name="X7932212860f035fa71df3dc085a0689df5a69f4"/>
    <w:p>
      <w:pPr>
        <w:pStyle w:val="Heading3"/>
        <w:spacing w:line="480" w:lineRule="auto"/>
      </w:pPr>
      <w:r>
        <w:t xml:space="preserve">6.3.5 Reading the three survival estimates together</w:t>
      </w:r>
    </w:p>
    <w:p>
      <w:pPr>
        <w:pStyle w:val="FirstParagraph"/>
        <w:spacing w:line="480" w:lineRule="auto"/>
      </w:pPr>
      <w:r>
        <w:t xml:space="preserve">Taken as a set, the three Cox estimates cohere. The variable that most directly encodes standards-leadership timing, early open-interface publication, does not predict faster adoption, and where its sign points it points the wrong way, toward slower uptake, at marginal significance. The variable that encodes the breadth of the interoperability commitment points in the predicted direction but cannot be separated from zero in a sample of this size. The structural global-regional distinction carries no information at all once the interface variables are included. The coherence across the three matters: a result in which the timing variable was negative and the commitment variable was significant and positive would be hard to reconcile, but what the data deliver instead is a uniform picture of a leadership-timing channel that is at best inert and at worst mildly counterproductive, alongside a breadth-of-commitment channel that is promising but underpowered.</w:t>
      </w:r>
    </w:p>
    <w:bookmarkEnd w:id="139"/>
    <w:bookmarkEnd w:id="140"/>
    <w:bookmarkStart w:id="141" w:name="interpreting-the-adoption-null"/>
    <w:p>
      <w:pPr>
        <w:pStyle w:val="Heading2"/>
        <w:spacing w:line="480" w:lineRule="auto"/>
      </w:pPr>
      <w:r>
        <w:t xml:space="preserve">6.4 Interpreting the Adoption Null</w:t>
      </w:r>
    </w:p>
    <w:p>
      <w:pPr>
        <w:pStyle w:val="FirstParagraph"/>
        <w:spacing w:line="480" w:lineRule="auto"/>
      </w:pPr>
      <w:r>
        <w:t xml:space="preserve">Why the negative sign? It demands an explanation, because a naive reading would treat it as evidence that publishing an open interface early actively retards adoption, which is implausible on its face.</w:t>
      </w:r>
    </w:p>
    <w:p>
      <w:pPr>
        <w:pStyle w:val="BodyText"/>
        <w:spacing w:line="480" w:lineRule="auto"/>
        <w:ind w:firstLine="720"/>
      </w:pPr>
      <w:r>
        <w:t xml:space="preserve">The more defensible interpretation, and the one the data structure supports, is that the receiver industry adopts on its own schedule, set by silicon-generation cycles and the economics of multi-constellation systems-on-chip, rather than on the publication schedule of any single provider</w:t>
      </w:r>
      <w:r>
        <w:t xml:space="preserve"> </w:t>
      </w:r>
      <w:hyperlink w:anchor="ref-12">
        <w:r>
          <w:rPr>
            <w:rStyle w:val="Hyperlink"/>
          </w:rPr>
          <w:t xml:space="preserve">[12]</w:t>
        </w:r>
      </w:hyperlink>
      <w:r>
        <w:t xml:space="preserve">. The mechanism that generates the negative sign is a confound between interface timing and market readiness, and the two extreme cases in the sample make it visible.</w:t>
      </w:r>
    </w:p>
    <w:p>
      <w:pPr>
        <w:pStyle w:val="BodyText"/>
        <w:spacing w:line="480" w:lineRule="auto"/>
        <w:ind w:firstLine="720"/>
      </w:pPr>
      <w:r>
        <w:t xml:space="preserve">GLONASS is coded as a late open-interface system, because its English-language civil interface materially lagged its operational service, yet it was adopted rapidly once the chipset industry had already become multi-GNSS by design. A late publisher absorbed quickly because the market was ready when its interface arrived. GPS, by contrast, is coded as the earliest open system, and it shows long adoption durations precisely because consumer multi-constellation silicon did not exist for most of its early operational life. An early publisher absorbed slowly because the market was not yet built to absorb it. The two cases mirror each other. Early openness and fast adoption are therefore confounded by the maturation of the receiver market itself, and a survival model that conditions only on interface variables, with no control for the era in which adoption could even occur, recovers that confound as a negative coefficient on early publication. The negative sign is an artifact of market readiness, not evidence that early publication causes slow adoption.</w:t>
      </w:r>
    </w:p>
    <w:p>
      <w:pPr>
        <w:pStyle w:val="BodyText"/>
        <w:spacing w:line="480" w:lineRule="auto"/>
        <w:ind w:firstLine="720"/>
      </w:pPr>
      <w:r>
        <w:t xml:space="preserve">This interpretation does the analytical work of squaring the two papers. Paper 2 establishes that early, foundational interface activity does produce open signals, at a real but inelastic rate. Paper 1 establishes that producing those open signals early does not, by itself, accelerate their downstream absorption, because absorption is gated by a market-maturation process exogenous to the interface. The two findings are consistent: the production mechanism operates, but the adoption mechanism that the strategic claim needs in order to convert production into advantage does not operate through the simple channel of early publication. The chain has a working first link and a broken or, more precisely, a mis-specified second link. That diagnosis matters.</w:t>
      </w:r>
    </w:p>
    <w:bookmarkEnd w:id="141"/>
    <w:bookmarkStart w:id="142" w:name="what-the-results-do-and-do-not-license"/>
    <w:p>
      <w:pPr>
        <w:pStyle w:val="Heading2"/>
        <w:spacing w:line="480" w:lineRule="auto"/>
      </w:pPr>
      <w:r>
        <w:t xml:space="preserve">6.5 What the Results Do and Do Not License</w:t>
      </w:r>
    </w:p>
    <w:p>
      <w:pPr>
        <w:pStyle w:val="FirstParagraph"/>
        <w:spacing w:line="480" w:lineRule="auto"/>
      </w:pPr>
      <w:r>
        <w:t xml:space="preserve">Narrowing, not refutation, is what the combined results deliver, and the boundary must be drawn carefully so the dissertation neither overclaims nor underclaims. Both errors would mislead. On the production side, the affirmative result is genuine: a bloc that sustains its interface-governance activity does accumulate a larger stock of standardized open interfaces, and that stock grows with experience at a measured elasticity of 0.196, significant at the five percent level. The qualification is equally genuine: the elasticity is far below unity, so the accumulation decelerates, and the unbounded interface advantage that narrative accounts imply is not supported by the production data. On the adoption side, the result is a measured contradiction of the naive timing mechanism for the GNSS receiver market over the observed period. Authoring an open interface early is not associated with faster absorption into the chipset industry; in this sample the association is mildly negative, with a hazard ratio of 0.303, and only marginally short of conventional significance at a p-value of 0.056.</w:t>
      </w:r>
    </w:p>
    <w:p>
      <w:pPr>
        <w:pStyle w:val="BodyText"/>
        <w:spacing w:line="480" w:lineRule="auto"/>
        <w:ind w:firstLine="720"/>
      </w:pPr>
      <w:r>
        <w:t xml:space="preserve">Neither result refutes the broader proposition that standards leadership confers strategic advantage. What they jointly establish is that, if standards leadership produces advantage, it does not do so through the two simplest mechanisms the literature implicitly invokes. It does not do so through an open-ended production process, because the production elasticity is inelastic. And it does not do so through the channel of early interface publication accelerating third-party hardware adoption, because that channel, isolated here, is inert or mildly negative once market maturation is the confound. One candidate survives. The estimate that survives as a candidate for the advantage mechanism is the interoperability-commitment hazard ratio of 4.953, positive and large but statistically indistinguishable from zero in a thirty-observation sample. That estimate is the empirical hinge between these two studies and the larger panel design the dissertation builds toward, because it suggests that the breadth of an interoperability commitment, separated from the timing of publication and freed from the market-maturation confound through time fixed effects, is where a measurable advantage effect, if one exists, is most likely to be found.</w:t>
      </w:r>
    </w:p>
    <w:bookmarkEnd w:id="142"/>
    <w:bookmarkStart w:id="143" w:name="limitations-carried-by-the-estimates"/>
    <w:p>
      <w:pPr>
        <w:pStyle w:val="Heading2"/>
        <w:spacing w:line="480" w:lineRule="auto"/>
      </w:pPr>
      <w:r>
        <w:t xml:space="preserve">6.6 Limitations Carried by the Estimates</w:t>
      </w:r>
    </w:p>
    <w:p>
      <w:pPr>
        <w:pStyle w:val="FirstParagraph"/>
        <w:spacing w:line="480" w:lineRule="auto"/>
      </w:pPr>
      <w:r>
        <w:t xml:space="preserve">Every limitation here is a property of the estimates themselves, reported so the reader can weigh how much each result can bear. Both samples are small. The learning-curve study has 23 release events; the survival study has 30 constellation-chipset pairs with 25 events. Small samples are the reason the learning-curve confidence interval is as wide as 0.027 to 0.365 and the reason the interoperability-commitment estimate, despite a point hazard ratio near five, cannot clear conventional significance. The leadership constructs are coded coarsely: early open-interface publication is a binary in the survival model, collapsing a continuous timing construct into two categories, and the learning-curve experience clock is anchored to each provider’s earliest documented interface artifact, so small differences in that anchoring date move the youngest providers’ experience values and therefore the slope. The survival study’s central confound, the entanglement of interface timing with receiver-market maturation, is structural and cannot be removed within a single survival cross-section that carries no temporal control. Each of these is a reason the dissertation proceeds to a wider panel with refined indices and explicit time fixed effects rather than resting on these two cross-sectional estimates. The estimates reported here are precise about their own uncertainty, and that precision, the honest confidence intervals and the marginal p-values reported exactly as the estimators returned them, is part of the contribution: a wide null is distinguishable from a precise null, and a marginal contradiction is distinguishable from a clean rejection, only because the figures are presented without adjustment.</w:t>
      </w:r>
    </w:p>
    <w:bookmarkEnd w:id="143"/>
    <w:bookmarkEnd w:id="144"/>
    <w:bookmarkStart w:id="151" w:name="X21322cb5e29cbf4eb576afddcad42f86ace4e0d"/>
    <w:p>
      <w:pPr>
        <w:pStyle w:val="Heading1"/>
        <w:spacing w:line="480" w:lineRule="auto"/>
      </w:pPr>
      <w:r>
        <w:t xml:space="preserve">Chapter 7. Discussion and Governance Implications</w:t>
      </w:r>
    </w:p>
    <w:bookmarkStart w:id="145" w:name="X96ed3bf9c9b53e77a5765d2318dc23cf507f229"/>
    <w:p>
      <w:pPr>
        <w:pStyle w:val="Heading2"/>
        <w:spacing w:line="480" w:lineRule="auto"/>
      </w:pPr>
      <w:r>
        <w:t xml:space="preserve">7.1 What the Two Estimates Mean When Read Together</w:t>
      </w:r>
    </w:p>
    <w:p>
      <w:pPr>
        <w:pStyle w:val="FirstParagraph"/>
        <w:spacing w:line="480" w:lineRule="auto"/>
      </w:pPr>
      <w:r>
        <w:t xml:space="preserve">This dissertation set out to convert a widely repeated strategic intuition into a measured estimate. The intuition holds that the bloc which authors and shepherds a dominant interoperability standard captures durable advantage, anchoring downstream supply chains and converting technical leadership into economic and security leverage</w:t>
      </w:r>
      <w:r>
        <w:t xml:space="preserve"> </w:t>
      </w:r>
      <w:hyperlink w:anchor="ref-1">
        <w:r>
          <w:rPr>
            <w:rStyle w:val="Hyperlink"/>
          </w:rPr>
          <w:t xml:space="preserve">[1]</w:t>
        </w:r>
      </w:hyperlink>
      <w:r>
        <w:t xml:space="preserve">[3]. The two empirical studies that constitute the core of this dissertation decompose that intuition into a production stage and an adoption stage, and they return findings that point in different directions. Read in isolation, each study is a narrow, single-parameter result. Together they say more. Read together, they reorganize the strategic claim into something more useful to a program office than the original assertion, because they separate the part of the claim that survives measurement from the part that does not.</w:t>
      </w:r>
    </w:p>
    <w:p>
      <w:pPr>
        <w:pStyle w:val="BodyText"/>
        <w:spacing w:line="480" w:lineRule="auto"/>
        <w:ind w:firstLine="720"/>
      </w:pPr>
      <w:r>
        <w:t xml:space="preserve">On the production side, the study estimated a learning curve relating a provider’s cumulative standards-program experience to the cumulative supply of open interoperable signals its interface lineage defines. The elasticity was positive and statistically distinguishable from zero at 0.196, with a robust standard error of 0.086 and a 95 percent confidence interval running from 0.027 to 0.365. The production premise underlying the statecraft claim therefore survives the test: sustained interface-governance activity is associated with an accumulating stock of standardized interfaces that receiver and chipset makers can build against</w:t>
      </w:r>
      <w:r>
        <w:t xml:space="preserve"> </w:t>
      </w:r>
      <w:hyperlink w:anchor="ref-1">
        <w:r>
          <w:rPr>
            <w:rStyle w:val="Hyperlink"/>
          </w:rPr>
          <w:t xml:space="preserve">[1]</w:t>
        </w:r>
      </w:hyperlink>
      <w:r>
        <w:t xml:space="preserve">[3]. The qualification is equally precise and equally important. The elasticity sits far below unity, so the implied progress ratio is only 1.15, meaning each doubling of a provider’s cumulative standards-program experience is associated with roughly a fifteen percent increase in the count of open interoperable signals. The supply of open interfaces grows with experience, but it decelerates rather than compounding without bound. The curve bends down.</w:t>
      </w:r>
    </w:p>
    <w:p>
      <w:pPr>
        <w:pStyle w:val="BodyText"/>
        <w:spacing w:line="480" w:lineRule="auto"/>
        <w:ind w:firstLine="720"/>
      </w:pPr>
      <w:r>
        <w:t xml:space="preserve">On the adoption side, the study estimated a Cox proportional-hazards model relating early open-interface publication to the rate at which the receiver-chipset industry adds support for a constellation. Here the result ran against the naive mechanism. The coefficient on early open-interface publication was negative at minus 1.194, with a standard error of 0.626, a hazard ratio of 0.303, and a p-value of 0.0563, so the null was not rejected at the five percent level and the directional prediction of a hazard ratio above one was contradicted by the sign of the estimate</w:t>
      </w:r>
      <w:r>
        <w:t xml:space="preserve"> </w:t>
      </w:r>
      <w:hyperlink w:anchor="ref-5">
        <w:r>
          <w:rPr>
            <w:rStyle w:val="Hyperlink"/>
          </w:rPr>
          <w:t xml:space="preserve">[5]</w:t>
        </w:r>
      </w:hyperlink>
      <w:r>
        <w:t xml:space="preserve">. The one covariate that pointed in the predicted direction, an explicit interoperability commitment, carried a hazard ratio of 4.953 but a p-value of 0.154, so it could not be distinguished from zero in a sample of thirty observations with twenty-five events.</w:t>
      </w:r>
    </w:p>
    <w:p>
      <w:pPr>
        <w:pStyle w:val="BodyText"/>
        <w:spacing w:line="480" w:lineRule="auto"/>
        <w:ind w:firstLine="720"/>
      </w:pPr>
      <w:r>
        <w:t xml:space="preserve">Neither vindication nor refutation follows from the combined reading. It is a partition of the claim. The production relationship the statecraft literature assumes is real and measurable, but inelastic. The simplest adoption mechanism the same literature implies, that authoring an open interface early pulls third-party hardware toward the authored interface faster, is not supported for the GNSS receiver market over the observed period, and the most plausible explanation is that the receiver industry adopts on its own silicon-generation schedule rather than on the publication schedule of any single provider</w:t>
      </w:r>
      <w:r>
        <w:t xml:space="preserve"> </w:t>
      </w:r>
      <w:hyperlink w:anchor="ref-5">
        <w:r>
          <w:rPr>
            <w:rStyle w:val="Hyperlink"/>
          </w:rPr>
          <w:t xml:space="preserve">[5]</w:t>
        </w:r>
      </w:hyperlink>
      <w:r>
        <w:t xml:space="preserve">. The advantage story, if it holds at all, does not run through the timing of interface publication; it must run through some other channel, with the breadth of an interoperability commitment being the most promising surviving candidate even though this dissertation could not estimate it precisely. The chapters that follow translate this partition into implications for the institutions that must decide how much to invest in standards leadership, and they are written for the program managers and laboratory decision-makers who hold those investment levers.</w:t>
      </w:r>
    </w:p>
    <w:bookmarkEnd w:id="145"/>
    <w:bookmarkStart w:id="146" w:name="implications-for-nasa-program-management"/>
    <w:p>
      <w:pPr>
        <w:pStyle w:val="Heading2"/>
        <w:spacing w:line="480" w:lineRule="auto"/>
      </w:pPr>
      <w:r>
        <w:t xml:space="preserve">7.2 Implications for NASA Program Management</w:t>
      </w:r>
    </w:p>
    <w:p>
      <w:pPr>
        <w:pStyle w:val="FirstParagraph"/>
        <w:spacing w:line="480" w:lineRule="auto"/>
      </w:pPr>
      <w:r>
        <w:t xml:space="preserve">For a program office the operative question is not whether standards leadership is rhetorically important but whether a marginal dollar steered toward standards-body participation buys a measurable return, and if so through which mechanism. The findings of this dissertation give that question a sharper answer than the prior literature, which asserted the return without estimating it</w:t>
      </w:r>
      <w:r>
        <w:t xml:space="preserve"> </w:t>
      </w:r>
      <w:hyperlink w:anchor="ref-1">
        <w:r>
          <w:rPr>
            <w:rStyle w:val="Hyperlink"/>
          </w:rPr>
          <w:t xml:space="preserve">[1]</w:t>
        </w:r>
      </w:hyperlink>
      <w:r>
        <w:t xml:space="preserve">[3][4]. The answer has three parts. Each maps onto a distinct programmatic decision.</w:t>
      </w:r>
    </w:p>
    <w:p>
      <w:pPr>
        <w:pStyle w:val="BodyText"/>
        <w:spacing w:line="480" w:lineRule="auto"/>
        <w:ind w:firstLine="720"/>
      </w:pPr>
      <w:r>
        <w:t xml:space="preserve">First, the production relationship justifies treating standards-program participation as a cumulative capital asset rather than as a discretionary line item to be funded in good budget years and cut in lean ones. Because open-signal supply scales with cumulative experience rather than with annual spending, the value of a standards program is path-dependent: an organization that sustains its presence in an interface-governance body accumulates a stock that a competitor cannot replicate quickly by surging resources. This is the programmatically useful content of the elasticity. A program manager evaluating whether to maintain a delegate seat in a body such as the International Committee on GNSS or the optical-communications working groups of the Consultative Committee for Space Data Systems should read the elasticity as evidence that continuity has compounding value, and that the cost of a lapse is not merely the missed meetings but the lost position on the experience curve. The same path-dependence implies that the right time to enter a standards body is early in the life of a layer, before the accumulation has begun, which is the programmatic reason the optical inter-satellite link layer is the more consequential frontier today than the mature PNT layer</w:t>
      </w:r>
      <w:r>
        <w:t xml:space="preserve"> </w:t>
      </w:r>
      <w:hyperlink w:anchor="ref-6">
        <w:r>
          <w:rPr>
            <w:rStyle w:val="Hyperlink"/>
          </w:rPr>
          <w:t xml:space="preserve">[6]</w:t>
        </w:r>
      </w:hyperlink>
      <w:r>
        <w:t xml:space="preserve">[7].</w:t>
      </w:r>
    </w:p>
    <w:p>
      <w:pPr>
        <w:pStyle w:val="BodyText"/>
        <w:spacing w:line="480" w:lineRule="auto"/>
        <w:ind w:firstLine="720"/>
      </w:pPr>
      <w:r>
        <w:t xml:space="preserve">Second, and in tension with the first, the inelasticity disciplines how much a program should expect from that asset. An elasticity of 0.196 means that a program cannot buy proportional advantage by doubling its standards tenure; it buys roughly fifteen percent more open-signal supply per doubling, a real but modest return. For NASA program management this argues against framing standards leadership as a high-leverage strategic instrument in its own right and in favor of framing it as a necessary enabling condition whose payoff is realized only in combination with the downstream capabilities that actually convert interfaces into mission value. A program that invests heavily in authoring interfaces while underinvesting in the flight terminals, ground segments, and receiver integrations that build to those interfaces will have purchased the upstream input without the downstream conversion. The decelerating production curve is a warning against overcapitalizing the standards activity relative to the capabilities it is meant to enable. Proportion is the discipline.</w:t>
      </w:r>
    </w:p>
    <w:p>
      <w:pPr>
        <w:pStyle w:val="BodyText"/>
        <w:spacing w:line="480" w:lineRule="auto"/>
        <w:ind w:firstLine="720"/>
      </w:pPr>
      <w:r>
        <w:t xml:space="preserve">Third, the adoption-side null reorients where a program should look for the return on standards leadership. Timing buys less than assumed. Because early interface publication did not accelerate downstream adoption in the GNSS case, a program office should not justify a standards investment primarily on the expectation that publishing an open interface will pull industry toward it on the program’s preferred timeline</w:t>
      </w:r>
      <w:r>
        <w:t xml:space="preserve"> </w:t>
      </w:r>
      <w:hyperlink w:anchor="ref-5">
        <w:r>
          <w:rPr>
            <w:rStyle w:val="Hyperlink"/>
          </w:rPr>
          <w:t xml:space="preserve">[5]</w:t>
        </w:r>
      </w:hyperlink>
      <w:r>
        <w:t xml:space="preserve">. The receiver-market evidence indicates that adoption is governed by the downstream industry’s own economics, here the silicon-generation and multi-constellation system-on-chip cycle, and that a provider’s publication date is largely absorbed by that cycle. The programmatic translation is that standards leadership should be valued for the option it preserves rather than for the schedule it dictates. Authoring an open, stable interface ensures that the program’s signals or terminals remain implementable by third parties when those third parties reach their own adoption decision; it does not move that decision forward. A program that understands this will measure the success of its standards participation by interface quality, openness, and stability, which are within its control, rather than by adoption speed, which the evidence shows it does not control.</w:t>
      </w:r>
    </w:p>
    <w:p>
      <w:pPr>
        <w:pStyle w:val="BodyText"/>
        <w:spacing w:line="480" w:lineRule="auto"/>
        <w:ind w:firstLine="720"/>
      </w:pPr>
      <w:r>
        <w:t xml:space="preserve">These three implications resolve a recurring program-management dilemma. Standards work is chronically undervalued in program budgets because its benefits are diffuse, delayed, and hard to attribute, and it is therefore vulnerable in any competition for resources against hardware milestones with visible deliverables. The findings here do not overturn that difficulty, but they reframe it. They show that the benefit is real on the production side, that it is bounded rather than unbounded, and that it should be defended as continuity-preserving infrastructure rather than as a schedule-shaping lever. A program manager armed with the elasticity and the hazard estimate can make a defensible, quantified case for sustained but proportionate standards investment, which is precisely the case the prior assertion-based literature could not supply.</w:t>
      </w:r>
    </w:p>
    <w:bookmarkEnd w:id="146"/>
    <w:bookmarkStart w:id="147" w:name="implications-for-jpl-decision-making"/>
    <w:p>
      <w:pPr>
        <w:pStyle w:val="Heading2"/>
        <w:spacing w:line="480" w:lineRule="auto"/>
      </w:pPr>
      <w:r>
        <w:t xml:space="preserve">7.3 Implications for JPL Decision-Making</w:t>
      </w:r>
    </w:p>
    <w:p>
      <w:pPr>
        <w:pStyle w:val="FirstParagraph"/>
        <w:spacing w:line="480" w:lineRule="auto"/>
      </w:pPr>
      <w:r>
        <w:t xml:space="preserve">At the level of a laboratory such as the Jet Propulsion Laboratory, the implications sharpen further: its decisions concern not whether the nation should participate in interface governance but how a specific institution should position itself within a layer that is consolidating in real time. The optical inter-satellite link layer is the relevant frontier. The engineering literature documents that heterogeneous terminals from different vendors are converging on shared interface assumptions precisely because standardized interfaces are what make a mixed constellation routable, and that the routing logic itself presumes an implementable common interface across vendor and national boundaries</w:t>
      </w:r>
      <w:r>
        <w:t xml:space="preserve"> </w:t>
      </w:r>
      <w:hyperlink w:anchor="ref-6">
        <w:r>
          <w:rPr>
            <w:rStyle w:val="Hyperlink"/>
          </w:rPr>
          <w:t xml:space="preserve">[6]</w:t>
        </w:r>
      </w:hyperlink>
      <w:r>
        <w:t xml:space="preserve">[7][8]. A laboratory deciding where to commit its limited standards-engineering staff is making exactly the entry-timing decision that the production-side finding speaks to.</w:t>
      </w:r>
    </w:p>
    <w:p>
      <w:pPr>
        <w:pStyle w:val="BodyText"/>
        <w:spacing w:line="480" w:lineRule="auto"/>
        <w:ind w:firstLine="720"/>
      </w:pPr>
      <w:r>
        <w:t xml:space="preserve">Path-dependence argues that the laboratory’s window to accumulate experience on the optical layer is open now and closing as the layer matures. The window will not stay open. The PNT layer, where the interface record is longest and the accumulation is most advanced, is the layer where a late entrant would find the experience curve already climbed by incumbents; the optical layer is where the curve is still low and an early, sustained presence accumulates disproportionate position relative to later entrants. For a laboratory weighing whether to seed a standards-engineering cadre in the optical-communications working groups, the elasticity provides the rationale for entering early and the inelasticity provides the rationale for sizing that cadre modestly rather than expansively. The asset is worth acquiring early and worth holding continuously, but it is not worth flooding with resources, because the marginal return to additional experience decelerates.</w:t>
      </w:r>
    </w:p>
    <w:p>
      <w:pPr>
        <w:pStyle w:val="BodyText"/>
        <w:spacing w:line="480" w:lineRule="auto"/>
        <w:ind w:firstLine="720"/>
      </w:pPr>
      <w:r>
        <w:t xml:space="preserve">A more cautionary message comes from the adoption-side finding. A laboratory that authors an optical interface should not assume that authorship will cause the broader terminal industry to standardize on its choices, because the GNSS evidence shows that downstream adoption follows the downstream industry’s own cycle rather than the author’s publication date</w:t>
      </w:r>
      <w:r>
        <w:t xml:space="preserve"> </w:t>
      </w:r>
      <w:hyperlink w:anchor="ref-5">
        <w:r>
          <w:rPr>
            <w:rStyle w:val="Hyperlink"/>
          </w:rPr>
          <w:t xml:space="preserve">[5]</w:t>
        </w:r>
      </w:hyperlink>
      <w:r>
        <w:t xml:space="preserve">. For a laboratory this means that the strategic value of authoring an optical interface lies in shaping the technical content of the eventual common interface while the layer is still plastic, not in capturing a first-mover adoption advantage that the evidence suggests does not materialize through publication timing alone. The laboratory’s leverage is at the drafting table, where its engineering judgment can be written into the ratified interface, rather than in the market, where adoption will proceed on the terminal industry’s schedule regardless. This reframing matters for how a laboratory measures the success of its own standards staff: the right metric is the share of cross-vendor interface content the laboratory authored and the technical durability of that content, not the speed at which competitors adopt it.</w:t>
      </w:r>
    </w:p>
    <w:p>
      <w:pPr>
        <w:pStyle w:val="BodyText"/>
        <w:spacing w:line="480" w:lineRule="auto"/>
        <w:ind w:firstLine="720"/>
      </w:pPr>
      <w:r>
        <w:t xml:space="preserve">There is a second-order implication for how a laboratory allocates between standards work and demonstration missions. Because the adoption channel runs through the downstream industry’s readiness rather than through the interface author’s timing, a laboratory can accelerate adoption of an interface it favors more effectively by reducing the downstream industry’s cost of building to that interface, through reference implementations, test artifacts, and demonstration terminals, than by publishing the interface earlier. The interoperability-commitment covariate, which pointed toward faster adoption even though it could not be estimated precisely, is consistent with this reading: what the data weakly associate with faster uptake is not the timing of publication but the breadth and credibility of the commitment to interoperate</w:t>
      </w:r>
      <w:r>
        <w:t xml:space="preserve"> </w:t>
      </w:r>
      <w:hyperlink w:anchor="ref-5">
        <w:r>
          <w:rPr>
            <w:rStyle w:val="Hyperlink"/>
          </w:rPr>
          <w:t xml:space="preserve">[5]</w:t>
        </w:r>
      </w:hyperlink>
      <w:r>
        <w:t xml:space="preserve">. For a laboratory the actionable inference is that demonstrated, credible commitment to an open interface, backed by artifacts the downstream industry can use, is the more promising route to influence than priority of publication. Artifacts persuade; timing does not.</w:t>
      </w:r>
    </w:p>
    <w:bookmarkEnd w:id="147"/>
    <w:bookmarkStart w:id="148" w:name="limitations"/>
    <w:p>
      <w:pPr>
        <w:pStyle w:val="Heading2"/>
        <w:spacing w:line="480" w:lineRule="auto"/>
      </w:pPr>
      <w:r>
        <w:t xml:space="preserve">7.4 Limitations</w:t>
      </w:r>
    </w:p>
    <w:p>
      <w:pPr>
        <w:pStyle w:val="FirstParagraph"/>
        <w:spacing w:line="480" w:lineRule="auto"/>
      </w:pPr>
      <w:r>
        <w:t xml:space="preserve">Limitations follow from the data and designs available, and they must be stated plainly so that the program-management and laboratory implications are not read more strongly than the evidence supports.</w:t>
      </w:r>
    </w:p>
    <w:p>
      <w:pPr>
        <w:pStyle w:val="BodyText"/>
        <w:spacing w:line="480" w:lineRule="auto"/>
        <w:ind w:firstLine="720"/>
      </w:pPr>
      <w:r>
        <w:t xml:space="preserve">First comes the small number of blocs at the level of the strategic claim. There are only six GNSS providers, and only a handful of those have the standards tenure and downstream presence to generate informative variation. The adoption study rests on thirty constellation-chipset observations with twenty-five events, and the production study on twenty-three dated interface releases. These are fully observed, version-stamped, attributable samples, which is their strength, but they are small, which bounds statistical power. Small samples bound claims. The marginal p-value of 0.0563 on the central adoption variable is the clearest symptom: an estimate that close to the conventional threshold cannot bear a strong causal reading in either direction, and the wide confidence interval on the interoperability-commitment covariate reflects the same scarcity of observations. The honest summary is that the adoption study rejects a strong positive mechanism more confidently than it establishes any particular alternative.</w:t>
      </w:r>
    </w:p>
    <w:p>
      <w:pPr>
        <w:pStyle w:val="BodyText"/>
        <w:spacing w:line="480" w:lineRule="auto"/>
        <w:ind w:firstLine="720"/>
      </w:pPr>
      <w:r>
        <w:t xml:space="preserve">Second comes construct validity in the leadership measure. Early open-interface publication is a binary coding of a continuous and multidimensional leadership construct, and it cannot distinguish the seniority of editorial roles, the substantive influence of authored clauses, or the difference between nominal and effective participation. The production study’s experience clock is anchored to each provider’s earliest documented interface artifact, and small differences in that anchoring date move the youngest providers’ experience values appreciably. Both designs therefore measure observable proxies for leadership rather than leadership itself, and a richer index that weighted editorial seniority and clause authorship could in principle recover effects that the binary and the simple experience clock cannot.</w:t>
      </w:r>
    </w:p>
    <w:p>
      <w:pPr>
        <w:pStyle w:val="BodyText"/>
        <w:spacing w:line="480" w:lineRule="auto"/>
        <w:ind w:firstLine="720"/>
      </w:pPr>
      <w:r>
        <w:t xml:space="preserve">Third comes the confounding of interface timing with market readiness in the adoption study, which the chapter has already identified as the most plausible source of the negative sign</w:t>
      </w:r>
      <w:r>
        <w:t xml:space="preserve"> </w:t>
      </w:r>
      <w:hyperlink w:anchor="ref-5">
        <w:r>
          <w:rPr>
            <w:rStyle w:val="Hyperlink"/>
          </w:rPr>
          <w:t xml:space="preserve">[5]</w:t>
        </w:r>
      </w:hyperlink>
      <w:r>
        <w:t xml:space="preserve">. GLONASS, coded as a late open-interface system, was adopted rapidly once chipsets were already multi-constellation by design, while GPS, coded as the earliest open system, shows long durations precisely because consumer multi-constellation silicon did not exist for most of its early life. Early openness and fast adoption are thus entangled with the maturation of the receiver market, and a survival model conditioning only on interface variables recovers that entanglement rather than a clean treatment effect. The cross-sectional survival design cannot absorb the receiver-market maturation that a panel with time fixed effects could, so the adoption estimate should be read as a conditional association in a confounded setting rather than as an identified causal quantity. A cross-section has no clock.</w:t>
      </w:r>
    </w:p>
    <w:p>
      <w:pPr>
        <w:pStyle w:val="BodyText"/>
        <w:spacing w:line="480" w:lineRule="auto"/>
        <w:ind w:firstLine="720"/>
      </w:pPr>
      <w:r>
        <w:t xml:space="preserve">Fourth, the production outcome counts open signals without weighting them by downstream adoption or by strategic importance. A count treats a marginal additional signal as equivalent to a foundational one, and it does not capture that some interfaces anchor far more downstream value than others. The elasticity therefore describes the rate at which the supply of standardized interfaces grows, not the rate at which strategically consequential interfaces grow, and the two may diverge.</w:t>
      </w:r>
    </w:p>
    <w:p>
      <w:pPr>
        <w:pStyle w:val="BodyText"/>
        <w:spacing w:line="480" w:lineRule="auto"/>
        <w:ind w:firstLine="720"/>
      </w:pPr>
      <w:r>
        <w:t xml:space="preserve">Fifth comes external validity. Both studies are estimated on the PNT layer, chosen because its interface record is the longest and most completely public. The optical inter-satellite link layer, to which the laboratory implications most directly apply, is inferred by analogy from a layer whose institutional and market structure differs in ways that may matter</w:t>
      </w:r>
      <w:r>
        <w:t xml:space="preserve"> </w:t>
      </w:r>
      <w:hyperlink w:anchor="ref-6">
        <w:r>
          <w:rPr>
            <w:rStyle w:val="Hyperlink"/>
          </w:rPr>
          <w:t xml:space="preserve">[6]</w:t>
        </w:r>
      </w:hyperlink>
      <w:r>
        <w:t xml:space="preserve">[7][8]. The PNT receiver market is a mature, high-volume consumer-silicon market with its own generational cycle; the optical-terminal market is earlier, lower-volume, and more procurement-driven. The adoption dynamics that produced the GNSS null may not transfer, and the production learning curve estimated on PNT is a prior for the optical layer rather than a measurement of it. The boundary is stated rather than hidden: the findings are firmest for PNT, and their extension to optical interfaces is a reasoned extrapolation awaiting its own data.</w:t>
      </w:r>
    </w:p>
    <w:bookmarkEnd w:id="148"/>
    <w:bookmarkStart w:id="149" w:name="future-research"/>
    <w:p>
      <w:pPr>
        <w:pStyle w:val="Heading2"/>
        <w:spacing w:line="480" w:lineRule="auto"/>
      </w:pPr>
      <w:r>
        <w:t xml:space="preserve">7.5 Future Research</w:t>
      </w:r>
    </w:p>
    <w:p>
      <w:pPr>
        <w:pStyle w:val="FirstParagraph"/>
        <w:spacing w:line="480" w:lineRule="auto"/>
      </w:pPr>
      <w:r>
        <w:t xml:space="preserve">Each limitation defines a tractable next study, and taken together they describe a research agenda that would convert the partition established here into a fuller account of when standards leadership confers advantage.</w:t>
      </w:r>
    </w:p>
    <w:p>
      <w:pPr>
        <w:pStyle w:val="BodyText"/>
        <w:spacing w:line="480" w:lineRule="auto"/>
        <w:ind w:firstLine="720"/>
      </w:pPr>
      <w:r>
        <w:t xml:space="preserve">Most direct is the panel fixed-effects design that the prospectus proposed and that the two completed studies were designed to motivate and bound. A bloc-standard-year panel with bloc and year fixed effects would absorb the receiver-market maturation that confounds the cross-sectional survival estimate, and it would separate the breadth of an interoperability commitment from the timing of publication, which the survival cross-section could not disentangle</w:t>
      </w:r>
      <w:r>
        <w:t xml:space="preserve"> </w:t>
      </w:r>
      <w:hyperlink w:anchor="ref-1">
        <w:r>
          <w:rPr>
            <w:rStyle w:val="Hyperlink"/>
          </w:rPr>
          <w:t xml:space="preserve">[1]</w:t>
        </w:r>
      </w:hyperlink>
      <w:r>
        <w:t xml:space="preserve">[4]. The interoperability-commitment covariate, positive but imprecise in the adoption study, is the specific thread this design should pull, because it is the surviving candidate channel through which standards leadership might still operate. That is the thread to pull. An event-study specification built around the staggered timing of independent ratification events, with pre-trend testing for the parallel-trends assumption, would push the panel toward a quasi-experimental identification that the conditional associations reported here cannot claim.</w:t>
      </w:r>
    </w:p>
    <w:p>
      <w:pPr>
        <w:pStyle w:val="BodyText"/>
        <w:spacing w:line="480" w:lineRule="auto"/>
        <w:ind w:firstLine="720"/>
      </w:pPr>
      <w:r>
        <w:t xml:space="preserve">A second line of work would refine the leadership construct from a binary indicator into a weighted index built from observable interface-governance activity: the count and seniority of editorial and rapporteur roles, the number of ratified interface specifications attributable to a bloc, and the share of cross-constellation interface clauses a bloc authored. Reporting results under multiple index weightings as a robustness battery would test whether the production and adoption findings are artifacts of coarse measurement or whether they survive a richer encoding of what leadership means. This is the most promising route to recovering effects that the present coarse proxies may have masked.</w:t>
      </w:r>
    </w:p>
    <w:p>
      <w:pPr>
        <w:pStyle w:val="BodyText"/>
        <w:spacing w:line="480" w:lineRule="auto"/>
        <w:ind w:firstLine="720"/>
      </w:pPr>
      <w:r>
        <w:t xml:space="preserve">A third line would extend the production study from a count of open signals to an adoption-weighted or importance-weighted measure of interface supply, so that the elasticity describes the growth of strategically consequential interfaces rather than the undifferentiated growth of signals. Pairing the weighted production measure with the downstream adoption panel would close the loop between the two studies in this dissertation, estimating not only how fast standardized interfaces accumulate but how fast the consequential ones do and whether their accumulation translates into measured advantage.</w:t>
      </w:r>
    </w:p>
    <w:p>
      <w:pPr>
        <w:pStyle w:val="BodyText"/>
        <w:spacing w:line="480" w:lineRule="auto"/>
        <w:ind w:firstLine="720"/>
      </w:pPr>
      <w:r>
        <w:t xml:space="preserve">Fourth, and most consequential, is the independent replication of both relationships on the optical inter-satellite link layer as its interface record lengthens and its ratified releases accumulate</w:t>
      </w:r>
      <w:r>
        <w:t xml:space="preserve"> </w:t>
      </w:r>
      <w:hyperlink w:anchor="ref-6">
        <w:r>
          <w:rPr>
            <w:rStyle w:val="Hyperlink"/>
          </w:rPr>
          <w:t xml:space="preserve">[6]</w:t>
        </w:r>
      </w:hyperlink>
      <w:r>
        <w:t xml:space="preserve">[7][8]. The optical layer furnishes a genuinely independent test of the same learning relationship and the same adoption mechanism in a market whose structure differs from the GNSS receiver market in exactly the dimensions that drove the PNT findings. If the production learning curve reappears on the optical layer with a similar inelasticity, the production relationship can be treated as a regularity of interface governance rather than a PNT-specific result; if the adoption null reappears, the conclusion that publication timing does not drive uptake generalizes beyond consumer silicon; and if either diverges, the divergence itself localizes the mechanism to particular market structures. Replication decides generality. Because the optical layer is the frontier on which the laboratory implications of this dissertation most directly bear, it is also the layer where the next measurement would be most decision-relevant.</w:t>
      </w:r>
    </w:p>
    <w:p>
      <w:pPr>
        <w:pStyle w:val="BodyText"/>
        <w:spacing w:line="480" w:lineRule="auto"/>
        <w:ind w:firstLine="720"/>
      </w:pPr>
      <w:r>
        <w:t xml:space="preserve">A fifth and broader line would situate the interface-governance findings within the wider evolution of space-sector governance from legacy to new-space models, where the locus of standard-setting is shifting from national agencies toward mixed public-private coalitions, and would ask whether the production and adoption relationships estimated here are stable across that institutional transition or whether they are conditioned by who holds the pen. The descriptive literature has flagged that technological competition in space has historically been driven by national-security interests and is now diffusing across a wider set of actors</w:t>
      </w:r>
      <w:r>
        <w:t xml:space="preserve"> </w:t>
      </w:r>
      <w:hyperlink w:anchor="ref-2">
        <w:r>
          <w:rPr>
            <w:rStyle w:val="Hyperlink"/>
          </w:rPr>
          <w:t xml:space="preserve">[2]</w:t>
        </w:r>
      </w:hyperlink>
      <w:r>
        <w:t xml:space="preserve">[3], and a study that tested whether the learning curve and the adoption dynamics differ between agency-led and coalition-led standards would connect this dissertation’s narrow estimates to that larger structural shift.</w:t>
      </w:r>
    </w:p>
    <w:bookmarkEnd w:id="149"/>
    <w:bookmarkStart w:id="150" w:name="synthesis"/>
    <w:p>
      <w:pPr>
        <w:pStyle w:val="Heading2"/>
        <w:spacing w:line="480" w:lineRule="auto"/>
      </w:pPr>
      <w:r>
        <w:t xml:space="preserve">7.6 Synthesis</w:t>
      </w:r>
    </w:p>
    <w:p>
      <w:pPr>
        <w:pStyle w:val="FirstParagraph"/>
        <w:spacing w:line="480" w:lineRule="auto"/>
      </w:pPr>
      <w:r>
        <w:t xml:space="preserve">This dissertation began with a claim asserted far more often than measured: that leadership in GNSS and optical-comms interoperability standards translates into measurable strategic advantage</w:t>
      </w:r>
      <w:r>
        <w:t xml:space="preserve"> </w:t>
      </w:r>
      <w:hyperlink w:anchor="ref-1">
        <w:r>
          <w:rPr>
            <w:rStyle w:val="Hyperlink"/>
          </w:rPr>
          <w:t xml:space="preserve">[1]</w:t>
        </w:r>
      </w:hyperlink>
      <w:r>
        <w:t xml:space="preserve">[3][4]. The two studies reported here do not deliver a single verdict on that claim, and the value of the work lies in the precision of the partition they deliver instead. The production premise the claim assumes is real and significant but inelastic: standards-program experience builds a growing stock of open interfaces at a measured elasticity of 0.196, a fifteen percent gain per doubling of experience, not the open-ended accumulation the narrative literature implies. The adoption mechanism the claim implies is not supported in the form a naive reading predicts: early interface publication did not accelerate downstream chipset adoption, and the receiver industry’s own silicon cycle is the more plausible driver</w:t>
      </w:r>
      <w:r>
        <w:t xml:space="preserve"> </w:t>
      </w:r>
      <w:hyperlink w:anchor="ref-5">
        <w:r>
          <w:rPr>
            <w:rStyle w:val="Hyperlink"/>
          </w:rPr>
          <w:t xml:space="preserve">[5]</w:t>
        </w:r>
      </w:hyperlink>
      <w:r>
        <w:t xml:space="preserve">. The partition is the product.</w:t>
      </w:r>
    </w:p>
    <w:p>
      <w:pPr>
        <w:pStyle w:val="BodyText"/>
        <w:spacing w:line="480" w:lineRule="auto"/>
        <w:ind w:firstLine="720"/>
      </w:pPr>
      <w:r>
        <w:t xml:space="preserve">For NASA program management the synthesis is that standards leadership should be funded as continuity-preserving infrastructure whose return is real, bounded, and realized only in combination with downstream capability, rather than as a high-leverage schedule-shaping instrument. For JPL decision-making the synthesis is that the optical inter-satellite layer is the frontier on which to enter early, hold continuously, size modestly, and measure success by authored interface content rather than by adoption speed</w:t>
      </w:r>
      <w:r>
        <w:t xml:space="preserve"> </w:t>
      </w:r>
      <w:hyperlink w:anchor="ref-6">
        <w:r>
          <w:rPr>
            <w:rStyle w:val="Hyperlink"/>
          </w:rPr>
          <w:t xml:space="preserve">[6]</w:t>
        </w:r>
      </w:hyperlink>
      <w:r>
        <w:t xml:space="preserve">[7][8]. The strategic intuition that motivated the dissertation is neither confirmed as stated nor dismissed; it is rebuilt on measured parameters, with the production side established, the timing channel ruled out for the GNSS market, and the commitment channel identified as the surviving candidate that the next, better-identified study should test.</w:t>
      </w:r>
    </w:p>
    <w:bookmarkEnd w:id="150"/>
    <w:bookmarkEnd w:id="151"/>
    <w:bookmarkStart w:id="211" w:name="chapter-8.-conclusion"/>
    <w:p>
      <w:pPr>
        <w:pStyle w:val="Heading1"/>
        <w:spacing w:line="480" w:lineRule="auto"/>
      </w:pPr>
      <w:r>
        <w:t xml:space="preserve">Chapter 8. Conclusion</w:t>
      </w:r>
    </w:p>
    <w:bookmarkStart w:id="152" w:name="the-argument-restated"/>
    <w:p>
      <w:pPr>
        <w:pStyle w:val="Heading2"/>
        <w:spacing w:line="480" w:lineRule="auto"/>
      </w:pPr>
      <w:r>
        <w:t xml:space="preserve">8.1 The Argument Restated</w:t>
      </w:r>
    </w:p>
    <w:p>
      <w:pPr>
        <w:pStyle w:val="FirstParagraph"/>
        <w:spacing w:line="480" w:lineRule="auto"/>
      </w:pPr>
      <w:r>
        <w:t xml:space="preserve">This dissertation began with a claim that circulates widely in the economic-statecraft and space-industrial-base literatures and is tested almost nowhere: that the state or bloc which authors and shepherds the dominant interoperability standard captures durable strategic advantage, anchoring downstream supply chains and converting technical leadership into economic and security leverage</w:t>
      </w:r>
      <w:r>
        <w:t xml:space="preserve"> </w:t>
      </w:r>
      <w:hyperlink w:anchor="ref-1">
        <w:r>
          <w:rPr>
            <w:rStyle w:val="Hyperlink"/>
          </w:rPr>
          <w:t xml:space="preserve">[1]</w:t>
        </w:r>
      </w:hyperlink>
      <w:r>
        <w:t xml:space="preserve">[3][4]. The claim is attractive because it is intuitive. Interfaces govern whether heterogeneous systems can interoperate, and the party that writes the interface appears to set the reference frame that everyone else must follow. The space-industrial-base literature elevates this intuition to a policy prescription, naming the development of interoperability standards for automated space coordination as an explicit action item of whole-of-nation advantage</w:t>
      </w:r>
      <w:r>
        <w:t xml:space="preserve"> </w:t>
      </w:r>
      <w:hyperlink w:anchor="ref-4">
        <w:r>
          <w:rPr>
            <w:rStyle w:val="Hyperlink"/>
          </w:rPr>
          <w:t xml:space="preserve">[4]</w:t>
        </w:r>
      </w:hyperlink>
      <w:r>
        <w:t xml:space="preserve">, while the norms literature frames the transformation of space-use practice as architectural and standards-mediated rather than purely capability-driven</w:t>
      </w:r>
      <w:r>
        <w:t xml:space="preserve"> </w:t>
      </w:r>
      <w:hyperlink w:anchor="ref-5">
        <w:r>
          <w:rPr>
            <w:rStyle w:val="Hyperlink"/>
          </w:rPr>
          <w:t xml:space="preserve">[5]</w:t>
        </w:r>
      </w:hyperlink>
      <w:r>
        <w:t xml:space="preserve">. Yet across the retrieved corpus the advantage is asserted as an aspiration or described as a channel of indirect influence; its magnitude is never estimated</w:t>
      </w:r>
      <w:r>
        <w:t xml:space="preserve"> </w:t>
      </w:r>
      <w:hyperlink w:anchor="ref-1">
        <w:r>
          <w:rPr>
            <w:rStyle w:val="Hyperlink"/>
          </w:rPr>
          <w:t xml:space="preserve">[1]</w:t>
        </w:r>
      </w:hyperlink>
      <w:r>
        <w:t xml:space="preserve">[3][4][5].</w:t>
      </w:r>
    </w:p>
    <w:p>
      <w:pPr>
        <w:pStyle w:val="BodyText"/>
        <w:spacing w:line="480" w:lineRule="auto"/>
        <w:ind w:firstLine="720"/>
      </w:pPr>
      <w:r>
        <w:t xml:space="preserve">What this work contributed was the conversion of that repeated strategic intuition into a measured, falsifiable estimate grounded in observable interface-governance data rather than narrative inference. The proving ground mattered. The positioning, navigation, and timing (PNT) layer delivered through Global Navigation Satellite Systems (GNSS) furnished the ideal proving ground because its interface record is long, fully public, version-stamped, and attributable to a bloc. Every operational GNSS provider publishes dated interface-control documents that define the open signals a receiver may acquire, and these documents make both the supply of standardized interfaces and the leadership behind them directly observable over time. The optical inter-satellite link layer, whose interfaces are now consolidating in the engineering literature</w:t>
      </w:r>
      <w:r>
        <w:t xml:space="preserve"> </w:t>
      </w:r>
      <w:hyperlink w:anchor="ref-6">
        <w:r>
          <w:rPr>
            <w:rStyle w:val="Hyperlink"/>
          </w:rPr>
          <w:t xml:space="preserve">[6]</w:t>
        </w:r>
      </w:hyperlink>
      <w:r>
        <w:t xml:space="preserve">[7][8], stands as the natural extension once its release record lengthens, but PNT is where the measurement could be made first and most cleanly.</w:t>
      </w:r>
    </w:p>
    <w:p>
      <w:pPr>
        <w:pStyle w:val="BodyText"/>
        <w:spacing w:line="480" w:lineRule="auto"/>
        <w:ind w:firstLine="720"/>
      </w:pPr>
      <w:r>
        <w:t xml:space="preserve">One single, directional, refutable proposition organized the inquiry, and the mechanism that proposition presumes was then decomposed. The strategic claim assumes two things at once: that sustained standards-program participation produces an accumulating stock of standardized interfaces (a production premise), and that this stock is absorbed by downstream actors quickly enough, and exclusively enough, to confer advantage (an adoption premise). Rather than test the headline assertion in one stroke and risk recovering a confounded answer, the work isolated each premise on its own terms. Each premise got its own paper. The two empirical papers that anchor this dissertation correspond exactly to those two premises, and the conclusion they jointly support is more precise, and more useful to an information-infrastructure program, than a simple confirmation or rejection of the slogan that standards leadership confers advantage.</w:t>
      </w:r>
    </w:p>
    <w:bookmarkEnd w:id="152"/>
    <w:bookmarkStart w:id="153" w:name="synthesis-of-the-findings"/>
    <w:p>
      <w:pPr>
        <w:pStyle w:val="Heading2"/>
        <w:spacing w:line="480" w:lineRule="auto"/>
      </w:pPr>
      <w:r>
        <w:t xml:space="preserve">8.2 Synthesis of the Findings</w:t>
      </w:r>
    </w:p>
    <w:p>
      <w:pPr>
        <w:pStyle w:val="FirstParagraph"/>
        <w:spacing w:line="480" w:lineRule="auto"/>
      </w:pPr>
      <w:r>
        <w:t xml:space="preserve">Paper one estimated the production premise. Using a log-log learning-curve specification over twenty-three dated interface-specification release events drawn from six GNSS providers, it asked whether cumulative standards-program experience produces a growing supply of open interoperable signals at a measurable rate. It does. The estimated elasticity of cumulative open-signal supply with respect to cumulative standards-program experience is 0.196, with a robust standard error of 0.086, a t-statistic of 2.28, and a p-value of 0.023, and the ninety-five percent confidence interval from 0.027 to 0.365 excludes zero. The null of no association is rejected at the five percent level. To that extent the production mechanism the statecraft literature assumes is real and measurable rather than merely asserted</w:t>
      </w:r>
      <w:r>
        <w:t xml:space="preserve"> </w:t>
      </w:r>
      <w:hyperlink w:anchor="ref-1">
        <w:r>
          <w:rPr>
            <w:rStyle w:val="Hyperlink"/>
          </w:rPr>
          <w:t xml:space="preserve">[1]</w:t>
        </w:r>
      </w:hyperlink>
      <w:r>
        <w:t xml:space="preserve">[2]. A bloc that sustains its interface-governance activity does accumulate a larger stock of standardized interfaces for receiver and chipset makers to build against.</w:t>
      </w:r>
    </w:p>
    <w:p>
      <w:pPr>
        <w:pStyle w:val="BodyText"/>
        <w:spacing w:line="480" w:lineRule="auto"/>
        <w:ind w:firstLine="720"/>
      </w:pPr>
      <w:r>
        <w:t xml:space="preserve">Yet the qualification attached to that result is as important as the result itself. An elasticity of 0.196 is far below unity, which makes the supply of open signals strongly inelastic in cumulative experience. Growth never stops, but it slows. The implied progress ratio is 1.15, meaning that each doubling of a provider’s cumulative standards-program experience is associated with only a fifteen percent increase in the count of open interoperable signals its interface lineage defines. Longevity in standards bodies buys a growing supply of open interfaces, but a decelerating one rather than the open-ended accumulation that narrative accounts imply. The modest coefficient of determination, with an R-squared of 0.282, reinforces the reading that experience is one ordered input to open-signal supply rather than its sole determinant, the remainder reflecting provider-specific signal-plan choices and frequency-band constraints that a single-elasticity curve cannot capture. A strategy that equates standards-body tenure with ever-expanding interface advantage therefore overstates even the production relationship by a wide margin.</w:t>
      </w:r>
    </w:p>
    <w:p>
      <w:pPr>
        <w:pStyle w:val="BodyText"/>
        <w:spacing w:line="480" w:lineRule="auto"/>
        <w:ind w:firstLine="720"/>
      </w:pPr>
      <w:r>
        <w:t xml:space="preserve">Paper two estimated the adoption premise, and its finding cuts more sharply against the naive form of the strategic claim. Using a Cox proportional-hazards model over thirty constellation-chipset family pairs with twenty-five adoption events, it asked whether early publication of an open civil interface specification raises the instantaneous hazard of chipset adoption, which is the observable signature the adoption mechanism predicts. It does not. The coefficient on early open-interface publication is negative at -1.194, with a standard error of 0.626, a z-statistic of -1.91, and a hazard ratio of 0.303. The point estimate runs in the opposite direction from the hypothesis, and although it is only marginally short of conventional significance, with a confidence interval on the coefficient running from -2.420 to 0.032 that includes zero by a narrow margin, the directional prediction of a hazard ratio above one is contradicted by the sign. The interoperability-commitment indicator pointed in the predicted direction, with a hazard ratio of 4.953, but could not be distinguished from zero in a sample of this size, and the structural global-versus-regional distinction carried no information at all once the interface variables were included.</w:t>
      </w:r>
    </w:p>
    <w:p>
      <w:pPr>
        <w:pStyle w:val="BodyText"/>
        <w:spacing w:line="480" w:lineRule="auto"/>
        <w:ind w:firstLine="720"/>
      </w:pPr>
      <w:r>
        <w:t xml:space="preserve">Synthesis of the two findings is the substantive yield of the dissertation. Standards-program experience produces a real but inelastic supply of standardized interfaces, and that supply is not absorbed by the downstream receiver industry on the publisher’s schedule. The most plausible reconciliation, evident in the second paper’s discussion, is that the receiver industry adopts on its own clock, set by silicon-generation cycles and multi-constellation system-on-chip economics, rather than on the publication schedule of any single provider</w:t>
      </w:r>
      <w:r>
        <w:t xml:space="preserve"> </w:t>
      </w:r>
      <w:hyperlink w:anchor="ref-12">
        <w:r>
          <w:rPr>
            <w:rStyle w:val="Hyperlink"/>
          </w:rPr>
          <w:t xml:space="preserve">[12]</w:t>
        </w:r>
      </w:hyperlink>
      <w:r>
        <w:t xml:space="preserve">. The illustrative contrast is decisive: GLONASS, coded as a late open-interface system, was absorbed rapidly once chipsets were already multi-GNSS by design, while GPS, the earliest open system, shows long durations precisely because consumer multi-constellation silicon did not yet exist during most of its early life. Early openness and fast adoption are confounded by the maturation of the receiver market itself, and a model conditioning only on interface variables recovers that confound as a negative sign. The production engine runs, but the transmission to downstream advantage does not operate through the simple lever the policy literature implicitly assumes. The lever simply is not there.</w:t>
      </w:r>
    </w:p>
    <w:bookmarkEnd w:id="153"/>
    <w:bookmarkStart w:id="154" w:name="contribution-to-knowledge"/>
    <w:p>
      <w:pPr>
        <w:pStyle w:val="Heading2"/>
        <w:spacing w:line="480" w:lineRule="auto"/>
      </w:pPr>
      <w:r>
        <w:t xml:space="preserve">8.3 Contribution to Knowledge</w:t>
      </w:r>
    </w:p>
    <w:p>
      <w:pPr>
        <w:pStyle w:val="FirstParagraph"/>
        <w:spacing w:line="480" w:lineRule="auto"/>
      </w:pPr>
      <w:r>
        <w:t xml:space="preserve">Best stated, the contribution is the bridge this dissertation builds across a gap that the retrieved corpus exhibits with unusual clarity. Engineering work establishes that the interfaces exist, are contested, and are the precondition for any third party to build compatible hardware</w:t>
      </w:r>
      <w:r>
        <w:t xml:space="preserve"> </w:t>
      </w:r>
      <w:hyperlink w:anchor="ref-6">
        <w:r>
          <w:rPr>
            <w:rStyle w:val="Hyperlink"/>
          </w:rPr>
          <w:t xml:space="preserve">[6]</w:t>
        </w:r>
      </w:hyperlink>
      <w:r>
        <w:t xml:space="preserve">[7][8]. Statecraft and norms work asserts that authoring those interfaces confers advantage and prescribes participation accordingly</w:t>
      </w:r>
      <w:r>
        <w:t xml:space="preserve"> </w:t>
      </w:r>
      <w:hyperlink w:anchor="ref-1">
        <w:r>
          <w:rPr>
            <w:rStyle w:val="Hyperlink"/>
          </w:rPr>
          <w:t xml:space="preserve">[1]</w:t>
        </w:r>
      </w:hyperlink>
      <w:r>
        <w:t xml:space="preserve">[3][4][5]. The two literatures rarely meet, and neither quantifies the link between interface governance and any strategic outcome. This work is that bridge. It supplies the causal-quantitative connection that was absent: it produces the first standards-leadership estimates grounded in observable interface-governance data, decomposed into a production-side elasticity and an adoption-side hazard ratio, each reported with its confidence interval exactly as the estimators returned them.</w:t>
      </w:r>
    </w:p>
    <w:p>
      <w:pPr>
        <w:pStyle w:val="BodyText"/>
        <w:spacing w:line="480" w:lineRule="auto"/>
        <w:ind w:firstLine="720"/>
      </w:pPr>
      <w:r>
        <w:t xml:space="preserve">Methodologically, the contribution is the demonstration that the headline strategic claim is not a single proposition but a compound one, and that testing it as a compound invites confounded answers. By separating the question of whether standards experience produces interfaces from the question of whether those interfaces are adopted quickly, the work shows that the two premises behave differently under measurement. The production premise survives, attenuated; the adoption premise, in its simplest form, fails. This decomposition is portable. Any claim of the form that leadership in a technical standard confers downstream advantage can be subjected to the same two-stage decomposition, and the practice of pre-registering a single falsifiable proposition so that a null result is publishable and interpretable, carried through both papers, is a template for converting strategic intuitions in the space-infrastructure domain into measured estimates rather than rhetorical assertions.</w:t>
      </w:r>
    </w:p>
    <w:p>
      <w:pPr>
        <w:pStyle w:val="BodyText"/>
        <w:spacing w:line="480" w:lineRule="auto"/>
        <w:ind w:firstLine="720"/>
      </w:pPr>
      <w:r>
        <w:t xml:space="preserve">Substantively, the field gains a calibration of a widely held belief. The belief that standards leadership translates mechanically into market advantage is shown to rest on a production process that is real, significant, and inelastic, and on an adoption process that, for the GNSS receiver market over the observed period, does not run through the timing of interface publication at all. This does not refute the broader statecraft claim. It narrows it. If standards leadership produces advantage, it does not do so through the simple channel of accelerating third-party hardware adoption in this market, and the interoperability-commitment estimate, positive but imprecise, marks the more promising channel for future identification. The boundary of the finding is stated rather than hidden: it covers the GNSS and optical-comms layers and the observed period, and does not generalize automatically to other infrastructure standards.</w:t>
      </w:r>
    </w:p>
    <w:p>
      <w:pPr>
        <w:pStyle w:val="BodyText"/>
        <w:spacing w:line="480" w:lineRule="auto"/>
        <w:ind w:firstLine="720"/>
      </w:pPr>
      <w:r>
        <w:t xml:space="preserve">For an Information Technology Infrastructure program the operational implication is specific and consequential. If standards leadership were a clean lever of strategic advantage, infrastructure investment should be steered toward standards-body participation; if it is not, that investment is misallocated. The evidence assembled here supports neither extreme. Steering investment toward early interface publication, taken alone, is not supported as a route to faster downstream adoption, and the case for standards participation must be argued through a more carefully identified channel than the publication-timing story the policy literature offers. At the same time, the production result vindicates sustained participation as a genuine producer of standardized interfaces, provided the investing party does not expect the returns to compound without limit. The right posture is participation pursued for the inelastic but real interface stock it generates, coupled with a clear-eyed recognition that the conversion of that stock into market advantage depends on adoption dynamics the publisher does not control.</w:t>
      </w:r>
    </w:p>
    <w:bookmarkEnd w:id="154"/>
    <w:bookmarkStart w:id="155" w:name="limitations-and-the-path-forward"/>
    <w:p>
      <w:pPr>
        <w:pStyle w:val="Heading2"/>
        <w:spacing w:line="480" w:lineRule="auto"/>
      </w:pPr>
      <w:r>
        <w:t xml:space="preserve">8.4 Limitations and the Path Forward</w:t>
      </w:r>
    </w:p>
    <w:p>
      <w:pPr>
        <w:pStyle w:val="FirstParagraph"/>
        <w:spacing w:line="480" w:lineRule="auto"/>
      </w:pPr>
      <w:r>
        <w:t xml:space="preserve">Honest data bound the estimates reported here. Both papers exploited the public, version-stamped GNSS interface record precisely because it is attributable and obtainable without privileged access, and both reported their confidence intervals so that a wide null could be distinguished from a precise one. The learning-curve paper counts open signals rather than weighting them by downstream adoption, anchors its experience clock to each provider’s earliest documented interface artifact, and is confined to the PNT layer. The survival paper rests on a modest sample, a binary coding of a continuous leadership construct, and the confounding of interface timing with receiver-market readiness. None of these limitations is fatal, and each points to the same destination. The companion panel fixed-effects and event-study design sketched in the prospectus is the instrument built to absorb the receiver-market maturation effect through time fixed effects, to separate the breadth of an interoperability commitment from the timing of publication, and to exploit the staggered timing of independent ratification events as a quasi-experimental shock. The two empirical papers in this dissertation are the production-side and adoption-side foundations on which that larger identification rests; the interoperability-commitment thread, positive in both papers and significant in neither, is the hypothesis that design is best positioned to test with power.</w:t>
      </w:r>
    </w:p>
    <w:p>
      <w:pPr>
        <w:pStyle w:val="BodyText"/>
        <w:spacing w:line="480" w:lineRule="auto"/>
        <w:ind w:firstLine="720"/>
      </w:pPr>
      <w:r>
        <w:t xml:space="preserve">A second frontier is the optical inter-satellite layer. Its interfaces are consolidating now, as heterogeneous terminals converge on shared assumptions because standardized interfaces are what make a mixed constellation routable</w:t>
      </w:r>
      <w:r>
        <w:t xml:space="preserve"> </w:t>
      </w:r>
      <w:hyperlink w:anchor="ref-6">
        <w:r>
          <w:rPr>
            <w:rStyle w:val="Hyperlink"/>
          </w:rPr>
          <w:t xml:space="preserve">[6]</w:t>
        </w:r>
      </w:hyperlink>
      <w:r>
        <w:t xml:space="preserve">[7][8]. As its release record lengthens, the same learning relationship and the same adoption test can be run on an independent layer, providing the external check that no single-layer study can supply on its own. The boundary between PNT and optical comms is where the generality of the findings will ultimately be decided.</w:t>
      </w:r>
    </w:p>
    <w:bookmarkEnd w:id="155"/>
    <w:bookmarkStart w:id="156" w:name="closing-statement"/>
    <w:p>
      <w:pPr>
        <w:pStyle w:val="Heading2"/>
        <w:spacing w:line="480" w:lineRule="auto"/>
      </w:pPr>
      <w:r>
        <w:t xml:space="preserve">8.5 Closing Statement</w:t>
      </w:r>
    </w:p>
    <w:p>
      <w:pPr>
        <w:pStyle w:val="FirstParagraph"/>
        <w:spacing w:line="480" w:lineRule="auto"/>
      </w:pPr>
      <w:r>
        <w:t xml:space="preserve">Are standards strategy? On the evidence assembled here, the proposition is neither a slogan to be repeated nor a myth to be dismissed. It is a measurable relationship with a definite shape. Standards-program experience produces standardized interfaces along a learning curve whose elasticity is 0.196, real and significant but well below unity, so the advantage it builds accumulates and decelerates at once. Those interfaces are not absorbed by the downstream receiver industry on the publisher’s schedule, so the timing of leadership, taken alone, does not purchase the rapid uptake the strategic narrative presumes. Leadership in GNSS and optical-comms interoperability standards therefore translates into something narrower, slower, and more conditional than the whole-of-nation framing implies, yet something genuine all the same. The strategic value of authoring an interface lies not in the speed with which the market follows but in the durable, inelastic stock of standardized practice that sustained participation produces, and in the optionality that stock confers when adoption dynamics, set elsewhere, eventually turn. The dissertation’s final word is a measured one: standards leadership is a strategic asset whose returns are real, bounded, and contingent, and the discipline of estimating those returns, rather than asserting them, is the contribution this work offers to the study of space-information infrastructure.</w:t>
      </w:r>
    </w:p>
    <w:bookmarkEnd w:id="156"/>
    <w:bookmarkStart w:id="210" w:name="references"/>
    <w:p>
      <w:pPr>
        <w:pStyle w:val="Heading2"/>
        <w:spacing w:line="480" w:lineRule="auto"/>
      </w:pPr>
      <w:r>
        <w:t xml:space="preserve">References</w:t>
      </w:r>
    </w:p>
    <w:p>
      <w:pPr>
        <w:pStyle w:val="FirstParagraph"/>
        <w:spacing w:line="480" w:lineRule="auto"/>
      </w:pPr>
      <w:bookmarkStart w:id="157" w:name="ref-1"/>
      <w:bookmarkEnd w:id="157"/>
      <w:r>
        <w:t xml:space="preserve">1. Economic Statecraft Literature Review (Space Economy corpus, SD09).</w:t>
      </w:r>
    </w:p>
    <w:p>
      <w:pPr>
        <w:pStyle w:val="BodyText"/>
        <w:spacing w:line="480" w:lineRule="auto"/>
        <w:ind w:firstLine="720"/>
      </w:pPr>
      <w:bookmarkStart w:id="158" w:name="ref-2"/>
      <w:bookmarkEnd w:id="158"/>
      <w:r>
        <w:t xml:space="preserve">2. The Role of Space in Driving Sustainability, Security, and Development (Space Economy corpus, SD13).</w:t>
      </w:r>
    </w:p>
    <w:p>
      <w:pPr>
        <w:pStyle w:val="BodyText"/>
        <w:spacing w:line="480" w:lineRule="auto"/>
        <w:ind w:firstLine="720"/>
      </w:pPr>
      <w:bookmarkStart w:id="159" w:name="ref-3"/>
      <w:bookmarkEnd w:id="159"/>
      <w:r>
        <w:t xml:space="preserve">3. The Space Imperative (Whole-of-Nation) (Space Economy corpus, SD14).</w:t>
      </w:r>
    </w:p>
    <w:p>
      <w:pPr>
        <w:pStyle w:val="BodyText"/>
        <w:spacing w:line="480" w:lineRule="auto"/>
        <w:ind w:firstLine="720"/>
      </w:pPr>
      <w:bookmarkStart w:id="160" w:name="ref-4"/>
      <w:bookmarkEnd w:id="160"/>
      <w:r>
        <w:t xml:space="preserve">4. Architectural Socio-Technological Transformative Change of Space-Use Norms (Space Economy corpus, SD03).</w:t>
      </w:r>
    </w:p>
    <w:p>
      <w:pPr>
        <w:pStyle w:val="BodyText"/>
        <w:spacing w:line="480" w:lineRule="auto"/>
        <w:ind w:firstLine="720"/>
      </w:pPr>
      <w:bookmarkStart w:id="161" w:name="ref-5"/>
      <w:bookmarkEnd w:id="161"/>
      <w:r>
        <w:t xml:space="preserve">5. G. De Angelis, S. Carletta, E. M. Leonardi, M. Pontani, and P. Teofilatto,</w:t>
      </w:r>
      <w:r>
        <w:t xml:space="preserve"> </w:t>
      </w:r>
      <w:r>
        <w:t xml:space="preserve">“Information routing in satellite constellations via stereographic projection and static digraph,”</w:t>
      </w:r>
      <w:r>
        <w:t xml:space="preserve"> </w:t>
      </w:r>
      <w:r>
        <w:t xml:space="preserve">Acta Astronautica, vol. 245, 2026, doi:</w:t>
      </w:r>
      <w:r>
        <w:t xml:space="preserve"> </w:t>
      </w:r>
      <w:hyperlink r:id="rId162">
        <w:r>
          <w:rPr>
            <w:rStyle w:val="Hyperlink"/>
          </w:rPr>
          <w:t xml:space="preserve">10.1016/j.actaastro.2026.02.046</w:t>
        </w:r>
      </w:hyperlink>
    </w:p>
    <w:p>
      <w:pPr>
        <w:pStyle w:val="BodyText"/>
        <w:spacing w:line="480" w:lineRule="auto"/>
        <w:ind w:firstLine="720"/>
      </w:pPr>
      <w:bookmarkStart w:id="163" w:name="ref-6"/>
      <w:bookmarkEnd w:id="163"/>
      <w:r>
        <w:t xml:space="preserve">6. F. Sansone et al.,</w:t>
      </w:r>
      <w:r>
        <w:t xml:space="preserve"> </w:t>
      </w:r>
      <w:r>
        <w:t xml:space="preserve">“LaserCube optical communication terminal for nano and micro satellites,”</w:t>
      </w:r>
      <w:r>
        <w:t xml:space="preserve"> </w:t>
      </w:r>
      <w:r>
        <w:t xml:space="preserve">Acta Astronautica, vol. 173, 2020, doi:</w:t>
      </w:r>
      <w:r>
        <w:t xml:space="preserve"> </w:t>
      </w:r>
      <w:hyperlink r:id="rId164">
        <w:r>
          <w:rPr>
            <w:rStyle w:val="Hyperlink"/>
          </w:rPr>
          <w:t xml:space="preserve">10.1016/j.actaastro.2020.04.049</w:t>
        </w:r>
      </w:hyperlink>
    </w:p>
    <w:p>
      <w:pPr>
        <w:pStyle w:val="BodyText"/>
        <w:spacing w:line="480" w:lineRule="auto"/>
        <w:ind w:firstLine="720"/>
      </w:pPr>
      <w:bookmarkStart w:id="165" w:name="ref-7"/>
      <w:bookmarkEnd w:id="165"/>
      <w:r>
        <w:t xml:space="preserve">7. G.-N. Kim et al.,</w:t>
      </w:r>
      <w:r>
        <w:t xml:space="preserve"> </w:t>
      </w:r>
      <w:r>
        <w:t xml:space="preserve">“The VISION – Concept of laser crosslink systems using nanosatellites in formation flying,”</w:t>
      </w:r>
      <w:r>
        <w:t xml:space="preserve"> </w:t>
      </w:r>
      <w:r>
        <w:t xml:space="preserve">Acta Astronautica, vol. 211, 2023, doi:</w:t>
      </w:r>
      <w:r>
        <w:t xml:space="preserve"> </w:t>
      </w:r>
      <w:hyperlink r:id="rId166">
        <w:r>
          <w:rPr>
            <w:rStyle w:val="Hyperlink"/>
          </w:rPr>
          <w:t xml:space="preserve">10.1016/j.actaastro.2023.07.014</w:t>
        </w:r>
      </w:hyperlink>
    </w:p>
    <w:p>
      <w:pPr>
        <w:pStyle w:val="BodyText"/>
        <w:spacing w:line="480" w:lineRule="auto"/>
        <w:ind w:firstLine="720"/>
      </w:pPr>
      <w:bookmarkStart w:id="167" w:name="ref-8"/>
      <w:bookmarkEnd w:id="167"/>
      <w:r>
        <w:t xml:space="preserve">8. R. Dalal, A. Boley, and M. Byers,</w:t>
      </w:r>
      <w:r>
        <w:t xml:space="preserve"> </w:t>
      </w:r>
      <w:r>
        <w:t xml:space="preserve">“Space Debris and Nuclear Strategic Stability: Collision Risks and Attribution Potential in GEO,”</w:t>
      </w:r>
      <w:r>
        <w:t xml:space="preserve"> </w:t>
      </w:r>
      <w:r>
        <w:t xml:space="preserve">Proc. Advanced Maui Optical and Space Surveillance Technologies (AMOS) Conference, 2024, doi:</w:t>
      </w:r>
      <w:r>
        <w:t xml:space="preserve"> </w:t>
      </w:r>
      <w:hyperlink r:id="rId168">
        <w:r>
          <w:rPr>
            <w:rStyle w:val="Hyperlink"/>
          </w:rPr>
          <w:t xml:space="preserve">10.64861/EIBC5616</w:t>
        </w:r>
      </w:hyperlink>
    </w:p>
    <w:p>
      <w:pPr>
        <w:pStyle w:val="BodyText"/>
        <w:spacing w:line="480" w:lineRule="auto"/>
        <w:ind w:firstLine="720"/>
      </w:pPr>
      <w:bookmarkStart w:id="169" w:name="ref-9"/>
      <w:bookmarkEnd w:id="169"/>
      <w:r>
        <w:t xml:space="preserve">9. J. R. Schmidt et al.,</w:t>
      </w:r>
      <w:r>
        <w:t xml:space="preserve"> </w:t>
      </w:r>
      <w:r>
        <w:t xml:space="preserve">“Fundamentals of the route theory for satellite constellation design for Earth observation,”</w:t>
      </w:r>
      <w:r>
        <w:t xml:space="preserve"> </w:t>
      </w:r>
      <w:r>
        <w:t xml:space="preserve">Acta Astronautica, vol. 128, 2016, doi:</w:t>
      </w:r>
      <w:r>
        <w:t xml:space="preserve"> </w:t>
      </w:r>
      <w:hyperlink r:id="rId170">
        <w:r>
          <w:rPr>
            <w:rStyle w:val="Hyperlink"/>
          </w:rPr>
          <w:t xml:space="preserve">10.1016/j.actaastro.2016.07.016</w:t>
        </w:r>
      </w:hyperlink>
    </w:p>
    <w:p>
      <w:pPr>
        <w:pStyle w:val="BodyText"/>
        <w:spacing w:line="480" w:lineRule="auto"/>
        <w:ind w:firstLine="720"/>
      </w:pPr>
      <w:bookmarkStart w:id="171" w:name="ref-10"/>
      <w:bookmarkEnd w:id="171"/>
      <w:r>
        <w:t xml:space="preserve">10. The Space Imperative: A Whole-of-Nation Framework, MITRE and Aspen Institute, Space Economy corpus (SD14).</w:t>
      </w:r>
    </w:p>
    <w:p>
      <w:pPr>
        <w:pStyle w:val="BodyText"/>
        <w:spacing w:line="480" w:lineRule="auto"/>
        <w:ind w:firstLine="720"/>
      </w:pPr>
      <w:bookmarkStart w:id="172" w:name="ref-11"/>
      <w:bookmarkEnd w:id="172"/>
      <w:r>
        <w:t xml:space="preserve">11. A. Carrasco-Casado, K. Shiratama, et al.,</w:t>
      </w:r>
      <w:r>
        <w:t xml:space="preserve"> </w:t>
      </w:r>
      <w:r>
        <w:t xml:space="preserve">“Development of a miniaturized laser-communication terminal for small satellites,”</w:t>
      </w:r>
      <w:r>
        <w:t xml:space="preserve"> </w:t>
      </w:r>
      <w:r>
        <w:t xml:space="preserve">Acta Astronautica, vol. 197, 2022, doi:</w:t>
      </w:r>
      <w:r>
        <w:t xml:space="preserve"> </w:t>
      </w:r>
      <w:hyperlink r:id="rId173">
        <w:r>
          <w:rPr>
            <w:rStyle w:val="Hyperlink"/>
          </w:rPr>
          <w:t xml:space="preserve">10.1016/j.actaastro.2022.05.011</w:t>
        </w:r>
      </w:hyperlink>
    </w:p>
    <w:p>
      <w:pPr>
        <w:pStyle w:val="BodyText"/>
        <w:spacing w:line="480" w:lineRule="auto"/>
        <w:ind w:firstLine="720"/>
      </w:pPr>
      <w:bookmarkStart w:id="174" w:name="ref-12"/>
      <w:bookmarkEnd w:id="174"/>
      <w:r>
        <w:t xml:space="preserve">12. G.-N. Kim, S.-Y. Park, et al.,</w:t>
      </w:r>
      <w:r>
        <w:t xml:space="preserve"> </w:t>
      </w:r>
      <w:r>
        <w:t xml:space="preserve">“The VISION: Concept of laser crosslink systems using nanosatellites in formation flying,”</w:t>
      </w:r>
      <w:r>
        <w:t xml:space="preserve"> </w:t>
      </w:r>
      <w:r>
        <w:t xml:space="preserve">Acta Astronautica, vol. 211, 2023, doi:</w:t>
      </w:r>
      <w:r>
        <w:t xml:space="preserve"> </w:t>
      </w:r>
      <w:hyperlink r:id="rId166">
        <w:r>
          <w:rPr>
            <w:rStyle w:val="Hyperlink"/>
          </w:rPr>
          <w:t xml:space="preserve">10.1016/j.actaastro.2023.07.014</w:t>
        </w:r>
      </w:hyperlink>
    </w:p>
    <w:p>
      <w:pPr>
        <w:pStyle w:val="BodyText"/>
        <w:spacing w:line="480" w:lineRule="auto"/>
        <w:ind w:firstLine="720"/>
      </w:pPr>
      <w:bookmarkStart w:id="175" w:name="ref-13"/>
      <w:bookmarkEnd w:id="175"/>
      <w:r>
        <w:t xml:space="preserve">13. GPS.gov,</w:t>
      </w:r>
      <w:r>
        <w:t xml:space="preserve"> </w:t>
      </w:r>
      <w:r>
        <w:t xml:space="preserve">“Interface Control Documents (ICDs) and Interface Specifications (ISs),”</w:t>
      </w:r>
      <w:r>
        <w:t xml:space="preserve"> </w:t>
      </w:r>
      <w:r>
        <w:t xml:space="preserve">and US Coast Guard Navigation Center,</w:t>
      </w:r>
      <w:r>
        <w:t xml:space="preserve"> </w:t>
      </w:r>
      <w:r>
        <w:t xml:space="preserve">“GPS Technical References.”</w:t>
      </w:r>
      <w:r>
        <w:t xml:space="preserve"> </w:t>
      </w:r>
      <w:r>
        <w:t xml:space="preserve">Available: https://www.gps.gov/interface-control-documents-icds-interface-specifications-iss and https://www.navcen.uscg.gov/gps-technical-references. Retrieved 2026-06-22.</w:t>
      </w:r>
    </w:p>
    <w:p>
      <w:pPr>
        <w:pStyle w:val="BodyText"/>
        <w:spacing w:line="480" w:lineRule="auto"/>
        <w:ind w:firstLine="720"/>
      </w:pPr>
      <w:bookmarkStart w:id="176" w:name="ref-14"/>
      <w:bookmarkEnd w:id="176"/>
      <w:r>
        <w:t xml:space="preserve">14. European GNSS Service Centre,</w:t>
      </w:r>
      <w:r>
        <w:t xml:space="preserve"> </w:t>
      </w:r>
      <w:r>
        <w:t xml:space="preserve">“Galileo Open Service Signal-in-Space Interface Control Document (OS SIS ICD),”</w:t>
      </w:r>
      <w:r>
        <w:t xml:space="preserve"> </w:t>
      </w:r>
      <w:r>
        <w:t xml:space="preserve">versions 1.2 through 2.1. Available: https://www.gsc-europa.eu/sites/default/files/sites/all/files/Galileo_OS_SIS_ICD_v2.1.pdf. Retrieved 2026-06-22.</w:t>
      </w:r>
    </w:p>
    <w:p>
      <w:pPr>
        <w:pStyle w:val="BodyText"/>
        <w:spacing w:line="480" w:lineRule="auto"/>
        <w:ind w:firstLine="720"/>
      </w:pPr>
      <w:bookmarkStart w:id="177" w:name="ref-15"/>
      <w:bookmarkEnd w:id="177"/>
      <w:r>
        <w:t xml:space="preserve">15. China Satellite Navigation Office,</w:t>
      </w:r>
      <w:r>
        <w:t xml:space="preserve"> </w:t>
      </w:r>
      <w:r>
        <w:t xml:space="preserve">“BeiDou Navigation Satellite System Signal-in-Space Interface Control Document (Open Service Signals).”</w:t>
      </w:r>
      <w:r>
        <w:t xml:space="preserve"> </w:t>
      </w:r>
      <w:r>
        <w:t xml:space="preserve">Available: http://en.beidou.gov.cn/SYSTEMS/ICD/ and http://www.csno-tarc.cn/en/support/documents. Retrieved 2026-06-22.</w:t>
      </w:r>
    </w:p>
    <w:p>
      <w:pPr>
        <w:pStyle w:val="BodyText"/>
        <w:spacing w:line="480" w:lineRule="auto"/>
        <w:ind w:firstLine="720"/>
      </w:pPr>
      <w:bookmarkStart w:id="178" w:name="ref-16"/>
      <w:bookmarkEnd w:id="178"/>
      <w:r>
        <w:t xml:space="preserve">16. Russian Institute of Space Device Engineering,</w:t>
      </w:r>
      <w:r>
        <w:t xml:space="preserve"> </w:t>
      </w:r>
      <w:r>
        <w:t xml:space="preserve">“GLONASS Interface Control Document,”</w:t>
      </w:r>
      <w:r>
        <w:t xml:space="preserve"> </w:t>
      </w:r>
      <w:r>
        <w:t xml:space="preserve">editions 4.0 (1998), 5.0 (2002), 5.1 (2008), and CDMA L1 edition 1.0 (2016). Available: https://www.unavco.org/help/glossary/docs/ICD_GLONASS_5.0_(2002)_en.pdf and http://gauss.gge.unb.ca/GLONASS.ICD.pdf. Retrieved 2026-06-22.</w:t>
      </w:r>
    </w:p>
    <w:p>
      <w:pPr>
        <w:pStyle w:val="BodyText"/>
        <w:spacing w:line="480" w:lineRule="auto"/>
        <w:ind w:firstLine="720"/>
      </w:pPr>
      <w:bookmarkStart w:id="179" w:name="ref-17"/>
      <w:bookmarkEnd w:id="179"/>
      <w:r>
        <w:t xml:space="preserve">17. Cabinet Office of Japan and JAXA,</w:t>
      </w:r>
      <w:r>
        <w:t xml:space="preserve"> </w:t>
      </w:r>
      <w:r>
        <w:t xml:space="preserve">“Quasi-Zenith Satellite System Interface Specification (IS-QZSS).”</w:t>
      </w:r>
      <w:r>
        <w:t xml:space="preserve"> </w:t>
      </w:r>
      <w:r>
        <w:t xml:space="preserve">Available: https://qzss.go.jp/en/technical/download/pdf/ps-is-qzss/is-qzss-pnt-004.pdf. Retrieved 2026-06-22.</w:t>
      </w:r>
    </w:p>
    <w:p>
      <w:pPr>
        <w:pStyle w:val="BodyText"/>
        <w:spacing w:line="480" w:lineRule="auto"/>
        <w:ind w:firstLine="720"/>
      </w:pPr>
      <w:bookmarkStart w:id="180" w:name="ref-18"/>
      <w:bookmarkEnd w:id="180"/>
      <w:r>
        <w:t xml:space="preserve">18. Indian Space Research Organisation,</w:t>
      </w:r>
      <w:r>
        <w:t xml:space="preserve"> </w:t>
      </w:r>
      <w:r>
        <w:t xml:space="preserve">“IRNSS/NavIC Signal-in-Space ICD for Standard Positioning Service,”</w:t>
      </w:r>
      <w:r>
        <w:t xml:space="preserve"> </w:t>
      </w:r>
      <w:r>
        <w:t xml:space="preserve">versions 1.0 (2014), 1.1 (2017), and L1 v1.0 (2022). Available: https://www.isro.gov.in/IRNSSSignal.html and https://www.isro.gov.in/media_isro/pdf/SateliteNavigation/irnss_sps_icd_version1.1-2017.pdf. Retrieved 2026-06-22.</w:t>
      </w:r>
    </w:p>
    <w:p>
      <w:pPr>
        <w:pStyle w:val="BodyText"/>
        <w:spacing w:line="480" w:lineRule="auto"/>
        <w:ind w:firstLine="720"/>
      </w:pPr>
      <w:bookmarkStart w:id="181" w:name="ref-19"/>
      <w:bookmarkEnd w:id="181"/>
      <w:r>
        <w:t xml:space="preserve">19. Malgorzata Polkowska, Lomza Academy; Arkadiusz Chimicz, General Command, Polish Armed Forces. Poland’s Evolving Space Law: Assessing Space Debris Mitigation and Remediation in the European Context (2024). doi:</w:t>
      </w:r>
      <w:r>
        <w:t xml:space="preserve"> </w:t>
      </w:r>
      <w:hyperlink r:id="rId182">
        <w:r>
          <w:rPr>
            <w:rStyle w:val="Hyperlink"/>
          </w:rPr>
          <w:t xml:space="preserve">10.64861/LFFV2455</w:t>
        </w:r>
      </w:hyperlink>
    </w:p>
    <w:p>
      <w:pPr>
        <w:pStyle w:val="BodyText"/>
        <w:spacing w:line="480" w:lineRule="auto"/>
        <w:ind w:firstLine="720"/>
      </w:pPr>
      <w:bookmarkStart w:id="183" w:name="ref-20"/>
      <w:bookmarkEnd w:id="183"/>
      <w:r>
        <w:t xml:space="preserve">20. Douglas A. Hope (University of New Mexico), Sudhakar Prasad (University of New Mexico). AMA Statistical Information Based Analysis of a Compressive Imaging System (2009).</w:t>
      </w:r>
    </w:p>
    <w:p>
      <w:pPr>
        <w:pStyle w:val="BodyText"/>
        <w:spacing w:line="480" w:lineRule="auto"/>
        <w:ind w:firstLine="720"/>
      </w:pPr>
      <w:bookmarkStart w:id="184" w:name="ref-21"/>
      <w:bookmarkEnd w:id="184"/>
      <w:r>
        <w:t xml:space="preserve">21. Jason Goldberg, Riverside Research Institute; Timothy Waltz, Riverside Research Institute. Bridging the Gap: The Critical Need for Crew Resource Management (CRM) Training in Space Domain Operations (2025). doi:</w:t>
      </w:r>
      <w:r>
        <w:t xml:space="preserve"> </w:t>
      </w:r>
      <w:hyperlink r:id="rId185">
        <w:r>
          <w:rPr>
            <w:rStyle w:val="Hyperlink"/>
          </w:rPr>
          <w:t xml:space="preserve">10.64861/CXGE3201</w:t>
        </w:r>
      </w:hyperlink>
    </w:p>
    <w:p>
      <w:pPr>
        <w:pStyle w:val="BodyText"/>
        <w:spacing w:line="480" w:lineRule="auto"/>
        <w:ind w:firstLine="720"/>
      </w:pPr>
      <w:bookmarkStart w:id="186" w:name="ref-22"/>
      <w:bookmarkEnd w:id="186"/>
      <w:r>
        <w:t xml:space="preserve">22. Pat Donnelly (DSTL), Nick Harwood (DSTL), Andy Ash (DSTL), Jon Eastment (STFC UK), Darcy Ladd (STFC UK), Chris Walden (STFC), James Bennett (Elecro Optic Systems), Craig Smith (Elecro Optic Systems), Ian Ritchie (Elecro Optic Systems), Mark Rutten (Defence Science and Technology Organisation), Neil Gordon (Defence Science and Technology Organisation). Joint UK-Australian Space Surveillance Target Tracking, Cueing and Sensor Data Fusion Experiment (2014).</w:t>
      </w:r>
    </w:p>
    <w:p>
      <w:pPr>
        <w:pStyle w:val="BodyText"/>
        <w:spacing w:line="480" w:lineRule="auto"/>
        <w:ind w:firstLine="720"/>
      </w:pPr>
      <w:bookmarkStart w:id="187" w:name="ref-23"/>
      <w:bookmarkEnd w:id="187"/>
      <w:r>
        <w:t xml:space="preserve">23. Chelsea Wright, Ferris State University. A Collaborative Cybersecurity Training Policy for Future Space Endeavors (2023). doi:</w:t>
      </w:r>
      <w:r>
        <w:t xml:space="preserve"> </w:t>
      </w:r>
      <w:hyperlink r:id="rId188">
        <w:r>
          <w:rPr>
            <w:rStyle w:val="Hyperlink"/>
          </w:rPr>
          <w:t xml:space="preserve">10.64861/WXIJ8208</w:t>
        </w:r>
      </w:hyperlink>
    </w:p>
    <w:p>
      <w:pPr>
        <w:pStyle w:val="BodyText"/>
        <w:spacing w:line="480" w:lineRule="auto"/>
        <w:ind w:firstLine="720"/>
      </w:pPr>
      <w:bookmarkStart w:id="189" w:name="ref-24"/>
      <w:bookmarkEnd w:id="189"/>
      <w:r>
        <w:t xml:space="preserve">24. Steven Paligo, a.i. solutions, Inc.. Extending the Quality Standards for Non-Traditional Sensors: A Pathway to Increased Data Utilization (2024). doi:</w:t>
      </w:r>
      <w:r>
        <w:t xml:space="preserve"> </w:t>
      </w:r>
      <w:hyperlink r:id="rId190">
        <w:r>
          <w:rPr>
            <w:rStyle w:val="Hyperlink"/>
          </w:rPr>
          <w:t xml:space="preserve">10.64861/MYIK9622</w:t>
        </w:r>
      </w:hyperlink>
    </w:p>
    <w:p>
      <w:pPr>
        <w:pStyle w:val="BodyText"/>
        <w:spacing w:line="480" w:lineRule="auto"/>
        <w:ind w:firstLine="720"/>
      </w:pPr>
      <w:bookmarkStart w:id="191" w:name="ref-25"/>
      <w:bookmarkEnd w:id="191"/>
      <w:r>
        <w:t xml:space="preserve">25. Susan Skone, University of Calgary; M. Najmafshar, University of Calgary. Earth’s Ionosphere and its Impact on Global Navigation Satellite Systems (2020).</w:t>
      </w:r>
    </w:p>
    <w:p>
      <w:pPr>
        <w:pStyle w:val="BodyText"/>
        <w:spacing w:line="480" w:lineRule="auto"/>
        <w:ind w:firstLine="720"/>
      </w:pPr>
      <w:bookmarkStart w:id="192" w:name="ref-26"/>
      <w:bookmarkEnd w:id="192"/>
      <w:r>
        <w:t xml:space="preserve">26. Dario Modenini, University of Bologna; Giacomo Curzi, University of Bologna; Alfredo Locarini, Alma Mater Studiorum – University of Bologna; Paolo Tortora, University of Bologna; Stefano Cicalò, Space Dynamics Services s.r.l.; Alessia Bertolucci, Space Dynamics Services s.r.l.; Francesca Guerra, Space Dynamics Services s.r.l.; Mauro Cardone, Agenzia Spaziale Italiana. ABACO, An Autonomous Board for Avoiding Collisions (2023). doi:</w:t>
      </w:r>
      <w:r>
        <w:t xml:space="preserve"> </w:t>
      </w:r>
      <w:hyperlink r:id="rId193">
        <w:r>
          <w:rPr>
            <w:rStyle w:val="Hyperlink"/>
          </w:rPr>
          <w:t xml:space="preserve">10.64861/HAWR6096</w:t>
        </w:r>
      </w:hyperlink>
    </w:p>
    <w:p>
      <w:pPr>
        <w:pStyle w:val="BodyText"/>
        <w:spacing w:line="480" w:lineRule="auto"/>
        <w:ind w:firstLine="720"/>
      </w:pPr>
      <w:bookmarkStart w:id="194" w:name="ref-27"/>
      <w:bookmarkEnd w:id="194"/>
      <w:r>
        <w:t xml:space="preserve">27. Nicole Viola; Roberta Fusaro; Valeria Vercella. Technology roadmapping methodology for future hypersonic transportation systems (2022). doi:</w:t>
      </w:r>
      <w:r>
        <w:t xml:space="preserve"> </w:t>
      </w:r>
      <w:hyperlink r:id="rId195">
        <w:r>
          <w:rPr>
            <w:rStyle w:val="Hyperlink"/>
          </w:rPr>
          <w:t xml:space="preserve">10.1016/j.actaastro.2022.03.038</w:t>
        </w:r>
      </w:hyperlink>
    </w:p>
    <w:p>
      <w:pPr>
        <w:pStyle w:val="BodyText"/>
        <w:spacing w:line="480" w:lineRule="auto"/>
        <w:ind w:firstLine="720"/>
      </w:pPr>
      <w:bookmarkStart w:id="196" w:name="ref-28"/>
      <w:bookmarkEnd w:id="196"/>
      <w:r>
        <w:t xml:space="preserve">28. Valentina Zancan; Alessandro Paravano; Giorgio Locatelli; Paolo Trucco. Evolving governance in the space sector: From Legacy Space to New Space models (2024). doi:</w:t>
      </w:r>
      <w:r>
        <w:t xml:space="preserve"> </w:t>
      </w:r>
      <w:hyperlink r:id="rId197">
        <w:r>
          <w:rPr>
            <w:rStyle w:val="Hyperlink"/>
          </w:rPr>
          <w:t xml:space="preserve">10.1016/j.actaastro.2024.09.005</w:t>
        </w:r>
      </w:hyperlink>
    </w:p>
    <w:p>
      <w:pPr>
        <w:pStyle w:val="BodyText"/>
        <w:spacing w:line="480" w:lineRule="auto"/>
        <w:ind w:firstLine="720"/>
      </w:pPr>
      <w:bookmarkStart w:id="198" w:name="ref-29"/>
      <w:bookmarkEnd w:id="198"/>
      <w:r>
        <w:t xml:space="preserve">29. Pablo Martínez-Gijón Machuca; Chunqiang Wu; David M. Gleason; E. Topolcsik; Ricardo Lozano Ortega; Richard Linares. Characterization of horizon-based optical navigation measurement errors around the Moon: Patterns, their evolution, and a modeling approach (2025). doi:</w:t>
      </w:r>
      <w:r>
        <w:t xml:space="preserve"> </w:t>
      </w:r>
      <w:hyperlink r:id="rId199">
        <w:r>
          <w:rPr>
            <w:rStyle w:val="Hyperlink"/>
          </w:rPr>
          <w:t xml:space="preserve">10.1016/j.actaastro.2025.11.058</w:t>
        </w:r>
      </w:hyperlink>
    </w:p>
    <w:p>
      <w:pPr>
        <w:pStyle w:val="BodyText"/>
        <w:spacing w:line="480" w:lineRule="auto"/>
        <w:ind w:firstLine="720"/>
      </w:pPr>
      <w:bookmarkStart w:id="200" w:name="ref-30"/>
      <w:bookmarkEnd w:id="200"/>
      <w:r>
        <w:t xml:space="preserve">30. T.P. Graham; Kathiravan Thangavel; Anne-Sophie Martin. Navigating AI-lien Terrain: Legal liability for artificial intelligence in outer space (2024). doi:</w:t>
      </w:r>
      <w:r>
        <w:t xml:space="preserve"> </w:t>
      </w:r>
      <w:hyperlink r:id="rId201">
        <w:r>
          <w:rPr>
            <w:rStyle w:val="Hyperlink"/>
          </w:rPr>
          <w:t xml:space="preserve">10.1016/j.actaastro.2024.01.039</w:t>
        </w:r>
      </w:hyperlink>
    </w:p>
    <w:p>
      <w:pPr>
        <w:pStyle w:val="BodyText"/>
        <w:spacing w:line="480" w:lineRule="auto"/>
        <w:ind w:firstLine="720"/>
      </w:pPr>
      <w:bookmarkStart w:id="202" w:name="ref-31"/>
      <w:bookmarkEnd w:id="202"/>
      <w:r>
        <w:t xml:space="preserve">31. Ruilin Wu; Qianying Ma; Jianghui Xiong; Zi Xu; Yinghui Li. Leadership roles and group climate in isolation: A case study of 4-subject 180-day mission (2018). doi:</w:t>
      </w:r>
      <w:r>
        <w:t xml:space="preserve"> </w:t>
      </w:r>
      <w:hyperlink r:id="rId203">
        <w:r>
          <w:rPr>
            <w:rStyle w:val="Hyperlink"/>
          </w:rPr>
          <w:t xml:space="preserve">10.1016/j.actaastro.2018.09.017</w:t>
        </w:r>
      </w:hyperlink>
    </w:p>
    <w:p>
      <w:pPr>
        <w:pStyle w:val="BodyText"/>
        <w:spacing w:line="480" w:lineRule="auto"/>
        <w:ind w:firstLine="720"/>
      </w:pPr>
      <w:bookmarkStart w:id="204" w:name="ref-32"/>
      <w:bookmarkEnd w:id="204"/>
      <w:r>
        <w:t xml:space="preserve">32. Adrian Nowak; Radosław Zajdel; Krzysztof Sośnica. Optimization of orbit prediction strategies for GNSS satellites (2023). doi:</w:t>
      </w:r>
      <w:r>
        <w:t xml:space="preserve"> </w:t>
      </w:r>
      <w:hyperlink r:id="rId205">
        <w:r>
          <w:rPr>
            <w:rStyle w:val="Hyperlink"/>
          </w:rPr>
          <w:t xml:space="preserve">10.1016/j.actaastro.2023.04.040</w:t>
        </w:r>
      </w:hyperlink>
    </w:p>
    <w:p>
      <w:pPr>
        <w:pStyle w:val="BodyText"/>
        <w:spacing w:line="480" w:lineRule="auto"/>
        <w:ind w:firstLine="720"/>
      </w:pPr>
      <w:bookmarkStart w:id="206" w:name="ref-33"/>
      <w:bookmarkEnd w:id="206"/>
      <w:r>
        <w:t xml:space="preserve">33. Joshua Critchley-Marrows; Xiaofeng Wu; Iver H. Cairns. An architecture for a visual-based PNT alternative (2023). doi:</w:t>
      </w:r>
      <w:r>
        <w:t xml:space="preserve"> </w:t>
      </w:r>
      <w:hyperlink r:id="rId207">
        <w:r>
          <w:rPr>
            <w:rStyle w:val="Hyperlink"/>
          </w:rPr>
          <w:t xml:space="preserve">10.1016/j.actaastro.2023.05.022</w:t>
        </w:r>
      </w:hyperlink>
    </w:p>
    <w:p>
      <w:pPr>
        <w:pStyle w:val="BodyText"/>
        <w:spacing w:line="480" w:lineRule="auto"/>
        <w:ind w:firstLine="720"/>
      </w:pPr>
      <w:bookmarkStart w:id="208" w:name="ref-34"/>
      <w:bookmarkEnd w:id="208"/>
      <w:r>
        <w:t xml:space="preserve">34. Mohammad Reza Jabbarpour; Quoc Bao Vo; Ghaith El-Dalahmeh; Hassam Tahir; Ryszard Kowalczyk; Travis Bessell; James Barr. Agent-based approaches for distributed space systems and mission management: Methodologies, current practices and challenges (2025). doi:</w:t>
      </w:r>
      <w:r>
        <w:t xml:space="preserve"> </w:t>
      </w:r>
      <w:hyperlink r:id="rId209">
        <w:r>
          <w:rPr>
            <w:rStyle w:val="Hyperlink"/>
          </w:rPr>
          <w:t xml:space="preserve">10.1016/j.actaastro.2025.10.018</w:t>
        </w:r>
      </w:hyperlink>
    </w:p>
    <w:bookmarkEnd w:id="210"/>
    <w:bookmarkEnd w:id="211"/>
    <w:bookmarkStart w:id="22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19" w:name="Xf1c7a6fdc6827cd20bcd335f975bce51b7ba79e"/>
    <w:p>
      <w:pPr>
        <w:pStyle w:val="Heading2"/>
        <w:spacing w:line="480" w:lineRule="auto"/>
      </w:pPr>
      <w:r>
        <w:t xml:space="preserve">A.1 Open Interfaces and the Speed of Adoption: A Survival Analysis of Standards Leadership in GNSS Receiver Interoperability</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o</m:t>
              </m:r>
              <m:r>
                <m:rPr>
                  <m:sty m:val="p"/>
                </m:rPr>
                <m:t>p</m:t>
              </m:r>
              <m:r>
                <m:rPr>
                  <m:sty m:val="p"/>
                </m:rPr>
                <m:t>e</m:t>
              </m:r>
              <m:r>
                <m:rPr>
                  <m:sty m:val="p"/>
                </m:rPr>
                <m:t>n</m:t>
              </m:r>
              <m:r>
                <m:rPr>
                  <m:sty m:val="p"/>
                </m:rPr>
                <m:t>_</m:t>
              </m:r>
              <m:r>
                <m:rPr>
                  <m:sty m:val="p"/>
                </m:rPr>
                <m:t>i</m:t>
              </m:r>
              <m:r>
                <m:rPr>
                  <m:sty m:val="p"/>
                </m:rPr>
                <m:t>c</m:t>
              </m:r>
              <m:r>
                <m:rPr>
                  <m:sty m:val="p"/>
                </m:rPr>
                <m:t>d</m:t>
              </m:r>
              <m:r>
                <m:rPr>
                  <m:sty m:val="p"/>
                </m:rPr>
                <m:t>_</m:t>
              </m:r>
              <m:r>
                <m:rPr>
                  <m:sty m:val="p"/>
                </m:rPr>
                <m:t>e</m:t>
              </m:r>
              <m:r>
                <m:rPr>
                  <m:sty m:val="p"/>
                </m:rPr>
                <m:t>a</m:t>
              </m:r>
              <m:r>
                <m:rPr>
                  <m:sty m:val="p"/>
                </m:rPr>
                <m:t>r</m:t>
              </m:r>
              <m:r>
                <m:rPr>
                  <m:sty m:val="p"/>
                </m:rPr>
                <m:t>l</m:t>
              </m:r>
              <m:r>
                <m:rPr>
                  <m:sty m:val="p"/>
                </m:rPr>
                <m:t>y</m:t>
              </m:r>
              <m:r>
                <m:rPr>
                  <m:sty m:val="p"/>
                </m:rPr>
                <m:t>+</m:t>
              </m:r>
              <m:sSub>
                <m:e>
                  <m:r>
                    <m:t>β</m:t>
                  </m:r>
                </m:e>
                <m:sub>
                  <m:r>
                    <m:t>2</m:t>
                  </m:r>
                </m:sub>
              </m:sSub>
              <m:r>
                <m:t> </m:t>
              </m:r>
              <m:r>
                <m:rPr>
                  <m:sty m:val="p"/>
                </m:rPr>
                <m:t>i</m:t>
              </m:r>
              <m:r>
                <m:rPr>
                  <m:sty m:val="p"/>
                </m:rPr>
                <m:t>n</m:t>
              </m:r>
              <m:r>
                <m:rPr>
                  <m:sty m:val="p"/>
                </m:rPr>
                <m:t>t</m:t>
              </m:r>
              <m:r>
                <m:rPr>
                  <m:sty m:val="p"/>
                </m:rPr>
                <m:t>e</m:t>
              </m:r>
              <m:r>
                <m:rPr>
                  <m:sty m:val="p"/>
                </m:rPr>
                <m:t>r</m:t>
              </m:r>
              <m:r>
                <m:rPr>
                  <m:sty m:val="p"/>
                </m:rPr>
                <m:t>o</m:t>
              </m:r>
              <m:r>
                <m:rPr>
                  <m:sty m:val="p"/>
                </m:rPr>
                <m:t>p</m:t>
              </m:r>
              <m:r>
                <m:rPr>
                  <m:sty m:val="p"/>
                </m:rPr>
                <m:t>_</m:t>
              </m:r>
              <m:r>
                <m:rPr>
                  <m:sty m:val="p"/>
                </m:rPr>
                <m:t>c</m:t>
              </m:r>
              <m:r>
                <m:rPr>
                  <m:sty m:val="p"/>
                </m:rPr>
                <m:t>o</m:t>
              </m:r>
              <m:r>
                <m:rPr>
                  <m:sty m:val="p"/>
                </m:rPr>
                <m:t>m</m:t>
              </m:r>
              <m:r>
                <m:rPr>
                  <m:sty m:val="p"/>
                </m:rPr>
                <m:t>m</m:t>
              </m:r>
              <m:r>
                <m:rPr>
                  <m:sty m:val="p"/>
                </m:rPr>
                <m:t>i</m:t>
              </m:r>
              <m:r>
                <m:rPr>
                  <m:sty m:val="p"/>
                </m:rPr>
                <m:t>t</m:t>
              </m:r>
              <m:r>
                <m:rPr>
                  <m:sty m:val="p"/>
                </m:rPr>
                <m:t>t</m:t>
              </m:r>
              <m:r>
                <m:rPr>
                  <m:sty m:val="p"/>
                </m:rPr>
                <m:t>e</m:t>
              </m:r>
              <m:r>
                <m:rPr>
                  <m:sty m:val="p"/>
                </m:rPr>
                <m:t>d</m:t>
              </m:r>
              <m:r>
                <m:rPr>
                  <m:sty m:val="p"/>
                </m:rPr>
                <m:t>+</m:t>
              </m:r>
              <m:sSub>
                <m:e>
                  <m:r>
                    <m:t>β</m:t>
                  </m:r>
                </m:e>
                <m:sub>
                  <m:r>
                    <m:t>3</m:t>
                  </m:r>
                </m:sub>
              </m:sSub>
              <m:r>
                <m:t> </m:t>
              </m:r>
              <m:r>
                <m:rPr>
                  <m:sty m:val="p"/>
                </m:rPr>
                <m:t>g</m:t>
              </m:r>
              <m:r>
                <m:rPr>
                  <m:sty m:val="p"/>
                </m:rPr>
                <m:t>l</m:t>
              </m:r>
              <m:r>
                <m:rPr>
                  <m:sty m:val="p"/>
                </m:rPr>
                <m:t>o</m:t>
              </m:r>
              <m:r>
                <m:rPr>
                  <m:sty m:val="p"/>
                </m:rPr>
                <m:t>b</m:t>
              </m:r>
              <m:r>
                <m:rPr>
                  <m:sty m:val="p"/>
                </m:rPr>
                <m:t>a</m:t>
              </m:r>
              <m:r>
                <m:rPr>
                  <m:sty m:val="p"/>
                </m:rPr>
                <m:t>l</m:t>
              </m:r>
              <m:r>
                <m:rPr>
                  <m:sty m:val="p"/>
                </m:rPr>
                <m:t>_</m:t>
              </m:r>
              <m:r>
                <m:rPr>
                  <m:sty m:val="p"/>
                </m:rPr>
                <m:t>s</m:t>
              </m:r>
              <m:r>
                <m:rPr>
                  <m:sty m:val="p"/>
                </m:rPr>
                <m:t>y</m:t>
              </m:r>
              <m:r>
                <m:rPr>
                  <m:sty m:val="p"/>
                </m:rPr>
                <m:t>s</m:t>
              </m:r>
              <m:r>
                <m:rPr>
                  <m:sty m:val="p"/>
                </m:rPr>
                <m:t>t</m:t>
              </m:r>
              <m:r>
                <m:rPr>
                  <m:sty m:val="p"/>
                </m:rPr>
                <m:t>e</m:t>
              </m:r>
              <m:r>
                <m:rPr>
                  <m:sty m:val="p"/>
                </m:rPr>
                <m:t>m</m:t>
              </m:r>
            </m:e>
          </m:d>
        </m:oMath>
      </m:oMathPara>
    </w:p>
    <w:bookmarkStart w:id="21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open_icd_early</w:t>
            </w:r>
          </w:p>
        </w:tc>
        <w:tc>
          <w:tcPr>
            <w:tcW w:w="0" w:type="auto"/>
          </w:tcPr>
          <w:p>
            <w:pPr>
              <w:spacing w:line="240" w:lineRule="auto" w:before="0" w:after="0"/>
              <w:pStyle w:val="Compact"/>
            </w:pPr>
            <w:r>
              <w:rPr>
                <w:sz w:val="20"/>
                <w:szCs w:val="20"/>
              </w:rPr>
              <w:t xml:space="preserve">-1.194</w:t>
            </w:r>
          </w:p>
        </w:tc>
        <w:tc>
          <w:tcPr>
            <w:tcW w:w="0" w:type="auto"/>
          </w:tcPr>
          <w:p>
            <w:pPr>
              <w:spacing w:line="240" w:lineRule="auto" w:before="0" w:after="0"/>
              <w:pStyle w:val="Compact"/>
            </w:pPr>
            <w:r>
              <w:rPr>
                <w:sz w:val="20"/>
                <w:szCs w:val="20"/>
              </w:rPr>
              <w:t xml:space="preserve">0.6255</w:t>
            </w:r>
          </w:p>
        </w:tc>
        <w:tc>
          <w:tcPr>
            <w:tcW w:w="0" w:type="auto"/>
          </w:tcPr>
          <w:p>
            <w:pPr>
              <w:spacing w:line="240" w:lineRule="auto" w:before="0" w:after="0"/>
              <w:pStyle w:val="Compact"/>
            </w:pPr>
            <w:r>
              <w:rPr>
                <w:sz w:val="20"/>
                <w:szCs w:val="20"/>
              </w:rPr>
              <w:t xml:space="preserve">-1.9088</w:t>
            </w:r>
          </w:p>
        </w:tc>
        <w:tc>
          <w:tcPr>
            <w:tcW w:w="0" w:type="auto"/>
          </w:tcPr>
          <w:p>
            <w:pPr>
              <w:spacing w:line="240" w:lineRule="auto" w:before="0" w:after="0"/>
              <w:pStyle w:val="Compact"/>
            </w:pPr>
            <w:r>
              <w:rPr>
                <w:sz w:val="20"/>
                <w:szCs w:val="20"/>
              </w:rPr>
              <w:t xml:space="preserve">0.0563</w:t>
            </w:r>
          </w:p>
        </w:tc>
        <w:tc>
          <w:tcPr>
            <w:tcW w:w="0" w:type="auto"/>
          </w:tcPr>
          <w:p>
            <w:pPr>
              <w:spacing w:line="240" w:lineRule="auto" w:before="0" w:after="0"/>
              <w:pStyle w:val="Compact"/>
            </w:pPr>
            <w:r>
              <w:rPr>
                <w:sz w:val="20"/>
                <w:szCs w:val="20"/>
              </w:rPr>
              <w:t xml:space="preserve">[-2.42, 0.032]</w:t>
            </w:r>
          </w:p>
        </w:tc>
        <w:tc>
          <w:tcPr>
            <w:tcW w:w="0" w:type="auto"/>
          </w:tcPr>
          <w:p>
            <w:pPr>
              <w:spacing w:line="240" w:lineRule="auto" w:before="0" w:after="0"/>
              <w:pStyle w:val="Compact"/>
            </w:pPr>
            <w:r>
              <w:rPr>
                <w:sz w:val="20"/>
                <w:szCs w:val="20"/>
              </w:rPr>
              <w:t xml:space="preserve">0.303</w:t>
            </w:r>
          </w:p>
        </w:tc>
      </w:tr>
      <w:tr>
        <w:tc>
          <w:tcPr>
            <w:tcW w:w="0" w:type="auto"/>
          </w:tcPr>
          <w:p>
            <w:pPr>
              <w:spacing w:line="240" w:lineRule="auto" w:before="0" w:after="0"/>
              <w:pStyle w:val="Compact"/>
            </w:pPr>
            <w:r>
              <w:rPr>
                <w:sz w:val="20"/>
                <w:szCs w:val="20"/>
              </w:rPr>
              <w:t xml:space="preserve">interop_committed</w:t>
            </w:r>
          </w:p>
        </w:tc>
        <w:tc>
          <w:tcPr>
            <w:tcW w:w="0" w:type="auto"/>
          </w:tcPr>
          <w:p>
            <w:pPr>
              <w:spacing w:line="240" w:lineRule="auto" w:before="0" w:after="0"/>
              <w:pStyle w:val="Compact"/>
            </w:pPr>
            <w:r>
              <w:rPr>
                <w:sz w:val="20"/>
                <w:szCs w:val="20"/>
              </w:rPr>
              <w:t xml:space="preserve">1.5999</w:t>
            </w:r>
          </w:p>
        </w:tc>
        <w:tc>
          <w:tcPr>
            <w:tcW w:w="0" w:type="auto"/>
          </w:tcPr>
          <w:p>
            <w:pPr>
              <w:spacing w:line="240" w:lineRule="auto" w:before="0" w:after="0"/>
              <w:pStyle w:val="Compact"/>
            </w:pPr>
            <w:r>
              <w:rPr>
                <w:sz w:val="20"/>
                <w:szCs w:val="20"/>
              </w:rPr>
              <w:t xml:space="preserve">1.1215</w:t>
            </w:r>
          </w:p>
        </w:tc>
        <w:tc>
          <w:tcPr>
            <w:tcW w:w="0" w:type="auto"/>
          </w:tcPr>
          <w:p>
            <w:pPr>
              <w:spacing w:line="240" w:lineRule="auto" w:before="0" w:after="0"/>
              <w:pStyle w:val="Compact"/>
            </w:pPr>
            <w:r>
              <w:rPr>
                <w:sz w:val="20"/>
                <w:szCs w:val="20"/>
              </w:rPr>
              <w:t xml:space="preserve">1.4266</w:t>
            </w:r>
          </w:p>
        </w:tc>
        <w:tc>
          <w:tcPr>
            <w:tcW w:w="0" w:type="auto"/>
          </w:tcPr>
          <w:p>
            <w:pPr>
              <w:spacing w:line="240" w:lineRule="auto" w:before="0" w:after="0"/>
              <w:pStyle w:val="Compact"/>
            </w:pPr>
            <w:r>
              <w:rPr>
                <w:sz w:val="20"/>
                <w:szCs w:val="20"/>
              </w:rPr>
              <w:t xml:space="preserve">0.1537</w:t>
            </w:r>
          </w:p>
        </w:tc>
        <w:tc>
          <w:tcPr>
            <w:tcW w:w="0" w:type="auto"/>
          </w:tcPr>
          <w:p>
            <w:pPr>
              <w:spacing w:line="240" w:lineRule="auto" w:before="0" w:after="0"/>
              <w:pStyle w:val="Compact"/>
            </w:pPr>
            <w:r>
              <w:rPr>
                <w:sz w:val="20"/>
                <w:szCs w:val="20"/>
              </w:rPr>
              <w:t xml:space="preserve">[-0.5982, 3.798]</w:t>
            </w:r>
          </w:p>
        </w:tc>
        <w:tc>
          <w:tcPr>
            <w:tcW w:w="0" w:type="auto"/>
          </w:tcPr>
          <w:p>
            <w:pPr>
              <w:spacing w:line="240" w:lineRule="auto" w:before="0" w:after="0"/>
              <w:pStyle w:val="Compact"/>
            </w:pPr>
            <w:r>
              <w:rPr>
                <w:sz w:val="20"/>
                <w:szCs w:val="20"/>
              </w:rPr>
              <w:t xml:space="preserve">4.9526</w:t>
            </w:r>
          </w:p>
        </w:tc>
      </w:tr>
      <w:tr>
        <w:tc>
          <w:tcPr>
            <w:tcW w:w="0" w:type="auto"/>
          </w:tcPr>
          <w:p>
            <w:pPr>
              <w:spacing w:line="240" w:lineRule="auto" w:before="0" w:after="0"/>
              <w:pStyle w:val="Compact"/>
            </w:pPr>
            <w:r>
              <w:rPr>
                <w:sz w:val="20"/>
                <w:szCs w:val="20"/>
              </w:rPr>
              <w:t xml:space="preserve">global_system</w:t>
            </w:r>
          </w:p>
        </w:tc>
        <w:tc>
          <w:tcPr>
            <w:tcW w:w="0" w:type="auto"/>
          </w:tcPr>
          <w:p>
            <w:pPr>
              <w:spacing w:line="240" w:lineRule="auto" w:before="0" w:after="0"/>
              <w:pStyle w:val="Compact"/>
            </w:pPr>
            <w:r>
              <w:rPr>
                <w:sz w:val="20"/>
                <w:szCs w:val="20"/>
              </w:rPr>
              <w:t xml:space="preserve">-0.0822</w:t>
            </w:r>
          </w:p>
        </w:tc>
        <w:tc>
          <w:tcPr>
            <w:tcW w:w="0" w:type="auto"/>
          </w:tcPr>
          <w:p>
            <w:pPr>
              <w:spacing w:line="240" w:lineRule="auto" w:before="0" w:after="0"/>
              <w:pStyle w:val="Compact"/>
            </w:pPr>
            <w:r>
              <w:rPr>
                <w:sz w:val="20"/>
                <w:szCs w:val="20"/>
              </w:rPr>
              <w:t xml:space="preserve">0.5937</w:t>
            </w:r>
          </w:p>
        </w:tc>
        <w:tc>
          <w:tcPr>
            <w:tcW w:w="0" w:type="auto"/>
          </w:tcPr>
          <w:p>
            <w:pPr>
              <w:spacing w:line="240" w:lineRule="auto" w:before="0" w:after="0"/>
              <w:pStyle w:val="Compact"/>
            </w:pPr>
            <w:r>
              <w:rPr>
                <w:sz w:val="20"/>
                <w:szCs w:val="20"/>
              </w:rPr>
              <w:t xml:space="preserve">-0.1385</w:t>
            </w:r>
          </w:p>
        </w:tc>
        <w:tc>
          <w:tcPr>
            <w:tcW w:w="0" w:type="auto"/>
          </w:tcPr>
          <w:p>
            <w:pPr>
              <w:spacing w:line="240" w:lineRule="auto" w:before="0" w:after="0"/>
              <w:pStyle w:val="Compact"/>
            </w:pPr>
            <w:r>
              <w:rPr>
                <w:sz w:val="20"/>
                <w:szCs w:val="20"/>
              </w:rPr>
              <w:t xml:space="preserve">0.8898</w:t>
            </w:r>
          </w:p>
        </w:tc>
        <w:tc>
          <w:tcPr>
            <w:tcW w:w="0" w:type="auto"/>
          </w:tcPr>
          <w:p>
            <w:pPr>
              <w:spacing w:line="240" w:lineRule="auto" w:before="0" w:after="0"/>
              <w:pStyle w:val="Compact"/>
            </w:pPr>
            <w:r>
              <w:rPr>
                <w:sz w:val="20"/>
                <w:szCs w:val="20"/>
              </w:rPr>
              <w:t xml:space="preserve">[-1.246, 1.0815]</w:t>
            </w:r>
          </w:p>
        </w:tc>
        <w:tc>
          <w:tcPr>
            <w:tcW w:w="0" w:type="auto"/>
          </w:tcPr>
          <w:p>
            <w:pPr>
              <w:spacing w:line="240" w:lineRule="auto" w:before="0" w:after="0"/>
              <w:pStyle w:val="Compact"/>
            </w:pPr>
            <w:r>
              <w:rPr>
                <w:sz w:val="20"/>
                <w:szCs w:val="20"/>
              </w:rPr>
              <w:t xml:space="preserve">0.921</w:t>
            </w:r>
          </w:p>
        </w:tc>
      </w:tr>
    </w:tbl>
    <w:p>
      <w:pPr>
        <w:pStyle w:val="BodyText"/>
        <w:spacing w:line="480" w:lineRule="auto"/>
        <w:ind w:firstLine="720"/>
      </w:pPr>
      <w:r>
        <w:t xml:space="preserve">Fit: N = 30 events = 25</w:t>
      </w:r>
    </w:p>
    <w:bookmarkEnd w:id="212"/>
    <w:bookmarkStart w:id="21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ime from each GNSS constellation’s open civil-signal baseline to receiver-chipset adoption, by constellation-chipset pair. Each point is one constellation-chipset family observation; longer durations and right-censored pairs concentrate in constellations without an early open interoperability commitment." title="" id="214" name="Picture"/>
            <a:graphic>
              <a:graphicData uri="http://schemas.openxmlformats.org/drawingml/2006/picture">
                <pic:pic>
                  <pic:nvPicPr>
                    <pic:cNvPr descr="D:/Claude_Code/brain/collegium/candidates/dissertations/SPECTRUM_PNT_12/research_papers/p1/paper_fig1.png" id="215" name="Picture"/>
                    <pic:cNvPicPr>
                      <a:picLocks noChangeArrowheads="1" noChangeAspect="1"/>
                    </pic:cNvPicPr>
                  </pic:nvPicPr>
                  <pic:blipFill>
                    <a:blip r:embed="rId21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Time from each GNSS constellation’s open civil-signal baseline to receiver-chipset adoption, by constellation-chipset pair. Each point is one constellation-chipset family observation; longer durations and right-censored pairs concentrate in constellations without an early open interoperability commitment.</w:t>
      </w:r>
    </w:p>
    <w:bookmarkEnd w:id="216"/>
    <w:bookmarkStart w:id="21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obs</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chipset_family</w:t>
            </w:r>
          </w:p>
        </w:tc>
        <w:tc>
          <w:tcPr>
            <w:tcW w:w="0" w:type="auto"/>
          </w:tcPr>
          <w:p>
            <w:pPr>
              <w:spacing w:line="240" w:lineRule="auto" w:before="0" w:after="0"/>
              <w:pStyle w:val="Compact"/>
            </w:pPr>
            <w:r>
              <w:rPr>
                <w:sz w:val="20"/>
                <w:szCs w:val="20"/>
              </w:rPr>
              <w:t xml:space="preserve">baseline_year</w:t>
            </w:r>
          </w:p>
        </w:tc>
        <w:tc>
          <w:tcPr>
            <w:tcW w:w="0" w:type="auto"/>
          </w:tcPr>
          <w:p>
            <w:pPr>
              <w:spacing w:line="240" w:lineRule="auto" w:before="0" w:after="0"/>
              <w:pStyle w:val="Compact"/>
            </w:pPr>
            <w:r>
              <w:rPr>
                <w:sz w:val="20"/>
                <w:szCs w:val="20"/>
              </w:rPr>
              <w:t xml:space="preserve">support_year</w:t>
            </w:r>
          </w:p>
        </w:tc>
        <w:tc>
          <w:tcPr>
            <w:tcW w:w="0" w:type="auto"/>
          </w:tcPr>
          <w:p>
            <w:pPr>
              <w:spacing w:line="240" w:lineRule="auto" w:before="0" w:after="0"/>
              <w:pStyle w:val="Compact"/>
            </w:pPr>
            <w:r>
              <w:rPr>
                <w:sz w:val="20"/>
                <w:szCs w:val="20"/>
              </w:rPr>
              <w:t xml:space="preserve">duration_yrs</w:t>
            </w:r>
          </w:p>
        </w:tc>
        <w:tc>
          <w:tcPr>
            <w:tcW w:w="0" w:type="auto"/>
          </w:tcPr>
          <w:p>
            <w:pPr>
              <w:spacing w:line="240" w:lineRule="auto" w:before="0" w:after="0"/>
              <w:pStyle w:val="Compact"/>
            </w:pPr>
            <w:r>
              <w:rPr>
                <w:sz w:val="20"/>
                <w:szCs w:val="20"/>
              </w:rPr>
              <w:t xml:space="preserve">adopted</w:t>
            </w:r>
          </w:p>
        </w:tc>
        <w:tc>
          <w:tcPr>
            <w:tcW w:w="0" w:type="auto"/>
          </w:tcPr>
          <w:p>
            <w:pPr>
              <w:spacing w:line="240" w:lineRule="auto" w:before="0" w:after="0"/>
              <w:pStyle w:val="Compact"/>
            </w:pPr>
            <w:r>
              <w:rPr>
                <w:sz w:val="20"/>
                <w:szCs w:val="20"/>
              </w:rPr>
              <w:t xml:space="preserve">open_icd_early</w:t>
            </w:r>
          </w:p>
        </w:tc>
        <w:tc>
          <w:tcPr>
            <w:tcW w:w="0" w:type="auto"/>
          </w:tcPr>
          <w:p>
            <w:pPr>
              <w:spacing w:line="240" w:lineRule="auto" w:before="0" w:after="0"/>
              <w:pStyle w:val="Compact"/>
            </w:pPr>
            <w:r>
              <w:rPr>
                <w:sz w:val="20"/>
                <w:szCs w:val="20"/>
              </w:rPr>
              <w:t xml:space="preserve">interop_committed</w:t>
            </w:r>
          </w:p>
        </w:tc>
        <w:tc>
          <w:tcPr>
            <w:tcW w:w="0" w:type="auto"/>
          </w:tcPr>
          <w:p>
            <w:pPr>
              <w:spacing w:line="240" w:lineRule="auto" w:before="0" w:after="0"/>
              <w:pStyle w:val="Compact"/>
            </w:pPr>
            <w:r>
              <w:rPr>
                <w:sz w:val="20"/>
                <w:szCs w:val="20"/>
              </w:rPr>
              <w:t xml:space="preserve">global_system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w:t>
            </w:r>
          </w:p>
        </w:tc>
        <w:tc>
          <w:tcPr>
            <w:tcW w:w="0" w:type="auto"/>
          </w:tcPr>
          <w:p>
            <w:pPr>
              <w:spacing w:line="240" w:lineRule="auto" w:before="0" w:after="0"/>
              <w:pStyle w:val="Compact"/>
            </w:pPr>
            <w:r>
              <w:rPr>
                <w:sz w:val="20"/>
                <w:szCs w:val="20"/>
              </w:rPr>
              <w:t xml:space="preserve">MediaTek</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MediaTek MT3339 GPS solution announced June 2011 supporting GPS/QZSS/SBAS (mediatek.com</w:t>
            </w:r>
            <w:r>
              <w:rPr>
                <w:sz w:val="20"/>
                <w:szCs w:val="20"/>
              </w:rPr>
              <w:t xml:space="preserve"> </w:t>
            </w:r>
            <w:r>
              <w:rPr>
                <w:sz w:val="20"/>
                <w:szCs w:val="20"/>
              </w:rPr>
              <w:t xml:space="preserve">‘MediaTek Announces Its Latest GPS Solution Supporting QZSS’</w:t>
            </w:r>
            <w:r>
              <w:rPr>
                <w:sz w:val="20"/>
                <w:szCs w:val="20"/>
              </w:rPr>
              <w:t xml:space="preserve">); GPS open SPS baseline 1995 FOC, IS-GPS-200 public.</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GPS</w:t>
            </w:r>
          </w:p>
        </w:tc>
        <w:tc>
          <w:tcPr>
            <w:tcW w:w="0" w:type="auto"/>
          </w:tcPr>
          <w:p>
            <w:pPr>
              <w:spacing w:line="240" w:lineRule="auto" w:before="0" w:after="0"/>
              <w:pStyle w:val="Compact"/>
            </w:pPr>
            <w:r>
              <w:rPr>
                <w:sz w:val="20"/>
                <w:szCs w:val="20"/>
              </w:rPr>
              <w:t xml:space="preserve">Broadcom</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Broadcom 4th-gen 40nm multi-constellation GNSS IC (GPS core), product family BCM47xx (gpsworld.com</w:t>
            </w:r>
            <w:r>
              <w:rPr>
                <w:sz w:val="20"/>
                <w:szCs w:val="20"/>
              </w:rPr>
              <w:t xml:space="preserve"> </w:t>
            </w:r>
            <w:r>
              <w:rPr>
                <w:sz w:val="20"/>
                <w:szCs w:val="20"/>
              </w:rPr>
              <w:t xml:space="preserve">‘Broadcom, Qualcomm continue to dominate’</w:t>
            </w:r>
            <w:r>
              <w:rPr>
                <w:sz w:val="20"/>
                <w:szCs w:val="20"/>
              </w:rPr>
              <w:t xml:space="preserve">; broadcom.com BCM47531); GPS open SPS baseline 1995.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GPS</w:t>
            </w:r>
          </w:p>
        </w:tc>
        <w:tc>
          <w:tcPr>
            <w:tcW w:w="0" w:type="auto"/>
          </w:tcPr>
          <w:p>
            <w:pPr>
              <w:spacing w:line="240" w:lineRule="auto" w:before="0" w:after="0"/>
              <w:pStyle w:val="Compact"/>
            </w:pPr>
            <w:r>
              <w:rPr>
                <w:sz w:val="20"/>
                <w:szCs w:val="20"/>
              </w:rPr>
              <w:t xml:space="preserve">u-blox</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u-blox NEO-M8 family multi-GNSS modules, GPS core (u-blox.com positioning chips and modules); GPS open SPS baseline 1995.</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GPS</w:t>
            </w:r>
          </w:p>
        </w:tc>
        <w:tc>
          <w:tcPr>
            <w:tcW w:w="0" w:type="auto"/>
          </w:tcPr>
          <w:p>
            <w:pPr>
              <w:spacing w:line="240" w:lineRule="auto" w:before="0" w:after="0"/>
              <w:pStyle w:val="Compact"/>
            </w:pPr>
            <w:r>
              <w:rPr>
                <w:sz w:val="20"/>
                <w:szCs w:val="20"/>
              </w:rPr>
              <w:t xml:space="preserve">Trimble_pro</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Trimble/professional quad-constellation receivers GPS core (gpsworld.com</w:t>
            </w:r>
            <w:r>
              <w:rPr>
                <w:sz w:val="20"/>
                <w:szCs w:val="20"/>
              </w:rPr>
              <w:t xml:space="preserve"> </w:t>
            </w:r>
            <w:r>
              <w:rPr>
                <w:sz w:val="20"/>
                <w:szCs w:val="20"/>
              </w:rPr>
              <w:t xml:space="preserve">‘Quad-Constellation Receiver: GPS, GLONASS, Galileo, BeiDou’</w:t>
            </w:r>
            <w:r>
              <w:rPr>
                <w:sz w:val="20"/>
                <w:szCs w:val="20"/>
              </w:rPr>
              <w:t xml:space="preserve">); GPS open SPS baseline 1995.</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GPS</w:t>
            </w:r>
          </w:p>
        </w:tc>
        <w:tc>
          <w:tcPr>
            <w:tcW w:w="0" w:type="auto"/>
          </w:tcPr>
          <w:p>
            <w:pPr>
              <w:spacing w:line="240" w:lineRule="auto" w:before="0" w:after="0"/>
              <w:pStyle w:val="Compact"/>
            </w:pPr>
            <w:r>
              <w:rPr>
                <w:sz w:val="20"/>
                <w:szCs w:val="20"/>
              </w:rPr>
              <w:t xml:space="preserve">Qualcomm</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Qualcomm Snapdragon GNSS, top GNSS IC vendor (insidegnss.com</w:t>
            </w:r>
            <w:r>
              <w:rPr>
                <w:sz w:val="20"/>
                <w:szCs w:val="20"/>
              </w:rPr>
              <w:t xml:space="preserve"> </w:t>
            </w:r>
            <w:r>
              <w:rPr>
                <w:sz w:val="20"/>
                <w:szCs w:val="20"/>
              </w:rPr>
              <w:t xml:space="preserve">‘New Report Says Broadcom and Qualcomm Top GNSS IC Vendors’</w:t>
            </w:r>
            <w:r>
              <w:rPr>
                <w:sz w:val="20"/>
                <w:szCs w:val="20"/>
              </w:rPr>
              <w:t xml:space="preserve">); GPS open SPS baseline 1995. [illustrative support_year]</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GLONASS</w:t>
            </w:r>
          </w:p>
        </w:tc>
        <w:tc>
          <w:tcPr>
            <w:tcW w:w="0" w:type="auto"/>
          </w:tcPr>
          <w:p>
            <w:pPr>
              <w:spacing w:line="240" w:lineRule="auto" w:before="0" w:after="0"/>
              <w:pStyle w:val="Compact"/>
            </w:pPr>
            <w:r>
              <w:rPr>
                <w:sz w:val="20"/>
                <w:szCs w:val="20"/>
              </w:rPr>
              <w:t xml:space="preserve">MediaTek</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MediaTek MT3332/MT3333 5-in-1 multi-GNSS SoC (GPS/GLONASS/Galileo/BeiDou/QZSS), Jan 2013 (mediatek.com</w:t>
            </w:r>
            <w:r>
              <w:rPr>
                <w:sz w:val="20"/>
                <w:szCs w:val="20"/>
              </w:rPr>
              <w:t xml:space="preserve"> </w:t>
            </w:r>
            <w:r>
              <w:rPr>
                <w:sz w:val="20"/>
                <w:szCs w:val="20"/>
              </w:rPr>
              <w:t xml:space="preserve">‘World’s 1st 5-in-1 Multi-GNSS SoC’</w:t>
            </w:r>
            <w:r>
              <w:rPr>
                <w:sz w:val="20"/>
                <w:szCs w:val="20"/>
              </w:rPr>
              <w:t xml:space="preserve">); GLONASS restored FOC 2011, English-language civil ICD lagged service (ICD Ed.5.1 2008).</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GLONASS</w:t>
            </w:r>
          </w:p>
        </w:tc>
        <w:tc>
          <w:tcPr>
            <w:tcW w:w="0" w:type="auto"/>
          </w:tcPr>
          <w:p>
            <w:pPr>
              <w:spacing w:line="240" w:lineRule="auto" w:before="0" w:after="0"/>
              <w:pStyle w:val="Compact"/>
            </w:pPr>
            <w:r>
              <w:rPr>
                <w:sz w:val="20"/>
                <w:szCs w:val="20"/>
              </w:rPr>
              <w:t xml:space="preserve">Broadcom</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Broadcom 4th-gen multi-constellation GNSS IC includes GLONASS (gpsworld.com; broadcom.com); GLONASS restored FOC 2011.</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GLONASS</w:t>
            </w:r>
          </w:p>
        </w:tc>
        <w:tc>
          <w:tcPr>
            <w:tcW w:w="0" w:type="auto"/>
          </w:tcPr>
          <w:p>
            <w:pPr>
              <w:spacing w:line="240" w:lineRule="auto" w:before="0" w:after="0"/>
              <w:pStyle w:val="Compact"/>
            </w:pPr>
            <w:r>
              <w:rPr>
                <w:sz w:val="20"/>
                <w:szCs w:val="20"/>
              </w:rPr>
              <w:t xml:space="preserve">u-blox</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u-blox NEO-M8 family tracks GPS/GLONASS/Galileo/BeiDou (u-blox.com positioning chips and modules); GLONASS restored FOC 2011.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GLONASS</w:t>
            </w:r>
          </w:p>
        </w:tc>
        <w:tc>
          <w:tcPr>
            <w:tcW w:w="0" w:type="auto"/>
          </w:tcPr>
          <w:p>
            <w:pPr>
              <w:spacing w:line="240" w:lineRule="auto" w:before="0" w:after="0"/>
              <w:pStyle w:val="Compact"/>
            </w:pPr>
            <w:r>
              <w:rPr>
                <w:sz w:val="20"/>
                <w:szCs w:val="20"/>
              </w:rPr>
              <w:t xml:space="preserve">Trimble_pro</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Trimble/professional quad-constellation receiver includes GLONASS (gpsworld.com quad-constellation receiver); GLONASS restored FOC 2011.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GLONASS</w:t>
            </w:r>
          </w:p>
        </w:tc>
        <w:tc>
          <w:tcPr>
            <w:tcW w:w="0" w:type="auto"/>
          </w:tcPr>
          <w:p>
            <w:pPr>
              <w:spacing w:line="240" w:lineRule="auto" w:before="0" w:after="0"/>
              <w:pStyle w:val="Compact"/>
            </w:pPr>
            <w:r>
              <w:rPr>
                <w:sz w:val="20"/>
                <w:szCs w:val="20"/>
              </w:rPr>
              <w:t xml:space="preserve">Qualcomm</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Qualcomm Snapdragon GNSS GLONASS support, ABI Research vendor coverage (gpsworld.com); GLONASS restored FOC 2011. [illustrative support_year]</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MediaTek</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MediaTek MT3332/MT3333 5-in-1 SoC supports Galileo, Jan 2013 (mediatek.com press room); Galileo OS SIS-ICD Issue 1.4 Sept 2010 (cambridge.org GNSS signals chapter).</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Broadcom</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Broadcom BCM47755 dual-frequency GNSS supports Galileo E1/E5, ION GNSS+ 2017 (galileognss.eu</w:t>
            </w:r>
            <w:r>
              <w:rPr>
                <w:sz w:val="20"/>
                <w:szCs w:val="20"/>
              </w:rPr>
              <w:t xml:space="preserve"> </w:t>
            </w:r>
            <w:r>
              <w:rPr>
                <w:sz w:val="20"/>
                <w:szCs w:val="20"/>
              </w:rPr>
              <w:t xml:space="preserve">‘Broadcom releases world’s first dual-frequency GNSS receiver’</w:t>
            </w:r>
            <w:r>
              <w:rPr>
                <w:sz w:val="20"/>
                <w:szCs w:val="20"/>
              </w:rPr>
              <w:t xml:space="preserve">; broadcom.com BCM47755); Galileo OS SIS-ICD 2010.</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u-blox</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u-blox M8 family tracks Galileo (u-blox.com positioning chips and modules); Galileo OS SIS-ICD 2010.</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Trimble_pro</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Trimble/professional quad-constellation receiver Galileo support (gpsworld.com quad-constellation receiver); Galileo OS SIS-ICD 2010.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Qualcomm</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Qualcomm Snapdragon GNSS Galileo support, EUSPA chipmaker rollout coverage (gpsworld.com</w:t>
            </w:r>
            <w:r>
              <w:rPr>
                <w:sz w:val="20"/>
                <w:szCs w:val="20"/>
              </w:rPr>
              <w:t xml:space="preserve"> </w:t>
            </w:r>
            <w:r>
              <w:rPr>
                <w:sz w:val="20"/>
                <w:szCs w:val="20"/>
              </w:rPr>
              <w:t xml:space="preserve">‘GNSS chip manufacturers gear up for Galileo roll-out in U.S.’</w:t>
            </w:r>
            <w:r>
              <w:rPr>
                <w:sz w:val="20"/>
                <w:szCs w:val="20"/>
              </w:rPr>
              <w:t xml:space="preserve">); Galileo OS SIS-ICD 2010. [illustrative support_year]</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BeiDou</w:t>
            </w:r>
          </w:p>
        </w:tc>
        <w:tc>
          <w:tcPr>
            <w:tcW w:w="0" w:type="auto"/>
          </w:tcPr>
          <w:p>
            <w:pPr>
              <w:spacing w:line="240" w:lineRule="auto" w:before="0" w:after="0"/>
              <w:pStyle w:val="Compact"/>
            </w:pPr>
            <w:r>
              <w:rPr>
                <w:sz w:val="20"/>
                <w:szCs w:val="20"/>
              </w:rPr>
              <w:t xml:space="preserve">MediaTek</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MediaTek MT3332/MT3333 first 5-in-1 SoC supporting BeiDou, Jan 2013 (mediatek.com</w:t>
            </w:r>
            <w:r>
              <w:rPr>
                <w:sz w:val="20"/>
                <w:szCs w:val="20"/>
              </w:rPr>
              <w:t xml:space="preserve"> </w:t>
            </w:r>
            <w:r>
              <w:rPr>
                <w:sz w:val="20"/>
                <w:szCs w:val="20"/>
              </w:rPr>
              <w:t xml:space="preserve">‘World’s 1st 5-in-1 Multi-GNSS receiver SoC supporting BeiDou’</w:t>
            </w:r>
            <w:r>
              <w:rPr>
                <w:sz w:val="20"/>
                <w:szCs w:val="20"/>
              </w:rPr>
              <w:t xml:space="preserve">); BeiDou open SIS-ICD B1I v1.0 Dec 2012.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BeiDou</w:t>
            </w:r>
          </w:p>
        </w:tc>
        <w:tc>
          <w:tcPr>
            <w:tcW w:w="0" w:type="auto"/>
          </w:tcPr>
          <w:p>
            <w:pPr>
              <w:spacing w:line="240" w:lineRule="auto" w:before="0" w:after="0"/>
              <w:pStyle w:val="Compact"/>
            </w:pPr>
            <w:r>
              <w:rPr>
                <w:sz w:val="20"/>
                <w:szCs w:val="20"/>
              </w:rPr>
              <w:t xml:space="preserve">Broadcom</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Broadcom 4th-gen GNSS IC adds BeiDou (BDS) (gpsworld.com; broadcom.com); BeiDou open SIS-ICD B1I v1.0 Dec 2012.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BeiDou</w:t>
            </w:r>
          </w:p>
        </w:tc>
        <w:tc>
          <w:tcPr>
            <w:tcW w:w="0" w:type="auto"/>
          </w:tcPr>
          <w:p>
            <w:pPr>
              <w:spacing w:line="240" w:lineRule="auto" w:before="0" w:after="0"/>
              <w:pStyle w:val="Compact"/>
            </w:pPr>
            <w:r>
              <w:rPr>
                <w:sz w:val="20"/>
                <w:szCs w:val="20"/>
              </w:rPr>
              <w:t xml:space="preserve">u-blox</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u-blox NEO-M8 family tracks BeiDou (u-blox.com positioning chips and modules); BeiDou open SIS-ICD B1I v1.0 Dec 2012.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BeiDou</w:t>
            </w:r>
          </w:p>
        </w:tc>
        <w:tc>
          <w:tcPr>
            <w:tcW w:w="0" w:type="auto"/>
          </w:tcPr>
          <w:p>
            <w:pPr>
              <w:spacing w:line="240" w:lineRule="auto" w:before="0" w:after="0"/>
              <w:pStyle w:val="Compact"/>
            </w:pPr>
            <w:r>
              <w:rPr>
                <w:sz w:val="20"/>
                <w:szCs w:val="20"/>
              </w:rPr>
              <w:t xml:space="preserve">Trimble_pro</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Trimble/professional quad-constellation receiver BeiDou support (gpsworld.com quad-constellation receiver); BeiDou open SIS-ICD B1I v1.0 Dec 2012.</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BeiDou</w:t>
            </w:r>
          </w:p>
        </w:tc>
        <w:tc>
          <w:tcPr>
            <w:tcW w:w="0" w:type="auto"/>
          </w:tcPr>
          <w:p>
            <w:pPr>
              <w:spacing w:line="240" w:lineRule="auto" w:before="0" w:after="0"/>
              <w:pStyle w:val="Compact"/>
            </w:pPr>
            <w:r>
              <w:rPr>
                <w:sz w:val="20"/>
                <w:szCs w:val="20"/>
              </w:rPr>
              <w:t xml:space="preserve">Qualcomm</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Qualcomm Snapdragon GNSS BeiDou support, ABI Research vendor coverage (insidegnss.com GNSS IC vendors); BeiDou open SIS-ICD B1I v1.0 Dec 2012. [illustrative support_year]</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QZSS</w:t>
            </w:r>
          </w:p>
        </w:tc>
        <w:tc>
          <w:tcPr>
            <w:tcW w:w="0" w:type="auto"/>
          </w:tcPr>
          <w:p>
            <w:pPr>
              <w:spacing w:line="240" w:lineRule="auto" w:before="0" w:after="0"/>
              <w:pStyle w:val="Compact"/>
            </w:pPr>
            <w:r>
              <w:rPr>
                <w:sz w:val="20"/>
                <w:szCs w:val="20"/>
              </w:rPr>
              <w:t xml:space="preserve">MediaTek</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MediaTek MT3339 achieved positioning with QZSS, June 2011 (mediatek.com</w:t>
            </w:r>
            <w:r>
              <w:rPr>
                <w:sz w:val="20"/>
                <w:szCs w:val="20"/>
              </w:rPr>
              <w:t xml:space="preserve"> </w:t>
            </w:r>
            <w:r>
              <w:rPr>
                <w:sz w:val="20"/>
                <w:szCs w:val="20"/>
              </w:rPr>
              <w:t xml:space="preserve">‘MediaTek Announces Its Latest GPS Solution Supporting QZSS’</w:t>
            </w:r>
            <w:r>
              <w:rPr>
                <w:sz w:val="20"/>
                <w:szCs w:val="20"/>
              </w:rPr>
              <w:t xml:space="preserve">); QZSS IS published pre-service, draft 1.2 Mar 2010 (JAXA).</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QZSS</w:t>
            </w:r>
          </w:p>
        </w:tc>
        <w:tc>
          <w:tcPr>
            <w:tcW w:w="0" w:type="auto"/>
          </w:tcPr>
          <w:p>
            <w:pPr>
              <w:spacing w:line="240" w:lineRule="auto" w:before="0" w:after="0"/>
              <w:pStyle w:val="Compact"/>
            </w:pPr>
            <w:r>
              <w:rPr>
                <w:sz w:val="20"/>
                <w:szCs w:val="20"/>
              </w:rPr>
              <w:t xml:space="preserve">Broadcom</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Broadcom BCM47755 supports QZSS (broadcom.com BCM47755; galileognss.eu); QZSS IS draft 1.2 Mar 2010.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QZSS</w:t>
            </w:r>
          </w:p>
        </w:tc>
        <w:tc>
          <w:tcPr>
            <w:tcW w:w="0" w:type="auto"/>
          </w:tcPr>
          <w:p>
            <w:pPr>
              <w:spacing w:line="240" w:lineRule="auto" w:before="0" w:after="0"/>
              <w:pStyle w:val="Compact"/>
            </w:pPr>
            <w:r>
              <w:rPr>
                <w:sz w:val="20"/>
                <w:szCs w:val="20"/>
              </w:rPr>
              <w:t xml:space="preserve">u-blox</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u-blox M8 family QZSS support (u-blox.com positioning chips and modules); QZSS IS draft 1.2 Mar 2010.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QZSS</w:t>
            </w:r>
          </w:p>
        </w:tc>
        <w:tc>
          <w:tcPr>
            <w:tcW w:w="0" w:type="auto"/>
          </w:tcPr>
          <w:p>
            <w:pPr>
              <w:spacing w:line="240" w:lineRule="auto" w:before="0" w:after="0"/>
              <w:pStyle w:val="Compact"/>
            </w:pPr>
            <w:r>
              <w:rPr>
                <w:sz w:val="20"/>
                <w:szCs w:val="20"/>
              </w:rPr>
              <w:t xml:space="preserve">Qualcomm</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QZSS-compatible products list, Qualcomm-based handsets after QZSS service start Nov 2018 (qzss.go.jp products list); QZSS IS draft 1.2 Mar 2010.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QZSS</w:t>
            </w:r>
          </w:p>
        </w:tc>
        <w:tc>
          <w:tcPr>
            <w:tcW w:w="0" w:type="auto"/>
          </w:tcPr>
          <w:p>
            <w:pPr>
              <w:spacing w:line="240" w:lineRule="auto" w:before="0" w:after="0"/>
              <w:pStyle w:val="Compact"/>
            </w:pPr>
            <w:r>
              <w:rPr>
                <w:sz w:val="20"/>
                <w:szCs w:val="20"/>
              </w:rPr>
              <w:t xml:space="preserve">Trimble_pro</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 widely documented dedicated Trimble consumer QZSS product release as of 2024 cutoff; right-censored at 2024 (qzss.go.jp products list, Trimble not separately listed).</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NavIC</w:t>
            </w:r>
          </w:p>
        </w:tc>
        <w:tc>
          <w:tcPr>
            <w:tcW w:w="0" w:type="auto"/>
          </w:tcPr>
          <w:p>
            <w:pPr>
              <w:spacing w:line="240" w:lineRule="auto" w:before="0" w:after="0"/>
              <w:pStyle w:val="Compact"/>
            </w:pPr>
            <w:r>
              <w:rPr>
                <w:sz w:val="20"/>
                <w:szCs w:val="20"/>
              </w:rPr>
              <w:t xml:space="preserve">u-blox</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u-blox NEO-F10N L1/L5 module supports NavIC, announced Sept 2023 (u-blox.com NEO-F10N; forum.u-blox.com NavIC); NavIC regional, SPS-ICD v1.1 2017, narrower interoperability scope.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NavIC</w:t>
            </w:r>
          </w:p>
        </w:tc>
        <w:tc>
          <w:tcPr>
            <w:tcW w:w="0" w:type="auto"/>
          </w:tcPr>
          <w:p>
            <w:pPr>
              <w:spacing w:line="240" w:lineRule="auto" w:before="0" w:after="0"/>
              <w:pStyle w:val="Compact"/>
            </w:pPr>
            <w:r>
              <w:rPr>
                <w:sz w:val="20"/>
                <w:szCs w:val="20"/>
              </w:rPr>
              <w:t xml:space="preserve">MediaTek</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 clear MediaTek consumer SoC NavIC product release pinned before 2024 cutoff; right-censored at 2024 (taoglas.com NavIC coverage).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NavIC</w:t>
            </w:r>
          </w:p>
        </w:tc>
        <w:tc>
          <w:tcPr>
            <w:tcW w:w="0" w:type="auto"/>
          </w:tcPr>
          <w:p>
            <w:pPr>
              <w:spacing w:line="240" w:lineRule="auto" w:before="0" w:after="0"/>
              <w:pStyle w:val="Compact"/>
            </w:pPr>
            <w:r>
              <w:rPr>
                <w:sz w:val="20"/>
                <w:szCs w:val="20"/>
              </w:rPr>
              <w:t xml:space="preserve">Broadcom</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 documented Broadcom consumer NavIC chipset release before 2024 cutoff; right-censored at 2024 (taoglas.com GNSS constellations NavIC coverage).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NavIC</w:t>
            </w:r>
          </w:p>
        </w:tc>
        <w:tc>
          <w:tcPr>
            <w:tcW w:w="0" w:type="auto"/>
          </w:tcPr>
          <w:p>
            <w:pPr>
              <w:spacing w:line="240" w:lineRule="auto" w:before="0" w:after="0"/>
              <w:pStyle w:val="Compact"/>
            </w:pPr>
            <w:r>
              <w:rPr>
                <w:sz w:val="20"/>
                <w:szCs w:val="20"/>
              </w:rPr>
              <w:t xml:space="preserve">Qualcomm</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 documented standalone Qualcomm NavIC consumer chipset release before 2024 cutoff; right-censored at 2024.</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NavIC</w:t>
            </w:r>
          </w:p>
        </w:tc>
        <w:tc>
          <w:tcPr>
            <w:tcW w:w="0" w:type="auto"/>
          </w:tcPr>
          <w:p>
            <w:pPr>
              <w:spacing w:line="240" w:lineRule="auto" w:before="0" w:after="0"/>
              <w:pStyle w:val="Compact"/>
            </w:pPr>
            <w:r>
              <w:rPr>
                <w:sz w:val="20"/>
                <w:szCs w:val="20"/>
              </w:rPr>
              <w:t xml:space="preserve">Trimble_pro</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Specialist NavIC modules (U-TRAQ L100, Parry Technology) exist, but no Trimble flagship NavIC release before 2024 cutoff; right-censored at 2024 (elementzonline.com; parrytech.net).</w:t>
            </w:r>
          </w:p>
        </w:tc>
      </w:tr>
    </w:tbl>
    <w:bookmarkEnd w:id="217"/>
    <w:bookmarkStart w:id="21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duration_yrs</w:t>
            </w:r>
          </w:p>
        </w:tc>
        <w:tc>
          <w:tcPr>
            <w:tcW w:w="0" w:type="auto"/>
          </w:tcPr>
          <w:p>
            <w:pPr>
              <w:spacing w:line="240" w:lineRule="auto" w:before="0" w:after="0"/>
              <w:pStyle w:val="Compact"/>
            </w:pPr>
            <w:r>
              <w:rPr>
                <w:sz w:val="20"/>
                <w:szCs w:val="20"/>
              </w:rPr>
              <w:t xml:space="preserve">Years from a constellation’s open civil-signal baseline (operational service or open SIS-ICD publication) to the year a given receiver-chipset family added support for that constellation; right-censored at the 2024 observation cutoff for pairs not yet supported</w:t>
            </w:r>
          </w:p>
        </w:tc>
        <w:tc>
          <w:tcPr>
            <w:tcW w:w="0" w:type="auto"/>
          </w:tcPr>
          <w:p>
            <w:pPr>
              <w:spacing w:line="240" w:lineRule="auto" w:before="0" w:after="0"/>
              <w:pStyle w:val="Compact"/>
            </w:pPr>
            <w:r>
              <w:rPr>
                <w:sz w:val="20"/>
                <w:szCs w:val="20"/>
              </w:rPr>
              <w:t xml:space="preserve">Constructed from documented constellation operational/ICD dates and chipset product-release records (mediatek.com, broadcom.com, u-blox.com, galileognss.eu, qzss.go.jp, gpsworld.com, insidegnss.com)</w:t>
            </w:r>
          </w:p>
        </w:tc>
      </w:tr>
      <w:tr>
        <w:tc>
          <w:tcPr>
            <w:tcW w:w="0" w:type="auto"/>
          </w:tcPr>
          <w:p>
            <w:pPr>
              <w:spacing w:line="240" w:lineRule="auto" w:before="0" w:after="0"/>
              <w:pStyle w:val="Compact"/>
            </w:pPr>
            <w:r>
              <w:rPr>
                <w:sz w:val="20"/>
                <w:szCs w:val="20"/>
              </w:rPr>
              <w:t xml:space="preserve">adopted</w:t>
            </w:r>
          </w:p>
        </w:tc>
        <w:tc>
          <w:tcPr>
            <w:tcW w:w="0" w:type="auto"/>
          </w:tcPr>
          <w:p>
            <w:pPr>
              <w:spacing w:line="240" w:lineRule="auto" w:before="0" w:after="0"/>
              <w:pStyle w:val="Compact"/>
            </w:pPr>
            <w:r>
              <w:rPr>
                <w:sz w:val="20"/>
                <w:szCs w:val="20"/>
              </w:rPr>
              <w:t xml:space="preserve">Event indicator equal to 1 if the chipset family supports the constellation by the 2024 cutoff, 0 if right-censored</w:t>
            </w:r>
          </w:p>
        </w:tc>
        <w:tc>
          <w:tcPr>
            <w:tcW w:w="0" w:type="auto"/>
          </w:tcPr>
          <w:p>
            <w:pPr>
              <w:spacing w:line="240" w:lineRule="auto" w:before="0" w:after="0"/>
              <w:pStyle w:val="Compact"/>
            </w:pPr>
            <w:r>
              <w:rPr>
                <w:sz w:val="20"/>
                <w:szCs w:val="20"/>
              </w:rPr>
              <w:t xml:space="preserve">Vendor product disclosures and QZSS compatible-products registry</w:t>
            </w:r>
          </w:p>
        </w:tc>
      </w:tr>
      <w:tr>
        <w:tc>
          <w:tcPr>
            <w:tcW w:w="0" w:type="auto"/>
          </w:tcPr>
          <w:p>
            <w:pPr>
              <w:spacing w:line="240" w:lineRule="auto" w:before="0" w:after="0"/>
              <w:pStyle w:val="Compact"/>
            </w:pPr>
            <w:r>
              <w:rPr>
                <w:sz w:val="20"/>
                <w:szCs w:val="20"/>
              </w:rPr>
              <w:t xml:space="preserve">open_icd_early</w:t>
            </w:r>
          </w:p>
        </w:tc>
        <w:tc>
          <w:tcPr>
            <w:tcW w:w="0" w:type="auto"/>
          </w:tcPr>
          <w:p>
            <w:pPr>
              <w:spacing w:line="240" w:lineRule="auto" w:before="0" w:after="0"/>
              <w:pStyle w:val="Compact"/>
            </w:pPr>
            <w:r>
              <w:rPr>
                <w:sz w:val="20"/>
                <w:szCs w:val="20"/>
              </w:rPr>
              <w:t xml:space="preserve">Standards-leadership indicator equal to 1 if the constellation published an open civil signal-in-space interface specification at or near first operational service (GPS, Galileo, BeiDou, QZSS, NavIC), 0 if the open civil interface specification materially lagged operational service (GLONASS)</w:t>
            </w:r>
          </w:p>
        </w:tc>
        <w:tc>
          <w:tcPr>
            <w:tcW w:w="0" w:type="auto"/>
          </w:tcPr>
          <w:p>
            <w:pPr>
              <w:spacing w:line="240" w:lineRule="auto" w:before="0" w:after="0"/>
              <w:pStyle w:val="Compact"/>
            </w:pPr>
            <w:r>
              <w:rPr>
                <w:sz w:val="20"/>
                <w:szCs w:val="20"/>
              </w:rPr>
              <w:t xml:space="preserve">Provider SIS-ICD publication records and Cambridge GNSS-signals reference (cambridge.org)</w:t>
            </w:r>
          </w:p>
        </w:tc>
      </w:tr>
      <w:tr>
        <w:tc>
          <w:tcPr>
            <w:tcW w:w="0" w:type="auto"/>
          </w:tcPr>
          <w:p>
            <w:pPr>
              <w:spacing w:line="240" w:lineRule="auto" w:before="0" w:after="0"/>
              <w:pStyle w:val="Compact"/>
            </w:pPr>
            <w:r>
              <w:rPr>
                <w:sz w:val="20"/>
                <w:szCs w:val="20"/>
              </w:rPr>
              <w:t xml:space="preserve">interop_committed</w:t>
            </w:r>
          </w:p>
        </w:tc>
        <w:tc>
          <w:tcPr>
            <w:tcW w:w="0" w:type="auto"/>
          </w:tcPr>
          <w:p>
            <w:pPr>
              <w:spacing w:line="240" w:lineRule="auto" w:before="0" w:after="0"/>
              <w:pStyle w:val="Compact"/>
            </w:pPr>
            <w:r>
              <w:rPr>
                <w:sz w:val="20"/>
                <w:szCs w:val="20"/>
              </w:rPr>
              <w:t xml:space="preserve">Indicator equal to 1 if the provider made an explicit multi-GNSS interoperability commitment through the International Committee on GNSS and open-service design (GPS, GLONASS, Galileo, BeiDou, QZSS), 0 for a regional system with a narrower declared interoperability scope (NavIC)</w:t>
            </w:r>
          </w:p>
        </w:tc>
        <w:tc>
          <w:tcPr>
            <w:tcW w:w="0" w:type="auto"/>
          </w:tcPr>
          <w:p>
            <w:pPr>
              <w:spacing w:line="240" w:lineRule="auto" w:before="0" w:after="0"/>
              <w:pStyle w:val="Compact"/>
            </w:pPr>
            <w:r>
              <w:rPr>
                <w:sz w:val="20"/>
                <w:szCs w:val="20"/>
              </w:rPr>
              <w:t xml:space="preserve">UN OOSA ICG records and provider open-service definitions</w:t>
            </w:r>
          </w:p>
        </w:tc>
      </w:tr>
      <w:tr>
        <w:tc>
          <w:tcPr>
            <w:tcW w:w="0" w:type="auto"/>
          </w:tcPr>
          <w:p>
            <w:pPr>
              <w:spacing w:line="240" w:lineRule="auto" w:before="0" w:after="0"/>
              <w:pStyle w:val="Compact"/>
            </w:pPr>
            <w:r>
              <w:rPr>
                <w:sz w:val="20"/>
                <w:szCs w:val="20"/>
              </w:rPr>
              <w:t xml:space="preserve">global_system</w:t>
            </w:r>
          </w:p>
        </w:tc>
        <w:tc>
          <w:tcPr>
            <w:tcW w:w="0" w:type="auto"/>
          </w:tcPr>
          <w:p>
            <w:pPr>
              <w:spacing w:line="240" w:lineRule="auto" w:before="0" w:after="0"/>
              <w:pStyle w:val="Compact"/>
            </w:pPr>
            <w:r>
              <w:rPr>
                <w:sz w:val="20"/>
                <w:szCs w:val="20"/>
              </w:rPr>
              <w:t xml:space="preserve">Indicator equal to 1 for a global constellation (GPS, GLONASS, Galileo, BeiDou), 0 for a regional constellation (QZSS, NavIC)</w:t>
            </w:r>
          </w:p>
        </w:tc>
        <w:tc>
          <w:tcPr>
            <w:tcW w:w="0" w:type="auto"/>
          </w:tcPr>
          <w:p>
            <w:pPr>
              <w:spacing w:line="240" w:lineRule="auto" w:before="0" w:after="0"/>
              <w:pStyle w:val="Compact"/>
            </w:pPr>
            <w:r>
              <w:rPr>
                <w:sz w:val="20"/>
                <w:szCs w:val="20"/>
              </w:rPr>
              <w:t xml:space="preserve">Provider system-coverage definitions (taoglas.com GNSS constellations overview)</w:t>
            </w:r>
          </w:p>
        </w:tc>
      </w:tr>
    </w:tbl>
    <w:bookmarkEnd w:id="218"/>
    <w:bookmarkEnd w:id="219"/>
    <w:bookmarkStart w:id="227" w:name="X2357dcb3d9db4fca16eb7869717e9f14244379d"/>
    <w:p>
      <w:pPr>
        <w:pStyle w:val="Heading2"/>
        <w:spacing w:line="480" w:lineRule="auto"/>
      </w:pPr>
      <w:r>
        <w:t xml:space="preserve">A.2 The Learning Curve of Interoperability: Cumulative Standards-Program Experience and the Supply of Open GNSS Signals</w:t>
      </w:r>
    </w:p>
    <w:p>
      <w:pPr>
        <w:pStyle w:val="FirstParagraph"/>
        <w:spacing w:line="480" w:lineRule="auto"/>
      </w:pPr>
      <m:oMathPara>
        <m:oMathParaPr>
          <m:jc m:val="center"/>
        </m:oMathParaPr>
        <m:oMath>
          <m:r>
            <m:rPr>
              <m:sty m:val="p"/>
            </m:rPr>
            <m:t>ln</m:t>
          </m:r>
          <m:r>
            <m:rPr>
              <m:sty m:val="p"/>
            </m:rPr>
            <m:t>(</m:t>
          </m:r>
          <m:sSub>
            <m:e>
              <m:r>
                <m:rPr>
                  <m:nor/>
                  <m:sty m:val="p"/>
                </m:rPr>
                <m:t>cum_civil_signals</m:t>
              </m:r>
            </m:e>
            <m:sub>
              <m:r>
                <m:t>i</m:t>
              </m:r>
              <m:r>
                <m:t>t</m:t>
              </m:r>
            </m:sub>
          </m:sSub>
          <m:r>
            <m:rPr>
              <m:sty m:val="p"/>
            </m:rPr>
            <m:t>)</m:t>
          </m:r>
          <m:r>
            <m:rPr>
              <m:sty m:val="p"/>
            </m:rPr>
            <m:t>=</m:t>
          </m:r>
          <m:r>
            <m:t>α</m:t>
          </m:r>
          <m:r>
            <m:rPr>
              <m:sty m:val="p"/>
            </m:rPr>
            <m:t>+</m:t>
          </m:r>
          <m:r>
            <m:t>β</m:t>
          </m:r>
          <m:r>
            <m:t> </m:t>
          </m:r>
          <m:r>
            <m:rPr>
              <m:sty m:val="p"/>
            </m:rPr>
            <m:t>ln</m:t>
          </m:r>
          <m:r>
            <m:rPr>
              <m:sty m:val="p"/>
            </m:rPr>
            <m:t>(</m:t>
          </m:r>
          <m:sSub>
            <m:e>
              <m:r>
                <m:rPr>
                  <m:nor/>
                  <m:sty m:val="p"/>
                </m:rPr>
                <m:t>cum_experience_yrs</m:t>
              </m:r>
            </m:e>
            <m:sub>
              <m:r>
                <m:t>i</m:t>
              </m:r>
              <m:r>
                <m:t>t</m:t>
              </m:r>
            </m:sub>
          </m:sSub>
          <m:r>
            <m:rPr>
              <m:sty m:val="p"/>
            </m:rPr>
            <m:t>)</m:t>
          </m:r>
          <m:r>
            <m:rPr>
              <m:sty m:val="p"/>
            </m:rPr>
            <m:t>+</m:t>
          </m:r>
          <m:sSub>
            <m:e>
              <m:r>
                <m:t>ε</m:t>
              </m:r>
            </m:e>
            <m:sub>
              <m:r>
                <m:t>i</m:t>
              </m:r>
              <m:r>
                <m:t>t</m:t>
              </m:r>
            </m:sub>
          </m:sSub>
        </m:oMath>
      </m:oMathPara>
    </w:p>
    <w:bookmarkStart w:id="22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0.6937</w:t>
            </w:r>
          </w:p>
        </w:tc>
        <w:tc>
          <w:tcPr>
            <w:tcW w:w="0" w:type="auto"/>
          </w:tcPr>
          <w:p>
            <w:pPr>
              <w:spacing w:line="240" w:lineRule="auto" w:before="0" w:after="0"/>
              <w:pStyle w:val="Compact"/>
            </w:pPr>
            <w:r>
              <w:rPr>
                <w:sz w:val="20"/>
                <w:szCs w:val="20"/>
              </w:rPr>
              <w:t xml:space="preserve">0.2161</w:t>
            </w:r>
          </w:p>
        </w:tc>
        <w:tc>
          <w:tcPr>
            <w:tcW w:w="0" w:type="auto"/>
          </w:tcPr>
          <w:p>
            <w:pPr>
              <w:spacing w:line="240" w:lineRule="auto" w:before="0" w:after="0"/>
              <w:pStyle w:val="Compact"/>
            </w:pPr>
            <w:r>
              <w:rPr>
                <w:sz w:val="20"/>
                <w:szCs w:val="20"/>
              </w:rPr>
              <w:t xml:space="preserve">3.2104</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[0.2702, 1.1172]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0.196</w:t>
            </w:r>
          </w:p>
        </w:tc>
        <w:tc>
          <w:tcPr>
            <w:tcW w:w="0" w:type="auto"/>
          </w:tcPr>
          <w:p>
            <w:pPr>
              <w:spacing w:line="240" w:lineRule="auto" w:before="0" w:after="0"/>
              <w:pStyle w:val="Compact"/>
            </w:pPr>
            <w:r>
              <w:rPr>
                <w:sz w:val="20"/>
                <w:szCs w:val="20"/>
              </w:rPr>
              <w:t xml:space="preserve">0.086</w:t>
            </w:r>
          </w:p>
        </w:tc>
        <w:tc>
          <w:tcPr>
            <w:tcW w:w="0" w:type="auto"/>
          </w:tcPr>
          <w:p>
            <w:pPr>
              <w:spacing w:line="240" w:lineRule="auto" w:before="0" w:after="0"/>
              <w:pStyle w:val="Compact"/>
            </w:pPr>
            <w:r>
              <w:rPr>
                <w:sz w:val="20"/>
                <w:szCs w:val="20"/>
              </w:rPr>
              <w:t xml:space="preserve">2.2791</w:t>
            </w:r>
          </w:p>
        </w:tc>
        <w:tc>
          <w:tcPr>
            <w:tcW w:w="0" w:type="auto"/>
          </w:tcPr>
          <w:p>
            <w:pPr>
              <w:spacing w:line="240" w:lineRule="auto" w:before="0" w:after="0"/>
              <w:pStyle w:val="Compact"/>
            </w:pPr>
            <w:r>
              <w:rPr>
                <w:sz w:val="20"/>
                <w:szCs w:val="20"/>
              </w:rPr>
              <w:t xml:space="preserve">0.0227</w:t>
            </w:r>
          </w:p>
        </w:tc>
        <w:tc>
          <w:tcPr>
            <w:tcW w:w="0" w:type="auto"/>
          </w:tcPr>
          <w:p>
            <w:pPr>
              <w:spacing w:line="240" w:lineRule="auto" w:before="0" w:after="0"/>
              <w:pStyle w:val="Compact"/>
            </w:pPr>
            <w:r>
              <w:rPr>
                <w:sz w:val="20"/>
                <w:szCs w:val="20"/>
              </w:rPr>
              <w:t xml:space="preserve">[0.0274, 0.3646]</w:t>
            </w:r>
          </w:p>
        </w:tc>
      </w:tr>
    </w:tbl>
    <w:p>
      <w:pPr>
        <w:pStyle w:val="BodyText"/>
        <w:spacing w:line="480" w:lineRule="auto"/>
        <w:ind w:firstLine="720"/>
      </w:pPr>
      <w:r>
        <w:t xml:space="preserve">Fit: N = 23 R2 = 0.2821 elasticity_b = 0.196 progress_ratio_2^b = 1.1455</w:t>
      </w:r>
    </w:p>
    <w:bookmarkEnd w:id="220"/>
    <w:bookmarkStart w:id="22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og-log learning curve of open GNSS interoperable-signal supply against cumulative standards-program experience, fitted across 23 dated interface-specification releases from six GNSS providers." title="" id="222" name="Picture"/>
            <a:graphic>
              <a:graphicData uri="http://schemas.openxmlformats.org/drawingml/2006/picture">
                <pic:pic>
                  <pic:nvPicPr>
                    <pic:cNvPr descr="D:/Claude_Code/brain/collegium/candidates/dissertations/SPECTRUM_PNT_12/research_papers/p2/paper_fig1.png" id="223" name="Picture"/>
                    <pic:cNvPicPr>
                      <a:picLocks noChangeArrowheads="1" noChangeAspect="1"/>
                    </pic:cNvPicPr>
                  </pic:nvPicPr>
                  <pic:blipFill>
                    <a:blip r:embed="rId22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Log-log learning curve of open GNSS interoperable-signal supply against cumulative standards-program experience, fitted across 23 dated interface-specification releases from six GNSS providers.</w:t>
      </w:r>
    </w:p>
    <w:bookmarkEnd w:id="224"/>
    <w:bookmarkStart w:id="22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bloc</w:t>
            </w:r>
          </w:p>
        </w:tc>
        <w:tc>
          <w:tcPr>
            <w:tcW w:w="0" w:type="auto"/>
          </w:tcPr>
          <w:p>
            <w:pPr>
              <w:spacing w:line="240" w:lineRule="auto" w:before="0" w:after="0"/>
              <w:pStyle w:val="Compact"/>
            </w:pPr>
            <w:r>
              <w:rPr>
                <w:sz w:val="20"/>
                <w:szCs w:val="20"/>
              </w:rPr>
              <w:t xml:space="preserve">release_label</w:t>
            </w:r>
          </w:p>
        </w:tc>
        <w:tc>
          <w:tcPr>
            <w:tcW w:w="0" w:type="auto"/>
          </w:tcPr>
          <w:p>
            <w:pPr>
              <w:spacing w:line="240" w:lineRule="auto" w:before="0" w:after="0"/>
              <w:pStyle w:val="Compact"/>
            </w:pPr>
            <w:r>
              <w:rPr>
                <w:sz w:val="20"/>
                <w:szCs w:val="20"/>
              </w:rPr>
              <w:t xml:space="preserve">release_year</w:t>
            </w:r>
          </w:p>
        </w:tc>
        <w:tc>
          <w:tcPr>
            <w:tcW w:w="0" w:type="auto"/>
          </w:tcPr>
          <w:p>
            <w:pPr>
              <w:spacing w:line="240" w:lineRule="auto" w:before="0" w:after="0"/>
              <w:pStyle w:val="Compact"/>
            </w:pPr>
            <w:r>
              <w:rPr>
                <w:sz w:val="20"/>
                <w:szCs w:val="20"/>
              </w:rPr>
              <w:t xml:space="preserve">cum_experience_yrs</w:t>
            </w:r>
          </w:p>
        </w:tc>
        <w:tc>
          <w:tcPr>
            <w:tcW w:w="0" w:type="auto"/>
          </w:tcPr>
          <w:p>
            <w:pPr>
              <w:spacing w:line="240" w:lineRule="auto" w:before="0" w:after="0"/>
              <w:pStyle w:val="Compact"/>
            </w:pPr>
            <w:r>
              <w:rPr>
                <w:sz w:val="20"/>
                <w:szCs w:val="20"/>
              </w:rPr>
              <w:t xml:space="preserve">cum_civil_signals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GPS</w:t>
            </w:r>
          </w:p>
        </w:tc>
        <w:tc>
          <w:tcPr>
            <w:tcW w:w="0" w:type="auto"/>
          </w:tcPr>
          <w:p>
            <w:pPr>
              <w:spacing w:line="240" w:lineRule="auto" w:before="0" w:after="0"/>
              <w:pStyle w:val="Compact"/>
            </w:pPr>
            <w:r>
              <w:rPr>
                <w:sz w:val="20"/>
                <w:szCs w:val="20"/>
              </w:rPr>
              <w:t xml:space="preserve">ICD-GPS-200B/C public release</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USCG NAVCEN GPS Technical References and GPS.gov Historic ICDs: ICD-GPS-200 lineage from 1983 designation to public ICD-GPS-200C (10 Oct 1993); civil signals L1 C/A and (legacy) L2 access. https://www.gps.gov/interface-control-documents-icds-interface-specifications-iss ; https://archive.gps.gov/technical/icwg/old-versions/</w:t>
            </w:r>
          </w:p>
        </w:tc>
      </w:tr>
      <w:tr>
        <w:tc>
          <w:tcPr>
            <w:tcW w:w="0" w:type="auto"/>
          </w:tcPr>
          <w:p>
            <w:pPr>
              <w:spacing w:line="240" w:lineRule="auto" w:before="0" w:after="0"/>
              <w:pStyle w:val="Compact"/>
            </w:pPr>
            <w:r>
              <w:rPr>
                <w:sz w:val="20"/>
                <w:szCs w:val="20"/>
              </w:rPr>
              <w:t xml:space="preserve">GPS</w:t>
            </w:r>
          </w:p>
        </w:tc>
        <w:tc>
          <w:tcPr>
            <w:tcW w:w="0" w:type="auto"/>
          </w:tcPr>
          <w:p>
            <w:pPr>
              <w:spacing w:line="240" w:lineRule="auto" w:before="0" w:after="0"/>
              <w:pStyle w:val="Compact"/>
            </w:pPr>
            <w:r>
              <w:rPr>
                <w:sz w:val="20"/>
                <w:szCs w:val="20"/>
              </w:rPr>
              <w:t xml:space="preserve">IS-GPS-200D adds L2C civil signal</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GPS.gov New Civil Signals: L2C added; IS-GPS-200 revision lineage. https://www.gps.gov/new-civil-signals ; https://www.gps.gov/interface-control-documents-icds-interface-specifications-iss</w:t>
            </w:r>
          </w:p>
        </w:tc>
      </w:tr>
      <w:tr>
        <w:tc>
          <w:tcPr>
            <w:tcW w:w="0" w:type="auto"/>
          </w:tcPr>
          <w:p>
            <w:pPr>
              <w:spacing w:line="240" w:lineRule="auto" w:before="0" w:after="0"/>
              <w:pStyle w:val="Compact"/>
            </w:pPr>
            <w:r>
              <w:rPr>
                <w:sz w:val="20"/>
                <w:szCs w:val="20"/>
              </w:rPr>
              <w:t xml:space="preserve">GPS</w:t>
            </w:r>
          </w:p>
        </w:tc>
        <w:tc>
          <w:tcPr>
            <w:tcW w:w="0" w:type="auto"/>
          </w:tcPr>
          <w:p>
            <w:pPr>
              <w:spacing w:line="240" w:lineRule="auto" w:before="0" w:after="0"/>
              <w:pStyle w:val="Compact"/>
            </w:pPr>
            <w:r>
              <w:rPr>
                <w:sz w:val="20"/>
                <w:szCs w:val="20"/>
              </w:rPr>
              <w:t xml:space="preserve">IS-GPS-705 L5 civil signal interface</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GPS.gov IS-GPS-705 defines L5 civil signal interface (released 2005 lineage; current Rev J 2022-08-22). https://www.gps.gov/interface-control-documents-icds-interface-specifications-iss ; https://www.navcen.uscg.gov/gps-technical-references</w:t>
            </w:r>
          </w:p>
        </w:tc>
      </w:tr>
      <w:tr>
        <w:tc>
          <w:tcPr>
            <w:tcW w:w="0" w:type="auto"/>
          </w:tcPr>
          <w:p>
            <w:pPr>
              <w:spacing w:line="240" w:lineRule="auto" w:before="0" w:after="0"/>
              <w:pStyle w:val="Compact"/>
            </w:pPr>
            <w:r>
              <w:rPr>
                <w:sz w:val="20"/>
                <w:szCs w:val="20"/>
              </w:rPr>
              <w:t xml:space="preserve">GPS</w:t>
            </w:r>
          </w:p>
        </w:tc>
        <w:tc>
          <w:tcPr>
            <w:tcW w:w="0" w:type="auto"/>
          </w:tcPr>
          <w:p>
            <w:pPr>
              <w:spacing w:line="240" w:lineRule="auto" w:before="0" w:after="0"/>
              <w:pStyle w:val="Compact"/>
            </w:pPr>
            <w:r>
              <w:rPr>
                <w:sz w:val="20"/>
                <w:szCs w:val="20"/>
              </w:rPr>
              <w:t xml:space="preserve">IS-GPS-800 L1C civil signal interface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GPS.gov IS-GPS-800 defines L1C civil signal interface (released 2008 lineage; current Rev J 2022-08-22). https://www.gps.gov/interface-control-documents-icds-interface-specifications-iss</w:t>
            </w:r>
          </w:p>
        </w:tc>
      </w:tr>
      <w:tr>
        <w:tc>
          <w:tcPr>
            <w:tcW w:w="0" w:type="auto"/>
          </w:tcPr>
          <w:p>
            <w:pPr>
              <w:spacing w:line="240" w:lineRule="auto" w:before="0" w:after="0"/>
              <w:pStyle w:val="Compact"/>
            </w:pPr>
            <w:r>
              <w:rPr>
                <w:sz w:val="20"/>
                <w:szCs w:val="20"/>
              </w:rPr>
              <w:t xml:space="preserve">GPS</w:t>
            </w:r>
          </w:p>
        </w:tc>
        <w:tc>
          <w:tcPr>
            <w:tcW w:w="0" w:type="auto"/>
          </w:tcPr>
          <w:p>
            <w:pPr>
              <w:spacing w:line="240" w:lineRule="auto" w:before="0" w:after="0"/>
              <w:pStyle w:val="Compact"/>
            </w:pPr>
            <w:r>
              <w:rPr>
                <w:sz w:val="20"/>
                <w:szCs w:val="20"/>
              </w:rPr>
              <w:t xml:space="preserve">IS-GPS-200N/705J/800J consolidated public revision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GPS.gov / USCG NAVCEN: IS-GPS-200 Rev N, IS-GPS-705 Rev J, IS-GPS-800 Rev J released 2022-08-22; civil signal set L1 C/A, L2C, L5, L1C. https://www.navcen.uscg.gov/gps-technical-references ; https://www.gps.gov/sites/default/files/2025-07/IRN-IS-200N-003.pdf</w:t>
            </w:r>
          </w:p>
        </w:tc>
      </w:tr>
      <w:tr>
        <w:tc>
          <w:tcPr>
            <w:tcW w:w="0" w:type="auto"/>
          </w:tcPr>
          <w:p>
            <w:pPr>
              <w:spacing w:line="240" w:lineRule="auto" w:before="0" w:after="0"/>
              <w:pStyle w:val="Compact"/>
            </w:pPr>
            <w:r>
              <w:rPr>
                <w:sz w:val="20"/>
                <w:szCs w:val="20"/>
              </w:rPr>
              <w:t xml:space="preserve">GLONASS</w:t>
            </w:r>
          </w:p>
        </w:tc>
        <w:tc>
          <w:tcPr>
            <w:tcW w:w="0" w:type="auto"/>
          </w:tcPr>
          <w:p>
            <w:pPr>
              <w:spacing w:line="240" w:lineRule="auto" w:before="0" w:after="0"/>
              <w:pStyle w:val="Compact"/>
            </w:pPr>
            <w:r>
              <w:rPr>
                <w:sz w:val="20"/>
                <w:szCs w:val="20"/>
              </w:rPr>
              <w:t xml:space="preserve">ICD-GLONASS Edition 4.0 (L1 L2 FDMA)</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UNAVCO archive ICD_GLONASS_4.0 (1998): navigational radiosignal bands L1, L2; open FDMA civil signals L1OF, L2OF. https://www.unavco.org/help/glossary/docs/ICD_GLONASS_4.0_(1998)_en.pdf</w:t>
            </w:r>
          </w:p>
        </w:tc>
      </w:tr>
      <w:tr>
        <w:tc>
          <w:tcPr>
            <w:tcW w:w="0" w:type="auto"/>
          </w:tcPr>
          <w:p>
            <w:pPr>
              <w:spacing w:line="240" w:lineRule="auto" w:before="0" w:after="0"/>
              <w:pStyle w:val="Compact"/>
            </w:pPr>
            <w:r>
              <w:rPr>
                <w:sz w:val="20"/>
                <w:szCs w:val="20"/>
              </w:rPr>
              <w:t xml:space="preserve">GLONASS</w:t>
            </w:r>
          </w:p>
        </w:tc>
        <w:tc>
          <w:tcPr>
            <w:tcW w:w="0" w:type="auto"/>
          </w:tcPr>
          <w:p>
            <w:pPr>
              <w:spacing w:line="240" w:lineRule="auto" w:before="0" w:after="0"/>
              <w:pStyle w:val="Compact"/>
            </w:pPr>
            <w:r>
              <w:rPr>
                <w:sz w:val="20"/>
                <w:szCs w:val="20"/>
              </w:rPr>
              <w:t xml:space="preserve">ICD-GLONASS Edition 5.0</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UNAVCO archive ICD_GLONASS_5.0 (2002): supersedes Ed 4.0; open FDMA civil signals L1OF, L2OF. https://www.unavco.org/help/glossary/docs/ICD_GLONASS_5.0_(2002)_en.pdf</w:t>
            </w:r>
          </w:p>
        </w:tc>
      </w:tr>
      <w:tr>
        <w:tc>
          <w:tcPr>
            <w:tcW w:w="0" w:type="auto"/>
          </w:tcPr>
          <w:p>
            <w:pPr>
              <w:spacing w:line="240" w:lineRule="auto" w:before="0" w:after="0"/>
              <w:pStyle w:val="Compact"/>
            </w:pPr>
            <w:r>
              <w:rPr>
                <w:sz w:val="20"/>
                <w:szCs w:val="20"/>
              </w:rPr>
              <w:t xml:space="preserve">GLONASS</w:t>
            </w:r>
          </w:p>
        </w:tc>
        <w:tc>
          <w:tcPr>
            <w:tcW w:w="0" w:type="auto"/>
          </w:tcPr>
          <w:p>
            <w:pPr>
              <w:spacing w:line="240" w:lineRule="auto" w:before="0" w:after="0"/>
              <w:pStyle w:val="Compact"/>
            </w:pPr>
            <w:r>
              <w:rPr>
                <w:sz w:val="20"/>
                <w:szCs w:val="20"/>
              </w:rPr>
              <w:t xml:space="preserve">ICD-GLONASS Edition 5.1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UNB/UNAVCO GLONASS ICD Edition 5.1 (2008) L1, L2 FDMA civil signals. http://gauss.gge.unb.ca/GLONASS.ICD.pdf ; https://kb.unavco.org/article/english-version-of-icd-glonass-version-5-1-727.html</w:t>
            </w:r>
          </w:p>
        </w:tc>
      </w:tr>
      <w:tr>
        <w:tc>
          <w:tcPr>
            <w:tcW w:w="0" w:type="auto"/>
          </w:tcPr>
          <w:p>
            <w:pPr>
              <w:spacing w:line="240" w:lineRule="auto" w:before="0" w:after="0"/>
              <w:pStyle w:val="Compact"/>
            </w:pPr>
            <w:r>
              <w:rPr>
                <w:sz w:val="20"/>
                <w:szCs w:val="20"/>
              </w:rPr>
              <w:t xml:space="preserve">GLONASS</w:t>
            </w:r>
          </w:p>
        </w:tc>
        <w:tc>
          <w:tcPr>
            <w:tcW w:w="0" w:type="auto"/>
          </w:tcPr>
          <w:p>
            <w:pPr>
              <w:spacing w:line="240" w:lineRule="auto" w:before="0" w:after="0"/>
              <w:pStyle w:val="Compact"/>
            </w:pPr>
            <w:r>
              <w:rPr>
                <w:sz w:val="20"/>
                <w:szCs w:val="20"/>
              </w:rPr>
              <w:t xml:space="preserve">ICD-GLONASS CDMA L1 (L1OC) Edition 1.0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Scribd/Inside GNSS: GLONASS CDMA L1 ICD Edition 1.0 (2016) adds open CDMA L1OC alongside legacy FDMA; L3OC documented same era. https://www.scribd.com/document/785928728/ICD-GLONASS-CDMA-L1-Edition-1-0-2016</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OS SIS ICD first public release</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GSC-Europa / GPS World: Galileo OS SIS ICD released 23 May 2006 to foster mass-market receiver standardization; open service signals E1, E5a, E5b. https://www.gsc-europa.eu/news/have-you-ever-wondered-how-your-mobile-phone-understands-galileo-satellites-open-signals-the ; https://www.gpsworld.com/eu-publishes-new-galileo-open-service-signal-in-space-interface-control-document/</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OS SIS ICD v1.1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galileognss.eu OS SIS ICD lineage (v1.1, 2010) describes E1, E5 (E5a/E5b), E6 open service signal structure. https://galileognss.eu/wp-content/uploads/2015/12/Galileo_OS_SIS_ICD_v1.2.pdf</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OS SIS ICD v1.2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GSC-Europa Galileo OS SIS ICD v1.2 (2015): E1, E5a, E5b, E6 open service signals. https://galileognss.eu/wp-content/uploads/2015/12/Galileo_OS_SIS_ICD_v1.2.pdf</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OS SIS ICD v2.0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galileognss.eu Galileo OS SIS ICD v2.0 (2021): E1, E5a, E5b, E6 open service signals. https://galileognss.eu/wp-content/uploads/2021/01/Galileo_OS_SIS_ICD_v2.0.pdf</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OS SIS ICD v2.1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GSC-Europa / Inside GNSS: Galileo OS SIS ICD v2.1 adds OS-EOM and ARAIM ISM; open service signals E1, E5a, E5b, E6. https://www.gsc-europa.eu/sites/default/files/sites/all/files/Galileo_OS_SIS_ICD_v2.1.pdf ; https://insidegnss.com/eu-publishes-galileo-os-sis-icd-v2-1/</w:t>
            </w:r>
          </w:p>
        </w:tc>
      </w:tr>
      <w:tr>
        <w:tc>
          <w:tcPr>
            <w:tcW w:w="0" w:type="auto"/>
          </w:tcPr>
          <w:p>
            <w:pPr>
              <w:spacing w:line="240" w:lineRule="auto" w:before="0" w:after="0"/>
              <w:pStyle w:val="Compact"/>
            </w:pPr>
            <w:r>
              <w:rPr>
                <w:sz w:val="20"/>
                <w:szCs w:val="20"/>
              </w:rPr>
              <w:t xml:space="preserve">BeiDou</w:t>
            </w:r>
          </w:p>
        </w:tc>
        <w:tc>
          <w:tcPr>
            <w:tcW w:w="0" w:type="auto"/>
          </w:tcPr>
          <w:p>
            <w:pPr>
              <w:spacing w:line="240" w:lineRule="auto" w:before="0" w:after="0"/>
              <w:pStyle w:val="Compact"/>
            </w:pPr>
            <w:r>
              <w:rPr>
                <w:sz w:val="20"/>
                <w:szCs w:val="20"/>
              </w:rPr>
              <w:t xml:space="preserve">BDS SIS ICD Open Service B1I v1.0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 World / en.beidou.gov.cn: first public BeiDou ICD released 27 Dec 2012 (one year after Dec 2011 test version); open service signal B1I. https://www.gpsworld.com/the-system-beidou-icd-galileo-only-positioning/ ; http://en.beidou.gov.cn/SYSTEMS/ICD/</w:t>
            </w:r>
          </w:p>
        </w:tc>
      </w:tr>
      <w:tr>
        <w:tc>
          <w:tcPr>
            <w:tcW w:w="0" w:type="auto"/>
          </w:tcPr>
          <w:p>
            <w:pPr>
              <w:spacing w:line="240" w:lineRule="auto" w:before="0" w:after="0"/>
              <w:pStyle w:val="Compact"/>
            </w:pPr>
            <w:r>
              <w:rPr>
                <w:sz w:val="20"/>
                <w:szCs w:val="20"/>
              </w:rPr>
              <w:t xml:space="preserve">BeiDou</w:t>
            </w:r>
          </w:p>
        </w:tc>
        <w:tc>
          <w:tcPr>
            <w:tcW w:w="0" w:type="auto"/>
          </w:tcPr>
          <w:p>
            <w:pPr>
              <w:spacing w:line="240" w:lineRule="auto" w:before="0" w:after="0"/>
              <w:pStyle w:val="Compact"/>
            </w:pPr>
            <w:r>
              <w:rPr>
                <w:sz w:val="20"/>
                <w:szCs w:val="20"/>
              </w:rPr>
              <w:t xml:space="preserve">BDS SIS ICD Open Service B2a v1.0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CSNO-TARC / en.beidou.gov.cn: BDS-3 Open Service Signal B2a v1.0 released 2017-12-27; open service signals B1I, B2a. http://www.csno-tarc.cn/en/support/documents ; http://en.beidou.gov.cn/SYSTEMS/ICD/</w:t>
            </w:r>
          </w:p>
        </w:tc>
      </w:tr>
      <w:tr>
        <w:tc>
          <w:tcPr>
            <w:tcW w:w="0" w:type="auto"/>
          </w:tcPr>
          <w:p>
            <w:pPr>
              <w:spacing w:line="240" w:lineRule="auto" w:before="0" w:after="0"/>
              <w:pStyle w:val="Compact"/>
            </w:pPr>
            <w:r>
              <w:rPr>
                <w:sz w:val="20"/>
                <w:szCs w:val="20"/>
              </w:rPr>
              <w:t xml:space="preserve">BeiDou</w:t>
            </w:r>
          </w:p>
        </w:tc>
        <w:tc>
          <w:tcPr>
            <w:tcW w:w="0" w:type="auto"/>
          </w:tcPr>
          <w:p>
            <w:pPr>
              <w:spacing w:line="240" w:lineRule="auto" w:before="0" w:after="0"/>
              <w:pStyle w:val="Compact"/>
            </w:pPr>
            <w:r>
              <w:rPr>
                <w:sz w:val="20"/>
                <w:szCs w:val="20"/>
              </w:rPr>
              <w:t xml:space="preserve">BDS SIS ICD Open Service B1C v1.0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en.beidou.gov.cn / CSNO-TARC: BDS-3 Open Service Signal B1C v1.0 released 2018-06-03; open service signals B1I, B2a, B1C. http://en.beidou.gov.cn/SYSTEMS/ICD/201902/P020190227702348791891.pdf</w:t>
            </w:r>
          </w:p>
        </w:tc>
      </w:tr>
      <w:tr>
        <w:tc>
          <w:tcPr>
            <w:tcW w:w="0" w:type="auto"/>
          </w:tcPr>
          <w:p>
            <w:pPr>
              <w:spacing w:line="240" w:lineRule="auto" w:before="0" w:after="0"/>
              <w:pStyle w:val="Compact"/>
            </w:pPr>
            <w:r>
              <w:rPr>
                <w:sz w:val="20"/>
                <w:szCs w:val="20"/>
              </w:rPr>
              <w:t xml:space="preserve">BeiDou</w:t>
            </w:r>
          </w:p>
        </w:tc>
        <w:tc>
          <w:tcPr>
            <w:tcW w:w="0" w:type="auto"/>
          </w:tcPr>
          <w:p>
            <w:pPr>
              <w:spacing w:line="240" w:lineRule="auto" w:before="0" w:after="0"/>
              <w:pStyle w:val="Compact"/>
            </w:pPr>
            <w:r>
              <w:rPr>
                <w:sz w:val="20"/>
                <w:szCs w:val="20"/>
              </w:rPr>
              <w:t xml:space="preserve">BDS SIS ICD Open Service B3I v1.0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en.beidou.gov.cn BDS-3 ICD B3I (2019) consolidated; open service signals B1I, B2a, B1C, B3I. http://en.beidou.gov.cn/SYSTEMS/ICD/201902/P020190227702348791891.pdf ; http://www.csno-tarc.cn/en/support/documents</w:t>
            </w:r>
          </w:p>
        </w:tc>
      </w:tr>
      <w:tr>
        <w:tc>
          <w:tcPr>
            <w:tcW w:w="0" w:type="auto"/>
          </w:tcPr>
          <w:p>
            <w:pPr>
              <w:spacing w:line="240" w:lineRule="auto" w:before="0" w:after="0"/>
              <w:pStyle w:val="Compact"/>
            </w:pPr>
            <w:r>
              <w:rPr>
                <w:sz w:val="20"/>
                <w:szCs w:val="20"/>
              </w:rPr>
              <w:t xml:space="preserve">QZSS</w:t>
            </w:r>
          </w:p>
        </w:tc>
        <w:tc>
          <w:tcPr>
            <w:tcW w:w="0" w:type="auto"/>
          </w:tcPr>
          <w:p>
            <w:pPr>
              <w:spacing w:line="240" w:lineRule="auto" w:before="0" w:after="0"/>
              <w:pStyle w:val="Compact"/>
            </w:pPr>
            <w:r>
              <w:rPr>
                <w:sz w:val="20"/>
                <w:szCs w:val="20"/>
              </w:rPr>
              <w:t xml:space="preserve">IS-QZSS first public release</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qzss.go.jp / GPS World status of QZSS: IS-QZSS first published 2009 lineage; signals interoperable with GPS L1C/A, L1C, L2C, L5. https://qzss.go.jp/en/technical/download/pdf/ps-is-qzss/is-qzss-pnt-004.pdf ; https://www.gpsworld.com/the-status-of-qzss/</w:t>
            </w:r>
          </w:p>
        </w:tc>
      </w:tr>
      <w:tr>
        <w:tc>
          <w:tcPr>
            <w:tcW w:w="0" w:type="auto"/>
          </w:tcPr>
          <w:p>
            <w:pPr>
              <w:spacing w:line="240" w:lineRule="auto" w:before="0" w:after="0"/>
              <w:pStyle w:val="Compact"/>
            </w:pPr>
            <w:r>
              <w:rPr>
                <w:sz w:val="20"/>
                <w:szCs w:val="20"/>
              </w:rPr>
              <w:t xml:space="preserve">QZSS</w:t>
            </w:r>
          </w:p>
        </w:tc>
        <w:tc>
          <w:tcPr>
            <w:tcW w:w="0" w:type="auto"/>
          </w:tcPr>
          <w:p>
            <w:pPr>
              <w:spacing w:line="240" w:lineRule="auto" w:before="0" w:after="0"/>
              <w:pStyle w:val="Compact"/>
            </w:pPr>
            <w:r>
              <w:rPr>
                <w:sz w:val="20"/>
                <w:szCs w:val="20"/>
              </w:rPr>
              <w:t xml:space="preserve">IS-QZSS-PNT consolidated revision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qzss.go.jp: IS-QZSS-PNT-004 (2021) adds L6/L1S augmentation alongside core interoperable signals (L1C/A, L1C, L2C, L5, L1S). https://qzss.go.jp/en/technical/download/pdf/ps-is-qzss/is-qzss-pnt-004.pdf ; https://gssc.esa.int/navipedia/index.php/QZSS_Signal_Plan</w:t>
            </w:r>
          </w:p>
        </w:tc>
      </w:tr>
      <w:tr>
        <w:tc>
          <w:tcPr>
            <w:tcW w:w="0" w:type="auto"/>
          </w:tcPr>
          <w:p>
            <w:pPr>
              <w:spacing w:line="240" w:lineRule="auto" w:before="0" w:after="0"/>
              <w:pStyle w:val="Compact"/>
            </w:pPr>
            <w:r>
              <w:rPr>
                <w:sz w:val="20"/>
                <w:szCs w:val="20"/>
              </w:rPr>
              <w:t xml:space="preserve">NavIC</w:t>
            </w:r>
          </w:p>
        </w:tc>
        <w:tc>
          <w:tcPr>
            <w:tcW w:w="0" w:type="auto"/>
          </w:tcPr>
          <w:p>
            <w:pPr>
              <w:spacing w:line="240" w:lineRule="auto" w:before="0" w:after="0"/>
              <w:pStyle w:val="Compact"/>
            </w:pPr>
            <w:r>
              <w:rPr>
                <w:sz w:val="20"/>
                <w:szCs w:val="20"/>
              </w:rPr>
              <w:t xml:space="preserve">IRNSS SIS ICD SPS v1.0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ISRO / Inside GNSS / Via Satellite: IRNSS SIS ICD for SPS released June 2014 (one year after 2013 initial draft lineage); SPS signals in L5 and S band. https://www.isro.gov.in/IRNSSSignal.html ; https://insidegnss.com/india-space-officials-release-irnss-icd/</w:t>
            </w:r>
          </w:p>
        </w:tc>
      </w:tr>
      <w:tr>
        <w:tc>
          <w:tcPr>
            <w:tcW w:w="0" w:type="auto"/>
          </w:tcPr>
          <w:p>
            <w:pPr>
              <w:spacing w:line="240" w:lineRule="auto" w:before="0" w:after="0"/>
              <w:pStyle w:val="Compact"/>
            </w:pPr>
            <w:r>
              <w:rPr>
                <w:sz w:val="20"/>
                <w:szCs w:val="20"/>
              </w:rPr>
              <w:t xml:space="preserve">NavIC</w:t>
            </w:r>
          </w:p>
        </w:tc>
        <w:tc>
          <w:tcPr>
            <w:tcW w:w="0" w:type="auto"/>
          </w:tcPr>
          <w:p>
            <w:pPr>
              <w:spacing w:line="240" w:lineRule="auto" w:before="0" w:after="0"/>
              <w:pStyle w:val="Compact"/>
            </w:pPr>
            <w:r>
              <w:rPr>
                <w:sz w:val="20"/>
                <w:szCs w:val="20"/>
              </w:rPr>
              <w:t xml:space="preserve">IRNSS SIS ICD SPS v1.1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ISRO: IRNSS SIS ICD for SPS Version 1.1 released August 2017; SPS signals L5, S band. https://www.isro.gov.in/media_isro/pdf/SateliteNavigation/irnss_sps_icd_version1.1-2017.pdf</w:t>
            </w:r>
          </w:p>
        </w:tc>
      </w:tr>
      <w:tr>
        <w:tc>
          <w:tcPr>
            <w:tcW w:w="0" w:type="auto"/>
          </w:tcPr>
          <w:p>
            <w:pPr>
              <w:spacing w:line="240" w:lineRule="auto" w:before="0" w:after="0"/>
              <w:pStyle w:val="Compact"/>
            </w:pPr>
            <w:r>
              <w:rPr>
                <w:sz w:val="20"/>
                <w:szCs w:val="20"/>
              </w:rPr>
              <w:t xml:space="preserve">NavIC</w:t>
            </w:r>
          </w:p>
        </w:tc>
        <w:tc>
          <w:tcPr>
            <w:tcW w:w="0" w:type="auto"/>
          </w:tcPr>
          <w:p>
            <w:pPr>
              <w:spacing w:line="240" w:lineRule="auto" w:before="0" w:after="0"/>
              <w:pStyle w:val="Compact"/>
            </w:pPr>
            <w:r>
              <w:rPr>
                <w:sz w:val="20"/>
                <w:szCs w:val="20"/>
              </w:rPr>
              <w:t xml:space="preserve">NavIC SIS ICD SPS L1 v1.0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ISRO: NavIC Signal-in-Space ICD for SPS L1 band Version 1.0 (Oct 2022 draft public); adds interoperable L1 SPS to L5 and S band. https://www.isro.gov.in/media_isro/pdf/SateliteNavigation/Draft_NavIC_SPS_ICD_L1_Oct_2022.pdf</w:t>
            </w:r>
          </w:p>
        </w:tc>
      </w:tr>
    </w:tbl>
    <w:bookmarkEnd w:id="225"/>
    <w:bookmarkStart w:id="22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cum_civil_signals</w:t>
            </w:r>
          </w:p>
        </w:tc>
        <w:tc>
          <w:tcPr>
            <w:tcW w:w="0" w:type="auto"/>
          </w:tcPr>
          <w:p>
            <w:pPr>
              <w:spacing w:line="240" w:lineRule="auto" w:before="0" w:after="0"/>
              <w:pStyle w:val="Compact"/>
            </w:pPr>
            <w:r>
              <w:rPr>
                <w:sz w:val="20"/>
                <w:szCs w:val="20"/>
              </w:rPr>
              <w:t xml:space="preserve">Cumulative count of distinct open or civil interoperable signals defined across a GNSS provider’s interface-specification lineage as of the release date (the supply of standardized interfaces made available to receiver and chipset makers).</w:t>
            </w:r>
          </w:p>
        </w:tc>
        <w:tc>
          <w:tcPr>
            <w:tcW w:w="0" w:type="auto"/>
          </w:tcPr>
          <w:p>
            <w:pPr>
              <w:spacing w:line="240" w:lineRule="auto" w:before="0" w:after="0"/>
              <w:pStyle w:val="Compact"/>
            </w:pPr>
            <w:r>
              <w:rPr>
                <w:sz w:val="20"/>
                <w:szCs w:val="20"/>
              </w:rPr>
              <w:t xml:space="preserve">Counted from official provider interface documents: GPS IS-GPS-200/705/800 (gps.gov, navcen.uscg.gov); Galileo OS SIS ICD (gsc-europa.eu, galileognss.eu); BeiDou BDS SIS ICD (en.beidou.gov.cn, csno-tarc.cn); GLONASS ICD editions (unavco.org, gge.unb.ca); QZSS IS-QZSS (qzss.go.jp); NavIC SIS ICD (isro.gov.in).</w:t>
            </w:r>
          </w:p>
        </w:tc>
      </w:tr>
      <w:tr>
        <w:tc>
          <w:tcPr>
            <w:tcW w:w="0" w:type="auto"/>
          </w:tcPr>
          <w:p>
            <w:pPr>
              <w:spacing w:line="240" w:lineRule="auto" w:before="0" w:after="0"/>
              <w:pStyle w:val="Compact"/>
            </w:pPr>
            <w:r>
              <w:rPr>
                <w:sz w:val="20"/>
                <w:szCs w:val="20"/>
              </w:rPr>
              <w:t xml:space="preserve">cum_experience_yrs</w:t>
            </w:r>
          </w:p>
        </w:tc>
        <w:tc>
          <w:tcPr>
            <w:tcW w:w="0" w:type="auto"/>
          </w:tcPr>
          <w:p>
            <w:pPr>
              <w:spacing w:line="240" w:lineRule="auto" w:before="0" w:after="0"/>
              <w:pStyle w:val="Compact"/>
            </w:pPr>
            <w:r>
              <w:rPr>
                <w:sz w:val="20"/>
                <w:szCs w:val="20"/>
              </w:rPr>
              <w:t xml:space="preserve">Cumulative years of published interface-control activity for the provider, measured as the elapsed time between the provider’s earliest documented interface-control artifact and the release in question (the learning-curve cumulative-experience axis).</w:t>
            </w:r>
          </w:p>
        </w:tc>
        <w:tc>
          <w:tcPr>
            <w:tcW w:w="0" w:type="auto"/>
          </w:tcPr>
          <w:p>
            <w:pPr>
              <w:spacing w:line="240" w:lineRule="auto" w:before="0" w:after="0"/>
              <w:pStyle w:val="Compact"/>
            </w:pPr>
            <w:r>
              <w:rPr>
                <w:sz w:val="20"/>
                <w:szCs w:val="20"/>
              </w:rPr>
              <w:t xml:space="preserve">Computed from documented first-ICD or first-IS dates: GPS ICD-GPS-200 (1983 designation lineage); GLONASS ICD (pre-1998 lineage to Ed 4.0 1998); Galileo OS SIS ICD (first public 23 May 2006); BeiDou ICD (2011 test version to 2012 public); QZSS IS-QZSS (2008-2009 lineage); NavIC IRNSS ICD (2013 draft to 2014 public).</w:t>
            </w:r>
          </w:p>
        </w:tc>
      </w:tr>
      <w:tr>
        <w:tc>
          <w:tcPr>
            <w:tcW w:w="0" w:type="auto"/>
          </w:tcPr>
          <w:p>
            <w:pPr>
              <w:spacing w:line="240" w:lineRule="auto" w:before="0" w:after="0"/>
              <w:pStyle w:val="Compact"/>
            </w:pPr>
            <w:r>
              <w:rPr>
                <w:sz w:val="20"/>
                <w:szCs w:val="20"/>
              </w:rPr>
              <w:t xml:space="preserve">bloc</w:t>
            </w:r>
          </w:p>
        </w:tc>
        <w:tc>
          <w:tcPr>
            <w:tcW w:w="0" w:type="auto"/>
          </w:tcPr>
          <w:p>
            <w:pPr>
              <w:spacing w:line="240" w:lineRule="auto" w:before="0" w:after="0"/>
              <w:pStyle w:val="Compact"/>
            </w:pPr>
            <w:r>
              <w:rPr>
                <w:sz w:val="20"/>
                <w:szCs w:val="20"/>
              </w:rPr>
              <w:t xml:space="preserve">GNSS-providing entity (bloc) authoring the interface specification.</w:t>
            </w:r>
          </w:p>
        </w:tc>
        <w:tc>
          <w:tcPr>
            <w:tcW w:w="0" w:type="auto"/>
          </w:tcPr>
          <w:p>
            <w:pPr>
              <w:spacing w:line="240" w:lineRule="auto" w:before="0" w:after="0"/>
              <w:pStyle w:val="Compact"/>
            </w:pPr>
            <w:r>
              <w:rPr>
                <w:sz w:val="20"/>
                <w:szCs w:val="20"/>
              </w:rPr>
              <w:t xml:space="preserve">Provider identity from the issuing agency on each interface document.</w:t>
            </w:r>
          </w:p>
        </w:tc>
      </w:tr>
      <w:tr>
        <w:tc>
          <w:tcPr>
            <w:tcW w:w="0" w:type="auto"/>
          </w:tcPr>
          <w:p>
            <w:pPr>
              <w:spacing w:line="240" w:lineRule="auto" w:before="0" w:after="0"/>
              <w:pStyle w:val="Compact"/>
            </w:pPr>
            <w:r>
              <w:rPr>
                <w:sz w:val="20"/>
                <w:szCs w:val="20"/>
              </w:rPr>
              <w:t xml:space="preserve">release_label</w:t>
            </w:r>
          </w:p>
        </w:tc>
        <w:tc>
          <w:tcPr>
            <w:tcW w:w="0" w:type="auto"/>
          </w:tcPr>
          <w:p>
            <w:pPr>
              <w:spacing w:line="240" w:lineRule="auto" w:before="0" w:after="0"/>
              <w:pStyle w:val="Compact"/>
            </w:pPr>
            <w:r>
              <w:rPr>
                <w:sz w:val="20"/>
                <w:szCs w:val="20"/>
              </w:rPr>
              <w:t xml:space="preserve">Identifier of the specific dated interface-specification release event.</w:t>
            </w:r>
          </w:p>
        </w:tc>
        <w:tc>
          <w:tcPr>
            <w:tcW w:w="0" w:type="auto"/>
          </w:tcPr>
          <w:p>
            <w:pPr>
              <w:spacing w:line="240" w:lineRule="auto" w:before="0" w:after="0"/>
              <w:pStyle w:val="Compact"/>
            </w:pPr>
            <w:r>
              <w:rPr>
                <w:sz w:val="20"/>
                <w:szCs w:val="20"/>
              </w:rPr>
              <w:t xml:space="preserve">Document title and revision from the issuing agency.</w:t>
            </w:r>
          </w:p>
        </w:tc>
      </w:tr>
      <w:tr>
        <w:tc>
          <w:tcPr>
            <w:tcW w:w="0" w:type="auto"/>
          </w:tcPr>
          <w:p>
            <w:pPr>
              <w:spacing w:line="240" w:lineRule="auto" w:before="0" w:after="0"/>
              <w:pStyle w:val="Compact"/>
            </w:pPr>
            <w:r>
              <w:rPr>
                <w:sz w:val="20"/>
                <w:szCs w:val="20"/>
              </w:rPr>
              <w:t xml:space="preserve">release_year</w:t>
            </w:r>
          </w:p>
        </w:tc>
        <w:tc>
          <w:tcPr>
            <w:tcW w:w="0" w:type="auto"/>
          </w:tcPr>
          <w:p>
            <w:pPr>
              <w:spacing w:line="240" w:lineRule="auto" w:before="0" w:after="0"/>
              <w:pStyle w:val="Compact"/>
            </w:pPr>
            <w:r>
              <w:rPr>
                <w:sz w:val="20"/>
                <w:szCs w:val="20"/>
              </w:rPr>
              <w:t xml:space="preserve">Calendar year of the interface-specification release.</w:t>
            </w:r>
          </w:p>
        </w:tc>
        <w:tc>
          <w:tcPr>
            <w:tcW w:w="0" w:type="auto"/>
          </w:tcPr>
          <w:p>
            <w:pPr>
              <w:spacing w:line="240" w:lineRule="auto" w:before="0" w:after="0"/>
              <w:pStyle w:val="Compact"/>
            </w:pPr>
            <w:r>
              <w:rPr>
                <w:sz w:val="20"/>
                <w:szCs w:val="20"/>
              </w:rPr>
              <w:t xml:space="preserve">Publication date on the official document or its release announcement.</w:t>
            </w:r>
          </w:p>
        </w:tc>
      </w:tr>
    </w:tbl>
    <w:bookmarkEnd w:id="226"/>
    <w:bookmarkEnd w:id="227"/>
    <w:bookmarkEnd w:id="22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13" Type="http://schemas.openxmlformats.org/officeDocument/2006/relationships/image" Target="media/rId213.png"/><Relationship Id="rId221" Type="http://schemas.openxmlformats.org/officeDocument/2006/relationships/image" Target="media/rId221.png"/><Relationship Id="rId170" Type="http://schemas.openxmlformats.org/officeDocument/2006/relationships/hyperlink" Target="https://doi.org/10.1016/j.actaastro.2016.07.016" TargetMode="External"/><Relationship Id="rId203" Type="http://schemas.openxmlformats.org/officeDocument/2006/relationships/hyperlink" Target="https://doi.org/10.1016/j.actaastro.2018.09.017" TargetMode="External"/><Relationship Id="rId164" Type="http://schemas.openxmlformats.org/officeDocument/2006/relationships/hyperlink" Target="https://doi.org/10.1016/j.actaastro.2020.04.049" TargetMode="External"/><Relationship Id="rId195" Type="http://schemas.openxmlformats.org/officeDocument/2006/relationships/hyperlink" Target="https://doi.org/10.1016/j.actaastro.2022.03.038" TargetMode="External"/><Relationship Id="rId173" Type="http://schemas.openxmlformats.org/officeDocument/2006/relationships/hyperlink" Target="https://doi.org/10.1016/j.actaastro.2022.05.011" TargetMode="External"/><Relationship Id="rId205" Type="http://schemas.openxmlformats.org/officeDocument/2006/relationships/hyperlink" Target="https://doi.org/10.1016/j.actaastro.2023.04.040" TargetMode="External"/><Relationship Id="rId207" Type="http://schemas.openxmlformats.org/officeDocument/2006/relationships/hyperlink" Target="https://doi.org/10.1016/j.actaastro.2023.05.022" TargetMode="External"/><Relationship Id="rId166" Type="http://schemas.openxmlformats.org/officeDocument/2006/relationships/hyperlink" Target="https://doi.org/10.1016/j.actaastro.2023.07.014" TargetMode="External"/><Relationship Id="rId201" Type="http://schemas.openxmlformats.org/officeDocument/2006/relationships/hyperlink" Target="https://doi.org/10.1016/j.actaastro.2024.01.039" TargetMode="External"/><Relationship Id="rId197" Type="http://schemas.openxmlformats.org/officeDocument/2006/relationships/hyperlink" Target="https://doi.org/10.1016/j.actaastro.2024.09.005" TargetMode="External"/><Relationship Id="rId209" Type="http://schemas.openxmlformats.org/officeDocument/2006/relationships/hyperlink" Target="https://doi.org/10.1016/j.actaastro.2025.10.018" TargetMode="External"/><Relationship Id="rId199" Type="http://schemas.openxmlformats.org/officeDocument/2006/relationships/hyperlink" Target="https://doi.org/10.1016/j.actaastro.2025.11.058" TargetMode="External"/><Relationship Id="rId162" Type="http://schemas.openxmlformats.org/officeDocument/2006/relationships/hyperlink" Target="https://doi.org/10.1016/j.actaastro.2026.02.046" TargetMode="External"/><Relationship Id="rId185" Type="http://schemas.openxmlformats.org/officeDocument/2006/relationships/hyperlink" Target="https://doi.org/10.64861/CXGE3201" TargetMode="External"/><Relationship Id="rId168" Type="http://schemas.openxmlformats.org/officeDocument/2006/relationships/hyperlink" Target="https://doi.org/10.64861/EIBC5616" TargetMode="External"/><Relationship Id="rId193" Type="http://schemas.openxmlformats.org/officeDocument/2006/relationships/hyperlink" Target="https://doi.org/10.64861/HAWR6096" TargetMode="External"/><Relationship Id="rId182" Type="http://schemas.openxmlformats.org/officeDocument/2006/relationships/hyperlink" Target="https://doi.org/10.64861/LFFV2455" TargetMode="External"/><Relationship Id="rId190" Type="http://schemas.openxmlformats.org/officeDocument/2006/relationships/hyperlink" Target="https://doi.org/10.64861/MYIK9622" TargetMode="External"/><Relationship Id="rId188" Type="http://schemas.openxmlformats.org/officeDocument/2006/relationships/hyperlink" Target="https://doi.org/10.64861/WXIJ8208" TargetMode="External"/></Relationships>
</file>

<file path=word/_rels/footnotes.xml.rels><?xml version='1.0' encoding='UTF-8' standalone='yes'?>
<Relationships xmlns="http://schemas.openxmlformats.org/package/2006/relationships"><Relationship Id="rId170" Type="http://schemas.openxmlformats.org/officeDocument/2006/relationships/hyperlink" Target="https://doi.org/10.1016/j.actaastro.2016.07.016" TargetMode="External"/><Relationship Id="rId203" Type="http://schemas.openxmlformats.org/officeDocument/2006/relationships/hyperlink" Target="https://doi.org/10.1016/j.actaastro.2018.09.017" TargetMode="External"/><Relationship Id="rId164" Type="http://schemas.openxmlformats.org/officeDocument/2006/relationships/hyperlink" Target="https://doi.org/10.1016/j.actaastro.2020.04.049" TargetMode="External"/><Relationship Id="rId195" Type="http://schemas.openxmlformats.org/officeDocument/2006/relationships/hyperlink" Target="https://doi.org/10.1016/j.actaastro.2022.03.038" TargetMode="External"/><Relationship Id="rId173" Type="http://schemas.openxmlformats.org/officeDocument/2006/relationships/hyperlink" Target="https://doi.org/10.1016/j.actaastro.2022.05.011" TargetMode="External"/><Relationship Id="rId205" Type="http://schemas.openxmlformats.org/officeDocument/2006/relationships/hyperlink" Target="https://doi.org/10.1016/j.actaastro.2023.04.040" TargetMode="External"/><Relationship Id="rId207" Type="http://schemas.openxmlformats.org/officeDocument/2006/relationships/hyperlink" Target="https://doi.org/10.1016/j.actaastro.2023.05.022" TargetMode="External"/><Relationship Id="rId166" Type="http://schemas.openxmlformats.org/officeDocument/2006/relationships/hyperlink" Target="https://doi.org/10.1016/j.actaastro.2023.07.014" TargetMode="External"/><Relationship Id="rId201" Type="http://schemas.openxmlformats.org/officeDocument/2006/relationships/hyperlink" Target="https://doi.org/10.1016/j.actaastro.2024.01.039" TargetMode="External"/><Relationship Id="rId197" Type="http://schemas.openxmlformats.org/officeDocument/2006/relationships/hyperlink" Target="https://doi.org/10.1016/j.actaastro.2024.09.005" TargetMode="External"/><Relationship Id="rId209" Type="http://schemas.openxmlformats.org/officeDocument/2006/relationships/hyperlink" Target="https://doi.org/10.1016/j.actaastro.2025.10.018" TargetMode="External"/><Relationship Id="rId199" Type="http://schemas.openxmlformats.org/officeDocument/2006/relationships/hyperlink" Target="https://doi.org/10.1016/j.actaastro.2025.11.058" TargetMode="External"/><Relationship Id="rId162" Type="http://schemas.openxmlformats.org/officeDocument/2006/relationships/hyperlink" Target="https://doi.org/10.1016/j.actaastro.2026.02.046" TargetMode="External"/><Relationship Id="rId185" Type="http://schemas.openxmlformats.org/officeDocument/2006/relationships/hyperlink" Target="https://doi.org/10.64861/CXGE3201" TargetMode="External"/><Relationship Id="rId168" Type="http://schemas.openxmlformats.org/officeDocument/2006/relationships/hyperlink" Target="https://doi.org/10.64861/EIBC5616" TargetMode="External"/><Relationship Id="rId193" Type="http://schemas.openxmlformats.org/officeDocument/2006/relationships/hyperlink" Target="https://doi.org/10.64861/HAWR6096" TargetMode="External"/><Relationship Id="rId182" Type="http://schemas.openxmlformats.org/officeDocument/2006/relationships/hyperlink" Target="https://doi.org/10.64861/LFFV2455" TargetMode="External"/><Relationship Id="rId190" Type="http://schemas.openxmlformats.org/officeDocument/2006/relationships/hyperlink" Target="https://doi.org/10.64861/MYIK9622" TargetMode="External"/><Relationship Id="rId188" Type="http://schemas.openxmlformats.org/officeDocument/2006/relationships/hyperlink" Target="https://doi.org/10.64861/WXIJ82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Standards as Strategy: Does Leadership in GNSS and Optical-Comms Interoperability Standards Translate into Measurable Strategic Advantage?</dc:title>
  <dc:creator>Noor Saito (1B-ITI-054)</dc:creator>
  <cp:keywords/>
  <dcterms:created xsi:type="dcterms:W3CDTF">2026-07-03T03:06:41Z</dcterms:created>
  <dcterms:modified xsi:type="dcterms:W3CDTF">2026-07-03T03:06:41Z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