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1.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9" w:name="Xce61ff125611d948c3cbf3c95e45fbe7059ad35"/>
    <w:p>
      <w:pPr>
        <w:pStyle w:val="Heading1"/>
      </w:pPr>
      <w:r>
        <w:t xml:space="preserve">Attention Accumulation in Trusting the Time Calibration of GNSS-Disciplined Timing Resilience Claims in C: A Learning-Curve Analysis of Citation Growth by Article Age</w:t>
      </w:r>
    </w:p>
    <w:bookmarkStart w:id="61" w:name="introduction"/>
    <w:p>
      <w:pPr>
        <w:pStyle w:val="Heading2"/>
      </w:pPr>
      <w:r>
        <w:t xml:space="preserve">1. Introduction</w:t>
      </w:r>
    </w:p>
    <w:p>
      <w:pPr>
        <w:pStyle w:val="FirstParagraph"/>
      </w:pPr>
      <w:r>
        <w:t xml:space="preserve">This empirical paper supports Daniel Novak (1B-ITI-195) and the dissertation project</w:t>
      </w:r>
      <w:r>
        <w:t xml:space="preserve"> </w:t>
      </w:r>
      <w:r>
        <w:rPr>
          <w:i/>
          <w:iCs/>
        </w:rPr>
        <w:t xml:space="preserve">Trusting the Time: Calibration of GNSS-Disciplined Timing Resilience Claims in C</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R2=0.04770042684577236, elasticity_b=0.41842725578272233, progress_ratio_2^b=1.3364698168494107. The exact term summary is: const coef=-0.052310741783178405 p=0.9043766296294278; _ln_x coef=0.41842725578272233 p=0.24783318782386488.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9" w:name="references"/>
    <w:p>
      <w:pPr>
        <w:pStyle w:val="Heading2"/>
      </w:pPr>
      <w:r>
        <w:t xml:space="preserve">References</w:t>
      </w:r>
    </w:p>
    <w:p>
      <w:pPr>
        <w:pStyle w:val="FirstParagraph"/>
      </w:pPr>
      <w:bookmarkStart w:id="67" w:name="ref-1"/>
      <w:bookmarkEnd w:id="67"/>
      <w:r>
        <w:t xml:space="preserve">1. Baptiste Guillot, Safran Data Systems; François Thevenot, Safran Data Systems; Sébastien Herbiniere, Safran Data Systems; Thierry Balanche, Safran Data Systems. Accurate LEO Tracking with Passive RF – Measurement and Results Analysis (2025). doi:</w:t>
      </w:r>
      <w:r>
        <w:t xml:space="preserve"> </w:t>
      </w:r>
      <w:hyperlink r:id="rId68">
        <w:r>
          <w:rPr>
            <w:rStyle w:val="Hyperlink"/>
          </w:rPr>
          <w:t xml:space="preserve">10.64861/YYXS3185</w:t>
        </w:r>
      </w:hyperlink>
      <w:r>
        <w:t xml:space="preserve"> </w:t>
      </w:r>
      <w:bookmarkStart w:id="69" w:name="ref-2"/>
      <w:bookmarkEnd w:id="69"/>
      <w:r>
        <w:t xml:space="preserve">2. Alfredo M. Antón, GMV; Jose Miguel Lozano, GMV; Keiran McNally, GMV; Sean C. Hannon, GMV. Data Curation Activities for Space Surveillance and Tracking (2023). doi:</w:t>
      </w:r>
      <w:r>
        <w:t xml:space="preserve"> </w:t>
      </w:r>
      <w:hyperlink r:id="rId70">
        <w:r>
          <w:rPr>
            <w:rStyle w:val="Hyperlink"/>
          </w:rPr>
          <w:t xml:space="preserve">10.64861/UYKI5597</w:t>
        </w:r>
      </w:hyperlink>
      <w:r>
        <w:t xml:space="preserve"> </w:t>
      </w:r>
      <w:bookmarkStart w:id="71" w:name="ref-3"/>
      <w:bookmarkEnd w:id="71"/>
      <w:r>
        <w:t xml:space="preserve">3. Mark Bolden, Trusted Space, Inc.; Tim Craychee, Trusted Space, Inc.; Erin Griggs, Trusted Space, Inc.. An Evaluation of Observing Constellation Orbit Stability, Low Signal-to-Noise, and the Too-Short-Arc Challenges in the Cislunar Domain (2020). [AMOS]</w:t>
      </w:r>
      <w:r>
        <w:t xml:space="preserve"> </w:t>
      </w:r>
      <w:bookmarkStart w:id="72" w:name="ref-4"/>
      <w:bookmarkEnd w:id="72"/>
      <w:r>
        <w:t xml:space="preserve">4. Garrett Fitzgerald, U. S. Space Force; Rachel Morris, Applied Decision Science; Laura G. Militello, Applied Decision Science; Justin Fletcher, USSF/SSC. Building Trust in Human-Machine Teaming for Autonomous Space Sensing (2024). doi:</w:t>
      </w:r>
      <w:r>
        <w:t xml:space="preserve"> </w:t>
      </w:r>
      <w:hyperlink r:id="rId73">
        <w:r>
          <w:rPr>
            <w:rStyle w:val="Hyperlink"/>
          </w:rPr>
          <w:t xml:space="preserve">10.64861/HWZS9386</w:t>
        </w:r>
      </w:hyperlink>
      <w:r>
        <w:t xml:space="preserve"> </w:t>
      </w:r>
      <w:bookmarkStart w:id="74" w:name="ref-5"/>
      <w:bookmarkEnd w:id="74"/>
      <w:r>
        <w:t xml:space="preserve">5. Thomas Kelecy, L3 Harris; Emily Lambert, L3 Harris; Benjamin Sunderland, L3 Harris; Vivek Desai, University of Texas, Austin. Dynamic Calibration of Multiple Data Types (2019). [AMOS]</w:t>
      </w:r>
      <w:r>
        <w:t xml:space="preserve"> </w:t>
      </w:r>
      <w:bookmarkStart w:id="75" w:name="ref-6"/>
      <w:bookmarkEnd w:id="75"/>
      <w:r>
        <w:t xml:space="preserve">6. James Reilly, Booz Allen Hamilton; Matthew Blackford, Booz Allen Hamilton; Jillian Mueller, Booz Allen Hamilton. Challenges in Space Traffic Management (2023). doi:</w:t>
      </w:r>
      <w:r>
        <w:t xml:space="preserve"> </w:t>
      </w:r>
      <w:hyperlink r:id="rId76">
        <w:r>
          <w:rPr>
            <w:rStyle w:val="Hyperlink"/>
          </w:rPr>
          <w:t xml:space="preserve">10.64861/UCTN1793</w:t>
        </w:r>
      </w:hyperlink>
      <w:r>
        <w:t xml:space="preserve"> </w:t>
      </w:r>
      <w:bookmarkStart w:id="77" w:name="ref-7"/>
      <w:bookmarkEnd w:id="77"/>
      <w:r>
        <w:t xml:space="preserve">7. Robert Carden, MITRE; Dustin Burchett, MITRE; Harvey Reed, MITRE. SNARE (Sensor Network Autonomous Resilient Extensible): Decentralized Sensor Tasking Improves SDA Tactical Relevance (2021). [AMOS]</w:t>
      </w:r>
      <w:r>
        <w:t xml:space="preserve"> </w:t>
      </w:r>
      <w:bookmarkStart w:id="78" w:name="ref-8"/>
      <w:bookmarkEnd w:id="78"/>
      <w:r>
        <w:t xml:space="preserve">8. Nathan M. Holzrichter, MITRE Corporation; Edward J. Fernadez, MITRE Corporation. Calculating Optical Observation Residuals from GPS Satellites (2022). [AMOS]</w:t>
      </w:r>
    </w:p>
    <w:bookmarkEnd w:id="79"/>
    <w:bookmarkStart w:id="80"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80"/>
    <w:bookmarkStart w:id="84"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-0.0523</w:t>
            </w:r>
          </w:p>
        </w:tc>
        <w:tc>
          <w:tcPr>
            <w:tcW w:w="0" w:type="auto"/>
          </w:tcPr>
          <w:p>
            <w:pPr>
              <w:spacing w:line="240" w:lineRule="auto" w:before="0" w:after="0"/>
              <w:pStyle w:val="Compact"/>
            </w:pPr>
            <w:r>
              <w:rPr>
                <w:sz w:val="20"/>
                <w:szCs w:val="20"/>
              </w:rPr>
              <w:t xml:space="preserve">0.4354</w:t>
            </w:r>
          </w:p>
        </w:tc>
        <w:tc>
          <w:tcPr>
            <w:tcW w:w="0" w:type="auto"/>
          </w:tcPr>
          <w:p>
            <w:pPr>
              <w:spacing w:line="240" w:lineRule="auto" w:before="0" w:after="0"/>
              <w:pStyle w:val="Compact"/>
            </w:pPr>
            <w:r>
              <w:rPr>
                <w:sz w:val="20"/>
                <w:szCs w:val="20"/>
              </w:rPr>
              <w:t xml:space="preserve">-0.1201</w:t>
            </w:r>
          </w:p>
        </w:tc>
        <w:tc>
          <w:tcPr>
            <w:tcW w:w="0" w:type="auto"/>
          </w:tcPr>
          <w:p>
            <w:pPr>
              <w:spacing w:line="240" w:lineRule="auto" w:before="0" w:after="0"/>
              <w:pStyle w:val="Compact"/>
            </w:pPr>
            <w:r>
              <w:rPr>
                <w:sz w:val="20"/>
                <w:szCs w:val="20"/>
              </w:rPr>
              <w:t xml:space="preserve">0.9044</w:t>
            </w:r>
          </w:p>
        </w:tc>
        <w:tc>
          <w:tcPr>
            <w:tcW w:w="0" w:type="auto"/>
          </w:tcPr>
          <w:p>
            <w:pPr>
              <w:spacing w:line="240" w:lineRule="auto" w:before="0" w:after="0"/>
              <w:pStyle w:val="Compact"/>
            </w:pPr>
            <w:r>
              <w:rPr>
                <w:sz w:val="20"/>
                <w:szCs w:val="20"/>
              </w:rPr>
              <w:t xml:space="preserve">[-0.9057, 0.8011]</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0.4184</w:t>
            </w:r>
          </w:p>
        </w:tc>
        <w:tc>
          <w:tcPr>
            <w:tcW w:w="0" w:type="auto"/>
          </w:tcPr>
          <w:p>
            <w:pPr>
              <w:spacing w:line="240" w:lineRule="auto" w:before="0" w:after="0"/>
              <w:pStyle w:val="Compact"/>
            </w:pPr>
            <w:r>
              <w:rPr>
                <w:sz w:val="20"/>
                <w:szCs w:val="20"/>
              </w:rPr>
              <w:t xml:space="preserve">0.3621</w:t>
            </w:r>
          </w:p>
        </w:tc>
        <w:tc>
          <w:tcPr>
            <w:tcW w:w="0" w:type="auto"/>
          </w:tcPr>
          <w:p>
            <w:pPr>
              <w:spacing w:line="240" w:lineRule="auto" w:before="0" w:after="0"/>
              <w:pStyle w:val="Compact"/>
            </w:pPr>
            <w:r>
              <w:rPr>
                <w:sz w:val="20"/>
                <w:szCs w:val="20"/>
              </w:rPr>
              <w:t xml:space="preserve">1.1556</w:t>
            </w:r>
          </w:p>
        </w:tc>
        <w:tc>
          <w:tcPr>
            <w:tcW w:w="0" w:type="auto"/>
          </w:tcPr>
          <w:p>
            <w:pPr>
              <w:spacing w:line="240" w:lineRule="auto" w:before="0" w:after="0"/>
              <w:pStyle w:val="Compact"/>
            </w:pPr>
            <w:r>
              <w:rPr>
                <w:sz w:val="20"/>
                <w:szCs w:val="20"/>
              </w:rPr>
              <w:t xml:space="preserve">0.2478</w:t>
            </w:r>
          </w:p>
        </w:tc>
        <w:tc>
          <w:tcPr>
            <w:tcW w:w="0" w:type="auto"/>
          </w:tcPr>
          <w:p>
            <w:pPr>
              <w:spacing w:line="240" w:lineRule="auto" w:before="0" w:after="0"/>
              <w:pStyle w:val="Compact"/>
            </w:pPr>
            <w:r>
              <w:rPr>
                <w:sz w:val="20"/>
                <w:szCs w:val="20"/>
              </w:rPr>
              <w:t xml:space="preserve">[-0.2912, 1.1281]</w:t>
            </w:r>
          </w:p>
        </w:tc>
      </w:tr>
    </w:tbl>
    <w:p>
      <w:pPr>
        <w:pStyle w:val="BodyText"/>
      </w:pPr>
      <w:r>
        <w:t xml:space="preserve">Fit: N = 30 R2 = 0.0477 elasticity_b = 0.4184 progress_ratio_2^b = 1.3365</w:t>
      </w:r>
    </w:p>
    <w:p>
      <w:pPr>
        <w:pStyle w:val="CaptionedFigure"/>
      </w:pPr>
      <w:r>
        <w:drawing>
          <wp:inline>
            <wp:extent cx="5669280" cy="3657600"/>
            <wp:effectExtent b="0" l="0" r="0" t="0"/>
            <wp:docPr descr="Figure 1. Citation accumulation against article age in the retrieved topic literature." title="" id="82" name="Picture"/>
            <a:graphic>
              <a:graphicData uri="http://schemas.openxmlformats.org/drawingml/2006/picture">
                <pic:pic>
                  <pic:nvPicPr>
                    <pic:cNvPr descr="D:\Claude_Code\brain\collegium\candidates\dissertations\SPECTRUM_PNT_11\research_papers\p2\paper_fig1.png" id="83" name="Picture"/>
                    <pic:cNvPicPr>
                      <a:picLocks noChangeArrowheads="1" noChangeAspect="1"/>
                    </pic:cNvPicPr>
                  </pic:nvPicPr>
                  <pic:blipFill>
                    <a:blip r:embed="rId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4"/>
    <w:bookmarkStart w:id="88"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5"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10.64861/YYXS3185</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10.64861/UYKI5597</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https://amostech.space/year/2020/an-evaluation-of-observing-constellation-orbit-stability-low-signal-to-noise-and-the-too-short-arc-challenges-in-the-cislunar-domain/</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10.64861/HWZS9386</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https://amostech.space/year/2019/dynamic-calibration-of-multiple-data-types/</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10.64861/UCTN1793</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https://amostech.space/year/2021/snare-sensor-network-autonomous-resilient-extensible-decentralized-sensor-tasking-improves-sda-tactical-relevance/</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https://amostech.space/year/2022/calculating-optical-observation-residuals-from-gps-satellites/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10.64861/MVHC2799</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https://amostech.space/year/2022/a-software-defined-radio-based-method-for-accurate-frequency-estimation-for-space-domain-awareness-in-real-time/</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https://amostech.space/year/2021/a-complete-ssa-scheme-for-a-sustainable-low-earth-orbit-space-data-aggregation-and-ia-combined-with-in-orbit-inspection/</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10.1016/j.actaastro.2025.04.043</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10.1016/j.actaastro.2024.03.050</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10.1016/j.actaastro.2021.07.046</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10.1016/j.actaastro.2025.12.053</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10.1016/j.actaastro.2025.10.018</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10.1016/j.actaastro.2025.03.008</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10.1016/j.actaastro.2025.01.037</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10.1016/j.actaastro.2023.12.055</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10.1016/j.actaastro.2018.03.009</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10.1016/j.actaastro.2017.01.018</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10.1016/j.actaastro.2025.01.041</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10.1016/j.actaastro.2023.10.036</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Swarm Neutral Thermospheric Density (v4.0)</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Swarm Thermosphere: Neutral Thermospheric Density (ESA Swarm Mission, v4.0)</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10.3897/aiep.53.e105910</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Architectural Socio-Technological Transformative Change of Space-Use Norms</w:t>
            </w:r>
          </w:p>
        </w:tc>
      </w:tr>
    </w:tbl>
    <w:bookmarkEnd w:id="85"/>
    <w:bookmarkStart w:id="86"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6"/>
    <w:bookmarkStart w:id="87"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-0.0523</w:t>
            </w:r>
          </w:p>
        </w:tc>
        <w:tc>
          <w:tcPr>
            <w:tcW w:w="0" w:type="auto"/>
          </w:tcPr>
          <w:p>
            <w:pPr>
              <w:spacing w:line="240" w:lineRule="auto" w:before="0" w:after="0"/>
              <w:pStyle w:val="Compact"/>
            </w:pPr>
            <w:r>
              <w:rPr>
                <w:sz w:val="20"/>
                <w:szCs w:val="20"/>
              </w:rPr>
              <w:t xml:space="preserve">0.4354</w:t>
            </w:r>
          </w:p>
        </w:tc>
        <w:tc>
          <w:tcPr>
            <w:tcW w:w="0" w:type="auto"/>
          </w:tcPr>
          <w:p>
            <w:pPr>
              <w:spacing w:line="240" w:lineRule="auto" w:before="0" w:after="0"/>
              <w:pStyle w:val="Compact"/>
            </w:pPr>
            <w:r>
              <w:rPr>
                <w:sz w:val="20"/>
                <w:szCs w:val="20"/>
              </w:rPr>
              <w:t xml:space="preserve">-0.1201</w:t>
            </w:r>
          </w:p>
        </w:tc>
        <w:tc>
          <w:tcPr>
            <w:tcW w:w="0" w:type="auto"/>
          </w:tcPr>
          <w:p>
            <w:pPr>
              <w:spacing w:line="240" w:lineRule="auto" w:before="0" w:after="0"/>
              <w:pStyle w:val="Compact"/>
            </w:pPr>
            <w:r>
              <w:rPr>
                <w:sz w:val="20"/>
                <w:szCs w:val="20"/>
              </w:rPr>
              <w:t xml:space="preserve">0.9044</w:t>
            </w:r>
          </w:p>
        </w:tc>
        <w:tc>
          <w:tcPr>
            <w:tcW w:w="0" w:type="auto"/>
          </w:tcPr>
          <w:p>
            <w:pPr>
              <w:spacing w:line="240" w:lineRule="auto" w:before="0" w:after="0"/>
              <w:pStyle w:val="Compact"/>
            </w:pPr>
            <w:r>
              <w:rPr>
                <w:sz w:val="20"/>
                <w:szCs w:val="20"/>
              </w:rPr>
              <w:t xml:space="preserve">[-0.9057, 0.8011]</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0.4184</w:t>
            </w:r>
          </w:p>
        </w:tc>
        <w:tc>
          <w:tcPr>
            <w:tcW w:w="0" w:type="auto"/>
          </w:tcPr>
          <w:p>
            <w:pPr>
              <w:spacing w:line="240" w:lineRule="auto" w:before="0" w:after="0"/>
              <w:pStyle w:val="Compact"/>
            </w:pPr>
            <w:r>
              <w:rPr>
                <w:sz w:val="20"/>
                <w:szCs w:val="20"/>
              </w:rPr>
              <w:t xml:space="preserve">0.3621</w:t>
            </w:r>
          </w:p>
        </w:tc>
        <w:tc>
          <w:tcPr>
            <w:tcW w:w="0" w:type="auto"/>
          </w:tcPr>
          <w:p>
            <w:pPr>
              <w:spacing w:line="240" w:lineRule="auto" w:before="0" w:after="0"/>
              <w:pStyle w:val="Compact"/>
            </w:pPr>
            <w:r>
              <w:rPr>
                <w:sz w:val="20"/>
                <w:szCs w:val="20"/>
              </w:rPr>
              <w:t xml:space="preserve">1.1556</w:t>
            </w:r>
          </w:p>
        </w:tc>
        <w:tc>
          <w:tcPr>
            <w:tcW w:w="0" w:type="auto"/>
          </w:tcPr>
          <w:p>
            <w:pPr>
              <w:spacing w:line="240" w:lineRule="auto" w:before="0" w:after="0"/>
              <w:pStyle w:val="Compact"/>
            </w:pPr>
            <w:r>
              <w:rPr>
                <w:sz w:val="20"/>
                <w:szCs w:val="20"/>
              </w:rPr>
              <w:t xml:space="preserve">0.2478</w:t>
            </w:r>
          </w:p>
        </w:tc>
        <w:tc>
          <w:tcPr>
            <w:tcW w:w="0" w:type="auto"/>
          </w:tcPr>
          <w:p>
            <w:pPr>
              <w:spacing w:line="240" w:lineRule="auto" w:before="0" w:after="0"/>
              <w:pStyle w:val="Compact"/>
            </w:pPr>
            <w:r>
              <w:rPr>
                <w:sz w:val="20"/>
                <w:szCs w:val="20"/>
              </w:rPr>
              <w:t xml:space="preserve">[-0.2912, 1.1281]</w:t>
            </w:r>
          </w:p>
        </w:tc>
      </w:tr>
    </w:tbl>
    <w:p>
      <w:pPr>
        <w:pStyle w:val="BodyText"/>
      </w:pPr>
      <w:r>
        <w:t xml:space="preserve">Fit: N = 30 R2 = 0.0477 elasticity_b = 0.4184 progress_ratio_2^b = 1.3365</w:t>
      </w:r>
    </w:p>
    <w:bookmarkEnd w:id="87"/>
    <w:bookmarkEnd w:id="88"/>
    <w:bookmarkEnd w:id="8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1" Target="media/rId81.png" /><Relationship Type="http://schemas.openxmlformats.org/officeDocument/2006/relationships/hyperlink" Id="rId73" Target="https://doi.org/10.64861/HWZS9386" TargetMode="External" /><Relationship Type="http://schemas.openxmlformats.org/officeDocument/2006/relationships/hyperlink" Id="rId76" Target="https://doi.org/10.64861/UCTN1793" TargetMode="External" /><Relationship Type="http://schemas.openxmlformats.org/officeDocument/2006/relationships/hyperlink" Id="rId70" Target="https://doi.org/10.64861/UYKI5597" TargetMode="External" /><Relationship Type="http://schemas.openxmlformats.org/officeDocument/2006/relationships/hyperlink" Id="rId68" Target="https://doi.org/10.64861/YYXS3185" TargetMode="External" /></Relationships>
</file>

<file path=word/_rels/footnotes.xml.rels><?xml version="1.0" encoding="UTF-8"?><Relationships xmlns="http://schemas.openxmlformats.org/package/2006/relationships"><Relationship Type="http://schemas.openxmlformats.org/officeDocument/2006/relationships/hyperlink" Id="rId73" Target="https://doi.org/10.64861/HWZS9386" TargetMode="External" /><Relationship Type="http://schemas.openxmlformats.org/officeDocument/2006/relationships/hyperlink" Id="rId76" Target="https://doi.org/10.64861/UCTN1793" TargetMode="External" /><Relationship Type="http://schemas.openxmlformats.org/officeDocument/2006/relationships/hyperlink" Id="rId70" Target="https://doi.org/10.64861/UYKI5597" TargetMode="External" /><Relationship Type="http://schemas.openxmlformats.org/officeDocument/2006/relationships/hyperlink" Id="rId68" Target="https://doi.org/10.64861/YYXS3185"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2026-06-29T09:36:21Z</dcterms:created>
  <dcterms:modified xsi:type="dcterms:W3CDTF">2026-06-29T09:36:21Z</dcterms:modified>
</cp:coreProperties>
</file>

<file path=docProps/custom.xml><?xml version="1.0" encoding="utf-8"?>
<Properties xmlns="http://schemas.openxmlformats.org/officeDocument/2006/custom-properties" xmlns:vt="http://schemas.openxmlformats.org/officeDocument/2006/docPropsVTypes"/>
</file>