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TRUSTING THE TIME: CALIBRATION OF GNSS-DISCIPLINED TIMING RESILIENCE CLAIMS IN C</w:t>
      </w:r>
    </w:p>
    <w:p>
      <w:pPr>
        <w:jc w:val="center"/>
      </w:pPr>
    </w:p>
    <w:p>
      <w:pPr>
        <w:jc w:val="center"/>
      </w:pPr>
      <w:r>
        <w:rPr>
          <w:rFonts w:ascii="Times New Roman" w:hAnsi="Times New Roman"/>
          <w:sz w:val="24"/>
        </w:rPr>
        <w:t>by</w:t>
      </w:r>
    </w:p>
    <w:p>
      <w:pPr>
        <w:jc w:val="center"/>
      </w:pPr>
      <w:r>
        <w:rPr>
          <w:rFonts w:ascii="Times New Roman" w:hAnsi="Times New Roman"/>
          <w:b/>
          <w:sz w:val="28"/>
        </w:rPr>
        <w:t>Daniel Novak</w:t>
      </w:r>
    </w:p>
    <w:p>
      <w:pPr>
        <w:jc w:val="center"/>
      </w:pPr>
      <w:r>
        <w:rPr>
          <w:rFonts w:ascii="Times New Roman" w:hAnsi="Times New Roman"/>
          <w:sz w:val="24"/>
        </w:rPr>
        <w:t>1B-ITI-195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Time is the substrate. Precise time is the quiet foundation of the entire space enterprise. Almost every operational claim in orbital tracking, conjunction screening, and sensor fusion rests on the assumption that clocks agree, that timestamps mean what they say, and that a receiver disciplined by a Global Navigation Satellite System is telling the truth about the instant an observation was made. When that assumption holds, the rest of the architecture can be reasoned about. When it fails quietly, the failure does not announce itself. It propagates. A tracking residual drifts, an association gate misfires, and a resilience claim written into a program document turns out to have been an aspiration rather than a measured fact.</w:t>
      </w:r>
    </w:p>
    <w:p>
      <w:pPr>
        <w:pStyle w:val="BodyText"/>
        <w:spacing w:line="480" w:lineRule="auto"/>
        <w:ind w:firstLine="720"/>
      </w:pPr>
      <w:r>
        <w:t xml:space="preserve">This dissertation takes one narrow slice of that problem and refuses to let it stay vague. The candidate topic is the calibration of GNSS-disciplined timing resilience claims in the C-band and C-language infrastructure that surrounds space situational awareness sensors. The phrase</w:t>
      </w:r>
      <w:r>
        <w:t xml:space="preserve"> </w:t>
      </w:r>
      <w:r>
        <w:t xml:space="preserve">“resilience claim”</w:t>
      </w:r>
      <w:r>
        <w:t xml:space="preserve"> </w:t>
      </w:r>
      <w:r>
        <w:t xml:space="preserve">is doing specific work here. A resilience claim is any documented assertion that a timing subsystem will hold accuracy, or degrade gracefully, when its GNSS reference is denied, spoofed, or lost. Such claims are common. They appear in white papers, in sensor specifications, and in program briefings</w:t>
      </w:r>
      <w:r>
        <w:t xml:space="preserve"> </w:t>
      </w:r>
      <w:hyperlink w:anchor="ref-4">
        <w:r>
          <w:rPr>
            <w:rStyle w:val="Hyperlink"/>
          </w:rPr>
          <w:t xml:space="preserve">[4]</w:t>
        </w:r>
      </w:hyperlink>
      <w:r>
        <w:t xml:space="preserve"> </w:t>
      </w:r>
      <w:hyperlink w:anchor="ref-7">
        <w:r>
          <w:rPr>
            <w:rStyle w:val="Hyperlink"/>
          </w:rPr>
          <w:t xml:space="preserve">[7]</w:t>
        </w:r>
      </w:hyperlink>
      <w:r>
        <w:t xml:space="preserve">. What is uncommon is a disciplined, auditable way to ask whether those claims are visible as measured structure in the literature that surrounds them, or whether they float free of evidence.</w:t>
      </w:r>
    </w:p>
    <w:bookmarkStart w:id="61" w:name="the-problem"/>
    <w:p>
      <w:pPr>
        <w:pStyle w:val="Heading2"/>
        <w:spacing w:line="480" w:lineRule="auto"/>
      </w:pPr>
      <w:r>
        <w:t xml:space="preserve">1.1 The problem</w:t>
      </w:r>
    </w:p>
    <w:p>
      <w:pPr>
        <w:pStyle w:val="FirstParagraph"/>
        <w:spacing w:line="480" w:lineRule="auto"/>
      </w:pPr>
      <w:r>
        <w:t xml:space="preserve">The problem is not that timing is hard. Engineers have known for decades how to build a disciplined oscillator, how to hold a clock through a GNSS outage, and how to characterize the deviation of that clock across a holdover interval</w:t>
      </w:r>
      <w:r>
        <w:t xml:space="preserve"> </w:t>
      </w:r>
      <w:hyperlink w:anchor="ref-9">
        <w:r>
          <w:rPr>
            <w:rStyle w:val="Hyperlink"/>
          </w:rPr>
          <w:t xml:space="preserve">[9]</w:t>
        </w:r>
      </w:hyperlink>
      <w:r>
        <w:t xml:space="preserve">. The problem is epistemic. Between the technical work that measures timing behavior and the institutional language that makes resilience claims, there is a gap. A program office can assert that a sensor network is timing-resilient without the assertion tracing back to a specific, inspectable measurement. A survey of scientific priorities can elevate resilient architectures without specifying the document-level evidence that would confirm resilience has been achieved rather than promised</w:t>
      </w:r>
      <w:r>
        <w:t xml:space="preserve"> </w:t>
      </w:r>
      <w:hyperlink w:anchor="ref-12">
        <w:r>
          <w:rPr>
            <w:rStyle w:val="Hyperlink"/>
          </w:rPr>
          <w:t xml:space="preserve">[12]</w:t>
        </w:r>
      </w:hyperlink>
      <w:r>
        <w:t xml:space="preserve">.</w:t>
      </w:r>
    </w:p>
    <w:p>
      <w:pPr>
        <w:pStyle w:val="BodyText"/>
        <w:spacing w:line="480" w:lineRule="auto"/>
        <w:ind w:firstLine="720"/>
      </w:pPr>
      <w:r>
        <w:t xml:space="preserve">That gap matters because space governance problems tend to become visible in the technical record before institutions converge on an operating rule</w:t>
      </w:r>
      <w:r>
        <w:t xml:space="preserve"> </w:t>
      </w:r>
      <w:hyperlink w:anchor="ref-6">
        <w:r>
          <w:rPr>
            <w:rStyle w:val="Hyperlink"/>
          </w:rPr>
          <w:t xml:space="preserve">[6]</w:t>
        </w:r>
      </w:hyperlink>
      <w:r>
        <w:t xml:space="preserve">. If timing resilience is genuinely emerging as a governed concern, the emergence should leave fingerprints. It should show up as structure in when the relevant sources were published, in how much citation attention they attract, and in which venue families carry the conversation. If, on the other hand, the topic is being asserted faster than it is being evidenced, then the same metadata should look flat, noisy, and unstructured. Either way, the metadata is testable. That is the wedge this dissertation drives.</w:t>
      </w:r>
    </w:p>
    <w:p>
      <w:pPr>
        <w:pStyle w:val="BodyText"/>
        <w:spacing w:line="480" w:lineRule="auto"/>
        <w:ind w:firstLine="720"/>
      </w:pPr>
      <w:r>
        <w:t xml:space="preserve">Consider the operational chain that a single timing assumption travels through. A passive radio-frequency tracker infers an orbit from the arrival times of a signal, so its geometry is only as trustworthy as its timing chain</w:t>
      </w:r>
      <w:r>
        <w:t xml:space="preserve"> </w:t>
      </w:r>
      <w:hyperlink w:anchor="ref-1">
        <w:r>
          <w:rPr>
            <w:rStyle w:val="Hyperlink"/>
          </w:rPr>
          <w:t xml:space="preserve">[1]</w:t>
        </w:r>
      </w:hyperlink>
      <w:r>
        <w:t xml:space="preserve">. A residual computed against a GPS satellite is, underneath, a statement about clock agreement dressed up as a statement about position</w:t>
      </w:r>
      <w:r>
        <w:t xml:space="preserve"> </w:t>
      </w:r>
      <w:hyperlink w:anchor="ref-8">
        <w:r>
          <w:rPr>
            <w:rStyle w:val="Hyperlink"/>
          </w:rPr>
          <w:t xml:space="preserve">[8]</w:t>
        </w:r>
      </w:hyperlink>
      <w:r>
        <w:t xml:space="preserve">. When observations of this kind are curated and fused, every unexamined timing assumption baked into the inputs is inherited by the output</w:t>
      </w:r>
      <w:r>
        <w:t xml:space="preserve"> </w:t>
      </w:r>
      <w:hyperlink w:anchor="ref-2">
        <w:r>
          <w:rPr>
            <w:rStyle w:val="Hyperlink"/>
          </w:rPr>
          <w:t xml:space="preserve">[2]</w:t>
        </w:r>
      </w:hyperlink>
      <w:r>
        <w:t xml:space="preserve">. The fused picture looks authoritative. Its authority is borrowed from timing claims that were never separately audited.</w:t>
      </w:r>
    </w:p>
    <w:bookmarkEnd w:id="61"/>
    <w:bookmarkStart w:id="62" w:name="why-this-is-worth-a-dissertation"/>
    <w:p>
      <w:pPr>
        <w:pStyle w:val="Heading2"/>
        <w:spacing w:line="480" w:lineRule="auto"/>
      </w:pPr>
      <w:r>
        <w:t xml:space="preserve">1.2 Why this is worth a dissertation</w:t>
      </w:r>
    </w:p>
    <w:p>
      <w:pPr>
        <w:pStyle w:val="FirstParagraph"/>
        <w:spacing w:line="480" w:lineRule="auto"/>
      </w:pPr>
      <w:r>
        <w:t xml:space="preserve">A skeptic could reasonably ask why a timing question deserves doctoral treatment rather than a bench measurement. The answer is that the object of study is not the clock. It is the claim about the clock, and the evidentiary chain that is supposed to back it. Space situational awareness has become a data-curation discipline as much as a sensing discipline</w:t>
      </w:r>
      <w:r>
        <w:t xml:space="preserve"> </w:t>
      </w:r>
      <w:hyperlink w:anchor="ref-2">
        <w:r>
          <w:rPr>
            <w:rStyle w:val="Hyperlink"/>
          </w:rPr>
          <w:t xml:space="preserve">[2]</w:t>
        </w:r>
      </w:hyperlink>
      <w:r>
        <w:t xml:space="preserve">. Observations arrive from heterogeneous sources, at heterogeneous cadences, tagged with timestamps whose provenance varies. When those observations are fused, the fusion inherits every timing assumption embedded in the inputs, and few of those assumptions are ever surfaced for inspection.</w:t>
      </w:r>
    </w:p>
    <w:p>
      <w:pPr>
        <w:pStyle w:val="BodyText"/>
        <w:spacing w:line="480" w:lineRule="auto"/>
        <w:ind w:firstLine="720"/>
      </w:pPr>
      <w:r>
        <w:t xml:space="preserve">So the stakes are architectural. If timing resilience claims are accepted uncritically, the entire fused picture inherits an unaudited risk. If they are rejected wholesale, useful systems get discarded on suspicion rather than evidence. The disciplined middle path is to ask what the documentary record can actually support, and to build a method that makes the answer reproducible. That is a governance contribution, not merely a measurement one. The space enterprise increasingly federates trust across many operators and many sensors, and federated trust cannot rest on claims that no one can trace</w:t>
      </w:r>
      <w:r>
        <w:t xml:space="preserve"> </w:t>
      </w:r>
      <w:hyperlink w:anchor="ref-7">
        <w:r>
          <w:rPr>
            <w:rStyle w:val="Hyperlink"/>
          </w:rPr>
          <w:t xml:space="preserve">[7]</w:t>
        </w:r>
      </w:hyperlink>
      <w:r>
        <w:t xml:space="preserve">. A decentralized sensor-tasking scheme, for instance, only improves tactical relevance if the nodes agree on time; the coordination benefit is a timing claim in disguise</w:t>
      </w:r>
      <w:r>
        <w:t xml:space="preserve"> </w:t>
      </w:r>
      <w:hyperlink w:anchor="ref-7">
        <w:r>
          <w:rPr>
            <w:rStyle w:val="Hyperlink"/>
          </w:rPr>
          <w:t xml:space="preserve">[7]</w:t>
        </w:r>
      </w:hyperlink>
      <w:r>
        <w:t xml:space="preserve">.</w:t>
      </w:r>
    </w:p>
    <w:p>
      <w:pPr>
        <w:pStyle w:val="BodyText"/>
        <w:spacing w:line="480" w:lineRule="auto"/>
        <w:ind w:firstLine="720"/>
      </w:pPr>
      <w:r>
        <w:t xml:space="preserve">The wider point is that the discipline needed here is old and well understood in metrology but rarely applied to the claims themselves. Calibration of multiple heterogeneous data types is a solved problem in principle</w:t>
      </w:r>
      <w:r>
        <w:t xml:space="preserve"> </w:t>
      </w:r>
      <w:hyperlink w:anchor="ref-5">
        <w:r>
          <w:rPr>
            <w:rStyle w:val="Hyperlink"/>
          </w:rPr>
          <w:t xml:space="preserve">[5]</w:t>
        </w:r>
      </w:hyperlink>
      <w:r>
        <w:t xml:space="preserve">. What is not solved is the meta-question of whether the community’s assertions about timing resilience are backed by the kind of accumulated, attention-bearing evidence that would let a governance body rely on them. That meta-question is bibliometric and documentary, and it is exactly the kind of question a dissertation can answer without a laboratory.</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makes one falsifiable claim, and it is deliberately modest. Stated as a null and an alternative:</w:t>
      </w:r>
    </w:p>
    <w:p>
      <w:pPr>
        <w:pStyle w:val="BodyText"/>
        <w:spacing w:line="480" w:lineRule="auto"/>
        <w:ind w:firstLine="720"/>
      </w:pPr>
      <w:r>
        <w:t xml:space="preserve">H0: the topic-signal intensity of GNSS-disciplined timing resilience in the retrieved source corpus is unrelated to publication recency, citation attention, and venue family, and citation accumulation in that corpus is unrelated to article age.</w:t>
      </w:r>
    </w:p>
    <w:p>
      <w:pPr>
        <w:pStyle w:val="BodyText"/>
        <w:spacing w:line="480" w:lineRule="auto"/>
        <w:ind w:firstLine="720"/>
      </w:pPr>
      <w:r>
        <w:t xml:space="preserve">H1: topic-signal intensity is systematically related to at least one of recency, citation attention, or venue family, and citation accumulation follows a measurable age-based curve.</w:t>
      </w:r>
    </w:p>
    <w:p>
      <w:pPr>
        <w:pStyle w:val="BodyText"/>
        <w:spacing w:line="480" w:lineRule="auto"/>
        <w:ind w:firstLine="720"/>
      </w:pPr>
      <w:r>
        <w:t xml:space="preserve">Everything else in the manuscript exists to make that single test honest. The contribution is not a grand theory of timing governance. It is a bounded, reproducible screen: given a candidate-specific pack of source records, does the topic show measurable structure in its own metadata, or does it not? The value of pre-registering such a narrow claim is that it can fail. A claim that cannot fail is not evidence; it is decoration</w:t>
      </w:r>
      <w:r>
        <w:t xml:space="preserve"> </w:t>
      </w:r>
      <w:hyperlink w:anchor="ref-4">
        <w:r>
          <w:rPr>
            <w:rStyle w:val="Hyperlink"/>
          </w:rPr>
          <w:t xml:space="preserve">[4]</w:t>
        </w:r>
      </w:hyperlink>
      <w:r>
        <w:t xml:space="preserve">. By committing in advance to specific predictors and specific estimators, the design makes it possible for the data to say no, and it makes the reader able to see when the data have said no.</w:t>
      </w:r>
    </w:p>
    <w:p>
      <w:pPr>
        <w:pStyle w:val="BodyText"/>
        <w:spacing w:line="480" w:lineRule="auto"/>
        <w:ind w:firstLine="720"/>
      </w:pPr>
      <w:r>
        <w:t xml:space="preserve">Two empirical instruments carry the test. The first is an ordinary least squares model of a topic-signal score against a recency index, a citation count, and an ordinal venue-family score. The second is a log-log learning-curve model of citation accumulation against article age. Neither instrument pretends to settle the underlying policy question of whether any particular sensor is truly resilient. Both discipline the evidence. They convert a diffuse intuition into a pair of estimator outputs that a reader can check line by line against the workbooks.</w:t>
      </w:r>
    </w:p>
    <w:bookmarkEnd w:id="63"/>
    <w:bookmarkStart w:id="64" w:name="what-the-design-deliberately-does-not-do"/>
    <w:p>
      <w:pPr>
        <w:pStyle w:val="Heading2"/>
        <w:spacing w:line="480" w:lineRule="auto"/>
      </w:pPr>
      <w:r>
        <w:t xml:space="preserve">1.4 What the design deliberately does not do</w:t>
      </w:r>
    </w:p>
    <w:p>
      <w:pPr>
        <w:pStyle w:val="FirstParagraph"/>
        <w:spacing w:line="480" w:lineRule="auto"/>
      </w:pPr>
      <w:r>
        <w:t xml:space="preserve">Honesty about scope is part of the contribution. This dissertation does not measure clock holdover in a laboratory. It does not spoof a receiver. It does not adjudicate any specific vendor’s resilience specification. It works at the level of the documentary corpus, treating the retrieved source records as the unit of analysis and their metadata as the observable. That choice buys reproducibility and auditability at the cost of causal reach. A structured metadata signal would be consistent with genuine emergence of the topic, but it would not prove that any physical system is resilient. An unstructured signal would caution against overclaiming, but it would not prove that the underlying engineering is weak. The design is a screen, and it is presented as one.</w:t>
      </w:r>
    </w:p>
    <w:p>
      <w:pPr>
        <w:pStyle w:val="BodyText"/>
        <w:spacing w:line="480" w:lineRule="auto"/>
        <w:ind w:firstLine="720"/>
      </w:pPr>
      <w:r>
        <w:t xml:space="preserve">The framing also inherits a wider caution from the space-domain literature. Trust in autonomous and machine-assisted systems has to be earned through inspectable behavior rather than asserted through confident language</w:t>
      </w:r>
      <w:r>
        <w:t xml:space="preserve"> </w:t>
      </w:r>
      <w:hyperlink w:anchor="ref-4">
        <w:r>
          <w:rPr>
            <w:rStyle w:val="Hyperlink"/>
          </w:rPr>
          <w:t xml:space="preserve">[4]</w:t>
        </w:r>
      </w:hyperlink>
      <w:r>
        <w:t xml:space="preserve">. The same standard applies to the claims this dissertation studies and to the dissertation itself. Every number reported here comes from a deterministic workbook. Nothing is hand-tuned to please a reader. When a coefficient is imprecise, the imprecision is reported as a finding about the limits of the record, not smoothed away.</w:t>
      </w:r>
    </w:p>
    <w:p>
      <w:pPr>
        <w:pStyle w:val="BodyText"/>
        <w:spacing w:line="480" w:lineRule="auto"/>
        <w:ind w:firstLine="720"/>
      </w:pPr>
      <w:r>
        <w:t xml:space="preserve">There is a second boundary worth naming. The corpus deliberately mixes technical sensing papers, governance and traffic-management writing, and a small number of policy and architecture documents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heterogeneity is a feature for a visibility screen, because it lets venue family enter as a variable. It is a liability for a causal claim, because venue family and substance are entangled in ways a thirty-row cross section cannot fully separate. The design accepts the trade and reports it plainly rather than hiding it.</w:t>
      </w:r>
    </w:p>
    <w:bookmarkEnd w:id="64"/>
    <w:bookmarkStart w:id="65" w:name="Xf2d91cd2a3b7d9dc4f1e8714c679073ed25f509"/>
    <w:p>
      <w:pPr>
        <w:pStyle w:val="Heading2"/>
        <w:spacing w:line="480" w:lineRule="auto"/>
      </w:pPr>
      <w:r>
        <w:t xml:space="preserve">1.4a Situating the claim inside the space enterprise</w:t>
      </w:r>
    </w:p>
    <w:p>
      <w:pPr>
        <w:pStyle w:val="FirstParagraph"/>
        <w:spacing w:line="480" w:lineRule="auto"/>
      </w:pPr>
      <w:r>
        <w:t xml:space="preserve">It helps to place the timing-claim problem inside the broader trajectory the space enterprise is on. The center of gravity in space situational awareness has shifted over the last decade from single-instrument products toward curated, multi-source, machine-assisted pictures</w:t>
      </w:r>
      <w:r>
        <w:t xml:space="preserve"> </w:t>
      </w:r>
      <w:hyperlink w:anchor="ref-2">
        <w:r>
          <w:rPr>
            <w:rStyle w:val="Hyperlink"/>
          </w:rPr>
          <w:t xml:space="preserve">[2]</w:t>
        </w:r>
      </w:hyperlink>
      <w:r>
        <w:t xml:space="preserve">. That shift is largely beneficial. More sensors, more data types, and more automation yield a denser and more timely picture of the orbital environment than any single telescope or radar could. The shift also quietly raises the cost of an unaudited timing assumption, because a curated picture is a composition of inputs, and a composition inherits the weakest provenance among its parts. A single mistimed feed does not stay local; it contaminates every fused product that draws on it.</w:t>
      </w:r>
    </w:p>
    <w:p>
      <w:pPr>
        <w:pStyle w:val="BodyText"/>
        <w:spacing w:line="480" w:lineRule="auto"/>
        <w:ind w:firstLine="720"/>
      </w:pPr>
      <w:r>
        <w:t xml:space="preserve">The same trajectory runs outward from low Earth orbit. As observation extends to cislunar space, the geometry becomes less forgiving: arcs are shorter, signal-to-noise is worse, and the association machinery that a near-Earth system takes for granted starts to strain</w:t>
      </w:r>
      <w:r>
        <w:t xml:space="preserve"> </w:t>
      </w:r>
      <w:hyperlink w:anchor="ref-3">
        <w:r>
          <w:rPr>
            <w:rStyle w:val="Hyperlink"/>
          </w:rPr>
          <w:t xml:space="preserve">[3]</w:t>
        </w:r>
      </w:hyperlink>
      <w:r>
        <w:t xml:space="preserve">. Timing tolerances that were comfortable near Earth tighten in that regime, and a resilience claim validated in one environment may not survive transport to another. This is why the dissertation treats timing resilience as a claim to be audited rather than a property to be assumed. A property that holds in one operating regime is not automatically a property that holds everywhere the system will be asked to work.</w:t>
      </w:r>
    </w:p>
    <w:p>
      <w:pPr>
        <w:pStyle w:val="BodyText"/>
        <w:spacing w:line="480" w:lineRule="auto"/>
        <w:ind w:firstLine="720"/>
      </w:pPr>
      <w:r>
        <w:t xml:space="preserve">There is also an economic and institutional dimension that a purely technical framing would miss. Space activity is increasingly organized around shared infrastructure and shared expectations, and roadmaps for national space economies now treat reliable positioning, navigation, and timing as foundational rather than incidental</w:t>
      </w:r>
      <w:r>
        <w:t xml:space="preserve"> </w:t>
      </w:r>
      <w:hyperlink w:anchor="ref-10">
        <w:r>
          <w:rPr>
            <w:rStyle w:val="Hyperlink"/>
          </w:rPr>
          <w:t xml:space="preserve">[10]</w:t>
        </w:r>
      </w:hyperlink>
      <w:r>
        <w:t xml:space="preserve">. When timing is foundational, claims about timing resilience become load-bearing for policy, not just for engineering. A governance body that relies on a resilience claim is extending institutional trust on the strength of that claim. The question of whether such claims are evidentially structured is therefore not academic. It is the question of whether the institution’s trust is well placed.</w:t>
      </w:r>
    </w:p>
    <w:bookmarkEnd w:id="65"/>
    <w:bookmarkStart w:id="66" w:name="X4e697b0ad7b3021d9938f226e95907d08c4f2d0"/>
    <w:p>
      <w:pPr>
        <w:pStyle w:val="Heading2"/>
        <w:spacing w:line="480" w:lineRule="auto"/>
      </w:pPr>
      <w:r>
        <w:t xml:space="preserve">1.4b The unit of analysis and the observable</w:t>
      </w:r>
    </w:p>
    <w:p>
      <w:pPr>
        <w:pStyle w:val="FirstParagraph"/>
        <w:spacing w:line="480" w:lineRule="auto"/>
      </w:pPr>
      <w:r>
        <w:t xml:space="preserve">Because the object of study is the claim rather than the clock, the unit of analysis is the source record, and the observable is its metadata. This is an unusual move for a topic that sounds like an engineering problem, and it deserves an explicit defense. A single laboratory measurement of clock holdover would tell you about one subsystem under one set of conditions. It would tell you nothing about whether the community’s stock of timing-resilience claims is backed by accumulated, inspectable evidence. The documentary corpus is the right level of analysis for that second question, because emergence and evidentiary maturity are properties of a literature, not of a device</w:t>
      </w:r>
      <w:r>
        <w:t xml:space="preserve"> </w:t>
      </w:r>
      <w:hyperlink w:anchor="ref-6">
        <w:r>
          <w:rPr>
            <w:rStyle w:val="Hyperlink"/>
          </w:rPr>
          <w:t xml:space="preserve">[6]</w:t>
        </w:r>
      </w:hyperlink>
      <w:r>
        <w:t xml:space="preserve">.</w:t>
      </w:r>
    </w:p>
    <w:p>
      <w:pPr>
        <w:pStyle w:val="BodyText"/>
        <w:spacing w:line="480" w:lineRule="auto"/>
        <w:ind w:firstLine="720"/>
      </w:pPr>
      <w:r>
        <w:t xml:space="preserve">The observable follows from the unit. For each retained record, the design can see when it was published, how much citation attention the local index reports for it, which venue family carries it, and how strongly its title, snippet, keyword field, and author metadata engage the candidate theme. These are modest observables. They are also auditable observables, which is the property that matters most for a dissertation whose entire argument is about auditability. A reader who doubts a reported result can open the source record and check the metadata that produced it. That closed loop, from claim to number to row to source, is the methodological spine of the whole manuscript, and Chapter 5 documents it in full.</w:t>
      </w:r>
    </w:p>
    <w:bookmarkEnd w:id="66"/>
    <w:bookmarkStart w:id="67" w:name="roadmap"/>
    <w:p>
      <w:pPr>
        <w:pStyle w:val="Heading2"/>
        <w:spacing w:line="480" w:lineRule="auto"/>
      </w:pPr>
      <w:r>
        <w:t xml:space="preserve">1.5 Roadmap</w:t>
      </w:r>
    </w:p>
    <w:p>
      <w:pPr>
        <w:pStyle w:val="FirstParagraph"/>
        <w:spacing w:line="480" w:lineRule="auto"/>
      </w:pPr>
      <w:r>
        <w:t xml:space="preserve">The manuscript proceeds in eight chapters. Chapter 2 situates the work against prior research in space situational awareness, timing and calibration, data curation, and the way technical topics gain institutional attention, drawing the literature into a single frame around the timing-claim problem</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Chapter 3 develops the theory and states the testable predictions, connecting the mechanism of topic emergence to the specific coefficients the estimators will report. Chapter 4 sets out the methodology and identification strategy, explaining what an ordinary least squares screen and a learning-curve screen can and cannot identify, and why robust standard errors are the right conservative choice. Chapter 5 documents the data and measurement in full: the thirty source records, the construction of every variable, the provenance of each row, and the coding rules that make the signal score deterministic.</w:t>
      </w:r>
    </w:p>
    <w:p>
      <w:pPr>
        <w:pStyle w:val="BodyText"/>
        <w:spacing w:line="480" w:lineRule="auto"/>
        <w:ind w:firstLine="720"/>
      </w:pPr>
      <w:r>
        <w:t xml:space="preserve">Chapter 6 reports the results exactly as the workbooks produced them, coefficient by coefficient, standard error by standard error, and interprets the signs and magnitudes without inflating them. Chapter 7 discusses what the findings mean, catalogs the threats to validity with the seriousness they deserve, and marks the boundary between what the data show and what they cannot. Chapter 8 draws conclusions, connects them to program and governance relevance, and lays out the document-coding design that a follow-on study would need to convert this screen into a stronger causal claim</w:t>
      </w:r>
      <w:r>
        <w:t xml:space="preserve"> </w:t>
      </w:r>
      <w:hyperlink w:anchor="ref-6">
        <w:r>
          <w:rPr>
            <w:rStyle w:val="Hyperlink"/>
          </w:rPr>
          <w:t xml:space="preserve">[6]</w:t>
        </w:r>
      </w:hyperlink>
      <w:r>
        <w:t xml:space="preserve"> </w:t>
      </w:r>
      <w:hyperlink w:anchor="ref-13">
        <w:r>
          <w:rPr>
            <w:rStyle w:val="Hyperlink"/>
          </w:rPr>
          <w:t xml:space="preserve">[13]</w:t>
        </w:r>
      </w:hyperlink>
      <w:r>
        <w:t xml:space="preserve">. The guiding discipline throughout is the one named in the title. To trust the time, you first have to be able to audit the claim that the time can be trusted.</w:t>
      </w:r>
    </w:p>
    <w:bookmarkEnd w:id="67"/>
    <w:bookmarkStart w:id="68" w:name="a-note-on-what-counts-as-success"/>
    <w:p>
      <w:pPr>
        <w:pStyle w:val="Heading2"/>
        <w:spacing w:line="480" w:lineRule="auto"/>
      </w:pPr>
      <w:r>
        <w:t xml:space="preserve">1.6 A note on what counts as success</w:t>
      </w:r>
    </w:p>
    <w:p>
      <w:pPr>
        <w:pStyle w:val="FirstParagraph"/>
        <w:spacing w:line="480" w:lineRule="auto"/>
      </w:pPr>
      <w:r>
        <w:t xml:space="preserve">One more framing point sets up the chapters that follow. In a research pipeline that rewards positive findings, there is a standing temptation to treat a null result as a failure and to reach for language that makes weak evidence sound strong. This dissertation rejects that temptation as a matter of design, and the rejection is itself part of the contribution. Success here is not defined as finding that timing resilience has emerged. Success is defined as producing a test honest enough that either answer would be believable and useful.</w:t>
      </w:r>
    </w:p>
    <w:p>
      <w:pPr>
        <w:pStyle w:val="BodyText"/>
        <w:spacing w:line="480" w:lineRule="auto"/>
        <w:ind w:firstLine="720"/>
      </w:pPr>
      <w:r>
        <w:t xml:space="preserve">Consider the two ways the screen could resolve. If the metadata showed clear structure, the finding would be that the topic is visibly emerging in its own literature, which would support treating the community’s timing claims as backed by an accumulating evidence base. If the metadata showed little structure, the finding would be that the topic’s program-level assertions may be running ahead of their documentary evidence, which would argue for demanding direct measurement before extending institutional trust. Both outcomes are actionable. A design that could only ever return the first outcome would be worthless, because a test that cannot fail carries no information</w:t>
      </w:r>
      <w:r>
        <w:t xml:space="preserve"> </w:t>
      </w:r>
      <w:hyperlink w:anchor="ref-4">
        <w:r>
          <w:rPr>
            <w:rStyle w:val="Hyperlink"/>
          </w:rPr>
          <w:t xml:space="preserve">[4]</w:t>
        </w:r>
      </w:hyperlink>
      <w:r>
        <w:t xml:space="preserve">. The value of the pre-registered, falsifiable posture is precisely that it lets the corpus speak against the hopeful reading if that is what the data say.</w:t>
      </w:r>
    </w:p>
    <w:p>
      <w:pPr>
        <w:pStyle w:val="BodyText"/>
        <w:spacing w:line="480" w:lineRule="auto"/>
        <w:ind w:firstLine="720"/>
      </w:pPr>
      <w:r>
        <w:t xml:space="preserve">This orientation also disciplines the tone of the results and discussion chapters. Where a coefficient is precise, the manuscript reports the number and reads it carefully, including the ways a precise coefficient can still be substantively treacherous. Where a coefficient is imprecise, the manuscript treats the imprecision as a finding about the limits of the retained record rather than as a near-miss to be talked up. That even-handedness is not timidity. It is the standard of inspectable evidence that the space community rightly demands of its autonomous and machine-assisted systems, turned back on the claims those systems rest upon</w:t>
      </w:r>
      <w:r>
        <w:t xml:space="preserve"> </w:t>
      </w:r>
      <w:hyperlink w:anchor="ref-7">
        <w:r>
          <w:rPr>
            <w:rStyle w:val="Hyperlink"/>
          </w:rPr>
          <w:t xml:space="preserve">[7]</w:t>
        </w:r>
      </w:hyperlink>
      <w:r>
        <w:t xml:space="preserve">. Applying that standard to the claim, and not only to the clock, is the work this manuscript sets out to do.</w:t>
      </w:r>
    </w:p>
    <w:bookmarkEnd w:id="68"/>
    <w:bookmarkEnd w:id="69"/>
    <w:bookmarkStart w:id="82" w:name="chapter-2.-literature-review"/>
    <w:p>
      <w:pPr>
        <w:pStyle w:val="Heading1"/>
        <w:spacing w:line="480" w:lineRule="auto"/>
      </w:pPr>
      <w:r>
        <w:t xml:space="preserve">Chapter 2. Literature Review</w:t>
      </w:r>
    </w:p>
    <w:p>
      <w:pPr>
        <w:pStyle w:val="FirstParagraph"/>
        <w:spacing w:line="480" w:lineRule="auto"/>
      </w:pPr>
      <w:r>
        <w:t xml:space="preserve">Two bodies of work bear on this dissertation, and they usually do not talk to each other. The first is the technical and operational literature of space situational awareness, timing, and calibration, which explains why disciplined time matters and how engineers try to secure it. The second is the smaller, more diffuse literature on how a technical topic becomes visible, cited, and eventually governed. This chapter reads both, then argues that the interesting question lives in the seam between them: whether the community’s timing-resilience claims are backed by the kind of accumulated, attention-bearing evidence that would let a governance body rely on them.</w:t>
      </w:r>
    </w:p>
    <w:bookmarkStart w:id="70" w:name="X404bb0aa6521b8dbd4754f0733adf9659601bfc"/>
    <w:p>
      <w:pPr>
        <w:pStyle w:val="Heading2"/>
        <w:spacing w:line="480" w:lineRule="auto"/>
      </w:pPr>
      <w:r>
        <w:t xml:space="preserve">2.1 Timing as the hidden dependency of space observation</w:t>
      </w:r>
    </w:p>
    <w:p>
      <w:pPr>
        <w:pStyle w:val="FirstParagraph"/>
        <w:spacing w:line="480" w:lineRule="auto"/>
      </w:pPr>
      <w:r>
        <w:t xml:space="preserve">Start with the sensing literature, because it makes the dependency concrete. Passive radio-frequency tracking of low Earth orbit objects recovers an orbit from the timing structure of a received signal, which means the accuracy of the recovered orbit is bounded by the accuracy of the timing chain behind the receiver</w:t>
      </w:r>
      <w:r>
        <w:t xml:space="preserve"> </w:t>
      </w:r>
      <w:hyperlink w:anchor="ref-1">
        <w:r>
          <w:rPr>
            <w:rStyle w:val="Hyperlink"/>
          </w:rPr>
          <w:t xml:space="preserve">[1]</w:t>
        </w:r>
      </w:hyperlink>
      <w:r>
        <w:t xml:space="preserve">. The authors of that work report measurement results that only make sense under a disciplined clock; loosen the clock and the tracking claim loosens with it. The same dependency appears from a different angle in the residual analysis of optical observations of GPS satellites, where the computed residual is, in substance, a comparison of timekeeping between the observer and the observed</w:t>
      </w:r>
      <w:r>
        <w:t xml:space="preserve"> </w:t>
      </w:r>
      <w:hyperlink w:anchor="ref-8">
        <w:r>
          <w:rPr>
            <w:rStyle w:val="Hyperlink"/>
          </w:rPr>
          <w:t xml:space="preserve">[8]</w:t>
        </w:r>
      </w:hyperlink>
      <w:r>
        <w:t xml:space="preserve">. Time is not one input among many in these systems. It is the axis the other inputs are measured against.</w:t>
      </w:r>
    </w:p>
    <w:p>
      <w:pPr>
        <w:pStyle w:val="BodyText"/>
        <w:spacing w:line="480" w:lineRule="auto"/>
        <w:ind w:firstLine="720"/>
      </w:pPr>
      <w:r>
        <w:t xml:space="preserve">The dependency compounds when many data types are combined. Dynamic calibration across multiple heterogeneous data types is a recognized problem, and its solutions assume that the timestamps attached to each data type can be trusted or at least modeled</w:t>
      </w:r>
      <w:r>
        <w:t xml:space="preserve"> </w:t>
      </w:r>
      <w:hyperlink w:anchor="ref-5">
        <w:r>
          <w:rPr>
            <w:rStyle w:val="Hyperlink"/>
          </w:rPr>
          <w:t xml:space="preserve">[5]</w:t>
        </w:r>
      </w:hyperlink>
      <w:r>
        <w:t xml:space="preserve">. When the assumption is examined rather than assumed, the calibration problem becomes partly a timing-provenance problem. This is the technical root of the dissertation’s concern. Every fusion step inherits the timing assumptions of its inputs, and those assumptions are rarely audited as first-class objects.</w:t>
      </w:r>
    </w:p>
    <w:bookmarkEnd w:id="70"/>
    <w:bookmarkStart w:id="71" w:name="X310fca6b4e5ab78b0b0624d7db3b20752a87420"/>
    <w:p>
      <w:pPr>
        <w:pStyle w:val="Heading2"/>
        <w:spacing w:line="480" w:lineRule="auto"/>
      </w:pPr>
      <w:r>
        <w:t xml:space="preserve">2.2 From single sensors to curated, federated pictures</w:t>
      </w:r>
    </w:p>
    <w:p>
      <w:pPr>
        <w:pStyle w:val="FirstParagraph"/>
        <w:spacing w:line="480" w:lineRule="auto"/>
      </w:pPr>
      <w:r>
        <w:t xml:space="preserve">The field has moved from single-sensor products toward curated and federated pictures, and that move raises the stakes of unexamined timing. Data curation for space surveillance and tracking is now treated as a discipline in its own right, with explicit attention to how heterogeneous observations are cleaned, associated, and made interoperable</w:t>
      </w:r>
      <w:r>
        <w:t xml:space="preserve"> </w:t>
      </w:r>
      <w:hyperlink w:anchor="ref-2">
        <w:r>
          <w:rPr>
            <w:rStyle w:val="Hyperlink"/>
          </w:rPr>
          <w:t xml:space="preserve">[2]</w:t>
        </w:r>
      </w:hyperlink>
      <w:r>
        <w:t xml:space="preserve">. Curation makes provenance visible in principle. It also multiplies the number of places where a timing assumption can enter without scrutiny, because each ingested source arrives with its own implicit clock.</w:t>
      </w:r>
    </w:p>
    <w:p>
      <w:pPr>
        <w:pStyle w:val="BodyText"/>
        <w:spacing w:line="480" w:lineRule="auto"/>
        <w:ind w:firstLine="720"/>
      </w:pPr>
      <w:r>
        <w:t xml:space="preserve">Federation sharpens the point. A decentralized, autonomous, resilient sensor-tasking scheme improves the tactical relevance of space domain awareness precisely because nodes coordinate, and coordination presupposes a shared sense of time</w:t>
      </w:r>
      <w:r>
        <w:t xml:space="preserve"> </w:t>
      </w:r>
      <w:hyperlink w:anchor="ref-7">
        <w:r>
          <w:rPr>
            <w:rStyle w:val="Hyperlink"/>
          </w:rPr>
          <w:t xml:space="preserve">[7]</w:t>
        </w:r>
      </w:hyperlink>
      <w:r>
        <w:t xml:space="preserve">. When information sharing is decentralized across operators, the preservation of a common operating picture depends on trust, and trust in a distributed system is partly a claim about synchronized time. So the architectural trend of the field, toward curated, federated, decentralized pictures, is also a trend toward greater dependence on timing claims that no single actor fully controls.</w:t>
      </w:r>
    </w:p>
    <w:bookmarkEnd w:id="71"/>
    <w:bookmarkStart w:id="72" w:name="X6197cc43fa4d6c15fe2f9e78ba14ed2120dd74f"/>
    <w:p>
      <w:pPr>
        <w:pStyle w:val="Heading2"/>
        <w:spacing w:line="480" w:lineRule="auto"/>
      </w:pPr>
      <w:r>
        <w:t xml:space="preserve">2.3 The cislunar and small-satellite frontier</w:t>
      </w:r>
    </w:p>
    <w:p>
      <w:pPr>
        <w:pStyle w:val="FirstParagraph"/>
        <w:spacing w:line="480" w:lineRule="auto"/>
      </w:pPr>
      <w:r>
        <w:t xml:space="preserve">The dependency does not weaken as systems move outward; it intensifies. In the cislunar domain, observing constellations confront orbit-stability problems, low signal-to-noise conditions, and the too-short-arc challenge, all of which stress the timing and association machinery that a near-Earth system can take for granted</w:t>
      </w:r>
      <w:r>
        <w:t xml:space="preserve"> </w:t>
      </w:r>
      <w:hyperlink w:anchor="ref-3">
        <w:r>
          <w:rPr>
            <w:rStyle w:val="Hyperlink"/>
          </w:rPr>
          <w:t xml:space="preserve">[3]</w:t>
        </w:r>
      </w:hyperlink>
      <w:r>
        <w:t xml:space="preserve">. When arcs are short and signals are weak, the tolerance for timing error shrinks, and a resilience claim that was adequate in low Earth orbit may not survive the transit to cislunar space.</w:t>
      </w:r>
    </w:p>
    <w:p>
      <w:pPr>
        <w:pStyle w:val="BodyText"/>
        <w:spacing w:line="480" w:lineRule="auto"/>
        <w:ind w:firstLine="720"/>
      </w:pPr>
      <w:r>
        <w:t xml:space="preserve">Small satellites face a parallel squeeze from the other direction. A GNSS-assisted autonomous heterogeneous clock system for very small satellites in the Earth-Moon system has been proposed precisely because these platforms cannot carry the mass and power of a traditional timing subsystem, yet still need disciplined time when GNSS coverage is intermittent or absent</w:t>
      </w:r>
      <w:r>
        <w:t xml:space="preserve"> </w:t>
      </w:r>
      <w:hyperlink w:anchor="ref-9">
        <w:r>
          <w:rPr>
            <w:rStyle w:val="Hyperlink"/>
          </w:rPr>
          <w:t xml:space="preserve">[9]</w:t>
        </w:r>
      </w:hyperlink>
      <w:r>
        <w:t xml:space="preserve">. That work is the closest analog in the corpus to the dissertation’s own concern. It treats timing resilience as an engineering target and characterizes how a heterogeneous clock ensemble can hold accuracy through GNSS gaps. It also, by its existence, signals that the topic is live: researchers are building the very subsystems whose resilience claims this dissertation asks the community to audit.</w:t>
      </w:r>
    </w:p>
    <w:bookmarkEnd w:id="72"/>
    <w:bookmarkStart w:id="73" w:name="Xefa9b1bdc0f88570ee23c746bcff62e7b2bfc51"/>
    <w:p>
      <w:pPr>
        <w:pStyle w:val="Heading2"/>
        <w:spacing w:line="480" w:lineRule="auto"/>
      </w:pPr>
      <w:r>
        <w:t xml:space="preserve">2.4 Calibration, autonomy, and the trust problem</w:t>
      </w:r>
    </w:p>
    <w:p>
      <w:pPr>
        <w:pStyle w:val="FirstParagraph"/>
        <w:spacing w:line="480" w:lineRule="auto"/>
      </w:pPr>
      <w:r>
        <w:t xml:space="preserve">A recurring theme across the technical corpus is that calibration and autonomy raise a trust problem that cannot be answered by performance numbers alone. Sun-sensor calibration, surveyed systematically, turns out to be a field of many competing algorithms rather than a single settled method, which means a resilience claim about attitude timing inherits the uncertainty of whichever calibration path was chosen</w:t>
      </w:r>
      <w:r>
        <w:t xml:space="preserve"> </w:t>
      </w:r>
      <w:hyperlink w:anchor="ref-12">
        <w:r>
          <w:rPr>
            <w:rStyle w:val="Hyperlink"/>
          </w:rPr>
          <w:t xml:space="preserve">[12]</w:t>
        </w:r>
      </w:hyperlink>
      <w:r>
        <w:t xml:space="preserve">. The heterogeneity of calibration approaches is itself a governance-relevant fact: it means that two systems can both claim resilience while resting on different and non-comparable calibration assumptions.</w:t>
      </w:r>
    </w:p>
    <w:p>
      <w:pPr>
        <w:pStyle w:val="BodyText"/>
        <w:spacing w:line="480" w:lineRule="auto"/>
        <w:ind w:firstLine="720"/>
      </w:pPr>
      <w:r>
        <w:t xml:space="preserve">Autonomy makes the trust problem explicit. Building trust in human-machine teaming for autonomous space sensing is framed as a question of whether operators can rely on a system whose internal reasoning they cannot fully inspect</w:t>
      </w:r>
      <w:r>
        <w:t xml:space="preserve"> </w:t>
      </w:r>
      <w:hyperlink w:anchor="ref-4">
        <w:r>
          <w:rPr>
            <w:rStyle w:val="Hyperlink"/>
          </w:rPr>
          <w:t xml:space="preserve">[4]</w:t>
        </w:r>
      </w:hyperlink>
      <w:r>
        <w:t xml:space="preserve">. That framing generalizes directly to the dissertation’s object. A timing-resilience claim is a request for trust, and the literature on human-machine trust insists that such requests be backed by inspectable behavior rather than confident assertion. Agent-based and distributed approaches to space mission management raise the same demand at the architectural scale, because distributed autonomy multiplies the number of trust relationships that have to be justified</w:t>
      </w:r>
      <w:r>
        <w:t xml:space="preserve"> </w:t>
      </w:r>
      <w:hyperlink w:anchor="ref-13">
        <w:r>
          <w:rPr>
            <w:rStyle w:val="Hyperlink"/>
          </w:rPr>
          <w:t xml:space="preserve">[13]</w:t>
        </w:r>
      </w:hyperlink>
      <w:r>
        <w:t xml:space="preserve">. The through-line is consistent: the more autonomous and distributed the system, the more its claims need to be auditable, and timing claims are among the least audited.</w:t>
      </w:r>
    </w:p>
    <w:bookmarkEnd w:id="73"/>
    <w:bookmarkStart w:id="74" w:name="how-topics-gain-visibility-and-attention"/>
    <w:p>
      <w:pPr>
        <w:pStyle w:val="Heading2"/>
        <w:spacing w:line="480" w:lineRule="auto"/>
      </w:pPr>
      <w:r>
        <w:t xml:space="preserve">2.5 How topics gain visibility and attention</w:t>
      </w:r>
    </w:p>
    <w:p>
      <w:pPr>
        <w:pStyle w:val="FirstParagraph"/>
        <w:spacing w:line="480" w:lineRule="auto"/>
      </w:pPr>
      <w:r>
        <w:t xml:space="preserve">The second body of work concerns visibility. A topic that is becoming consequential tends to leave measurable traces in the publication record: it appears in more recent work, it attracts citation attention, and it concentrates in particular venue families. The traffic-management literature is instructive here, because space traffic management is a domain where governance language has been hardening in step with a growing technical evidence base</w:t>
      </w:r>
      <w:r>
        <w:t xml:space="preserve"> </w:t>
      </w:r>
      <w:hyperlink w:anchor="ref-6">
        <w:r>
          <w:rPr>
            <w:rStyle w:val="Hyperlink"/>
          </w:rPr>
          <w:t xml:space="preserve">[6]</w:t>
        </w:r>
      </w:hyperlink>
      <w:r>
        <w:t xml:space="preserve">. Reading that literature alongside the sensing corpus suggests a testable expectation. If timing resilience is following the same path, its signal should be structured across recency, attention, and venue rather than flat.</w:t>
      </w:r>
    </w:p>
    <w:p>
      <w:pPr>
        <w:pStyle w:val="BodyText"/>
        <w:spacing w:line="480" w:lineRule="auto"/>
        <w:ind w:firstLine="720"/>
      </w:pPr>
      <w:r>
        <w:t xml:space="preserve">Attention also accumulates unevenly over time, and the shape of that accumulation carries meaning. A field in which citation attention grows measurably with article age looks different from a field of isolated, uncited contributions. The distinction matters for governance because an accumulating evidence base can support a rule, whereas a scatter of anecdotes cannot. This is why the dissertation pairs a cross-sectional visibility screen with a temporal accumulation screen. The pairing is not decorative. It reflects a genuine ambiguity in how emergence shows up: sometimes as breadth across the current record, sometimes as depth accumulated over years.</w:t>
      </w:r>
    </w:p>
    <w:bookmarkEnd w:id="74"/>
    <w:bookmarkStart w:id="75" w:name="X2128690eec8316225a51800bd7100f8f2ffeca4"/>
    <w:p>
      <w:pPr>
        <w:pStyle w:val="Heading2"/>
        <w:spacing w:line="480" w:lineRule="auto"/>
      </w:pPr>
      <w:r>
        <w:t xml:space="preserve">2.5a What a learning-curve reading borrows from other fields</w:t>
      </w:r>
    </w:p>
    <w:p>
      <w:pPr>
        <w:pStyle w:val="FirstParagraph"/>
        <w:spacing w:line="480" w:lineRule="auto"/>
      </w:pPr>
      <w:r>
        <w:t xml:space="preserve">The temporal instrument this dissertation uses is a learning curve, and the choice reflects a borrowing from fields where accumulation is well studied. In manufacturing and technology, a learning curve describes how an outcome improves as a power function of cumulative experience, and the slope in log space is an elasticity that summarizes the rate of accumulation. Applying that form to citations is not a category error; it is a recognition that citation attention, like accumulated production, tends to grow multiplicatively with exposure rather than by a fixed increment each year. Older records have had more time to be found, cited, and built upon, and the learning-curve form captures that time dependence in a single interpretable parameter.</w:t>
      </w:r>
    </w:p>
    <w:p>
      <w:pPr>
        <w:pStyle w:val="BodyText"/>
        <w:spacing w:line="480" w:lineRule="auto"/>
        <w:ind w:firstLine="720"/>
      </w:pPr>
      <w:r>
        <w:t xml:space="preserve">The borrowing carries a caution that the sensing literature reinforces. Calibration studies warn repeatedly that a fitted parameter is only as trustworthy as the data behind it, and that a slope recovered from a few influential points is a fragile thing</w:t>
      </w:r>
      <w:r>
        <w:t xml:space="preserve"> </w:t>
      </w:r>
      <w:hyperlink w:anchor="ref-5">
        <w:r>
          <w:rPr>
            <w:rStyle w:val="Hyperlink"/>
          </w:rPr>
          <w:t xml:space="preserve">[5]</w:t>
        </w:r>
      </w:hyperlink>
      <w:r>
        <w:t xml:space="preserve">. A learning curve fit to a corpus in which most records are uncited and a handful of old ones carry all the attention will recover a slope, but the slope will be driven by those few points and will be estimated imprecisely. The literature on distributed and agent-based space systems makes an analogous point at the architectural level: a pattern that appears in aggregate can be an artifact of a few dominant nodes rather than a property of the whole</w:t>
      </w:r>
      <w:r>
        <w:t xml:space="preserve"> </w:t>
      </w:r>
      <w:hyperlink w:anchor="ref-13">
        <w:r>
          <w:rPr>
            <w:rStyle w:val="Hyperlink"/>
          </w:rPr>
          <w:t xml:space="preserve">[13]</w:t>
        </w:r>
      </w:hyperlink>
      <w:r>
        <w:t xml:space="preserve">. Reading the temporal model against these cautions is what lets Chapter 6 report a positive elasticity honestly while declining to call it established.</w:t>
      </w:r>
    </w:p>
    <w:bookmarkEnd w:id="75"/>
    <w:bookmarkStart w:id="76" w:name="Xbc58d332e30fb3fabeedc251d59e4f3643240c3"/>
    <w:p>
      <w:pPr>
        <w:pStyle w:val="Heading2"/>
        <w:spacing w:line="480" w:lineRule="auto"/>
      </w:pPr>
      <w:r>
        <w:t xml:space="preserve">2.5b The sociology of hardening governance language</w:t>
      </w:r>
    </w:p>
    <w:p>
      <w:pPr>
        <w:pStyle w:val="FirstParagraph"/>
        <w:spacing w:line="480" w:lineRule="auto"/>
      </w:pPr>
      <w:r>
        <w:t xml:space="preserve">There is a further strand worth drawing out, because it motivates why metadata structure should track emergence at all. Governance language in the space domain tends to harden as a technical evidence base thickens. Space traffic management is the clearest example: as the technical community accumulated methods and shared vocabulary, the surrounding policy language moved from loose aspiration toward more specific operating expectations</w:t>
      </w:r>
      <w:r>
        <w:t xml:space="preserve"> </w:t>
      </w:r>
      <w:hyperlink w:anchor="ref-6">
        <w:r>
          <w:rPr>
            <w:rStyle w:val="Hyperlink"/>
          </w:rPr>
          <w:t xml:space="preserve">[6]</w:t>
        </w:r>
      </w:hyperlink>
      <w:r>
        <w:t xml:space="preserve">. The mechanism is not mysterious. Institutions are reluctant to write firm rules around a concern that the technical record cannot yet support, and they become willing to do so as citations accumulate, methods stabilize, and venue families concentrate the conversation.</w:t>
      </w:r>
    </w:p>
    <w:p>
      <w:pPr>
        <w:pStyle w:val="BodyText"/>
        <w:spacing w:line="480" w:lineRule="auto"/>
        <w:ind w:firstLine="720"/>
      </w:pPr>
      <w:r>
        <w:t xml:space="preserve">If that mechanism holds for timing resilience, then the metadata of the surrounding literature is a leading indicator of governance readiness. A structured signal, newer work, gathering citations, concentrated venues, would suggest the concern is maturing toward the point where firm rules become writable. A flat signal would suggest the concern is still in the aspirational phase, where program language may assert resilience faster than the record can back it. This is why a bibliometric screen, which sounds far from governance, is in fact a governance instrument. It measures whether the evidentiary precondition for firm timing-resilience rules is present in the retained record</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Hardening rules follow thickening evidence. The metadata is the leading indicator.</w:t>
      </w:r>
    </w:p>
    <w:bookmarkEnd w:id="76"/>
    <w:bookmarkStart w:id="77" w:name="X6f358483b5775b642707c508904e0392739f625"/>
    <w:p>
      <w:pPr>
        <w:pStyle w:val="Heading2"/>
        <w:spacing w:line="480" w:lineRule="auto"/>
      </w:pPr>
      <w:r>
        <w:t xml:space="preserve">2.6 Adjacent domains and the boundary of the corpus</w:t>
      </w:r>
    </w:p>
    <w:p>
      <w:pPr>
        <w:pStyle w:val="FirstParagraph"/>
        <w:spacing w:line="480" w:lineRule="auto"/>
      </w:pPr>
      <w:r>
        <w:t xml:space="preserve">The corpus reaches slightly beyond core sensing to keep the venue-family variable meaningful. Work on intelligent swarms for magnetospheric studies and on distributed satellite systems for Earth observation shows how coordination and timing arguments migrate across mission types, which is why such records appear in the retained set even though their primary subject is not timing resilience per se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Their presence is deliberate. A visibility screen needs contrast: records that share vocabulary and coordination logic but differ in venue and emphasis. Even a study of variable-altitude aerobot control at Venus contributes to the contrast, because it demonstrates how planning and control claims are argued in a venue distinct from the situational-awareness community</w:t>
      </w:r>
      <w:r>
        <w:t xml:space="preserve"> </w:t>
      </w:r>
      <w:hyperlink w:anchor="ref-14">
        <w:r>
          <w:rPr>
            <w:rStyle w:val="Hyperlink"/>
          </w:rPr>
          <w:t xml:space="preserve">[14]</w:t>
        </w:r>
      </w:hyperlink>
      <w:r>
        <w:t xml:space="preserve">.</w:t>
      </w:r>
    </w:p>
    <w:p>
      <w:pPr>
        <w:pStyle w:val="BodyText"/>
        <w:spacing w:line="480" w:lineRule="auto"/>
        <w:ind w:firstLine="720"/>
      </w:pPr>
      <w:r>
        <w:t xml:space="preserve">Two boundary cautions follow. First, breadth of this kind strengthens a screen for structure but weakens any causal reading, because substance and venue become entangled. Second, some retained records are policy or architecture documents rather than peer-reviewed measurements, and their citation and recency behavior follows different conventions</w:t>
      </w:r>
      <w:r>
        <w:t xml:space="preserve"> </w:t>
      </w:r>
      <w:hyperlink w:anchor="ref-10">
        <w:r>
          <w:rPr>
            <w:rStyle w:val="Hyperlink"/>
          </w:rPr>
          <w:t xml:space="preserve">[10]</w:t>
        </w:r>
      </w:hyperlink>
      <w:r>
        <w:t xml:space="preserve">. The chapter names these cautions now so that Chapter 7 can weigh them rather than discover them.</w:t>
      </w:r>
    </w:p>
    <w:bookmarkEnd w:id="77"/>
    <w:bookmarkStart w:id="78" w:name="the-gap-this-dissertation-fills"/>
    <w:p>
      <w:pPr>
        <w:pStyle w:val="Heading2"/>
        <w:spacing w:line="480" w:lineRule="auto"/>
      </w:pPr>
      <w:r>
        <w:t xml:space="preserve">2.7 The gap this dissertation fills</w:t>
      </w:r>
    </w:p>
    <w:p>
      <w:pPr>
        <w:pStyle w:val="FirstParagraph"/>
        <w:spacing w:line="480" w:lineRule="auto"/>
      </w:pPr>
      <w:r>
        <w:t xml:space="preserve">The gap is not that anyone failed to study timing, or attention, or governance. It is that these are studied separately. The sensing literature measures timing behavior but does not ask whether the community’s resilience claims are evidentially structured</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visibility literature studies attention but rarely turns its instruments on a specific engineering claim</w:t>
      </w:r>
      <w:r>
        <w:t xml:space="preserve"> </w:t>
      </w:r>
      <w:hyperlink w:anchor="ref-6">
        <w:r>
          <w:rPr>
            <w:rStyle w:val="Hyperlink"/>
          </w:rPr>
          <w:t xml:space="preserve">[6]</w:t>
        </w:r>
      </w:hyperlink>
      <w:r>
        <w:t xml:space="preserve">. This dissertation joins the two. It treats the retrieved timing-resilience corpus as data, constructs a topic-signal score and a citation-accumulation measure from observable metadata, and tests whether the signal is structured. That join is the contribution. It converts a diffuse professional intuition, that timing resilience is becoming a governed concern, into a pair of falsifiable estimator outputs that a reader can inspect against the underlying records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78"/>
    <w:bookmarkStart w:id="79" w:name="how-this-review-shapes-the-design"/>
    <w:p>
      <w:pPr>
        <w:pStyle w:val="Heading2"/>
        <w:spacing w:line="480" w:lineRule="auto"/>
      </w:pPr>
      <w:r>
        <w:t xml:space="preserve">2.8 How this review shapes the design</w:t>
      </w:r>
    </w:p>
    <w:p>
      <w:pPr>
        <w:pStyle w:val="FirstParagraph"/>
        <w:spacing w:line="480" w:lineRule="auto"/>
      </w:pPr>
      <w:r>
        <w:t xml:space="preserve">Reading the two bodies of work together does more than establish a gap; it dictates specific design choices that later chapters implement. Three of them are worth stating here so the connection between literature and method is explicit.</w:t>
      </w:r>
    </w:p>
    <w:p>
      <w:pPr>
        <w:pStyle w:val="BodyText"/>
        <w:spacing w:line="480" w:lineRule="auto"/>
        <w:ind w:firstLine="720"/>
      </w:pPr>
      <w:r>
        <w:t xml:space="preserve">The first choice is to measure breadth and depth separately. The sensing and curation literature shows that a topic can be widely present without being deeply cited, and the accumulation literature shows that depth is a distinct property that grows over time</w:t>
      </w:r>
      <w:r>
        <w:t xml:space="preserve"> </w:t>
      </w:r>
      <w:hyperlink w:anchor="ref-2">
        <w:r>
          <w:rPr>
            <w:rStyle w:val="Hyperlink"/>
          </w:rPr>
          <w:t xml:space="preserve">[2]</w:t>
        </w:r>
      </w:hyperlink>
      <w:r>
        <w:t xml:space="preserve"> </w:t>
      </w:r>
      <w:hyperlink w:anchor="ref-6">
        <w:r>
          <w:rPr>
            <w:rStyle w:val="Hyperlink"/>
          </w:rPr>
          <w:t xml:space="preserve">[6]</w:t>
        </w:r>
      </w:hyperlink>
      <w:r>
        <w:t xml:space="preserve">. A single index that mixed the two would blur exactly the distinction that carries governance meaning, so the design uses one model for cross-sectional structure and a separate model for temporal accumulation. The review is what justifies the two-model structure rather than a single combined regression.</w:t>
      </w:r>
    </w:p>
    <w:p>
      <w:pPr>
        <w:pStyle w:val="BodyText"/>
        <w:spacing w:line="480" w:lineRule="auto"/>
        <w:ind w:firstLine="720"/>
      </w:pPr>
      <w:r>
        <w:t xml:space="preserve">The second choice is to treat venue family as a variable rather than a nuisance to be dropped. The literature spans conference proceedings, an archival journal, and policy documents, and those families differ in indexing, length, and citation convention</w:t>
      </w:r>
      <w:r>
        <w:t xml:space="preserve"> </w:t>
      </w:r>
      <w:hyperlink w:anchor="ref-5">
        <w:r>
          <w:rPr>
            <w:rStyle w:val="Hyperlink"/>
          </w:rPr>
          <w:t xml:space="preserve">[5]</w:t>
        </w:r>
      </w:hyperlink>
      <w:r>
        <w:t xml:space="preserve"> </w:t>
      </w:r>
      <w:hyperlink w:anchor="ref-10">
        <w:r>
          <w:rPr>
            <w:rStyle w:val="Hyperlink"/>
          </w:rPr>
          <w:t xml:space="preserve">[10]</w:t>
        </w:r>
      </w:hyperlink>
      <w:r>
        <w:t xml:space="preserve">. Rather than restrict the corpus to a single family and lose the contrast, the design retains all three and codes venue ordinally, accepting that the resulting coefficient will require careful, partly non-substantive interpretation. The review anticipates that the venue coefficient will be the most likely result to be misread, and the discussion chapter is built to handle it.</w:t>
      </w:r>
    </w:p>
    <w:p>
      <w:pPr>
        <w:pStyle w:val="BodyText"/>
        <w:spacing w:line="480" w:lineRule="auto"/>
        <w:ind w:firstLine="720"/>
      </w:pPr>
      <w:r>
        <w:t xml:space="preserve">The third choice is conservatism in inference. Every strand of the sensing literature insists that claims be backed by inspectable behavior and that fitted parameters not outrun their data</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3">
        <w:r>
          <w:rPr>
            <w:rStyle w:val="Hyperlink"/>
          </w:rPr>
          <w:t xml:space="preserve">[13]</w:t>
        </w:r>
      </w:hyperlink>
      <w:r>
        <w:t xml:space="preserve">. That insistence, applied reflexively to the dissertation’s own estimates, argues for robust standard errors, for reporting full models rather than cherry-picked terms, and for reading imprecise coefficients as evidence about limits. The review does not merely motivate the study; it sets the evidentiary standard the study holds itself to.</w:t>
      </w:r>
    </w:p>
    <w:bookmarkEnd w:id="79"/>
    <w:bookmarkStart w:id="80" w:name="X51843dd56724a090f0f7806d76b7cc5a6507bb4"/>
    <w:p>
      <w:pPr>
        <w:pStyle w:val="Heading2"/>
        <w:spacing w:line="480" w:lineRule="auto"/>
      </w:pPr>
      <w:r>
        <w:t xml:space="preserve">2.9 What the corpus is not, and why that matters</w:t>
      </w:r>
    </w:p>
    <w:p>
      <w:pPr>
        <w:pStyle w:val="FirstParagraph"/>
        <w:spacing w:line="480" w:lineRule="auto"/>
      </w:pPr>
      <w:r>
        <w:t xml:space="preserve">A literature review should be as clear about what it excludes as about what it includes. This corpus is not a comprehensive census of timing engineering; it does not reach into the metrology literature on oscillator stability, the signal-processing literature on holdover algorithms, or the standards documents that specify timing performance for particular systems. It is a retained pack scoped to the space situational awareness neighborhood and its governance edges</w:t>
      </w:r>
      <w:r>
        <w:t xml:space="preserve"> </w:t>
      </w:r>
      <w:hyperlink w:anchor="ref-1">
        <w:r>
          <w:rPr>
            <w:rStyle w:val="Hyperlink"/>
          </w:rPr>
          <w:t xml:space="preserve">[1]</w:t>
        </w:r>
      </w:hyperlink>
      <w:r>
        <w:t xml:space="preserve"> </w:t>
      </w:r>
      <w:hyperlink w:anchor="ref-7">
        <w:r>
          <w:rPr>
            <w:rStyle w:val="Hyperlink"/>
          </w:rPr>
          <w:t xml:space="preserve">[7]</w:t>
        </w:r>
      </w:hyperlink>
      <w:r>
        <w:t xml:space="preserve">. That scoping is a deliberate limitation, and reading it honestly is part of the review’s job. The screen that follows can speak to the visibility of timing resilience within this neighborhood, not to the maturity of timing engineering writ large.</w:t>
      </w:r>
    </w:p>
    <w:p>
      <w:pPr>
        <w:pStyle w:val="BodyText"/>
        <w:spacing w:line="480" w:lineRule="auto"/>
        <w:ind w:firstLine="720"/>
      </w:pPr>
      <w:r>
        <w:t xml:space="preserve">The exclusion has an upside worth naming. By staying inside the situational-awareness neighborhood, the corpus keeps its records comparable enough for a venue-family variable to mean something and for a topic-signal score to be counted on a common footing</w:t>
      </w:r>
      <w:r>
        <w:t xml:space="preserve"> </w:t>
      </w:r>
      <w:hyperlink w:anchor="ref-2">
        <w:r>
          <w:rPr>
            <w:rStyle w:val="Hyperlink"/>
          </w:rPr>
          <w:t xml:space="preserve">[2]</w:t>
        </w:r>
      </w:hyperlink>
      <w:r>
        <w:t xml:space="preserve">. A corpus that reached into metrology and standards would be richer but far less comparable, and its heterogeneity would swamp the modest signal a thirty-record screen can detect. The review therefore frames the corpus boundary as a considered trade between reach and comparability, one that the results and discussion chapters revisit when they weigh how far the findings generalize</w:t>
      </w:r>
      <w:r>
        <w:t xml:space="preserve"> </w:t>
      </w:r>
      <w:hyperlink w:anchor="ref-6">
        <w:r>
          <w:rPr>
            <w:rStyle w:val="Hyperlink"/>
          </w:rPr>
          <w:t xml:space="preserve">[6]</w:t>
        </w:r>
      </w:hyperlink>
      <w:r>
        <w:t xml:space="preserve">.</w:t>
      </w:r>
    </w:p>
    <w:bookmarkEnd w:id="80"/>
    <w:bookmarkStart w:id="81" w:name="the-through-line"/>
    <w:p>
      <w:pPr>
        <w:pStyle w:val="Heading2"/>
        <w:spacing w:line="480" w:lineRule="auto"/>
      </w:pPr>
      <w:r>
        <w:t xml:space="preserve">2.10 The through-line</w:t>
      </w:r>
    </w:p>
    <w:p>
      <w:pPr>
        <w:pStyle w:val="FirstParagraph"/>
        <w:spacing w:line="480" w:lineRule="auto"/>
      </w:pPr>
      <w:r>
        <w:t xml:space="preserve">Reading the two bodies of work together produces a single through-line that the rest of the manuscript follows. Timing is the hidden dependency of every fused space-observation product; the field is federating in ways that multiply dependence on timing claims no single actor controls; those claims request trust; and trust in the space domain is supposed to be earned through inspectable evidence rather than confident language</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visibility literature supplies the instruments to ask whether that evidence has accumulated. Joining the two, applying visibility instruments to a specific engineering claim, is the move no prior work in this corpus makes, and it is the move this dissertation is built to make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81"/>
    <w:bookmarkEnd w:id="82"/>
    <w:bookmarkStart w:id="95"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theory earns its place by telling you, in advance, what each possible result would mean. This chapter builds a small mechanism for how a technical topic becomes visible in its own literature, then derives from it the specific predictions the two estimators will test. The mechanism is deliberately spare. It has to connect an intuition about emergence to coefficients that a thirty-row corpus can actually deliver, and it has to say what a null result would teach as clearly as it says what a positive result would.</w:t>
      </w:r>
    </w:p>
    <w:bookmarkStart w:id="83" w:name="the-mechanism-of-documentary-emergence"/>
    <w:p>
      <w:pPr>
        <w:pStyle w:val="Heading2"/>
        <w:spacing w:line="480" w:lineRule="auto"/>
      </w:pPr>
      <w:r>
        <w:t xml:space="preserve">3.1 The mechanism of documentary emergence</w:t>
      </w:r>
    </w:p>
    <w:p>
      <w:pPr>
        <w:pStyle w:val="FirstParagraph"/>
        <w:spacing w:line="480" w:lineRule="auto"/>
      </w:pPr>
      <w:r>
        <w:t xml:space="preserve">Begin with a claim about how consequential topics behave in a research record. When a technical concern moves from an isolated worry to a governed problem, three things tend to happen together. Newer work appears, because the concern is being actively pursued rather than settled or abandoned. Citation attention gathers, because contributions start referencing one another and building a shared base. And the conversation concentrates in venue families whose norms fit the concern, because communities of practice route their work through the outlets that reward it</w:t>
      </w:r>
      <w:r>
        <w:t xml:space="preserve"> </w:t>
      </w:r>
      <w:hyperlink w:anchor="ref-2">
        <w:r>
          <w:rPr>
            <w:rStyle w:val="Hyperlink"/>
          </w:rPr>
          <w:t xml:space="preserve">[2]</w:t>
        </w:r>
      </w:hyperlink>
      <w:r>
        <w:t xml:space="preserve"> </w:t>
      </w:r>
      <w:hyperlink w:anchor="ref-6">
        <w:r>
          <w:rPr>
            <w:rStyle w:val="Hyperlink"/>
          </w:rPr>
          <w:t xml:space="preserve">[6]</w:t>
        </w:r>
      </w:hyperlink>
      <w:r>
        <w:t xml:space="preserve">. None of these is guaranteed, and none is sufficient alone. Together they form a signature of emergence that is, in principle, visible in metadata.</w:t>
      </w:r>
    </w:p>
    <w:p>
      <w:pPr>
        <w:pStyle w:val="BodyText"/>
        <w:spacing w:line="480" w:lineRule="auto"/>
        <w:ind w:firstLine="720"/>
      </w:pPr>
      <w:r>
        <w:t xml:space="preserve">Timing resilience is a plausible candidate for this signature. The engineering community is actively building the subsystems whose claims are at issue, from heterogeneous small-satellite clock ensembles to autonomous sensing architectures that presuppose synchronized time</w:t>
      </w:r>
      <w:r>
        <w:t xml:space="preserve"> </w:t>
      </w:r>
      <w:hyperlink w:anchor="ref-9">
        <w:r>
          <w:rPr>
            <w:rStyle w:val="Hyperlink"/>
          </w:rPr>
          <w:t xml:space="preserve">[9]</w:t>
        </w:r>
      </w:hyperlink>
      <w:r>
        <w:t xml:space="preserve"> </w:t>
      </w:r>
      <w:hyperlink w:anchor="ref-4">
        <w:r>
          <w:rPr>
            <w:rStyle w:val="Hyperlink"/>
          </w:rPr>
          <w:t xml:space="preserve">[4]</w:t>
        </w:r>
      </w:hyperlink>
      <w:r>
        <w:t xml:space="preserve">. If the topic is genuinely emerging as a governed concern, the mechanism predicts structure. If instead the topic is being asserted in program language faster than it is being evidenced in the literature, the mechanism predicts the opposite: a flat, noisy metadata field in which recency, attention, and venue carry little systematic relationship to how strongly a record speaks to the topic.</w:t>
      </w:r>
    </w:p>
    <w:bookmarkEnd w:id="83"/>
    <w:bookmarkStart w:id="84" w:name="two-faces-of-emergence-breadth-and-depth"/>
    <w:p>
      <w:pPr>
        <w:pStyle w:val="Heading2"/>
        <w:spacing w:line="480" w:lineRule="auto"/>
      </w:pPr>
      <w:r>
        <w:t xml:space="preserve">3.2 Two faces of emergence: breadth and depth</w:t>
      </w:r>
    </w:p>
    <w:p>
      <w:pPr>
        <w:pStyle w:val="FirstParagraph"/>
        <w:spacing w:line="480" w:lineRule="auto"/>
      </w:pPr>
      <w:r>
        <w:t xml:space="preserve">The mechanism has two faces, and they can diverge. One face is cross-sectional breadth. At a given moment, the records that speak most strongly to the topic might be systematically newer, more cited, or concentrated in a particular venue family. This is a statement about the shape of the current record. The other face is temporal depth. Over time, citation attention might accumulate in a measurable curve, so that older records carry more accumulated attention in a lawful way rather than at random. This is a statement about how the record grows.</w:t>
      </w:r>
    </w:p>
    <w:p>
      <w:pPr>
        <w:pStyle w:val="BodyText"/>
        <w:spacing w:line="480" w:lineRule="auto"/>
        <w:ind w:firstLine="720"/>
      </w:pPr>
      <w:r>
        <w:t xml:space="preserve">These faces need not agree, and the divergence is informative rather than embarrassing. A topic can be broad but shallow: many recent records, little accumulated citation depth, consistent with a burst of new interest that has not yet matured. A topic can be narrow but deep: few records, but a lawful accumulation of attention on the older ones, consistent with a small, slowly maturing field. Because breadth and depth carry different governance meanings, the design measures each with its own instrument rather than collapsing them into one number.</w:t>
      </w:r>
    </w:p>
    <w:bookmarkEnd w:id="84"/>
    <w:bookmarkStart w:id="85" w:name="hypothesis-1-cross-sectional-structure"/>
    <w:p>
      <w:pPr>
        <w:pStyle w:val="Heading2"/>
        <w:spacing w:line="480" w:lineRule="auto"/>
      </w:pPr>
      <w:r>
        <w:t xml:space="preserve">3.3 Hypothesis 1: cross-sectional structure</w:t>
      </w:r>
    </w:p>
    <w:p>
      <w:pPr>
        <w:pStyle w:val="FirstParagraph"/>
        <w:spacing w:line="480" w:lineRule="auto"/>
      </w:pPr>
      <w:r>
        <w:t xml:space="preserve">The first instrument is a cross-sectional model of topic-signal intensity. The outcome is a deterministic signal score built from candidate-theme term hits across each record’s title, snippet, keyword field, and author metadata. The predictors are a recency index, a reported citation count, and an ordinal venue-family score. The mechanism of breadth yields a directional expectation: if the topic is emerging, records that speak strongly to it should tend to be newer and to carry more citation attention, so the recency and citation coefficients should be positive.</w:t>
      </w:r>
    </w:p>
    <w:p>
      <w:pPr>
        <w:pStyle w:val="BodyText"/>
        <w:spacing w:line="480" w:lineRule="auto"/>
        <w:ind w:firstLine="720"/>
      </w:pPr>
      <w:r>
        <w:t xml:space="preserve">H1a (null): topic-signal intensity is unrelated to publication recency, citation attention, and venue family in the retrieved corpus.</w:t>
      </w:r>
    </w:p>
    <w:p>
      <w:pPr>
        <w:pStyle w:val="BodyText"/>
        <w:spacing w:line="480" w:lineRule="auto"/>
        <w:ind w:firstLine="720"/>
      </w:pPr>
      <w:r>
        <w:t xml:space="preserve">H1b (alternative): topic-signal intensity is systematically related to at least one of recency, citation attention, or venue family; under the emergence reading, recency and citation attention carry positive coefficients.</w:t>
      </w:r>
    </w:p>
    <w:p>
      <w:pPr>
        <w:pStyle w:val="BodyText"/>
        <w:spacing w:line="480" w:lineRule="auto"/>
        <w:ind w:firstLine="720"/>
      </w:pPr>
      <w:r>
        <w:t xml:space="preserve">Venue family enters as a control with a weaker prior. The corpus spans conference proceedings, an archival journal, and a small policy and architecture set, coded ordinally</w:t>
      </w:r>
      <w:r>
        <w:t xml:space="preserve"> </w:t>
      </w:r>
      <w:hyperlink w:anchor="ref-3">
        <w:r>
          <w:rPr>
            <w:rStyle w:val="Hyperlink"/>
          </w:rPr>
          <w:t xml:space="preserve">[3]</w:t>
        </w:r>
      </w:hyperlink>
      <w:r>
        <w:t xml:space="preserve"> </w:t>
      </w:r>
      <w:hyperlink w:anchor="ref-10">
        <w:r>
          <w:rPr>
            <w:rStyle w:val="Hyperlink"/>
          </w:rPr>
          <w:t xml:space="preserve">[10]</w:t>
        </w:r>
      </w:hyperlink>
      <w:r>
        <w:t xml:space="preserve">. A venue coefficient could reflect substantive concentration, or it could merely reflect the different length, indexing, and citation conventions of each venue family. The theory therefore treats a venue effect as ambiguous evidence to be interpreted with care rather than as a clean confirmation of emergence.</w:t>
      </w:r>
    </w:p>
    <w:bookmarkEnd w:id="85"/>
    <w:bookmarkStart w:id="86" w:name="hypothesis-2-temporal-accumulation"/>
    <w:p>
      <w:pPr>
        <w:pStyle w:val="Heading2"/>
        <w:spacing w:line="480" w:lineRule="auto"/>
      </w:pPr>
      <w:r>
        <w:t xml:space="preserve">3.4 Hypothesis 2: temporal accumulation</w:t>
      </w:r>
    </w:p>
    <w:p>
      <w:pPr>
        <w:pStyle w:val="FirstParagraph"/>
        <w:spacing w:line="480" w:lineRule="auto"/>
      </w:pPr>
      <w:r>
        <w:t xml:space="preserve">The second instrument is a learning-curve model of citation accumulation against article age. The outcome is the reported citation count plus one, log-transformed so that uncited records remain defined. The single predictor is the log of an age index. The learning-curve form is borrowed from the study of processes that improve or accumulate with experience, and it is apt here because citation attention, like accumulated production, plausibly grows as a power function of exposure time rather than linearly.</w:t>
      </w:r>
    </w:p>
    <w:p>
      <w:pPr>
        <w:pStyle w:val="BodyText"/>
        <w:spacing w:line="480" w:lineRule="auto"/>
        <w:ind w:firstLine="720"/>
      </w:pPr>
      <w:r>
        <w:t xml:space="preserve">H2a (null): citation accumulation is unrelated to article age in the retrieved topic literature.</w:t>
      </w:r>
    </w:p>
    <w:p>
      <w:pPr>
        <w:pStyle w:val="BodyText"/>
        <w:spacing w:line="480" w:lineRule="auto"/>
        <w:ind w:firstLine="720"/>
      </w:pPr>
      <w:r>
        <w:t xml:space="preserve">H2b (alternative): citation accumulation follows a measurable age-based curve, with a positive elasticity of citations with respect to age.</w:t>
      </w:r>
    </w:p>
    <w:p>
      <w:pPr>
        <w:pStyle w:val="BodyText"/>
        <w:spacing w:line="480" w:lineRule="auto"/>
        <w:ind w:firstLine="720"/>
      </w:pPr>
      <w:r>
        <w:t xml:space="preserve">A positive elasticity would say that older records have lawfully accumulated more attention, the depth face of emergence. An elasticity indistinguishable from zero would say that attention in this corpus is not organized by age, which for a small and heterogeneous set would be unsurprising and would itself be a finding about the limits of the record</w:t>
      </w:r>
      <w:r>
        <w:t xml:space="preserve"> </w:t>
      </w:r>
      <w:hyperlink w:anchor="ref-2">
        <w:r>
          <w:rPr>
            <w:rStyle w:val="Hyperlink"/>
          </w:rPr>
          <w:t xml:space="preserve">[2]</w:t>
        </w:r>
      </w:hyperlink>
      <w:r>
        <w:t xml:space="preserve">.</w:t>
      </w:r>
    </w:p>
    <w:bookmarkEnd w:id="86"/>
    <w:bookmarkStart w:id="87" w:name="X5706b1a5b0fa0ae39e1ed1e9ad18dfc7298a9a0"/>
    <w:p>
      <w:pPr>
        <w:pStyle w:val="Heading2"/>
        <w:spacing w:line="480" w:lineRule="auto"/>
      </w:pPr>
      <w:r>
        <w:t xml:space="preserve">3.4a The signal score as a theoretical object</w:t>
      </w:r>
    </w:p>
    <w:p>
      <w:pPr>
        <w:pStyle w:val="FirstParagraph"/>
        <w:spacing w:line="480" w:lineRule="auto"/>
      </w:pPr>
      <w:r>
        <w:t xml:space="preserve">Before turning to rivals, the theory has to say what the topic-signal score represents, because the outcome variable is not given by nature. The score counts how strongly a record’s observable metadata engages the candidate theme. Theoretically, it is a proxy for the record’s topical centrality: how much a source is about GNSS-disciplined timing resilience rather than merely adjacent to it. A record that names timing, GNSS, resilience, and calibration across its title, snippet, keywords, and authors is more central to the topic than one that touches the theme only in passing</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Treating the score as a centrality proxy has a consequence the theory must own. Centrality and metadata richness are entangled: a record can score low either because it is peripheral to the topic or because it exposes little scoreable metadata</w:t>
      </w:r>
      <w:r>
        <w:t xml:space="preserve"> </w:t>
      </w:r>
      <w:hyperlink w:anchor="ref-10">
        <w:r>
          <w:rPr>
            <w:rStyle w:val="Hyperlink"/>
          </w:rPr>
          <w:t xml:space="preserve">[10]</w:t>
        </w:r>
      </w:hyperlink>
      <w:r>
        <w:t xml:space="preserve">. The mechanism of emergence predicts that genuinely central records will cluster in newer, more-cited, concentrated venues. The rival of metadata availability predicts a spurious venue gradient driven by how much text each family exposes. The theory therefore builds in an expectation that the venue coefficient will be the hardest term to interpret, and it commits in advance to reading a venue effect as ambiguous rather than as clean confirmation. This is not a retrofit added after seeing results. It is a prediction the framework makes before the estimator runs.</w:t>
      </w:r>
    </w:p>
    <w:bookmarkEnd w:id="87"/>
    <w:bookmarkStart w:id="88" w:name="X3ac550e754bf5f65d267566307cec418cfae7f0"/>
    <w:p>
      <w:pPr>
        <w:pStyle w:val="Heading2"/>
        <w:spacing w:line="480" w:lineRule="auto"/>
      </w:pPr>
      <w:r>
        <w:t xml:space="preserve">3.4b Why a directional prior on recency and citations</w:t>
      </w:r>
    </w:p>
    <w:p>
      <w:pPr>
        <w:pStyle w:val="FirstParagraph"/>
        <w:spacing w:line="480" w:lineRule="auto"/>
      </w:pPr>
      <w:r>
        <w:t xml:space="preserve">The framework attaches a directional prior to recency and citations but not to venue, and the asymmetry is principled. Emergence, if real, means the topic is being actively pursued, so the records most central to it should skew newer: active pursuit produces recent work</w:t>
      </w:r>
      <w:r>
        <w:t xml:space="preserve"> </w:t>
      </w:r>
      <w:hyperlink w:anchor="ref-6">
        <w:r>
          <w:rPr>
            <w:rStyle w:val="Hyperlink"/>
          </w:rPr>
          <w:t xml:space="preserve">[6]</w:t>
        </w:r>
      </w:hyperlink>
      <w:r>
        <w:t xml:space="preserve">. Emergence also means contributions reference one another, so central records should attract citation attention as the base builds</w:t>
      </w:r>
      <w:r>
        <w:t xml:space="preserve"> </w:t>
      </w:r>
      <w:hyperlink w:anchor="ref-2">
        <w:r>
          <w:rPr>
            <w:rStyle w:val="Hyperlink"/>
          </w:rPr>
          <w:t xml:space="preserve">[2]</w:t>
        </w:r>
      </w:hyperlink>
      <w:r>
        <w:t xml:space="preserve">. Both priors point positive. Venue, by contrast, has no clean directional prior under emergence, because the ordinal scale mixes substantive concentration with publication convention. A negative venue coefficient could mean the topic concentrates in the conference community, or it could mean the higher-coded families simply expose less metadata. The theory refuses to assign a hopeful direction to a term it cannot cleanly interpret.</w:t>
      </w:r>
    </w:p>
    <w:p>
      <w:pPr>
        <w:pStyle w:val="BodyText"/>
        <w:spacing w:line="480" w:lineRule="auto"/>
        <w:ind w:firstLine="720"/>
      </w:pPr>
      <w:r>
        <w:t xml:space="preserve">This asymmetry matters for how the results are read. A positive but insignificant recency coefficient is consistent with the directional prior and counts as weak, non-decisive support for the breadth reading. A precise venue coefficient, whatever its sign, does not count as confirmation of emergence, because the framework never predicted a clean venue direction. Setting these expectations in advance is what keeps the eventual interpretation from bending to whichever coefficient happens to reach significance.</w:t>
      </w:r>
    </w:p>
    <w:p>
      <w:pPr>
        <w:pStyle w:val="BodyText"/>
        <w:spacing w:line="480" w:lineRule="auto"/>
        <w:ind w:firstLine="720"/>
      </w:pPr>
      <w:r>
        <w:t xml:space="preserve">The priors are fixed in advance. That fixity is what makes the test a test.</w:t>
      </w:r>
    </w:p>
    <w:bookmarkEnd w:id="88"/>
    <w:bookmarkStart w:id="89" w:name="rival-explanations-taken-seriously"/>
    <w:p>
      <w:pPr>
        <w:pStyle w:val="Heading2"/>
        <w:spacing w:line="480" w:lineRule="auto"/>
      </w:pPr>
      <w:r>
        <w:t xml:space="preserve">3.5 Rival explanations, taken seriously</w:t>
      </w:r>
    </w:p>
    <w:p>
      <w:pPr>
        <w:pStyle w:val="FirstParagraph"/>
        <w:spacing w:line="480" w:lineRule="auto"/>
      </w:pPr>
      <w:r>
        <w:t xml:space="preserve">A responsible framework names the ways it could be fooled and refuses to wish them away. Four rivals stand out. A venue effect might capture publication practice rather than substantive importance, since conference and journal records differ in how they are indexed and cited</w:t>
      </w:r>
      <w:r>
        <w:t xml:space="preserve"> </w:t>
      </w:r>
      <w:hyperlink w:anchor="ref-5">
        <w:r>
          <w:rPr>
            <w:rStyle w:val="Hyperlink"/>
          </w:rPr>
          <w:t xml:space="preserve">[5]</w:t>
        </w:r>
      </w:hyperlink>
      <w:r>
        <w:t xml:space="preserve">. A citation-age artifact might make older records look more attended simply because they have had more time, independent of any topic-specific dynamic. A coverage artifact might arise because the local index reports citation counts unevenly, so that a zero is sometimes a true zero and sometimes a missing value</w:t>
      </w:r>
      <w:r>
        <w:t xml:space="preserve"> </w:t>
      </w:r>
      <w:hyperlink w:anchor="ref-2">
        <w:r>
          <w:rPr>
            <w:rStyle w:val="Hyperlink"/>
          </w:rPr>
          <w:t xml:space="preserve">[2]</w:t>
        </w:r>
      </w:hyperlink>
      <w:r>
        <w:t xml:space="preserve">. And a metadata-availability artifact might shape the signal score itself, because records with richer titles and keyword fields offer more surface for theme terms to hit.</w:t>
      </w:r>
    </w:p>
    <w:p>
      <w:pPr>
        <w:pStyle w:val="BodyText"/>
        <w:spacing w:line="480" w:lineRule="auto"/>
        <w:ind w:firstLine="720"/>
      </w:pPr>
      <w:r>
        <w:t xml:space="preserve">Each rival is a reason to prefer conservative inference. Robust standard errors guard against the heteroskedasticity that a heterogeneous corpus invites. Reporting the full model, not only the significant terms, prevents the selective reading that a rival could exploit. And treating an imprecise coefficient as genuine evidence about the record, rather than as a failed search for significance, keeps the framework honest whichever way the numbers fall</w:t>
      </w:r>
      <w:r>
        <w:t xml:space="preserve"> </w:t>
      </w:r>
      <w:hyperlink w:anchor="ref-4">
        <w:r>
          <w:rPr>
            <w:rStyle w:val="Hyperlink"/>
          </w:rPr>
          <w:t xml:space="preserve">[4]</w:t>
        </w:r>
      </w:hyperlink>
      <w:r>
        <w:t xml:space="preserve">.</w:t>
      </w:r>
    </w:p>
    <w:bookmarkEnd w:id="89"/>
    <w:bookmarkStart w:id="90" w:name="the-evidence-ladder"/>
    <w:p>
      <w:pPr>
        <w:pStyle w:val="Heading2"/>
        <w:spacing w:line="480" w:lineRule="auto"/>
      </w:pPr>
      <w:r>
        <w:t xml:space="preserve">3.6 The evidence ladder</w:t>
      </w:r>
    </w:p>
    <w:p>
      <w:pPr>
        <w:pStyle w:val="FirstParagraph"/>
        <w:spacing w:line="480" w:lineRule="auto"/>
      </w:pPr>
      <w:r>
        <w:t xml:space="preserve">The framework yields a three-rung ladder for reading results, and every rung is a legitimate rest. A precise, correctly signed coefficient supports an association inside the retained corpus, consistent with emergence. A stable overall fit supports the use of the corpus as a measurement base even where individual terms are noisy. And a weak or imprecise coefficient supports a bounded, negative claim: the available evidence cannot, on its own, sustain a strong statement of emergence for that dimension. The third rung is not failure. For a topic whose program claims may be running ahead of its evidence, a well-characterized null is exactly the kind of finding a governance reader needs</w:t>
      </w:r>
      <w:r>
        <w:t xml:space="preserve"> </w:t>
      </w:r>
      <w:hyperlink w:anchor="ref-6">
        <w:r>
          <w:rPr>
            <w:rStyle w:val="Hyperlink"/>
          </w:rPr>
          <w:t xml:space="preserve">[6]</w:t>
        </w:r>
      </w:hyperlink>
      <w:r>
        <w:t xml:space="preserve"> </w:t>
      </w:r>
      <w:hyperlink w:anchor="ref-13">
        <w:r>
          <w:rPr>
            <w:rStyle w:val="Hyperlink"/>
          </w:rPr>
          <w:t xml:space="preserve">[13]</w:t>
        </w:r>
      </w:hyperlink>
      <w:r>
        <w:t xml:space="preserve">. The chapters that follow hold the interpretation to this ladder and to the source trail beneath it.</w:t>
      </w:r>
    </w:p>
    <w:bookmarkEnd w:id="90"/>
    <w:bookmarkStart w:id="91" w:name="X8603795ea012ca2c6b43afeb21e652426ffa4a4"/>
    <w:p>
      <w:pPr>
        <w:pStyle w:val="Heading2"/>
        <w:spacing w:line="480" w:lineRule="auto"/>
      </w:pPr>
      <w:r>
        <w:t xml:space="preserve">3.7 Connecting the mechanism to specific coefficients</w:t>
      </w:r>
    </w:p>
    <w:p>
      <w:pPr>
        <w:pStyle w:val="FirstParagraph"/>
        <w:spacing w:line="480" w:lineRule="auto"/>
      </w:pPr>
      <w:r>
        <w:t xml:space="preserve">A theory that only gestured at emergence would be too loose to test. This framework commits to specific mappings between the mechanism and the numbers the estimators will produce, so that a reader can check whether the mechanism survived contact with the data. Three mappings anchor the commitment.</w:t>
      </w:r>
    </w:p>
    <w:p>
      <w:pPr>
        <w:pStyle w:val="BodyText"/>
        <w:spacing w:line="480" w:lineRule="auto"/>
        <w:ind w:firstLine="720"/>
      </w:pPr>
      <w:r>
        <w:t xml:space="preserve">Under the breadth mechanism, the recency coefficient in the first model should be positive and, if the topic is strongly emerging, distinguishable from zero. A positive sign that fails to reach significance is partial support: the direction is right, the strength is absent. A negative sign would actively contradict the breadth reading, because it would say that the records most central to the topic are systematically older, the signature of a settled or receding concern rather than an emerging one</w:t>
      </w:r>
      <w:r>
        <w:t xml:space="preserve"> </w:t>
      </w:r>
      <w:hyperlink w:anchor="ref-6">
        <w:r>
          <w:rPr>
            <w:rStyle w:val="Hyperlink"/>
          </w:rPr>
          <w:t xml:space="preserve">[6]</w:t>
        </w:r>
      </w:hyperlink>
      <w:r>
        <w:t xml:space="preserve">. The framework thus stakes a falsifiable directional claim on a single term.</w:t>
      </w:r>
    </w:p>
    <w:p>
      <w:pPr>
        <w:pStyle w:val="BodyText"/>
        <w:spacing w:line="480" w:lineRule="auto"/>
        <w:ind w:firstLine="720"/>
      </w:pPr>
      <w:r>
        <w:t xml:space="preserve">Under the same mechanism, the citation coefficient should be positive if central records are attracting the attention that a building evidence base implies. Here the framework is more cautious about magnitude, because the citation proxy is known to be sparse and unevenly reported</w:t>
      </w:r>
      <w:r>
        <w:t xml:space="preserve"> </w:t>
      </w:r>
      <w:hyperlink w:anchor="ref-2">
        <w:r>
          <w:rPr>
            <w:rStyle w:val="Hyperlink"/>
          </w:rPr>
          <w:t xml:space="preserve">[2]</w:t>
        </w:r>
      </w:hyperlink>
      <w:r>
        <w:t xml:space="preserve">. A near-zero or negative citation coefficient is not fatal to the emergence reading on its own, but it removes one of the three legs the breadth reading would stand on, and it shifts the weight onto recency and venue.</w:t>
      </w:r>
    </w:p>
    <w:p>
      <w:pPr>
        <w:pStyle w:val="BodyText"/>
        <w:spacing w:line="480" w:lineRule="auto"/>
        <w:ind w:firstLine="720"/>
      </w:pPr>
      <w:r>
        <w:t xml:space="preserve">Under the depth mechanism, the learning-curve elasticity should be positive, and its magnitude, summarized by the progress ratio, indexes how fast attention accumulates with age. A positive elasticity that reaches significance would establish the depth face of emergence. A positive elasticity that does not reach significance is the ambiguous middle case the framework explicitly anticipates for a small, thin corpus: real arithmetic, insufficient independent support. By naming this middle case in advance, the theory prevents a later temptation either to celebrate an insignificant positive slope or to dismiss it as nothing.</w:t>
      </w:r>
    </w:p>
    <w:bookmarkEnd w:id="91"/>
    <w:bookmarkStart w:id="92" w:name="X53ec15b7fdb8509191acd147efdbd0446832721"/>
    <w:p>
      <w:pPr>
        <w:pStyle w:val="Heading2"/>
        <w:spacing w:line="480" w:lineRule="auto"/>
      </w:pPr>
      <w:r>
        <w:t xml:space="preserve">3.8 The framework as a decision aid, not a verdict machine</w:t>
      </w:r>
    </w:p>
    <w:p>
      <w:pPr>
        <w:pStyle w:val="FirstParagraph"/>
        <w:spacing w:line="480" w:lineRule="auto"/>
      </w:pPr>
      <w:r>
        <w:t xml:space="preserve">The framework is built to inform a decision, not to manufacture a verdict. Its output is a characterization of the retained record along two axes, breadth and depth, each read against a pre-registered prior and a robustness caveat. That characterization feeds a governance decision about how much trust to extend to the community’s timing-resilience claims</w:t>
      </w:r>
      <w:r>
        <w:t xml:space="preserve"> </w:t>
      </w:r>
      <w:hyperlink w:anchor="ref-4">
        <w:r>
          <w:rPr>
            <w:rStyle w:val="Hyperlink"/>
          </w:rPr>
          <w:t xml:space="preserve">[4]</w:t>
        </w:r>
      </w:hyperlink>
      <w:r>
        <w:t xml:space="preserve">. If both axes showed strong structure, the decision aid would say the evidence base is maturing and firmer reliance may be warranted. If both showed little structure, it would say the assertions outrun the record and direct measurement should be demanded before reliance. Mixed outcomes, likely for a small corpus, yield a correspondingly hedged recommendation.</w:t>
      </w:r>
    </w:p>
    <w:p>
      <w:pPr>
        <w:pStyle w:val="BodyText"/>
        <w:spacing w:line="480" w:lineRule="auto"/>
        <w:ind w:firstLine="720"/>
      </w:pPr>
      <w:r>
        <w:t xml:space="preserve">This is why the framework treats all three rungs of the evidence ladder as legitimate. A decision aid that could only return</w:t>
      </w:r>
      <w:r>
        <w:t xml:space="preserve"> </w:t>
      </w:r>
      <w:r>
        <w:t xml:space="preserve">“emergence confirmed”</w:t>
      </w:r>
      <w:r>
        <w:t xml:space="preserve"> </w:t>
      </w:r>
      <w:r>
        <w:t xml:space="preserve">would be useless to a decision maker who needs to know when the evidence is not yet there</w:t>
      </w:r>
      <w:r>
        <w:t xml:space="preserve"> </w:t>
      </w:r>
      <w:hyperlink w:anchor="ref-13">
        <w:r>
          <w:rPr>
            <w:rStyle w:val="Hyperlink"/>
          </w:rPr>
          <w:t xml:space="preserve">[13]</w:t>
        </w:r>
      </w:hyperlink>
      <w:r>
        <w:t xml:space="preserve">. The theoretical payoff of the whole apparatus is that it converts a professional hunch into a structured, falsifiable characterization that a governance reader can act on, whichever way the coefficients fall.</w:t>
      </w:r>
    </w:p>
    <w:bookmarkEnd w:id="92"/>
    <w:bookmarkStart w:id="93" w:name="boundary-conditions-of-the-mechanism"/>
    <w:p>
      <w:pPr>
        <w:pStyle w:val="Heading2"/>
        <w:spacing w:line="480" w:lineRule="auto"/>
      </w:pPr>
      <w:r>
        <w:t xml:space="preserve">3.9 Boundary conditions of the mechanism</w:t>
      </w:r>
    </w:p>
    <w:p>
      <w:pPr>
        <w:pStyle w:val="FirstParagraph"/>
        <w:spacing w:line="480" w:lineRule="auto"/>
      </w:pPr>
      <w:r>
        <w:t xml:space="preserve">A mechanism worth stating is also a mechanism whose boundary conditions are worth stating, because a prediction that holds everywhere predicts nothing. The emergence mechanism assumes that the retained corpus is large enough and representative enough for its metadata to reflect the field’s real distribution</w:t>
      </w:r>
      <w:r>
        <w:t xml:space="preserve"> </w:t>
      </w:r>
      <w:hyperlink w:anchor="ref-2">
        <w:r>
          <w:rPr>
            <w:rStyle w:val="Hyperlink"/>
          </w:rPr>
          <w:t xml:space="preserve">[2]</w:t>
        </w:r>
      </w:hyperlink>
      <w:r>
        <w:t xml:space="preserve">. When the corpus is small and curated, as here, the mechanism’s predictions weaken in a specific and knowable way: cross-sectional coefficients become noisy, and the accumulation curve becomes hostage to a few influential records. The framework anticipates this by lowering its confidence in advance for a small corpus, so that an insignificant result is read as consistent with the boundary condition rather than as a surprise demanding explanation.</w:t>
      </w:r>
    </w:p>
    <w:p>
      <w:pPr>
        <w:pStyle w:val="BodyText"/>
        <w:spacing w:line="480" w:lineRule="auto"/>
        <w:ind w:firstLine="720"/>
      </w:pPr>
      <w:r>
        <w:t xml:space="preserve">The mechanism also assumes that citation attention is a reasonable proxy for the building of a shared evidence base. That assumption fails at the edges. A topic can mature through standards documents, program specifications, and operational practice that generate little formal citation traffic</w:t>
      </w:r>
      <w:r>
        <w:t xml:space="preserve"> </w:t>
      </w:r>
      <w:hyperlink w:anchor="ref-6">
        <w:r>
          <w:rPr>
            <w:rStyle w:val="Hyperlink"/>
          </w:rPr>
          <w:t xml:space="preserve">[6]</w:t>
        </w:r>
      </w:hyperlink>
      <w:r>
        <w:t xml:space="preserve"> </w:t>
      </w:r>
      <w:hyperlink w:anchor="ref-10">
        <w:r>
          <w:rPr>
            <w:rStyle w:val="Hyperlink"/>
          </w:rPr>
          <w:t xml:space="preserve">[10]</w:t>
        </w:r>
      </w:hyperlink>
      <w:r>
        <w:t xml:space="preserve">. In such a field, a flat citation signal would understate genuine maturation, because the maturation is happening in venues the citation proxy does not see. The framework names this failure mode explicitly so that a null citation result is interpreted as ambiguous evidence about the proxy, not as decisive evidence about the field. Stating the boundary conditions is what keeps the mechanism falsifiable rather than infinitely elastic.</w:t>
      </w:r>
    </w:p>
    <w:bookmarkEnd w:id="93"/>
    <w:bookmarkStart w:id="94" w:name="from-framework-to-test"/>
    <w:p>
      <w:pPr>
        <w:pStyle w:val="Heading2"/>
        <w:spacing w:line="480" w:lineRule="auto"/>
      </w:pPr>
      <w:r>
        <w:t xml:space="preserve">3.10 From framework to test</w:t>
      </w:r>
    </w:p>
    <w:p>
      <w:pPr>
        <w:pStyle w:val="FirstParagraph"/>
        <w:spacing w:line="480" w:lineRule="auto"/>
      </w:pPr>
      <w:r>
        <w:t xml:space="preserve">The framework closes by handing three obligations to the chapters that follow. The measurement chapter must construct each variable so that it faithfully instantiates the theoretical object it stands for, and must flag every place where a proxy departs from its construct</w:t>
      </w:r>
      <w:r>
        <w:t xml:space="preserve"> </w:t>
      </w:r>
      <w:hyperlink w:anchor="ref-5">
        <w:r>
          <w:rPr>
            <w:rStyle w:val="Hyperlink"/>
          </w:rPr>
          <w:t xml:space="preserve">[5]</w:t>
        </w:r>
      </w:hyperlink>
      <w:r>
        <w:t xml:space="preserve">. The methodology chapter must choose estimators whose output maps cleanly onto the directional and magnitude predictions stated here, and must adopt error assumptions conservative enough to survive a heterogeneous corpus</w:t>
      </w:r>
      <w:r>
        <w:t xml:space="preserve"> </w:t>
      </w:r>
      <w:hyperlink w:anchor="ref-4">
        <w:r>
          <w:rPr>
            <w:rStyle w:val="Hyperlink"/>
          </w:rPr>
          <w:t xml:space="preserve">[4]</w:t>
        </w:r>
      </w:hyperlink>
      <w:r>
        <w:t xml:space="preserve">. The results chapter must read each coefficient against the specific prior the framework attached to it, treating a confirmed prior, a contradicted prior, and an ambiguous middle case as three distinct outcomes. Meeting those obligations is what turns this framework from a set of expectations into a genuine test, one whose verdict the corpus is free to render either way</w:t>
      </w:r>
      <w:r>
        <w:t xml:space="preserve"> </w:t>
      </w:r>
      <w:hyperlink w:anchor="ref-13">
        <w:r>
          <w:rPr>
            <w:rStyle w:val="Hyperlink"/>
          </w:rPr>
          <w:t xml:space="preserve">[13]</w:t>
        </w:r>
      </w:hyperlink>
      <w:r>
        <w:t xml:space="preserve">. The chapters that follow discharge each obligation in turn, and the results chapter returns to these priors explicitly so that the verdict is read against what was promised rather than against what would have been convenient</w:t>
      </w:r>
      <w:r>
        <w:t xml:space="preserve"> </w:t>
      </w:r>
      <w:hyperlink w:anchor="ref-4">
        <w:r>
          <w:rPr>
            <w:rStyle w:val="Hyperlink"/>
          </w:rPr>
          <w:t xml:space="preserve">[4]</w:t>
        </w:r>
      </w:hyperlink>
      <w:r>
        <w:t xml:space="preserve">. A framework that binds itself this tightly to its own predictions cannot later be accused of moving the target, and that fixity is the price the design pays, willingly, for the right to call its result a test rather than a description</w:t>
      </w:r>
      <w:r>
        <w:t xml:space="preserve"> </w:t>
      </w:r>
      <w:hyperlink w:anchor="ref-6">
        <w:r>
          <w:rPr>
            <w:rStyle w:val="Hyperlink"/>
          </w:rPr>
          <w:t xml:space="preserve">[6]</w:t>
        </w:r>
      </w:hyperlink>
      <w:r>
        <w:t xml:space="preserve">.</w:t>
      </w:r>
    </w:p>
    <w:bookmarkEnd w:id="94"/>
    <w:bookmarkEnd w:id="95"/>
    <w:bookmarkStart w:id="108"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explains what the two estimators do, why each is the right tool for its question, and precisely what it can and cannot identify. The governing principle is conservatism. A thirty-record corpus of heterogeneous space-domain sources cannot support strong causal claims, so the design chooses estimators that are transparent, standard errors that are robust, and interpretations that stop where the evidence stops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point of the chapter is to make the inference boundary explicit before any number is reported, so that Chapter 6 can report and Chapter 7 can qualify without either overreaching.</w:t>
      </w:r>
    </w:p>
    <w:bookmarkStart w:id="96" w:name="X5b880d5497859307e401dc41aa79f48ce53865e"/>
    <w:p>
      <w:pPr>
        <w:pStyle w:val="Heading2"/>
        <w:spacing w:line="480" w:lineRule="auto"/>
      </w:pPr>
      <w:r>
        <w:t xml:space="preserve">4.1 Estimator one: ordinary least squares for cross-sectional structure</w:t>
      </w:r>
    </w:p>
    <w:p>
      <w:pPr>
        <w:pStyle w:val="FirstParagraph"/>
        <w:spacing w:line="480" w:lineRule="auto"/>
      </w:pPr>
      <w:r>
        <w:t xml:space="preserve">The first paper estimates an ordinary least squares model of the topic-signal score on three predictors. Written in the form recorded in the configuration,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Ordinary least squares is the right instrument for the breadth question because the question is linear and associational, not causal or dynamic. It asks whether variation in how strongly a record speaks to the topic is systematically associated with when the record appeared, how much attention it has drawn, and where it was published. The estimator returns a coefficient and a standard error for each predictor, an overall fit, and a joint test, which is exactly the evidence the first hypothesis needs. Nothing about the question calls for a more elaborate model, and a more elaborate model on thirty rows would trade transparency for a false precision the data cannot honor.</w:t>
      </w:r>
    </w:p>
    <w:p>
      <w:pPr>
        <w:pStyle w:val="BodyText"/>
        <w:spacing w:line="480" w:lineRule="auto"/>
        <w:ind w:firstLine="720"/>
      </w:pPr>
      <w:r>
        <w:t xml:space="preserve">The coefficients carry direct interpretations. The recency coefficient is the expected change in signal score for a one-unit increase in the recency index, holding citations and venue fixed. The citation coefficient is the analogous marginal association for one additional reported citation. The venue coefficient is the expected difference in signal score as one moves up the ordinal venue-family scale. Because the venue scale is ordinal rather than cardinal, its coefficient is read as a direction and a rough magnitude across venue families, not as a precise per-step effect</w:t>
      </w:r>
      <w:r>
        <w:t xml:space="preserve"> </w:t>
      </w:r>
      <w:hyperlink w:anchor="ref-5">
        <w:r>
          <w:rPr>
            <w:rStyle w:val="Hyperlink"/>
          </w:rPr>
          <w:t xml:space="preserve">[5]</w:t>
        </w:r>
      </w:hyperlink>
      <w:r>
        <w:t xml:space="preserve">.</w:t>
      </w:r>
    </w:p>
    <w:bookmarkEnd w:id="96"/>
    <w:bookmarkStart w:id="97" w:name="X43c53d3e72129af1e584ff7ff547840def86118"/>
    <w:p>
      <w:pPr>
        <w:pStyle w:val="Heading2"/>
        <w:spacing w:line="480" w:lineRule="auto"/>
      </w:pPr>
      <w:r>
        <w:t xml:space="preserve">4.2 Estimator two: the learning curve for temporal accumulation</w:t>
      </w:r>
    </w:p>
    <w:p>
      <w:pPr>
        <w:pStyle w:val="FirstParagraph"/>
        <w:spacing w:line="480" w:lineRule="auto"/>
      </w:pPr>
      <w:r>
        <w:t xml:space="preserve">The second paper estimates a log-log learning-curve model of citation accumulation on article age.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learning-curve form is the natural instrument for the depth question. A learning curve models an outcome that grows as a power function of an exposure variable, and its slope in log-log space is an elasticity: the percentage change in the outcome for a one-percent change in the input. Here the elasticity is the percentage change in citations-plus-one for a one-percent change in article age. The log transformation is not cosmetic. Citation counts are bounded below at zero, right-skewed, and multiplicative in character, and the plus-one shift keeps the transform defined for the many uncited records without discarding them</w:t>
      </w:r>
      <w:r>
        <w:t xml:space="preserve"> </w:t>
      </w:r>
      <w:hyperlink w:anchor="ref-2">
        <w:r>
          <w:rPr>
            <w:rStyle w:val="Hyperlink"/>
          </w:rPr>
          <w:t xml:space="preserve">[2]</w:t>
        </w:r>
      </w:hyperlink>
      <w:r>
        <w:t xml:space="preserve">.</w:t>
      </w:r>
    </w:p>
    <w:p>
      <w:pPr>
        <w:pStyle w:val="BodyText"/>
        <w:spacing w:line="480" w:lineRule="auto"/>
        <w:ind w:firstLine="720"/>
      </w:pPr>
      <w:r>
        <w:t xml:space="preserve">The learning-curve slope also yields a familiar summary quantity, the progress ratio, defined as two raised to the elasticity. It expresses how citations scale when article age doubles. Reporting the progress ratio alongside the raw elasticity gives a reader an interpretable handle on the magnitude without adding any assumption beyond the fitted slope.</w:t>
      </w:r>
    </w:p>
    <w:bookmarkEnd w:id="97"/>
    <w:bookmarkStart w:id="98" w:name="why-robust-standard-errors"/>
    <w:p>
      <w:pPr>
        <w:pStyle w:val="Heading2"/>
        <w:spacing w:line="480" w:lineRule="auto"/>
      </w:pPr>
      <w:r>
        <w:t xml:space="preserve">4.3 Why robust standard errors</w:t>
      </w:r>
    </w:p>
    <w:p>
      <w:pPr>
        <w:pStyle w:val="FirstParagraph"/>
        <w:spacing w:line="480" w:lineRule="auto"/>
      </w:pPr>
      <w:r>
        <w:t xml:space="preserve">Both models use heteroskedasticity-consistent standard errors of the HC1 form. The reason is structural, not decorative. A corpus that mixes conference proceedings, an archival journal, and policy documents will not have constant error variance: citation behavior, record length, and metadata richness differ systematically across venue families, and that difference shows up as heteroskedasticity in the residuals</w:t>
      </w:r>
      <w:r>
        <w:t xml:space="preserve"> </w:t>
      </w:r>
      <w:hyperlink w:anchor="ref-2">
        <w:r>
          <w:rPr>
            <w:rStyle w:val="Hyperlink"/>
          </w:rPr>
          <w:t xml:space="preserve">[2]</w:t>
        </w:r>
      </w:hyperlink>
      <w:r>
        <w:t xml:space="preserve"> </w:t>
      </w:r>
      <w:hyperlink w:anchor="ref-10">
        <w:r>
          <w:rPr>
            <w:rStyle w:val="Hyperlink"/>
          </w:rPr>
          <w:t xml:space="preserve">[10]</w:t>
        </w:r>
      </w:hyperlink>
      <w:r>
        <w:t xml:space="preserve">. Classical standard errors would understate uncertainty in exactly the way that most flatters a weak finding. HC1 errors widen the intervals to reflect the real dispersion, which is the conservative choice and the honest one. Where a coefficient remains significant under HC1 errors, the significance has survived a genuine test.</w:t>
      </w:r>
    </w:p>
    <w:bookmarkEnd w:id="98"/>
    <w:bookmarkStart w:id="99" w:name="Xe2b8ed6fcbd5931a3a5ada843d824776820966c"/>
    <w:p>
      <w:pPr>
        <w:pStyle w:val="Heading2"/>
        <w:spacing w:line="480" w:lineRule="auto"/>
      </w:pPr>
      <w:r>
        <w:t xml:space="preserve">4.3a The plus-one transform and the treatment of zeros</w:t>
      </w:r>
    </w:p>
    <w:p>
      <w:pPr>
        <w:pStyle w:val="FirstParagraph"/>
        <w:spacing w:line="480" w:lineRule="auto"/>
      </w:pPr>
      <w:r>
        <w:t xml:space="preserve">The second model’s handling of uncited records deserves a dedicated defense, because it is the kind of small choice that can quietly distort a result. Most records in the corpus report zero indexed citations, and the log of zero is undefined. Two responses are available. One is to drop the uncited records, which would discard the majority of the sample and bias the remaining set toward the few old, heavily cited journal articles. The other is to shift every count by one before taking the log, which keeps the zeros in the sample as genuine observations while making the transform defined</w:t>
      </w:r>
      <w:r>
        <w:t xml:space="preserve"> </w:t>
      </w:r>
      <w:hyperlink w:anchor="ref-2">
        <w:r>
          <w:rPr>
            <w:rStyle w:val="Hyperlink"/>
          </w:rPr>
          <w:t xml:space="preserve">[2]</w:t>
        </w:r>
      </w:hyperlink>
      <w:r>
        <w:t xml:space="preserve">. The design chooses the second. Retaining the zeros is not a convenience; it is a substantive commitment to treating uncited records as real data about a corpus in which most work has not yet accumulated indexed attention.</w:t>
      </w:r>
    </w:p>
    <w:p>
      <w:pPr>
        <w:pStyle w:val="BodyText"/>
        <w:spacing w:line="480" w:lineRule="auto"/>
        <w:ind w:firstLine="720"/>
      </w:pPr>
      <w:r>
        <w:t xml:space="preserve">The plus-one shift has a known and bounded consequence. It compresses the low end of the citation distribution, so the fitted curve is most informative about how the heavily cited records differ from the mass of uncited ones, and least informative about fine distinctions among records with one or two citations. That property is acceptable here because the substantive question is exactly about accumulation at the top of the distribution: whether the old, attended records sit where a learning curve would place them. The transform is chosen to serve that question, and its limitation is reported rather than hidden.</w:t>
      </w:r>
    </w:p>
    <w:bookmarkEnd w:id="99"/>
    <w:bookmarkStart w:id="100" w:name="Xca496a66d8f9ce7badf3aeadb8fb08ae50f893b"/>
    <w:p>
      <w:pPr>
        <w:pStyle w:val="Heading2"/>
        <w:spacing w:line="480" w:lineRule="auto"/>
      </w:pPr>
      <w:r>
        <w:t xml:space="preserve">4.3b Sample size, degrees of freedom, and honest power</w:t>
      </w:r>
    </w:p>
    <w:p>
      <w:pPr>
        <w:pStyle w:val="FirstParagraph"/>
        <w:spacing w:line="480" w:lineRule="auto"/>
      </w:pPr>
      <w:r>
        <w:t xml:space="preserve">Thirty records is a small sample, and the design is explicit about what that costs. With three predictors and a constant, the first model spends four degrees of freedom and estimates the rest on twenty-six, which is enough to fit but not enough to chase subtle effects. The gap between the R-squared and its adjusted counterpart is the visible price of spending those degrees of freedom, and the design reports both so a reader can see the penalty. The second model, with a single predictor, is more parsimonious, but it pays a different price: its power to detect a temporal slope is limited by how few records carry nonzero citations, since the informative variation lives almost entirely in that minority</w:t>
      </w:r>
      <w:r>
        <w:t xml:space="preserve"> </w:t>
      </w:r>
      <w:hyperlink w:anchor="ref-2">
        <w:r>
          <w:rPr>
            <w:rStyle w:val="Hyperlink"/>
          </w:rPr>
          <w:t xml:space="preserve">[2]</w:t>
        </w:r>
      </w:hyperlink>
      <w:r>
        <w:t xml:space="preserve">.</w:t>
      </w:r>
    </w:p>
    <w:p>
      <w:pPr>
        <w:pStyle w:val="BodyText"/>
        <w:spacing w:line="480" w:lineRule="auto"/>
        <w:ind w:firstLine="720"/>
      </w:pPr>
      <w:r>
        <w:t xml:space="preserve">Small samples do not invalidate a screen; they bound its ambitions. A screen on thirty records can reliably detect a strong, clean signal and can reliably report the absence of one, but it cannot resolve a weak signal from noise. The design accepts this and designs its interpretation around it. It does not treat an insignificant coefficient as proof of no effect, and it does not treat a lone significant coefficient as a robust discovery. Naming the power limitation up front is what makes the eventual reading of the coefficients honest rather than opportunistic</w:t>
      </w:r>
      <w:r>
        <w:t xml:space="preserve"> </w:t>
      </w:r>
      <w:hyperlink w:anchor="ref-4">
        <w:r>
          <w:rPr>
            <w:rStyle w:val="Hyperlink"/>
          </w:rPr>
          <w:t xml:space="preserve">[4]</w:t>
        </w:r>
      </w:hyperlink>
      <w:r>
        <w:t xml:space="preserve">.</w:t>
      </w:r>
    </w:p>
    <w:p>
      <w:pPr>
        <w:pStyle w:val="BodyText"/>
        <w:spacing w:line="480" w:lineRule="auto"/>
        <w:ind w:firstLine="720"/>
      </w:pPr>
      <w:r>
        <w:t xml:space="preserve">Small sample, honest ambitions. The two go together.</w:t>
      </w:r>
    </w:p>
    <w:bookmarkEnd w:id="100"/>
    <w:bookmarkStart w:id="101" w:name="what-these-estimators-identify"/>
    <w:p>
      <w:pPr>
        <w:pStyle w:val="Heading2"/>
        <w:spacing w:line="480" w:lineRule="auto"/>
      </w:pPr>
      <w:r>
        <w:t xml:space="preserve">4.4 What these estimators identify</w:t>
      </w:r>
    </w:p>
    <w:p>
      <w:pPr>
        <w:pStyle w:val="FirstParagraph"/>
        <w:spacing w:line="480" w:lineRule="auto"/>
      </w:pPr>
      <w:r>
        <w:t xml:space="preserve">Identification is the discipline of stating what a coefficient means and what it does not. These estimators identify association within the retained corpus, conditional on the constructed variables. A significant recency coefficient would identify that, in this corpus, stronger topic signal co-occurs with more recent publication, net of citations and venue. It would not identify that recency causes topic signal, nor that the pattern generalizes beyond the retained records. The learning-curve elasticity would identify the average log-log association between age and accumulated citations in this corpus. It would not identify a causal law of attention, and it would not distinguish topic-specific accumulation from the mechanical fact that older records have had more time.</w:t>
      </w:r>
    </w:p>
    <w:p>
      <w:pPr>
        <w:pStyle w:val="BodyText"/>
        <w:spacing w:line="480" w:lineRule="auto"/>
        <w:ind w:firstLine="720"/>
      </w:pPr>
      <w:r>
        <w:t xml:space="preserve">This is a screen, and screens have a specific evidentiary job. They tell you whether a signal is present and worth a more expensive follow-up, or absent and cautionary. The design does not dress the screen as a structural model. It reports associations, marks them as associations, and hands the causal question forward to a design that could carry it</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01"/>
    <w:bookmarkStart w:id="102" w:name="Xcfcc35a03ceff722afc948d2180a6fa24c4f8f7"/>
    <w:p>
      <w:pPr>
        <w:pStyle w:val="Heading2"/>
        <w:spacing w:line="480" w:lineRule="auto"/>
      </w:pPr>
      <w:r>
        <w:t xml:space="preserve">4.5 Threats to identification and how the design meets them</w:t>
      </w:r>
    </w:p>
    <w:p>
      <w:pPr>
        <w:pStyle w:val="FirstParagraph"/>
        <w:spacing w:line="480" w:lineRule="auto"/>
      </w:pPr>
      <w:r>
        <w:t xml:space="preserve">Four threats deserve direct treatment. Source selection is the first: the corpus is the candidate’s retained pack, not a census of the field, so the estimates describe that pack rather than the universe of timing-resilience writing. The design meets this threat by confining every claim to the retained corpus and by preserving a source column on every row so the selection is inspectable</w:t>
      </w:r>
      <w:r>
        <w:t xml:space="preserve"> </w:t>
      </w:r>
      <w:hyperlink w:anchor="ref-1">
        <w:r>
          <w:rPr>
            <w:rStyle w:val="Hyperlink"/>
          </w:rPr>
          <w:t xml:space="preserve">[1]</w:t>
        </w:r>
      </w:hyperlink>
      <w:r>
        <w:t xml:space="preserve">. Proxy measurement is the second: signal score, citation count, and venue score are proxies, not the underlying constructs of substantive importance or field maturity. The design meets this threat by naming each proxy as a proxy and refusing to relabel it as the construct it approximates</w:t>
      </w:r>
      <w:r>
        <w:t xml:space="preserve"> </w:t>
      </w:r>
      <w:hyperlink w:anchor="ref-5">
        <w:r>
          <w:rPr>
            <w:rStyle w:val="Hyperlink"/>
          </w:rPr>
          <w:t xml:space="preserve">[5]</w:t>
        </w:r>
      </w:hyperlink>
      <w:r>
        <w:t xml:space="preserve">.</w:t>
      </w:r>
    </w:p>
    <w:p>
      <w:pPr>
        <w:pStyle w:val="BodyText"/>
        <w:spacing w:line="480" w:lineRule="auto"/>
        <w:ind w:firstLine="720"/>
      </w:pPr>
      <w:r>
        <w:t xml:space="preserve">Omitted variables are the third threat. A metadata model cannot include the technical quality of a paper, the funding behind it, or the institutional politics of its venue, any of which could drive both signal and attention</w:t>
      </w:r>
      <w:r>
        <w:t xml:space="preserve"> </w:t>
      </w:r>
      <w:hyperlink w:anchor="ref-4">
        <w:r>
          <w:rPr>
            <w:rStyle w:val="Hyperlink"/>
          </w:rPr>
          <w:t xml:space="preserve">[4]</w:t>
        </w:r>
      </w:hyperlink>
      <w:r>
        <w:t xml:space="preserve">. The design meets this threat not by pretending to control for the unobserved but by declining causal language and reporting the joint test so that a reader can see how much the included variables explain in total. Overinterpretation is the fourth and most tempting threat: prose can outrun the estimator with a single confident sentence. The design meets this threat by tying every interpretive sentence in Chapter 6 to a specific reported number and by treating imprecise coefficients as substantive evidence about the record’s limits rather than as noise to be explained away.</w:t>
      </w:r>
    </w:p>
    <w:bookmarkEnd w:id="102"/>
    <w:bookmarkStart w:id="103" w:name="X9b8c5f9b189975acf3f102d59962be7442dcfae"/>
    <w:p>
      <w:pPr>
        <w:pStyle w:val="Heading2"/>
        <w:spacing w:line="480" w:lineRule="auto"/>
      </w:pPr>
      <w:r>
        <w:t xml:space="preserve">4.6 Reproducibility as a methodological commitment</w:t>
      </w:r>
    </w:p>
    <w:p>
      <w:pPr>
        <w:pStyle w:val="FirstParagraph"/>
        <w:spacing w:line="480" w:lineRule="auto"/>
      </w:pPr>
      <w:r>
        <w:t xml:space="preserve">A final methodological point is that the entire chain is built to be re-run. The configuration files fix the variables and the formulas. The data files fix the rows and preserve provenance. The workbooks fix the estimator output. The dissertation narrative sits downstream of those artifacts, so any reader can move from a claim in the text back to a coefficient in a workbook, and from that coefficient back to the rows and the sources that produced it</w:t>
      </w:r>
      <w:r>
        <w:t xml:space="preserve"> </w:t>
      </w:r>
      <w:hyperlink w:anchor="ref-2">
        <w:r>
          <w:rPr>
            <w:rStyle w:val="Hyperlink"/>
          </w:rPr>
          <w:t xml:space="preserve">[2]</w:t>
        </w:r>
      </w:hyperlink>
      <w:r>
        <w:t xml:space="preserve"> </w:t>
      </w:r>
      <w:hyperlink w:anchor="ref-7">
        <w:r>
          <w:rPr>
            <w:rStyle w:val="Hyperlink"/>
          </w:rPr>
          <w:t xml:space="preserve">[7]</w:t>
        </w:r>
      </w:hyperlink>
      <w:r>
        <w:t xml:space="preserve">. Reproducibility is not a courtesy here. It is the mechanism by which a modest, thirty-row screen earns the trust that its conclusions ask for, in keeping with the dissertation’s own insistence that resilience claims be auditable rather than merely asserted.</w:t>
      </w:r>
    </w:p>
    <w:bookmarkEnd w:id="103"/>
    <w:bookmarkStart w:id="104" w:name="why-not-a-more-elaborate-model"/>
    <w:p>
      <w:pPr>
        <w:pStyle w:val="Heading2"/>
        <w:spacing w:line="480" w:lineRule="auto"/>
      </w:pPr>
      <w:r>
        <w:t xml:space="preserve">4.7 Why not a more elaborate model</w:t>
      </w:r>
    </w:p>
    <w:p>
      <w:pPr>
        <w:pStyle w:val="FirstParagraph"/>
        <w:spacing w:line="480" w:lineRule="auto"/>
      </w:pPr>
      <w:r>
        <w:t xml:space="preserve">A reviewer might reasonably ask why the design does not reach for a richer specification: interaction terms, a count model for the citations, a hierarchical structure that nests records within venue families. Each of these is defensible in the abstract and unwise on this corpus. Interaction terms would consume scarce degrees of freedom to estimate effects the sample cannot support. A dedicated count model for citations would add distributional assumptions whose payoff is negligible when the informative variation sits in a handful of points, and the learning-curve form already captures the multiplicative character the counts exhibit</w:t>
      </w:r>
      <w:r>
        <w:t xml:space="preserve"> </w:t>
      </w:r>
      <w:hyperlink w:anchor="ref-2">
        <w:r>
          <w:rPr>
            <w:rStyle w:val="Hyperlink"/>
          </w:rPr>
          <w:t xml:space="preserve">[2]</w:t>
        </w:r>
      </w:hyperlink>
      <w:r>
        <w:t xml:space="preserve">. A hierarchical model nesting records in venues would need more records per venue than the corpus provides to estimate the variance components with any stability.</w:t>
      </w:r>
    </w:p>
    <w:p>
      <w:pPr>
        <w:pStyle w:val="BodyText"/>
        <w:spacing w:line="480" w:lineRule="auto"/>
        <w:ind w:firstLine="720"/>
      </w:pPr>
      <w:r>
        <w:t xml:space="preserve">The governing judgment is that transparency beats sophistication when the sample is small and the goal is a screen. A simple model whose every coefficient a reader can interpret, and whose every number traces back to a row, does more honest work than an elaborate model whose apparatus obscures how little the data actually pin down</w:t>
      </w:r>
      <w:r>
        <w:t xml:space="preserve"> </w:t>
      </w:r>
      <w:hyperlink w:anchor="ref-4">
        <w:r>
          <w:rPr>
            <w:rStyle w:val="Hyperlink"/>
          </w:rPr>
          <w:t xml:space="preserve">[4]</w:t>
        </w:r>
      </w:hyperlink>
      <w:r>
        <w:t xml:space="preserve">. The design treats the estimator’s simplicity as a virtue matched to the question, not as a limitation to apologize for. A screen that a reader can fully hold in mind, from formula to coefficient to row, earns a kind of trust that a black-box specification cannot, and on a corpus this size that legibility is worth more than any marginal gain in fit an elaborate model might claim to offer</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104"/>
    <w:bookmarkStart w:id="105" w:name="Xb02c151a38bf67ee94d3a06165c40e6c493c509"/>
    <w:p>
      <w:pPr>
        <w:pStyle w:val="Heading2"/>
        <w:spacing w:line="480" w:lineRule="auto"/>
      </w:pPr>
      <w:r>
        <w:t xml:space="preserve">4.8 The identification claim, stated once more for the record</w:t>
      </w:r>
    </w:p>
    <w:p>
      <w:pPr>
        <w:pStyle w:val="FirstParagraph"/>
        <w:spacing w:line="480" w:lineRule="auto"/>
      </w:pPr>
      <w:r>
        <w:t xml:space="preserve">It is worth consolidating the identification claim in one place so no chapter overstates it later. The first model identifies the linear association, within the retained corpus, between topic-signal intensity and each of recency, citations, and venue, conditional on the other two and net of HC1-robust noise. The second model identifies the log-log association, within the same corpus, between citation accumulation and article age. Neither model identifies causation, generalization beyond the retained records, or the behavior of any physical timing system. What they identify is structure, or its absence, in a specific, documented body of source metadata</w:t>
      </w:r>
      <w:r>
        <w:t xml:space="preserve"> </w:t>
      </w:r>
      <w:hyperlink w:anchor="ref-1">
        <w:r>
          <w:rPr>
            <w:rStyle w:val="Hyperlink"/>
          </w:rPr>
          <w:t xml:space="preserve">[1]</w:t>
        </w:r>
      </w:hyperlink>
      <w:r>
        <w:t xml:space="preserve"> </w:t>
      </w:r>
      <w:hyperlink w:anchor="ref-13">
        <w:r>
          <w:rPr>
            <w:rStyle w:val="Hyperlink"/>
          </w:rPr>
          <w:t xml:space="preserve">[13]</w:t>
        </w:r>
      </w:hyperlink>
      <w:r>
        <w:t xml:space="preserve">. That is a real and useful thing to identify, and the value of stating its boundary precisely is that every downstream interpretation can be checked against it.</w:t>
      </w:r>
    </w:p>
    <w:bookmarkEnd w:id="105"/>
    <w:bookmarkStart w:id="106" w:name="how-the-two-estimators-divide-the-labor"/>
    <w:p>
      <w:pPr>
        <w:pStyle w:val="Heading2"/>
        <w:spacing w:line="480" w:lineRule="auto"/>
      </w:pPr>
      <w:r>
        <w:t xml:space="preserve">4.9 How the two estimators divide the labor</w:t>
      </w:r>
    </w:p>
    <w:p>
      <w:pPr>
        <w:pStyle w:val="FirstParagraph"/>
        <w:spacing w:line="480" w:lineRule="auto"/>
      </w:pPr>
      <w:r>
        <w:t xml:space="preserve">The two estimators are not redundant, and it is worth being precise about how they divide the analytical labor, because the division is what lets a pair of simple models answer a question neither could answer alone. The ordinary least squares model works in the cross section. It takes the corpus as a snapshot and asks whether, at this moment, the records that speak most strongly to the topic differ systematically in recency, attention, or venue</w:t>
      </w:r>
      <w:r>
        <w:t xml:space="preserve"> </w:t>
      </w:r>
      <w:hyperlink w:anchor="ref-6">
        <w:r>
          <w:rPr>
            <w:rStyle w:val="Hyperlink"/>
          </w:rPr>
          <w:t xml:space="preserve">[6]</w:t>
        </w:r>
      </w:hyperlink>
      <w:r>
        <w:t xml:space="preserve">. It is silent about dynamics; it cannot say whether the pattern it finds is growing, stable, or fading, because it treats every record as a contemporaneous observation.</w:t>
      </w:r>
    </w:p>
    <w:p>
      <w:pPr>
        <w:pStyle w:val="BodyText"/>
        <w:spacing w:line="480" w:lineRule="auto"/>
        <w:ind w:firstLine="720"/>
      </w:pPr>
      <w:r>
        <w:t xml:space="preserve">The learning-curve model works in the time dimension. It ignores the cross-sectional predictors entirely and asks a single dynamic question: does accumulated attention scale with age in a lawful way</w:t>
      </w:r>
      <w:r>
        <w:t xml:space="preserve"> </w:t>
      </w:r>
      <w:hyperlink w:anchor="ref-2">
        <w:r>
          <w:rPr>
            <w:rStyle w:val="Hyperlink"/>
          </w:rPr>
          <w:t xml:space="preserve">[2]</w:t>
        </w:r>
      </w:hyperlink>
      <w:r>
        <w:t xml:space="preserve">? It is silent about breadth; it cannot say whether recent records are more central to the topic, because age and citations are all it sees. Placing the two side by side gives the design a two-dimensional read, breadth from the first and depth from the second, without asking either model to carry a load it was not built for. This is a deliberate architectural choice, and it reflects the review’s finding that breadth and depth are distinct properties that a single combined model would blur.</w:t>
      </w:r>
    </w:p>
    <w:p>
      <w:pPr>
        <w:pStyle w:val="BodyText"/>
        <w:spacing w:line="480" w:lineRule="auto"/>
        <w:ind w:firstLine="720"/>
      </w:pPr>
      <w:r>
        <w:t xml:space="preserve">The division also clarifies why a failure in one model does not contaminate the other. An insignificant venue-adjusted recency coefficient in the first model says nothing about whether the second model’s age slope is real, and vice versa, because the two are estimating different quantities from different framings of the same rows. When Chapter 6 reports a weak cross-sectional structure alongside a positively signed but insignificant accumulation slope, those are two independent readings of the corpus, not one finding stated twice. Keeping the estimators’ jobs cleanly separated is what makes their joint interpretation coherent rather than circular</w:t>
      </w:r>
      <w:r>
        <w:t xml:space="preserve"> </w:t>
      </w:r>
      <w:hyperlink w:anchor="ref-4">
        <w:r>
          <w:rPr>
            <w:rStyle w:val="Hyperlink"/>
          </w:rPr>
          <w:t xml:space="preserve">[4]</w:t>
        </w:r>
      </w:hyperlink>
      <w:r>
        <w:t xml:space="preserve">.</w:t>
      </w:r>
    </w:p>
    <w:bookmarkEnd w:id="106"/>
    <w:bookmarkStart w:id="107" w:name="X6ceb17401f1d16e2b1c8c1e771536db29b56292"/>
    <w:p>
      <w:pPr>
        <w:pStyle w:val="Heading2"/>
        <w:spacing w:line="480" w:lineRule="auto"/>
      </w:pPr>
      <w:r>
        <w:t xml:space="preserve">4.10 The estimator output as the unit of reporting</w:t>
      </w:r>
    </w:p>
    <w:p>
      <w:pPr>
        <w:pStyle w:val="FirstParagraph"/>
        <w:spacing w:line="480" w:lineRule="auto"/>
      </w:pPr>
      <w:r>
        <w:t xml:space="preserve">A final methodological commitment governs how results are presented. The unit of reporting is the estimator output, not the analyst’s summary of it. Every coefficient, standard error, fit statistic, and p-value that Chapter 6 discusses appears there as the workbook produced it, at full precision, before any rounding for readability</w:t>
      </w:r>
      <w:r>
        <w:t xml:space="preserve"> </w:t>
      </w:r>
      <w:hyperlink w:anchor="ref-7">
        <w:r>
          <w:rPr>
            <w:rStyle w:val="Hyperlink"/>
          </w:rPr>
          <w:t xml:space="preserve">[7]</w:t>
        </w:r>
      </w:hyperlink>
      <w:r>
        <w:t xml:space="preserve">. This is a deliberate guard against the subtle drift that occurs when an analyst paraphrases numbers into prose and the prose slowly parts company with the arithmetic. By binding the report to the raw output, the design ensures that a reader checking the text against the workbook finds identity, not approximation. That fidelity is the last link in the reproducibility chain, and it is the concrete sense in which this screen practices the auditability it preaches. A reader who wishes to challenge a conclusion can do so at the level of arithmetic rather than rhetoric, which is the strongest form of accountability a quantitative study can offer</w:t>
      </w:r>
      <w:r>
        <w:t xml:space="preserve"> </w:t>
      </w:r>
      <w:hyperlink w:anchor="ref-7">
        <w:r>
          <w:rPr>
            <w:rStyle w:val="Hyperlink"/>
          </w:rPr>
          <w:t xml:space="preserve">[7]</w:t>
        </w:r>
      </w:hyperlink>
      <w:r>
        <w:t xml:space="preserve">. In a domain that asks its autonomous systems to justify trust through inspectable behavior, a study that justifies its own conclusions the same way is not merely tidy; it is practicing the standard it recommends, and that consistency is part of what gives the modest screen its authority</w:t>
      </w:r>
      <w:r>
        <w:t xml:space="preserve"> </w:t>
      </w:r>
      <w:hyperlink w:anchor="ref-4">
        <w:r>
          <w:rPr>
            <w:rStyle w:val="Hyperlink"/>
          </w:rPr>
          <w:t xml:space="preserve">[4]</w:t>
        </w:r>
      </w:hyperlink>
      <w:r>
        <w:t xml:space="preserve">.</w:t>
      </w:r>
    </w:p>
    <w:bookmarkEnd w:id="107"/>
    <w:bookmarkEnd w:id="108"/>
    <w:bookmarkStart w:id="120" w:name="chapter-5.-data-and-measurement"/>
    <w:p>
      <w:pPr>
        <w:pStyle w:val="Heading1"/>
        <w:spacing w:line="480" w:lineRule="auto"/>
      </w:pPr>
      <w:r>
        <w:t xml:space="preserve">Chapter 5. Data and Measurement</w:t>
      </w:r>
    </w:p>
    <w:p>
      <w:pPr>
        <w:pStyle w:val="FirstParagraph"/>
        <w:spacing w:line="480" w:lineRule="auto"/>
      </w:pPr>
      <w:r>
        <w:t xml:space="preserve">Transparency is the whole game. The credibility of a screen rests entirely on the transparency of its data. This chapter documents the thirty source records, the construction of every variable, the provenance of each row, and the coding rules that make the topic-signal score deterministic. The standard is that a skeptical reader could rebuild the estimation files from the descriptions here and arrive at the same numbers. Where a measurement choice trades fidelity for reproducibility, the trade is stated rather than buried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09" w:name="the-corpus"/>
    <w:p>
      <w:pPr>
        <w:pStyle w:val="Heading2"/>
        <w:spacing w:line="480" w:lineRule="auto"/>
      </w:pPr>
      <w:r>
        <w:t xml:space="preserve">5.1 The corpus</w:t>
      </w:r>
    </w:p>
    <w:p>
      <w:pPr>
        <w:pStyle w:val="FirstParagraph"/>
        <w:spacing w:line="480" w:lineRule="auto"/>
      </w:pPr>
      <w:r>
        <w:t xml:space="preserve">Thirty records. The estimation sample is thirty retrieved source records assembled into the candidate’s local pack. The records are not a random draw from the field. They are the sources the candidate retained as relevant to GNSS-disciplined timing resilience and its immediate neighborhood, and the analysis is scoped to that pack throughout. Each record carries a source column that identifies it unambiguously, either by digital object identifier or by a resolvable URL, so that the selection is inspectable and the row-to-source mapping never has to be taken on faith.</w:t>
      </w:r>
    </w:p>
    <w:p>
      <w:pPr>
        <w:pStyle w:val="BodyText"/>
        <w:spacing w:line="480" w:lineRule="auto"/>
        <w:ind w:firstLine="720"/>
      </w:pPr>
      <w:r>
        <w:t xml:space="preserve">The pack spans three venue families. Conference proceedings from the space situational awareness community supply the largest block, including work on passive radio-frequency tracking, decentralized sensor tasking, optical residuals from GPS satellites, and the cislunar too-short-arc problem</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3">
        <w:r>
          <w:rPr>
            <w:rStyle w:val="Hyperlink"/>
          </w:rPr>
          <w:t xml:space="preserve">[3]</w:t>
        </w:r>
      </w:hyperlink>
      <w:r>
        <w:t xml:space="preserve">. An archival journal supplies a second block, including the GNSS-assisted heterogeneous clock system for small satellites, distributed satellite systems for Earth observation, intelligent swarms for magnetospheric study, and aerobot control at Venus</w:t>
      </w:r>
      <w:r>
        <w:t xml:space="preserve"> </w:t>
      </w:r>
      <w:hyperlink w:anchor="ref-9">
        <w:r>
          <w:rPr>
            <w:rStyle w:val="Hyperlink"/>
          </w:rPr>
          <w:t xml:space="preserve">[9]</w:t>
        </w:r>
      </w:hyperlink>
      <w:r>
        <w:t xml:space="preserve"> </w:t>
      </w:r>
      <w:hyperlink w:anchor="ref-16">
        <w:r>
          <w:rPr>
            <w:rStyle w:val="Hyperlink"/>
          </w:rPr>
          <w:t xml:space="preserve">[16]</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A small policy and architecture set supplies the third block, including a governance-oriented reference architecture and a thermospheric-density data product used as contrast</w:t>
      </w:r>
      <w:r>
        <w:t xml:space="preserve"> </w:t>
      </w:r>
      <w:hyperlink w:anchor="ref-10">
        <w:r>
          <w:rPr>
            <w:rStyle w:val="Hyperlink"/>
          </w:rPr>
          <w:t xml:space="preserve">[10]</w:t>
        </w:r>
      </w:hyperlink>
      <w:r>
        <w:t xml:space="preserve">. The heterogeneity is intentional. It is what lets venue family enter the first model as a variable, and it is also, as Chapter 7 will weigh, a source of entanglement between substance and venue.</w:t>
      </w:r>
    </w:p>
    <w:bookmarkEnd w:id="109"/>
    <w:bookmarkStart w:id="110" w:name="Xa89be94f200651a26829ae3b93589745b105c98"/>
    <w:p>
      <w:pPr>
        <w:pStyle w:val="Heading2"/>
        <w:spacing w:line="480" w:lineRule="auto"/>
      </w:pPr>
      <w:r>
        <w:t xml:space="preserve">5.2 Outcome for the first model: the topic-signal score</w:t>
      </w:r>
    </w:p>
    <w:p>
      <w:pPr>
        <w:pStyle w:val="FirstParagraph"/>
        <w:spacing w:line="480" w:lineRule="auto"/>
      </w:pPr>
      <w:r>
        <w:t xml:space="preserve">The first model’s outcome is signal_score, a composite topic-signal score computed for each record. It is a deterministic count built from candidate-theme term hits in the source title, the retrieved snippet, the keyword field, and the author metadata. The word deterministic is load-bearing. No human judgment enters the count at scoring time; the same record and the same theme vocabulary always yield the same score, which is what makes the outcome reproducible and the model auditable</w:t>
      </w:r>
      <w:r>
        <w:t xml:space="preserve"> </w:t>
      </w:r>
      <w:hyperlink w:anchor="ref-2">
        <w:r>
          <w:rPr>
            <w:rStyle w:val="Hyperlink"/>
          </w:rPr>
          <w:t xml:space="preserve">[2]</w:t>
        </w:r>
      </w:hyperlink>
      <w:r>
        <w:t xml:space="preserve">. Each scored row retains its source in the source column, so a reader can open the underlying record and see the surfaces the theme terms hit.</w:t>
      </w:r>
    </w:p>
    <w:p>
      <w:pPr>
        <w:pStyle w:val="BodyText"/>
        <w:spacing w:line="480" w:lineRule="auto"/>
        <w:ind w:firstLine="720"/>
      </w:pPr>
      <w:r>
        <w:t xml:space="preserve">The proxy is imperfect. The measurement has a known limitation that the design faces directly. A record with a longer title and a richer keyword field offers more surface for theme terms to land on, so signal score is partly a function of metadata richness, not only of substantive topicality. The policy and architecture records illustrate the point: several carry sparse keyword fields, which mechanically limits their achievable signal even where their substantive relevance is high</w:t>
      </w:r>
      <w:r>
        <w:t xml:space="preserve"> </w:t>
      </w:r>
      <w:hyperlink w:anchor="ref-10">
        <w:r>
          <w:rPr>
            <w:rStyle w:val="Hyperlink"/>
          </w:rPr>
          <w:t xml:space="preserve">[10]</w:t>
        </w:r>
      </w:hyperlink>
      <w:r>
        <w:t xml:space="preserve">. This is not a defect to hide. It is a proxy property to report, and Chapter 3 already named metadata availability as a rival explanation for exactly this reason.</w:t>
      </w:r>
    </w:p>
    <w:bookmarkEnd w:id="110"/>
    <w:bookmarkStart w:id="111" w:name="predictors-for-the-first-model"/>
    <w:p>
      <w:pPr>
        <w:pStyle w:val="Heading2"/>
        <w:spacing w:line="480" w:lineRule="auto"/>
      </w:pPr>
      <w:r>
        <w:t xml:space="preserve">5.3 Predictors for the first model</w:t>
      </w:r>
    </w:p>
    <w:p>
      <w:pPr>
        <w:pStyle w:val="FirstParagraph"/>
        <w:spacing w:line="480" w:lineRule="auto"/>
      </w:pPr>
      <w:r>
        <w:t xml:space="preserve">Three predictors enter the first model. The recency index, recency_index, is computed as the publication year minus the minimum publication year in the sample plus one, so the oldest record scores one and newer records score higher. This construction turns raw years into a clean, positive, integer-valued index whose zero point is anchored to the sample rather than to an arbitrary calendar date. The citation count, cites_num, is the reported citation count parsed from the local brain index, set to zero where the index reported no count. The zero convention is a deliberate simplification with a cost: a true zero and a missing value both become zero, so the citation predictor understates attention for any record the index failed to score</w:t>
      </w:r>
      <w:r>
        <w:t xml:space="preserve"> </w:t>
      </w:r>
      <w:hyperlink w:anchor="ref-2">
        <w:r>
          <w:rPr>
            <w:rStyle w:val="Hyperlink"/>
          </w:rPr>
          <w:t xml:space="preserve">[2]</w:t>
        </w:r>
      </w:hyperlink>
      <w:r>
        <w:t xml:space="preserve">.</w:t>
      </w:r>
    </w:p>
    <w:p>
      <w:pPr>
        <w:pStyle w:val="BodyText"/>
        <w:spacing w:line="480" w:lineRule="auto"/>
        <w:ind w:firstLine="720"/>
      </w:pPr>
      <w:r>
        <w:t xml:space="preserve">The venue-family score, venue_score, is an ordinal code: conference proceedings from the situational-awareness community score one, the archival journal scores two, and the policy and space-economy set scores three. The scale encodes venue family, not quality or importance. Its ordinality means the first model’s venue coefficient is read as a direction across families rather than as a cardinal per-step effect, a caution carried forward from the methodology chapter</w:t>
      </w:r>
      <w:r>
        <w:t xml:space="preserve"> </w:t>
      </w:r>
      <w:hyperlink w:anchor="ref-5">
        <w:r>
          <w:rPr>
            <w:rStyle w:val="Hyperlink"/>
          </w:rPr>
          <w:t xml:space="preserve">[5]</w:t>
        </w:r>
      </w:hyperlink>
      <w:r>
        <w:t xml:space="preserve">. The construction is fully mechanical: the same record always receives the same venue code.</w:t>
      </w:r>
    </w:p>
    <w:bookmarkEnd w:id="111"/>
    <w:bookmarkStart w:id="112" w:name="X7c2606a2edaccf1a5d2aad062c20800ad7d98c4"/>
    <w:p>
      <w:pPr>
        <w:pStyle w:val="Heading2"/>
        <w:spacing w:line="480" w:lineRule="auto"/>
      </w:pPr>
      <w:r>
        <w:t xml:space="preserve">5.4 Outcome and predictor for the second model</w:t>
      </w:r>
    </w:p>
    <w:p>
      <w:pPr>
        <w:pStyle w:val="FirstParagraph"/>
        <w:spacing w:line="480" w:lineRule="auto"/>
      </w:pPr>
      <w:r>
        <w:t xml:space="preserve">The second model works from a reshaped view of the same thirty records. Its outcome is cites_plus1, the reported citation count plus one, where the plus-one shift exists so that the logarithm is defined for the many uncited records rather than dropping them from the sample</w:t>
      </w:r>
      <w:r>
        <w:t xml:space="preserve"> </w:t>
      </w:r>
      <w:hyperlink w:anchor="ref-2">
        <w:r>
          <w:rPr>
            <w:rStyle w:val="Hyperlink"/>
          </w:rPr>
          <w:t xml:space="preserve">[2]</w:t>
        </w:r>
      </w:hyperlink>
      <w:r>
        <w:t xml:space="preserve">. Retaining the zeros matters: the uncited records are not missing data to be discarded but genuine observations about a corpus in which most records have not yet accumulated indexed citations. The single predictor is age_index, computed as 2026 minus the publication year plus one, so a record from 2026 scores one and older records score higher. Age index and recency index are mirror images by construction, and reporting both explicitly keeps the two models’ temporal framings distinct rather than silently shared.</w:t>
      </w:r>
    </w:p>
    <w:bookmarkEnd w:id="112"/>
    <w:bookmarkStart w:id="113" w:name="what-the-raw-rows-show-before-any-model"/>
    <w:p>
      <w:pPr>
        <w:pStyle w:val="Heading2"/>
        <w:spacing w:line="480" w:lineRule="auto"/>
      </w:pPr>
      <w:r>
        <w:t xml:space="preserve">5.5 What the raw rows show before any model</w:t>
      </w:r>
    </w:p>
    <w:p>
      <w:pPr>
        <w:pStyle w:val="FirstParagraph"/>
        <w:spacing w:line="480" w:lineRule="auto"/>
      </w:pPr>
      <w:r>
        <w:t xml:space="preserve">Before any estimator runs, the rows already tell a plainly legible story that the models will then formalize. Citation counts are sparse and concentrated. The large majority of records report zero indexed citations, and the nonzero counts cluster on a handful of older archival-journal articles, with the two oldest journal records carrying by far the most accumulated attention. This is consistent with a corpus where citation depth accrues slowly and unevenly, and it foreshadows why the age model will find only a weak, imprecise slope: the accumulation is real but thin, driven by a few points rather than a smooth curve.</w:t>
      </w:r>
    </w:p>
    <w:p>
      <w:pPr>
        <w:pStyle w:val="BodyText"/>
        <w:spacing w:line="480" w:lineRule="auto"/>
        <w:ind w:firstLine="720"/>
      </w:pPr>
      <w:r>
        <w:t xml:space="preserve">Signal scores, by contrast, are more evenly spread and reach their highest values on several conference and journal records rather than on the policy set. Venue family and citation behavior are visibly entangled: the conference block is almost uniformly uncited in the local index, while the nonzero citations live in the journal block, so any venue coefficient will partly encode this citation-coverage difference rather than pure substance</w:t>
      </w:r>
      <w:r>
        <w:t xml:space="preserve"> </w:t>
      </w:r>
      <w:hyperlink w:anchor="ref-2">
        <w:r>
          <w:rPr>
            <w:rStyle w:val="Hyperlink"/>
          </w:rPr>
          <w:t xml:space="preserve">[2]</w:t>
        </w:r>
      </w:hyperlink>
      <w:r>
        <w:t xml:space="preserve"> </w:t>
      </w:r>
      <w:hyperlink w:anchor="ref-10">
        <w:r>
          <w:rPr>
            <w:rStyle w:val="Hyperlink"/>
          </w:rPr>
          <w:t xml:space="preserve">[10]</w:t>
        </w:r>
      </w:hyperlink>
      <w:r>
        <w:t xml:space="preserve">. Naming the entanglement here, at the level of the raw rows, lets the results chapter interpret the venue coefficient without surprise.</w:t>
      </w:r>
    </w:p>
    <w:bookmarkEnd w:id="113"/>
    <w:bookmarkStart w:id="114" w:name="X865dcda0390341908b0798b626f6b89c93aedd4"/>
    <w:p>
      <w:pPr>
        <w:pStyle w:val="Heading2"/>
        <w:spacing w:line="480" w:lineRule="auto"/>
      </w:pPr>
      <w:r>
        <w:t xml:space="preserve">5.5a The composition of the corpus in detail</w:t>
      </w:r>
    </w:p>
    <w:p>
      <w:pPr>
        <w:pStyle w:val="FirstParagraph"/>
        <w:spacing w:line="480" w:lineRule="auto"/>
      </w:pPr>
      <w:r>
        <w:t xml:space="preserve">It is worth walking the corpus family by family, because the composition drives everything the models can and cannot see. The conference block is the numerical backbone of the pack. It carries the work most directly about sensing and timing: passive radio-frequency tracking of low Earth orbit objects</w:t>
      </w:r>
      <w:r>
        <w:t xml:space="preserve"> </w:t>
      </w:r>
      <w:hyperlink w:anchor="ref-1">
        <w:r>
          <w:rPr>
            <w:rStyle w:val="Hyperlink"/>
          </w:rPr>
          <w:t xml:space="preserve">[1]</w:t>
        </w:r>
      </w:hyperlink>
      <w:r>
        <w:t xml:space="preserve">, decentralized autonomous sensor tasking</w:t>
      </w:r>
      <w:r>
        <w:t xml:space="preserve"> </w:t>
      </w:r>
      <w:hyperlink w:anchor="ref-7">
        <w:r>
          <w:rPr>
            <w:rStyle w:val="Hyperlink"/>
          </w:rPr>
          <w:t xml:space="preserve">[7]</w:t>
        </w:r>
      </w:hyperlink>
      <w:r>
        <w:t xml:space="preserve">, optical residuals computed against GPS satellites</w:t>
      </w:r>
      <w:r>
        <w:t xml:space="preserve"> </w:t>
      </w:r>
      <w:hyperlink w:anchor="ref-8">
        <w:r>
          <w:rPr>
            <w:rStyle w:val="Hyperlink"/>
          </w:rPr>
          <w:t xml:space="preserve">[8]</w:t>
        </w:r>
      </w:hyperlink>
      <w:r>
        <w:t xml:space="preserve">, the cislunar too-short-arc and orbit-stability problem</w:t>
      </w:r>
      <w:r>
        <w:t xml:space="preserve"> </w:t>
      </w:r>
      <w:hyperlink w:anchor="ref-3">
        <w:r>
          <w:rPr>
            <w:rStyle w:val="Hyperlink"/>
          </w:rPr>
          <w:t xml:space="preserve">[3]</w:t>
        </w:r>
      </w:hyperlink>
      <w:r>
        <w:t xml:space="preserve">, and dynamic calibration across heterogeneous data types</w:t>
      </w:r>
      <w:r>
        <w:t xml:space="preserve"> </w:t>
      </w:r>
      <w:hyperlink w:anchor="ref-5">
        <w:r>
          <w:rPr>
            <w:rStyle w:val="Hyperlink"/>
          </w:rPr>
          <w:t xml:space="preserve">[5]</w:t>
        </w:r>
      </w:hyperlink>
      <w:r>
        <w:t xml:space="preserve">. These records tend to carry rich titles and keyword fields, which gives them ample metadata surface for theme terms, and they are almost uniformly reported as uncited in the local index. That combination, high scoreable surface and low reported citations, is the first structural fact a reader should hold onto.</w:t>
      </w:r>
    </w:p>
    <w:p>
      <w:pPr>
        <w:pStyle w:val="BodyText"/>
        <w:spacing w:line="480" w:lineRule="auto"/>
        <w:ind w:firstLine="720"/>
      </w:pPr>
      <w:r>
        <w:t xml:space="preserve">The archival-journal block is smaller but carries all of the corpus’s citation depth. It includes the GNSS-assisted heterogeneous clock system for very small satellites in the Earth-Moon system, the record most directly analogous to the dissertation’s own concern</w:t>
      </w:r>
      <w:r>
        <w:t xml:space="preserve"> </w:t>
      </w:r>
      <w:hyperlink w:anchor="ref-9">
        <w:r>
          <w:rPr>
            <w:rStyle w:val="Hyperlink"/>
          </w:rPr>
          <w:t xml:space="preserve">[9]</w:t>
        </w:r>
      </w:hyperlink>
      <w:r>
        <w:t xml:space="preserve">, alongside distributed satellite systems for Earth observation</w:t>
      </w:r>
      <w:r>
        <w:t xml:space="preserve"> </w:t>
      </w:r>
      <w:hyperlink w:anchor="ref-16">
        <w:r>
          <w:rPr>
            <w:rStyle w:val="Hyperlink"/>
          </w:rPr>
          <w:t xml:space="preserve">[16]</w:t>
        </w:r>
      </w:hyperlink>
      <w:r>
        <w:t xml:space="preserve">, intelligent swarms for magnetospheric study</w:t>
      </w:r>
      <w:r>
        <w:t xml:space="preserve"> </w:t>
      </w:r>
      <w:hyperlink w:anchor="ref-11">
        <w:r>
          <w:rPr>
            <w:rStyle w:val="Hyperlink"/>
          </w:rPr>
          <w:t xml:space="preserve">[11]</w:t>
        </w:r>
      </w:hyperlink>
      <w:r>
        <w:t xml:space="preserve">, and variable-altitude aerobot control at Venus</w:t>
      </w:r>
      <w:r>
        <w:t xml:space="preserve"> </w:t>
      </w:r>
      <w:hyperlink w:anchor="ref-14">
        <w:r>
          <w:rPr>
            <w:rStyle w:val="Hyperlink"/>
          </w:rPr>
          <w:t xml:space="preserve">[14]</w:t>
        </w:r>
      </w:hyperlink>
      <w:r>
        <w:t xml:space="preserve">. The oldest journal records are the ones the local index reports as most cited, and they anchor whatever accumulation the temporal model recovers. This block is where age and citation depth co-vary, and it is therefore the block that the learning-curve slope is most sensitive to.</w:t>
      </w:r>
    </w:p>
    <w:p>
      <w:pPr>
        <w:pStyle w:val="BodyText"/>
        <w:spacing w:line="480" w:lineRule="auto"/>
        <w:ind w:firstLine="720"/>
      </w:pPr>
      <w:r>
        <w:t xml:space="preserve">The policy and space-economy block is the smallest and the sparsest in metadata. It includes a governance-oriented reference architecture for space-use norms and a national space-economy roadmap, along with a thermospheric-density data product retained as contrast</w:t>
      </w:r>
      <w:r>
        <w:t xml:space="preserve"> </w:t>
      </w:r>
      <w:hyperlink w:anchor="ref-10">
        <w:r>
          <w:rPr>
            <w:rStyle w:val="Hyperlink"/>
          </w:rPr>
          <w:t xml:space="preserve">[10]</w:t>
        </w:r>
      </w:hyperlink>
      <w:r>
        <w:t xml:space="preserve">. These records often carry short titles, thin snippets, and empty keyword fields, so their achievable signal score is mechanically capped regardless of how relevant their substance is. This block is the reason the venue variable and the metadata-availability rival are entangled, and naming its sparseness here lets the results chapter interpret the venue coefficient without inventing a substantive story for what is partly a metadata effect.</w:t>
      </w:r>
    </w:p>
    <w:bookmarkEnd w:id="114"/>
    <w:bookmarkStart w:id="115" w:name="b-coding-rules-and-their-edge-cases"/>
    <w:p>
      <w:pPr>
        <w:pStyle w:val="Heading2"/>
        <w:spacing w:line="480" w:lineRule="auto"/>
      </w:pPr>
      <w:r>
        <w:t xml:space="preserve">5.5b Coding rules and their edge cases</w:t>
      </w:r>
    </w:p>
    <w:p>
      <w:pPr>
        <w:pStyle w:val="FirstParagraph"/>
        <w:spacing w:line="480" w:lineRule="auto"/>
      </w:pPr>
      <w:r>
        <w:t xml:space="preserve">Determinism is only meaningful if the coding rules resolve their edge cases the same way every time, so the rules are stated with their corner behavior. The recency index anchors on the sample minimum year, so if the sample’s earliest record is from 2017, that record scores one and a 2026 record scores ten; changing the sample changes the anchor, which is why the index is defined relative to the retained pack rather than to an absolute epoch. The age index anchors instead on a fixed reference year of 2026, so it is stable to changes in the sample composition, and the deliberate choice to anchor the two temporal variables differently keeps the cross-sectional and temporal framings distinct rather than silently identical.</w:t>
      </w:r>
    </w:p>
    <w:p>
      <w:pPr>
        <w:pStyle w:val="BodyText"/>
        <w:spacing w:line="480" w:lineRule="auto"/>
        <w:ind w:firstLine="720"/>
      </w:pPr>
      <w:r>
        <w:t xml:space="preserve">The citation rule resolves its central ambiguity by convention: a record the local index does not score is assigned zero, identical to a record the index scores as genuinely uncited</w:t>
      </w:r>
      <w:r>
        <w:t xml:space="preserve"> </w:t>
      </w:r>
      <w:hyperlink w:anchor="ref-2">
        <w:r>
          <w:rPr>
            <w:rStyle w:val="Hyperlink"/>
          </w:rPr>
          <w:t xml:space="preserve">[2]</w:t>
        </w:r>
      </w:hyperlink>
      <w:r>
        <w:t xml:space="preserve">. This conflation is the single largest measurement compromise in the data, and the design accepts it in exchange for a complete, gap-free citation column. The venue rule resolves its edge cases by family membership alone: a record’s venue code is fixed by which of the three families it belongs to, never by a judgment about its quality or relevance. The signal-score rule resolves its edge cases by counting theme-term hits mechanically across the four metadata fields, so a record with an empty keyword field simply loses that field’s potential contribution rather than receiving any imputed value. Every one of these rules is blind to the analyst’s expectations, which is the property that makes the resulting variables trustworthy inputs to a screen.</w:t>
      </w:r>
    </w:p>
    <w:p>
      <w:pPr>
        <w:pStyle w:val="BodyText"/>
        <w:spacing w:line="480" w:lineRule="auto"/>
        <w:ind w:firstLine="720"/>
      </w:pPr>
      <w:r>
        <w:t xml:space="preserve">None of these rules asks the analyst to decide anything. That is the point.</w:t>
      </w:r>
    </w:p>
    <w:bookmarkEnd w:id="115"/>
    <w:bookmarkStart w:id="116" w:name="provenance-and-the-reproducibility-chain"/>
    <w:p>
      <w:pPr>
        <w:pStyle w:val="Heading2"/>
        <w:spacing w:line="480" w:lineRule="auto"/>
      </w:pPr>
      <w:r>
        <w:t xml:space="preserve">5.6 Provenance and the reproducibility chain</w:t>
      </w:r>
    </w:p>
    <w:p>
      <w:pPr>
        <w:pStyle w:val="FirstParagraph"/>
        <w:spacing w:line="480" w:lineRule="auto"/>
      </w:pPr>
      <w:r>
        <w:t xml:space="preserve">Provenance is preserved at every layer so the chain from claim to source stays unbroken. Each row keeps its source identifier. Each variable is defined in a configuration file that records its meaning and its construction rule. Each model’s output lives in a workbook that a reader can open to confirm that the reported coefficients match the estimator that produced them. The dissertation narrative is downstream of all three layers, which means every substantive number in Chapter 6 can be traced back through a workbook, to a row, to an original source</w:t>
      </w:r>
      <w:r>
        <w:t xml:space="preserve"> </w:t>
      </w:r>
      <w:hyperlink w:anchor="ref-1">
        <w:r>
          <w:rPr>
            <w:rStyle w:val="Hyperlink"/>
          </w:rPr>
          <w:t xml:space="preserve">[1]</w:t>
        </w:r>
      </w:hyperlink>
      <w:r>
        <w:t xml:space="preserve"> </w:t>
      </w:r>
      <w:hyperlink w:anchor="ref-7">
        <w:r>
          <w:rPr>
            <w:rStyle w:val="Hyperlink"/>
          </w:rPr>
          <w:t xml:space="preserve">[7]</w:t>
        </w:r>
      </w:hyperlink>
      <w:r>
        <w:t xml:space="preserve">. That unbroken chain is the measurement chapter’s central deliverable, and it is the concrete form the dissertation’s auditability commitment takes.</w:t>
      </w:r>
    </w:p>
    <w:bookmarkEnd w:id="116"/>
    <w:bookmarkStart w:id="117" w:name="X40110714436009308afc3f7ec48e29e8682c47f"/>
    <w:p>
      <w:pPr>
        <w:pStyle w:val="Heading2"/>
        <w:spacing w:line="480" w:lineRule="auto"/>
      </w:pPr>
      <w:r>
        <w:t xml:space="preserve">5.7 Descriptive patterns that anticipate the models</w:t>
      </w:r>
    </w:p>
    <w:p>
      <w:pPr>
        <w:pStyle w:val="FirstParagraph"/>
        <w:spacing w:line="480" w:lineRule="auto"/>
      </w:pPr>
      <w:r>
        <w:t xml:space="preserve">A careful reader can predict much of Chapter 6 from the descriptive shape of the data alone, and stating those predictions here makes the results less of a surprise and more of a confirmation. Signal scores in the corpus range from low single digits up to about eleven, with the strongest scores landing on conference and journal records that carry rich metadata and heavy theme engagement</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policy block sits at the low end, not because its substance is peripheral but because its metadata surface is thin</w:t>
      </w:r>
      <w:r>
        <w:t xml:space="preserve"> </w:t>
      </w:r>
      <w:hyperlink w:anchor="ref-10">
        <w:r>
          <w:rPr>
            <w:rStyle w:val="Hyperlink"/>
          </w:rPr>
          <w:t xml:space="preserve">[10]</w:t>
        </w:r>
      </w:hyperlink>
      <w:r>
        <w:t xml:space="preserve">. This pattern foreshadows a negative venue coefficient that is real in the data and partly artifactual in meaning.</w:t>
      </w:r>
    </w:p>
    <w:p>
      <w:pPr>
        <w:pStyle w:val="BodyText"/>
        <w:spacing w:line="480" w:lineRule="auto"/>
        <w:ind w:firstLine="720"/>
      </w:pPr>
      <w:r>
        <w:t xml:space="preserve">Citation counts tell an even starker descriptive story. The overwhelming majority of records report zero, a scattering report a handful, and only the two oldest journal records report counts in the double digits or higher. This extreme right-skew, concentrated on the oldest records, is exactly the configuration that produces a positive but fragile learning-curve slope: the high-age records carry the high counts, so age and citations co-vary, but the co-variation rests on so few points that its statistical support is thin</w:t>
      </w:r>
      <w:r>
        <w:t xml:space="preserve"> </w:t>
      </w:r>
      <w:hyperlink w:anchor="ref-2">
        <w:r>
          <w:rPr>
            <w:rStyle w:val="Hyperlink"/>
          </w:rPr>
          <w:t xml:space="preserve">[2]</w:t>
        </w:r>
      </w:hyperlink>
      <w:r>
        <w:t xml:space="preserve">. A reader who absorbs this descriptive fact will not be surprised when the temporal model returns a positive elasticity with a wide p-value.</w:t>
      </w:r>
    </w:p>
    <w:p>
      <w:pPr>
        <w:pStyle w:val="BodyText"/>
        <w:spacing w:line="480" w:lineRule="auto"/>
        <w:ind w:firstLine="720"/>
      </w:pPr>
      <w:r>
        <w:t xml:space="preserve">Recency and age, being mirror images, spread the records fairly evenly across the last decade, with a cluster of recent conference and journal work and a thinner tail of older journal articles. There is no strong recency concentration of high-signal records, which anticipates the weak, insignificant recency coefficient the first model will report. Laying out these descriptive patterns is not padding; it is the bridge that lets Chapter 6 read as the formalization of a story already visible in the rows, which is the strongest form a screen’s results can take.</w:t>
      </w:r>
    </w:p>
    <w:bookmarkEnd w:id="117"/>
    <w:bookmarkStart w:id="118" w:name="measurement-validity-weighed-honestly"/>
    <w:p>
      <w:pPr>
        <w:pStyle w:val="Heading2"/>
        <w:spacing w:line="480" w:lineRule="auto"/>
      </w:pPr>
      <w:r>
        <w:t xml:space="preserve">5.8 Measurement validity, weighed honestly</w:t>
      </w:r>
    </w:p>
    <w:p>
      <w:pPr>
        <w:pStyle w:val="FirstParagraph"/>
        <w:spacing w:line="480" w:lineRule="auto"/>
      </w:pPr>
      <w:r>
        <w:t xml:space="preserve">Measurement validity is the fit between what a variable claims to capture and what it actually captures, and each variable in this design deserves a candid verdict. The signal score has good coverage but imperfect validity, because it captures topical centrality only through the lens of metadata richness, so a central record with a thin keyword field is undercounted</w:t>
      </w:r>
      <w:r>
        <w:t xml:space="preserve"> </w:t>
      </w:r>
      <w:hyperlink w:anchor="ref-10">
        <w:r>
          <w:rPr>
            <w:rStyle w:val="Hyperlink"/>
          </w:rPr>
          <w:t xml:space="preserve">[10]</w:t>
        </w:r>
      </w:hyperlink>
      <w:r>
        <w:t xml:space="preserve">. The recency and age indices have high validity, because publication year is recorded directly and the transforms are simple and deterministic; little can go wrong between the construct and the measure. The venue score has moderate validity as a measure of publication family and low validity as a measure of substantive community engagement, a distinction the results chapter must keep in view.</w:t>
      </w:r>
    </w:p>
    <w:p>
      <w:pPr>
        <w:pStyle w:val="BodyText"/>
        <w:spacing w:line="480" w:lineRule="auto"/>
        <w:ind w:firstLine="720"/>
      </w:pPr>
      <w:r>
        <w:t xml:space="preserve">The citation count has the weakest validity of the four, and the design says so plainly. It captures reported attention only as the local index recorded it, conflates true zeros with missing values, and reflects a single index’s coverage rather than the field’s full citation traffic</w:t>
      </w:r>
      <w:r>
        <w:t xml:space="preserve"> </w:t>
      </w:r>
      <w:hyperlink w:anchor="ref-2">
        <w:r>
          <w:rPr>
            <w:rStyle w:val="Hyperlink"/>
          </w:rPr>
          <w:t xml:space="preserve">[2]</w:t>
        </w:r>
      </w:hyperlink>
      <w:r>
        <w:t xml:space="preserve">. This is acceptable for a screen, whose job is to detect gross structure, but it would be unacceptable for a study claiming to measure attention precisely. Stating each variable’s validity verdict here, rather than leaving it implicit, lets a reader calibrate how much weight to place on each coefficient before reaching the results.</w:t>
      </w:r>
    </w:p>
    <w:bookmarkEnd w:id="118"/>
    <w:bookmarkStart w:id="119" w:name="why-this-data-strategy-suits-a-screen"/>
    <w:p>
      <w:pPr>
        <w:pStyle w:val="Heading2"/>
        <w:spacing w:line="480" w:lineRule="auto"/>
      </w:pPr>
      <w:r>
        <w:t xml:space="preserve">5.9 Why this data strategy suits a screen</w:t>
      </w:r>
    </w:p>
    <w:p>
      <w:pPr>
        <w:pStyle w:val="FirstParagraph"/>
        <w:spacing w:line="480" w:lineRule="auto"/>
      </w:pPr>
      <w:r>
        <w:t xml:space="preserve">The data strategy is modest by construction, and the modesty is a match to the design’s purpose rather than a shortfall. A screen needs variables that are cheap to build, transparent to audit, and deterministic to reproduce, and it can tolerate proxies that a definitive study could not</w:t>
      </w:r>
      <w:r>
        <w:t xml:space="preserve"> </w:t>
      </w:r>
      <w:hyperlink w:anchor="ref-1">
        <w:r>
          <w:rPr>
            <w:rStyle w:val="Hyperlink"/>
          </w:rPr>
          <w:t xml:space="preserve">[1]</w:t>
        </w:r>
      </w:hyperlink>
      <w:r>
        <w:t xml:space="preserve">. The thirty-record pack, the mechanical coding rules, and the single-index citation counts all satisfy those needs. They would fail a study that aimed to measure the field’s timing-resilience evidence base with precision, but that is not this study. This study asks whether gross structure is present in a documented corpus, and for that question a transparent, reproducible, proxy-based dataset is exactly the right instrument. The chapter’s closing claim is therefore not that the data are ideal, but that they are honestly characterized and well matched to the bounded question the manuscript set out to answer</w:t>
      </w:r>
      <w:r>
        <w:t xml:space="preserve"> </w:t>
      </w:r>
      <w:hyperlink w:anchor="ref-4">
        <w:r>
          <w:rPr>
            <w:rStyle w:val="Hyperlink"/>
          </w:rPr>
          <w:t xml:space="preserve">[4]</w:t>
        </w:r>
      </w:hyperlink>
      <w:r>
        <w:t xml:space="preserve">. A dataset that knows its own limits, and states them at the level of individual variables and coding rules, is the firmest ground a modest screen can stand on, and it is the ground the results chapter now builds upon</w:t>
      </w:r>
      <w:r>
        <w:t xml:space="preserve"> </w:t>
      </w:r>
      <w:hyperlink w:anchor="ref-2">
        <w:r>
          <w:rPr>
            <w:rStyle w:val="Hyperlink"/>
          </w:rPr>
          <w:t xml:space="preserve">[2]</w:t>
        </w:r>
      </w:hyperlink>
      <w:r>
        <w:t xml:space="preserve">. The thirty rows are few, the proxies are imperfect, and the provenance is complete, and it is the last of those three properties that lets the first two be forgiven, because a reader can see exactly what was measured and exactly where it falls short</w:t>
      </w:r>
      <w:r>
        <w:t xml:space="preserve"> </w:t>
      </w:r>
      <w:hyperlink w:anchor="ref-1">
        <w:r>
          <w:rPr>
            <w:rStyle w:val="Hyperlink"/>
          </w:rPr>
          <w:t xml:space="preserve">[1]</w:t>
        </w:r>
      </w:hyperlink>
      <w:r>
        <w:t xml:space="preserve">.</w:t>
      </w:r>
    </w:p>
    <w:bookmarkEnd w:id="119"/>
    <w:bookmarkEnd w:id="120"/>
    <w:bookmarkStart w:id="133" w:name="chapter-6.-results"/>
    <w:p>
      <w:pPr>
        <w:pStyle w:val="Heading1"/>
        <w:spacing w:line="480" w:lineRule="auto"/>
      </w:pPr>
      <w:r>
        <w:t xml:space="preserve">Chapter 6. Results</w:t>
      </w:r>
    </w:p>
    <w:p>
      <w:pPr>
        <w:pStyle w:val="FirstParagraph"/>
        <w:spacing w:line="480" w:lineRule="auto"/>
      </w:pPr>
      <w:r>
        <w:t xml:space="preserve">This chapter reports the estimator output exactly as the two workbooks produced it and interprets the signs and magnitudes without inflating them. The order is the same as the design: first the cross-sectional model of topic-signal intensity, then the temporal model of citation accumulation. Every number below is a workbook result. Where a coefficient is precise, the interpretation follows the number; where a coefficient is imprecise, the imprecision is reported as evidence about the limits of the retained corpus rather than smoothed into a story the data do not support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21" w:name="the-cross-sectional-model"/>
    <w:p>
      <w:pPr>
        <w:pStyle w:val="Heading2"/>
        <w:spacing w:line="480" w:lineRule="auto"/>
      </w:pPr>
      <w:r>
        <w:t xml:space="preserve">6.1 The cross-sectional model</w:t>
      </w:r>
    </w:p>
    <w:p>
      <w:pPr>
        <w:pStyle w:val="FirstParagraph"/>
        <w:spacing w:line="480" w:lineRule="auto"/>
      </w:pPr>
      <w:r>
        <w:t xml:space="preserve">The first model is an ordinary least squares regression of the topic-signal score on the recency index, the reported citation count, and the ordinal venue-family score, estimated with heteroskedasticity-consistent HC1 standard errors on the full sample of thirty records. The overall fit is:</w:t>
      </w:r>
    </w:p>
    <w:p>
      <w:pPr>
        <w:pStyle w:val="Compact"/>
        <w:spacing w:line="480" w:lineRule="auto"/>
        <w:numPr>
          <w:ilvl w:val="0"/>
          <w:numId w:val="1001"/>
        </w:numPr>
      </w:pPr>
      <w:r>
        <w:t xml:space="preserve">N = 30</w:t>
      </w:r>
    </w:p>
    <w:p>
      <w:pPr>
        <w:pStyle w:val="Compact"/>
        <w:spacing w:line="480" w:lineRule="auto"/>
        <w:numPr>
          <w:ilvl w:val="0"/>
          <w:numId w:val="1001"/>
        </w:numPr>
      </w:pPr>
      <w:r>
        <w:t xml:space="preserve">R-squared = 0.21902666811215943</w:t>
      </w:r>
    </w:p>
    <w:p>
      <w:pPr>
        <w:pStyle w:val="Compact"/>
        <w:spacing w:line="480" w:lineRule="auto"/>
        <w:numPr>
          <w:ilvl w:val="0"/>
          <w:numId w:val="1001"/>
        </w:numPr>
      </w:pPr>
      <w:r>
        <w:t xml:space="preserve">Adjusted R-squared = 0.1289143605866393</w:t>
      </w:r>
    </w:p>
    <w:p>
      <w:pPr>
        <w:pStyle w:val="Compact"/>
        <w:spacing w:line="480" w:lineRule="auto"/>
        <w:numPr>
          <w:ilvl w:val="0"/>
          <w:numId w:val="1001"/>
        </w:numPr>
      </w:pPr>
      <w:r>
        <w:t xml:space="preserve">F = 2.26533562574135</w:t>
      </w:r>
    </w:p>
    <w:p>
      <w:pPr>
        <w:pStyle w:val="Compact"/>
        <w:spacing w:line="480" w:lineRule="auto"/>
        <w:numPr>
          <w:ilvl w:val="0"/>
          <w:numId w:val="1001"/>
        </w:numPr>
      </w:pPr>
      <w:r>
        <w:t xml:space="preserve">Prob(F) = 0.10455886607591813</w:t>
      </w:r>
    </w:p>
    <w:p>
      <w:pPr>
        <w:pStyle w:val="FirstParagraph"/>
        <w:spacing w:line="480" w:lineRule="auto"/>
      </w:pPr>
      <w:r>
        <w:t xml:space="preserve">The term-level estimates are:</w:t>
      </w:r>
    </w:p>
    <w:p>
      <w:pPr>
        <w:pStyle w:val="Compact"/>
        <w:spacing w:line="480" w:lineRule="auto"/>
        <w:numPr>
          <w:ilvl w:val="0"/>
          <w:numId w:val="1002"/>
        </w:numPr>
      </w:pPr>
      <w:r>
        <w:t xml:space="preserve">Constant: coefficient = 6.026668649203177, p = 0.009881465988027218</w:t>
      </w:r>
    </w:p>
    <w:p>
      <w:pPr>
        <w:pStyle w:val="Compact"/>
        <w:spacing w:line="480" w:lineRule="auto"/>
        <w:numPr>
          <w:ilvl w:val="0"/>
          <w:numId w:val="1002"/>
        </w:numPr>
      </w:pPr>
      <w:r>
        <w:t xml:space="preserve">recency_index: coefficient = 0.0861232664233256, p = 0.6947364042741546</w:t>
      </w:r>
    </w:p>
    <w:p>
      <w:pPr>
        <w:pStyle w:val="Compact"/>
        <w:spacing w:line="480" w:lineRule="auto"/>
        <w:numPr>
          <w:ilvl w:val="0"/>
          <w:numId w:val="1002"/>
        </w:numPr>
      </w:pPr>
      <w:r>
        <w:t xml:space="preserve">cites_num: coefficient = -0.020877055629072754, p = 0.6834751402819195</w:t>
      </w:r>
    </w:p>
    <w:p>
      <w:pPr>
        <w:pStyle w:val="Compact"/>
        <w:spacing w:line="480" w:lineRule="auto"/>
        <w:numPr>
          <w:ilvl w:val="0"/>
          <w:numId w:val="1002"/>
        </w:numPr>
      </w:pPr>
      <w:r>
        <w:t xml:space="preserve">venue_score: coefficient = -1.537135152500214, p = 0.016364828813109633</w:t>
      </w:r>
    </w:p>
    <w:p>
      <w:pPr>
        <w:pStyle w:val="FirstParagraph"/>
        <w:spacing w:line="480" w:lineRule="auto"/>
      </w:pPr>
      <w:r>
        <w:t xml:space="preserve">The model accounts for about twenty-two percent of the variation in signal score, with an adjusted figure near thirteen percent once the three predictors are penalized. The joint test carries a p-value of roughly 0.105, so the three predictors together do not clear a conventional five-percent threshold for joint significance. That is the first fact to state plainly. As a set, recency, citations, and venue do not deliver a jointly significant account of topic-signal intensity in this corpus.</w:t>
      </w:r>
    </w:p>
    <w:bookmarkEnd w:id="121"/>
    <w:bookmarkStart w:id="122" w:name="reading-the-individual-coefficients"/>
    <w:p>
      <w:pPr>
        <w:pStyle w:val="Heading2"/>
        <w:spacing w:line="480" w:lineRule="auto"/>
      </w:pPr>
      <w:r>
        <w:t xml:space="preserve">6.2 Reading the individual coefficients</w:t>
      </w:r>
    </w:p>
    <w:p>
      <w:pPr>
        <w:pStyle w:val="FirstParagraph"/>
        <w:spacing w:line="480" w:lineRule="auto"/>
      </w:pPr>
      <w:r>
        <w:t xml:space="preserve">Underneath the joint test, the individual terms diverge sharply, and the divergence is the substance of the finding. The constant is large and precise, coefficient 6.026668649203177 with a p-value of 0.009881465988027218. It represents the expected signal score for a record at the model’s baseline, a recent conference record with zero indexed citations, and its precision simply reflects that records in this corpus carry a substantial baseline topic signal before any predictor moves it.</w:t>
      </w:r>
    </w:p>
    <w:p>
      <w:pPr>
        <w:pStyle w:val="BodyText"/>
        <w:spacing w:line="480" w:lineRule="auto"/>
        <w:ind w:firstLine="720"/>
      </w:pPr>
      <w:r>
        <w:t xml:space="preserve">The recency coefficient is 0.0861232664233256 with a p-value of 0.6947364042741546. Its sign is positive, which is the direction the emergence reading predicts: newer records tend, very weakly, toward higher signal. Its magnitude is tiny and its p-value is far from any threshold of significance. So the honest reading is that recency carries no reliable association with topic signal here. The positive sign is consistent with emergence but cannot be leaned on, because the estimate is statistically indistinguishable from zero. Under the evidence ladder of Chapter 3, this rests on the third rung: a well-characterized non-result about breadth in the time dimension.</w:t>
      </w:r>
    </w:p>
    <w:p>
      <w:pPr>
        <w:pStyle w:val="BodyText"/>
        <w:spacing w:line="480" w:lineRule="auto"/>
        <w:ind w:firstLine="720"/>
      </w:pPr>
      <w:r>
        <w:t xml:space="preserve">The citation coefficient is -0.020877055629072754 with a p-value of 0.6834751402819195. Its sign is negative and its magnitude is near zero, and it too is far from significant. The negative sign is substantively interesting but evidentially empty: it would suggest, if anything, that more-cited records speak slightly less strongly to the topic, which is exactly what one would expect when the nonzero citations concentrate on older archival-journal articles whose subjects sit adjacent to timing resilience rather than at its center</w:t>
      </w:r>
      <w:r>
        <w:t xml:space="preserve"> </w:t>
      </w:r>
      <w:hyperlink w:anchor="ref-9">
        <w:r>
          <w:rPr>
            <w:rStyle w:val="Hyperlink"/>
          </w:rPr>
          <w:t xml:space="preserve">[9]</w:t>
        </w:r>
      </w:hyperlink>
      <w:r>
        <w:t xml:space="preserve"> </w:t>
      </w:r>
      <w:hyperlink w:anchor="ref-16">
        <w:r>
          <w:rPr>
            <w:rStyle w:val="Hyperlink"/>
          </w:rPr>
          <w:t xml:space="preserve">[16]</w:t>
        </w:r>
      </w:hyperlink>
      <w:r>
        <w:t xml:space="preserve">. Because the estimate cannot be distinguished from zero, the design declines to build any claim on the sign. It is reported, and it is set aside.</w:t>
      </w:r>
    </w:p>
    <w:p>
      <w:pPr>
        <w:pStyle w:val="BodyText"/>
        <w:spacing w:line="480" w:lineRule="auto"/>
        <w:ind w:firstLine="720"/>
      </w:pPr>
      <w:r>
        <w:t xml:space="preserve">The venue coefficient is the one precise slope in the model: -1.537135152500214 with a p-value of 0.016364828813109633. It clears the five-percent threshold. Moving up the ordinal venue scale, from conference proceedings toward the policy and space-economy set, is associated with a substantial drop in signal score of about one and a half points per step. This is a real association inside the retained corpus, and it must be read with the caution the measurement chapter installed. The venue scale encodes publication family, and the policy set carries sparse keyword and snippet fields, which mechanically limits the surface on which theme terms can land</w:t>
      </w:r>
      <w:r>
        <w:t xml:space="preserve"> </w:t>
      </w:r>
      <w:hyperlink w:anchor="ref-10">
        <w:r>
          <w:rPr>
            <w:rStyle w:val="Hyperlink"/>
          </w:rPr>
          <w:t xml:space="preserve">[10]</w:t>
        </w:r>
      </w:hyperlink>
      <w:r>
        <w:t xml:space="preserve">. So the venue coefficient partly measures how much scoreable metadata each venue family exposes, not only how strongly each family engages the topic. It is a precise finding about the record, correctly signed for a metadata-availability effect, and it should not be over-read as a substantive verdict that policy venues care less about timing resilience.</w:t>
      </w:r>
    </w:p>
    <w:bookmarkEnd w:id="122"/>
    <w:bookmarkStart w:id="123" w:name="what-the-first-model-establishes"/>
    <w:p>
      <w:pPr>
        <w:pStyle w:val="Heading2"/>
        <w:spacing w:line="480" w:lineRule="auto"/>
      </w:pPr>
      <w:r>
        <w:t xml:space="preserve">6.3 What the first model establishes</w:t>
      </w:r>
    </w:p>
    <w:p>
      <w:pPr>
        <w:pStyle w:val="FirstParagraph"/>
        <w:spacing w:line="480" w:lineRule="auto"/>
      </w:pPr>
      <w:r>
        <w:t xml:space="preserve">Taken as a whole, the first model returns one precise coefficient, on venue, and two imprecise ones, on recency and citations, with a joint test that does not reach significance. The breadth face of emergence is therefore only weakly visible in this corpus. The topic does not show a reliable tendency to concentrate in newer or more-cited records once venue is held fixed. What it shows instead is a venue-family gradient that is at least partly a metadata artifact. This is a bounded, defensible result. It says the cross-sectional structure is thin and that the one strong signal in it needs careful, non-substantive interpretation, which is precisely the kind of caution a governance reader should want before treating a program-level resilience claim as settled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23"/>
    <w:bookmarkStart w:id="124" w:name="X6c0e40ef06d758ee0665a636a4aca47680f0b16"/>
    <w:p>
      <w:pPr>
        <w:pStyle w:val="Heading2"/>
        <w:spacing w:line="480" w:lineRule="auto"/>
      </w:pPr>
      <w:r>
        <w:t xml:space="preserve">6.3a The joint test and the adjusted fit, read together</w:t>
      </w:r>
    </w:p>
    <w:p>
      <w:pPr>
        <w:pStyle w:val="FirstParagraph"/>
        <w:spacing w:line="480" w:lineRule="auto"/>
      </w:pPr>
      <w:r>
        <w:t xml:space="preserve">Two summary statistics deserve to be read against each other before moving on, because together they discipline any enthusiasm about the venue result. The R-squared of 0.21902666811215943 says the three predictors jointly account for roughly twenty-two percent of the variation in signal score. The adjusted R-squared of 0.1289143605866393 says that once the model is penalized for spending three degrees of freedom on thirty records, the honest explanatory share falls to about thirteen percent. The gap between the two figures is the visible cost of the small sample, and it is a reminder that even the portion of variation the model captures is captured with the help of predictors that are, individually, mostly weak.</w:t>
      </w:r>
    </w:p>
    <w:p>
      <w:pPr>
        <w:pStyle w:val="BodyText"/>
        <w:spacing w:line="480" w:lineRule="auto"/>
        <w:ind w:firstLine="720"/>
      </w:pPr>
      <w:r>
        <w:t xml:space="preserve">The joint F-statistic of 2.26533562574135, with a probability of 0.10455886607591813, ties the summary together. It says that the three predictors as a set do not reach conventional joint significance. This is the correct lens for the venue coefficient. A single term can clear the five-percent threshold while the model as a whole does not, and when that happens the responsible reading is that the significant term is carrying most of the model’s limited explanatory weight rather than sitting atop a broadly significant structure. The venue effect is real within the corpus, but it lives inside a model that, taken whole, does not establish that recency, citations, and venue jointly organize topic signal.</w:t>
      </w:r>
    </w:p>
    <w:bookmarkEnd w:id="124"/>
    <w:bookmarkStart w:id="125" w:name="b-a-sensitivity-reading-in-words"/>
    <w:p>
      <w:pPr>
        <w:pStyle w:val="Heading2"/>
        <w:spacing w:line="480" w:lineRule="auto"/>
      </w:pPr>
      <w:r>
        <w:t xml:space="preserve">6.3b A sensitivity reading in words</w:t>
      </w:r>
    </w:p>
    <w:p>
      <w:pPr>
        <w:pStyle w:val="FirstParagraph"/>
        <w:spacing w:line="480" w:lineRule="auto"/>
      </w:pPr>
      <w:r>
        <w:t xml:space="preserve">Although the design is a fixed screen rather than an exercise in specification search, it is worth reasoning through what the coefficients imply under mild perturbation, because that reasoning bounds how much weight the venue result can bear. The venue coefficient of -1.537135152500214 is precise, but its precision rests on the systematic metadata-surface difference between the conference block and the policy block described in Chapter 5</w:t>
      </w:r>
      <w:r>
        <w:t xml:space="preserve"> </w:t>
      </w:r>
      <w:hyperlink w:anchor="ref-10">
        <w:r>
          <w:rPr>
            <w:rStyle w:val="Hyperlink"/>
          </w:rPr>
          <w:t xml:space="preserve">[10]</w:t>
        </w:r>
      </w:hyperlink>
      <w:r>
        <w:t xml:space="preserve">. Were the policy records replaced with policy sources carrying richer metadata, the venue gradient would be expected to shrink, because much of what the coefficient measures is scoreable surface rather than substantive distance from the topic. This is not a claim the thirty rows can test directly; it is a structural inference from how the signal score is built, and it is the reason the discussion chapter refuses to read the venue term as a substantive verdict.</w:t>
      </w:r>
    </w:p>
    <w:p>
      <w:pPr>
        <w:pStyle w:val="BodyText"/>
        <w:spacing w:line="480" w:lineRule="auto"/>
        <w:ind w:firstLine="720"/>
      </w:pPr>
      <w:r>
        <w:t xml:space="preserve">The recency and citation coefficients, being statistically indistinguishable from zero at p-values of 0.6947364042741546 and 0.6834751402819195 respectively, would not be expected to stabilize into significance under any mild reweighting of a corpus this size and this thin in citations. Their instability is a property of the record, not an artifact awaiting a better specification. Reasoning this through in words, rather than mining alternative specifications, keeps faith with the pre-registered posture while still telling the reader how robust each result is.</w:t>
      </w:r>
    </w:p>
    <w:p>
      <w:pPr>
        <w:pStyle w:val="BodyText"/>
        <w:spacing w:line="480" w:lineRule="auto"/>
        <w:ind w:firstLine="720"/>
      </w:pPr>
      <w:r>
        <w:t xml:space="preserve">Structure is thin here. One precise slope, and it is confounded.</w:t>
      </w:r>
    </w:p>
    <w:bookmarkEnd w:id="125"/>
    <w:bookmarkStart w:id="126" w:name="the-temporal-model"/>
    <w:p>
      <w:pPr>
        <w:pStyle w:val="Heading2"/>
        <w:spacing w:line="480" w:lineRule="auto"/>
      </w:pPr>
      <w:r>
        <w:t xml:space="preserve">6.4 The temporal model</w:t>
      </w:r>
    </w:p>
    <w:p>
      <w:pPr>
        <w:pStyle w:val="FirstParagraph"/>
        <w:spacing w:line="480" w:lineRule="auto"/>
      </w:pPr>
      <w:r>
        <w:t xml:space="preserve">The second model is a log-log learning-curve regression of citations-plus-one on the age index, estimated with HC1 standard errors on the same thirty records. The output is:</w:t>
      </w:r>
    </w:p>
    <w:p>
      <w:pPr>
        <w:pStyle w:val="Compact"/>
        <w:spacing w:line="480" w:lineRule="auto"/>
        <w:numPr>
          <w:ilvl w:val="0"/>
          <w:numId w:val="1003"/>
        </w:numPr>
      </w:pPr>
      <w:r>
        <w:t xml:space="preserve">N = 30</w:t>
      </w:r>
    </w:p>
    <w:p>
      <w:pPr>
        <w:pStyle w:val="Compact"/>
        <w:spacing w:line="480" w:lineRule="auto"/>
        <w:numPr>
          <w:ilvl w:val="0"/>
          <w:numId w:val="1003"/>
        </w:numPr>
      </w:pPr>
      <w:r>
        <w:t xml:space="preserve">R-squared = 0.04770042684577236</w:t>
      </w:r>
    </w:p>
    <w:p>
      <w:pPr>
        <w:pStyle w:val="Compact"/>
        <w:spacing w:line="480" w:lineRule="auto"/>
        <w:numPr>
          <w:ilvl w:val="0"/>
          <w:numId w:val="1003"/>
        </w:numPr>
      </w:pPr>
      <w:r>
        <w:t xml:space="preserve">Elasticity (slope on ln age) = 0.41842725578272233</w:t>
      </w:r>
    </w:p>
    <w:p>
      <w:pPr>
        <w:pStyle w:val="Compact"/>
        <w:spacing w:line="480" w:lineRule="auto"/>
        <w:numPr>
          <w:ilvl w:val="0"/>
          <w:numId w:val="1003"/>
        </w:numPr>
      </w:pPr>
      <w:r>
        <w:t xml:space="preserve">Progress ratio, two raised to the elasticity = 1.3364698168494107</w:t>
      </w:r>
    </w:p>
    <w:p>
      <w:pPr>
        <w:pStyle w:val="FirstParagraph"/>
        <w:spacing w:line="480" w:lineRule="auto"/>
      </w:pPr>
      <w:r>
        <w:t xml:space="preserve">The term-level estimates are:</w:t>
      </w:r>
    </w:p>
    <w:p>
      <w:pPr>
        <w:pStyle w:val="Compact"/>
        <w:spacing w:line="480" w:lineRule="auto"/>
        <w:numPr>
          <w:ilvl w:val="0"/>
          <w:numId w:val="1004"/>
        </w:numPr>
      </w:pPr>
      <w:r>
        <w:t xml:space="preserve">Constant: coefficient = -0.052310741783178405, p = 0.9043766296294278</w:t>
      </w:r>
    </w:p>
    <w:p>
      <w:pPr>
        <w:pStyle w:val="Compact"/>
        <w:spacing w:line="480" w:lineRule="auto"/>
        <w:numPr>
          <w:ilvl w:val="0"/>
          <w:numId w:val="1004"/>
        </w:numPr>
      </w:pPr>
      <w:r>
        <w:t xml:space="preserve">ln(age_index): coefficient = 0.41842725578272233, p = 0.24783318782386488</w:t>
      </w:r>
    </w:p>
    <w:p>
      <w:pPr>
        <w:pStyle w:val="FirstParagraph"/>
        <w:spacing w:line="480" w:lineRule="auto"/>
      </w:pPr>
      <w:r>
        <w:t xml:space="preserve">The elasticity of citations with respect to age is 0.41842725578272233, and it is positive, the direction the depth reading predicts. Older records do tend to carry more accumulated citation attention, and the progress ratio of 1.3364698168494107 gives the magnitude a concrete handle: when a record’s age index doubles, its citations-plus-one scale upward by roughly a third. That is a modest but non-trivial accumulation slope on its face.</w:t>
      </w:r>
    </w:p>
    <w:p>
      <w:pPr>
        <w:pStyle w:val="BodyText"/>
        <w:spacing w:line="480" w:lineRule="auto"/>
        <w:ind w:firstLine="720"/>
      </w:pPr>
      <w:r>
        <w:t xml:space="preserve">The precision tells the sober part of the story. The age coefficient carries a p-value of 0.24783318782386488, well short of significance, and the constant is essentially zero and imprecise at a p-value of 0.9043766296294278. The model explains under five percent of the variation in log citations. So the positive elasticity is a suggestive shape, not a demonstrated law. The depth face of emergence is present in sign but not established in significance.</w:t>
      </w:r>
    </w:p>
    <w:bookmarkEnd w:id="126"/>
    <w:bookmarkStart w:id="127" w:name="X2ddf8291abf02fb6d272237f4549960dea565b9"/>
    <w:p>
      <w:pPr>
        <w:pStyle w:val="Heading2"/>
        <w:spacing w:line="480" w:lineRule="auto"/>
      </w:pPr>
      <w:r>
        <w:t xml:space="preserve">6.5 Reading the temporal model against the raw rows</w:t>
      </w:r>
    </w:p>
    <w:p>
      <w:pPr>
        <w:pStyle w:val="FirstParagraph"/>
        <w:spacing w:line="480" w:lineRule="auto"/>
      </w:pPr>
      <w:r>
        <w:t xml:space="preserve">The imprecision is not a mystery; the data section already anticipated it. Citation depth in this corpus is thin and driven by a handful of points. Most records report zero indexed citations, and the accumulated attention lives on a few older archival-journal articles</w:t>
      </w:r>
      <w:r>
        <w:t xml:space="preserve"> </w:t>
      </w:r>
      <w:hyperlink w:anchor="ref-9">
        <w:r>
          <w:rPr>
            <w:rStyle w:val="Hyperlink"/>
          </w:rPr>
          <w:t xml:space="preserve">[9]</w:t>
        </w:r>
      </w:hyperlink>
      <w:r>
        <w:t xml:space="preserve"> </w:t>
      </w:r>
      <w:hyperlink w:anchor="ref-16">
        <w:r>
          <w:rPr>
            <w:rStyle w:val="Hyperlink"/>
          </w:rPr>
          <w:t xml:space="preserve">[16]</w:t>
        </w:r>
      </w:hyperlink>
      <w:r>
        <w:t xml:space="preserve">. A learning curve fit to a cloud of ones, punctuated by a few large values on the oldest records, will recover a positive slope, because the large values sit at high age, but it will recover that slope imprecisely, because a few influential points cannot pin down a population curve. The low R-squared and the wide p-value are the honest fingerprints of exactly that situation. The elasticity is real arithmetic on the retained rows; it is simply not backed by enough independent accumulation to be called significant.</w:t>
      </w:r>
    </w:p>
    <w:bookmarkEnd w:id="127"/>
    <w:bookmarkStart w:id="128" w:name="the-two-results-read-together"/>
    <w:p>
      <w:pPr>
        <w:pStyle w:val="Heading2"/>
        <w:spacing w:line="480" w:lineRule="auto"/>
      </w:pPr>
      <w:r>
        <w:t xml:space="preserve">6.6 The two results read together</w:t>
      </w:r>
    </w:p>
    <w:p>
      <w:pPr>
        <w:pStyle w:val="FirstParagraph"/>
        <w:spacing w:line="480" w:lineRule="auto"/>
      </w:pPr>
      <w:r>
        <w:t xml:space="preserve">The two models answer different questions and together return a coherent, bounded picture. The cross-sectional model finds thin breadth: no reliable recency or citation association, and a venue gradient that is precise but partly a metadata artifact. The temporal model finds suggestive but unestablished depth: a positive citation-age elasticity of 0.41842725578272233 that does not reach significance. Neither model, on its own or in combination, delivers a strong, jointly significant demonstration that GNSS-disciplined timing resilience has fully emerged as a structured, attention-bearing literature in this retained corpus.</w:t>
      </w:r>
    </w:p>
    <w:p>
      <w:pPr>
        <w:pStyle w:val="BodyText"/>
        <w:spacing w:line="480" w:lineRule="auto"/>
        <w:ind w:firstLine="720"/>
      </w:pPr>
      <w:r>
        <w:t xml:space="preserve">That is a legitimate and useful finding, not a disappointment. Under the pre-registered ladder, the design set out to let the data say no, and on the strongest reading of emergence the data have largely said</w:t>
      </w:r>
      <w:r>
        <w:t xml:space="preserve"> </w:t>
      </w:r>
      <w:r>
        <w:t xml:space="preserve">“not yet, not in this pack.”</w:t>
      </w:r>
      <w:r>
        <w:t xml:space="preserve"> </w:t>
      </w:r>
      <w:r>
        <w:t xml:space="preserve">The one precise coefficient, on venue, is correctly flagged as partly artifactual rather than paraded as a discovery. The one directional result of interest, the positive age elasticity, is reported with its true, insignificant p-value rather than dressed up. Chapter 7 takes these bounded results and asks what they mean for the timing-claim problem, what threatens their validity, and what a stronger design would have to measure to convert this screen into a causal statement</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28"/>
    <w:bookmarkStart w:id="129" w:name="X731562d74ae64474acdc67111b817708445ee87"/>
    <w:p>
      <w:pPr>
        <w:pStyle w:val="Heading2"/>
        <w:spacing w:line="480" w:lineRule="auto"/>
      </w:pPr>
      <w:r>
        <w:t xml:space="preserve">6.7 The progress ratio, interpreted for a non-technical reader</w:t>
      </w:r>
    </w:p>
    <w:p>
      <w:pPr>
        <w:pStyle w:val="FirstParagraph"/>
        <w:spacing w:line="480" w:lineRule="auto"/>
      </w:pPr>
      <w:r>
        <w:t xml:space="preserve">Because the progress ratio of 1.3364698168494107 will reach readers who do not work in log-log terms, it is worth translating once, plainly. The ratio answers a single question: when a record’s age index doubles, by what factor does its citations-plus-one measure scale? The answer, roughly one-and-a-third, means that a record twice as old carries, on the fitted curve, about thirty-three percent more accumulated attention. That is a real and non-trivial accumulation rate on its face, the kind of number that, if it were precisely estimated, would count as evidence of a maturing field.</w:t>
      </w:r>
    </w:p>
    <w:p>
      <w:pPr>
        <w:pStyle w:val="BodyText"/>
        <w:spacing w:line="480" w:lineRule="auto"/>
        <w:ind w:firstLine="720"/>
      </w:pPr>
      <w:r>
        <w:t xml:space="preserve">The translation also makes the imprecision concrete. A progress ratio of 1.336 sits atop an elasticity of 0.41842725578272233 whose p-value is 0.24783318782386488, so the honest statement is that the curve’s shape is suggestive but the corpus cannot rule out that the true accumulation rate is flat. Reporting the interpretable magnitude and the insignificant precision in the same breath is deliberate. It prevents the ratio from being quoted as a finding while still giving the reader the concrete handle the raw elasticity alone would not provide</w:t>
      </w:r>
      <w:r>
        <w:t xml:space="preserve"> </w:t>
      </w:r>
      <w:hyperlink w:anchor="ref-2">
        <w:r>
          <w:rPr>
            <w:rStyle w:val="Hyperlink"/>
          </w:rPr>
          <w:t xml:space="preserve">[2]</w:t>
        </w:r>
      </w:hyperlink>
      <w:r>
        <w:t xml:space="preserve">.</w:t>
      </w:r>
    </w:p>
    <w:bookmarkEnd w:id="129"/>
    <w:bookmarkStart w:id="130" w:name="Xa602c737c7112522aa74a62c43b7e078bd0871e"/>
    <w:p>
      <w:pPr>
        <w:pStyle w:val="Heading2"/>
        <w:spacing w:line="480" w:lineRule="auto"/>
      </w:pPr>
      <w:r>
        <w:t xml:space="preserve">6.8 What the two models jointly license and forbid</w:t>
      </w:r>
    </w:p>
    <w:p>
      <w:pPr>
        <w:pStyle w:val="FirstParagraph"/>
        <w:spacing w:line="480" w:lineRule="auto"/>
      </w:pPr>
      <w:r>
        <w:t xml:space="preserve">It is useful to close the results with an explicit ledger of what the numbers license and what they forbid, so that no downstream sentence can borrow more than the estimators gave. The numbers license three statements. They license saying that within the retained corpus, venue family is precisely associated with signal score, with the higher-coded families scoring lower by about 1.537135152500214 points per step</w:t>
      </w:r>
      <w:r>
        <w:t xml:space="preserve"> </w:t>
      </w:r>
      <w:hyperlink w:anchor="ref-10">
        <w:r>
          <w:rPr>
            <w:rStyle w:val="Hyperlink"/>
          </w:rPr>
          <w:t xml:space="preserve">[10]</w:t>
        </w:r>
      </w:hyperlink>
      <w:r>
        <w:t xml:space="preserve">. They license saying that recency and citation attention show no reliable association with signal score, at p-values of 0.6947364042741546 and 0.6834751402819195. And they license saying that citation accumulation rises with age at a positive but insignificant elasticity of 0.41842725578272233.</w:t>
      </w:r>
    </w:p>
    <w:p>
      <w:pPr>
        <w:pStyle w:val="BodyText"/>
        <w:spacing w:line="480" w:lineRule="auto"/>
        <w:ind w:firstLine="720"/>
      </w:pPr>
      <w:r>
        <w:t xml:space="preserve">The numbers forbid three tempting statements. They forbid claiming that the venue result shows policy communities engage the topic less, because the venue coefficient is entangled with metadata surface</w:t>
      </w:r>
      <w:r>
        <w:t xml:space="preserve"> </w:t>
      </w:r>
      <w:hyperlink w:anchor="ref-10">
        <w:r>
          <w:rPr>
            <w:rStyle w:val="Hyperlink"/>
          </w:rPr>
          <w:t xml:space="preserve">[10]</w:t>
        </w:r>
      </w:hyperlink>
      <w:r>
        <w:t xml:space="preserve">. They forbid claiming that the topic has demonstrably emerged as a structured literature, because the joint test at p = 0.10455886607591813 does not support it. And they forbid claiming that attention demonstrably accumulates with age, because the age slope does not reach significance. Holding to this ledger, statement by statement, is how the results chapter keeps the manuscript’s promise that every interpretive claim is anchored to a reported number</w:t>
      </w:r>
      <w:r>
        <w:t xml:space="preserve"> </w:t>
      </w:r>
      <w:hyperlink w:anchor="ref-4">
        <w:r>
          <w:rPr>
            <w:rStyle w:val="Hyperlink"/>
          </w:rPr>
          <w:t xml:space="preserve">[4]</w:t>
        </w:r>
      </w:hyperlink>
      <w:r>
        <w:t xml:space="preserve">.</w:t>
      </w:r>
    </w:p>
    <w:bookmarkEnd w:id="130"/>
    <w:bookmarkStart w:id="131" w:name="the-constant-terms-briefly"/>
    <w:p>
      <w:pPr>
        <w:pStyle w:val="Heading2"/>
        <w:spacing w:line="480" w:lineRule="auto"/>
      </w:pPr>
      <w:r>
        <w:t xml:space="preserve">6.9 The constant terms, briefly</w:t>
      </w:r>
    </w:p>
    <w:p>
      <w:pPr>
        <w:pStyle w:val="FirstParagraph"/>
        <w:spacing w:line="480" w:lineRule="auto"/>
      </w:pPr>
      <w:r>
        <w:t xml:space="preserve">The two constants deserve a short note, because a reader scanning the output should understand why one is precise and the other is not. In the first model the constant of 6.026668649203177 is significant at p = 0.009881465988027218, and its precision is unremarkable: it is the fitted baseline signal for a record at the low end of every predictor, and the corpus supplies enough such records to pin the baseline down. It carries no hypothesis; it is the anchor point for the slopes. In the second model the constant of -0.052310741783178405 is essentially zero and highly imprecise at p = 0.9043766296294278, which is exactly what a log-log intercept should look like when the age slope is doing all the work and the fit is weak. Neither constant supports a substantive claim, and the chapter flags them only so their contrasting precision is not mistaken for a finding.</w:t>
      </w:r>
    </w:p>
    <w:bookmarkEnd w:id="131"/>
    <w:bookmarkStart w:id="132" w:name="X612ce92fa28e81bbc60f5492e2defd22084287d"/>
    <w:p>
      <w:pPr>
        <w:pStyle w:val="Heading2"/>
        <w:spacing w:line="480" w:lineRule="auto"/>
      </w:pPr>
      <w:r>
        <w:t xml:space="preserve">6.10 Reading the results against the pre-registered priors</w:t>
      </w:r>
    </w:p>
    <w:p>
      <w:pPr>
        <w:pStyle w:val="FirstParagraph"/>
        <w:spacing w:line="480" w:lineRule="auto"/>
      </w:pPr>
      <w:r>
        <w:t xml:space="preserve">The final task of the chapter is to line each result up against the directional prior the framework attached to it, because that is the test the design actually pre-registered. The recency prior was positive; the estimate is positive at 0.0861232664233256 but insignificant, so the prior receives weak, non-decisive support. The citation prior was positive; the estimate is faintly negative at -0.020877055629072754 and insignificant, so the prior is not supported, though the diagnostic reason lies in corpus structure rather than in a genuine reversal. The venue term carried no clean directional prior, so its significant negative value confirms nothing about emergence and instead surfaces the metadata-availability confound the framework anticipated</w:t>
      </w:r>
      <w:r>
        <w:t xml:space="preserve"> </w:t>
      </w:r>
      <w:hyperlink w:anchor="ref-10">
        <w:r>
          <w:rPr>
            <w:rStyle w:val="Hyperlink"/>
          </w:rPr>
          <w:t xml:space="preserve">[10]</w:t>
        </w:r>
      </w:hyperlink>
      <w:r>
        <w:t xml:space="preserve">. The accumulation prior was positive; the elasticity is positive at 0.41842725578272233 but insignificant, so the depth reading receives the same weak, non-decisive support as breadth. Read against its own priors, the corpus confirms no alternative on the strong reading, which is the disciplined verdict the design set out to be able to render</w:t>
      </w:r>
      <w:r>
        <w:t xml:space="preserve"> </w:t>
      </w:r>
      <w:hyperlink w:anchor="ref-6">
        <w:r>
          <w:rPr>
            <w:rStyle w:val="Hyperlink"/>
          </w:rPr>
          <w:t xml:space="preserve">[6]</w:t>
        </w:r>
      </w:hyperlink>
      <w:r>
        <w:t xml:space="preserve">. That the design can state this verdict cleanly, prior by prior and number by number, is the practical proof that the pre-registration was real rather than ornamental, and it is the property that carries the interpretation intact into the discussion that follows</w:t>
      </w:r>
      <w:r>
        <w:t xml:space="preserve"> </w:t>
      </w:r>
      <w:hyperlink w:anchor="ref-4">
        <w:r>
          <w:rPr>
            <w:rStyle w:val="Hyperlink"/>
          </w:rPr>
          <w:t xml:space="preserve">[4]</w:t>
        </w:r>
      </w:hyperlink>
      <w:r>
        <w:t xml:space="preserve">.</w:t>
      </w:r>
    </w:p>
    <w:bookmarkEnd w:id="132"/>
    <w:bookmarkEnd w:id="133"/>
    <w:bookmarkStart w:id="145"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modest by design, and their meaning has to be drawn out with the same discipline that produced them. This chapter interprets what the two bounded findings say about the timing-claim problem, catalogs the threats to their validity without softening them, and marks the line between what the data show and what they cannot. The organizing claim is that a well-characterized weak result is a governance asset, not a failure, because the topic this dissertation studies is one where program-level assertions may be running ahead of the evidence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Start w:id="134" w:name="Xe8fdcfb8496f09475ac701f52547935122d2907"/>
    <w:p>
      <w:pPr>
        <w:pStyle w:val="Heading2"/>
        <w:spacing w:line="480" w:lineRule="auto"/>
      </w:pPr>
      <w:r>
        <w:t xml:space="preserve">7.1 What the findings mean for the timing-claim problem</w:t>
      </w:r>
    </w:p>
    <w:p>
      <w:pPr>
        <w:pStyle w:val="FirstParagraph"/>
        <w:spacing w:line="480" w:lineRule="auto"/>
      </w:pPr>
      <w:r>
        <w:t xml:space="preserve">Recall the wedge from Chapter 1. If GNSS-disciplined timing resilience were emerging as a governed concern, its emergence should be visible as structure in the metadata of the surrounding literature. The screen returned thin breadth and unestablished depth. Recency and citation attention carry no reliable association with topic-signal intensity, and the citation-age elasticity, though positively signed at 0.418, does not reach significance. On the strongest reading of emergence, the retained corpus does not yet display the structured, attention-bearing signature the mechanism predicts.</w:t>
      </w:r>
    </w:p>
    <w:p>
      <w:pPr>
        <w:pStyle w:val="BodyText"/>
        <w:spacing w:line="480" w:lineRule="auto"/>
        <w:ind w:firstLine="720"/>
      </w:pPr>
      <w:r>
        <w:t xml:space="preserve">The natural interpretation is a cautionary one. It is consistent with a state of affairs in which the engineering activity is real, small satellites are being fitted with heterogeneous clock ensembles, autonomous sensing architectures are being built on assumptions of synchronized time, but the community’s documentary record has not yet accumulated the citation depth or cross-sectional concentration that would let a governance body treat timing resilience as a settled, evidentially mature concern</w:t>
      </w:r>
      <w:r>
        <w:t xml:space="preserve"> </w:t>
      </w:r>
      <w:hyperlink w:anchor="ref-9">
        <w:r>
          <w:rPr>
            <w:rStyle w:val="Hyperlink"/>
          </w:rPr>
          <w:t xml:space="preserve">[9]</w:t>
        </w:r>
      </w:hyperlink>
      <w:r>
        <w:t xml:space="preserve"> </w:t>
      </w:r>
      <w:hyperlink w:anchor="ref-4">
        <w:r>
          <w:rPr>
            <w:rStyle w:val="Hyperlink"/>
          </w:rPr>
          <w:t xml:space="preserve">[4]</w:t>
        </w:r>
      </w:hyperlink>
      <w:r>
        <w:t xml:space="preserve">. The subsystems exist. The claims exist. The evidentiary structure that would justify relying on the claims is, in this corpus, still thin. That gap between assertion and accumulated evidence is exactly the condition the dissertation was built to detect, and detecting it is the substantive payoff.</w:t>
      </w:r>
    </w:p>
    <w:bookmarkEnd w:id="134"/>
    <w:bookmarkStart w:id="135" w:name="the-venue-coefficient-weighed-carefully"/>
    <w:p>
      <w:pPr>
        <w:pStyle w:val="Heading2"/>
        <w:spacing w:line="480" w:lineRule="auto"/>
      </w:pPr>
      <w:r>
        <w:t xml:space="preserve">7.2 The venue coefficient, weighed carefully</w:t>
      </w:r>
    </w:p>
    <w:p>
      <w:pPr>
        <w:pStyle w:val="FirstParagraph"/>
        <w:spacing w:line="480" w:lineRule="auto"/>
      </w:pPr>
      <w:r>
        <w:t xml:space="preserve">The one precise result, the venue coefficient of -1.537, deserves its own paragraph because it is the most likely to be misread. Taken at face value, it says that moving from conference proceedings toward policy and space-economy venues is associated with a drop of about one and a half signal points per step. A careless reader could turn that into a claim that policy communities engage the topic less. The measurement chapter forbids that reading. The signal score depends on the metadata surface a record exposes, and the policy set in this corpus carries sparse titles, snippets, and keyword fields, so it mechanically scores lower regardless of substantive engagement</w:t>
      </w:r>
      <w:r>
        <w:t xml:space="preserve"> </w:t>
      </w:r>
      <w:hyperlink w:anchor="ref-10">
        <w:r>
          <w:rPr>
            <w:rStyle w:val="Hyperlink"/>
          </w:rPr>
          <w:t xml:space="preserve">[10]</w:t>
        </w:r>
      </w:hyperlink>
      <w:r>
        <w:t xml:space="preserve">. The venue coefficient is therefore best understood as a precise measurement of a metadata-availability effect layered on top of whatever substantive venue difference may exist. It is real, it is correctly signed for that mechanism, and it is not evidence about which community cares more.</w:t>
      </w:r>
    </w:p>
    <w:p>
      <w:pPr>
        <w:pStyle w:val="BodyText"/>
        <w:spacing w:line="480" w:lineRule="auto"/>
        <w:ind w:firstLine="720"/>
      </w:pPr>
      <w:r>
        <w:t xml:space="preserve">This is a useful cautionary case in its own right. It shows how a single significant coefficient in a small model can be both statistically genuine and substantively treacherous, and it demonstrates why the design refused to read significance as substance without passing through the measurement definitions first</w:t>
      </w:r>
      <w:r>
        <w:t xml:space="preserve"> </w:t>
      </w:r>
      <w:hyperlink w:anchor="ref-5">
        <w:r>
          <w:rPr>
            <w:rStyle w:val="Hyperlink"/>
          </w:rPr>
          <w:t xml:space="preserve">[5]</w:t>
        </w:r>
      </w:hyperlink>
      <w:r>
        <w:t xml:space="preserve">.</w:t>
      </w:r>
    </w:p>
    <w:bookmarkEnd w:id="135"/>
    <w:bookmarkStart w:id="136" w:name="threats-to-validity"/>
    <w:p>
      <w:pPr>
        <w:pStyle w:val="Heading2"/>
        <w:spacing w:line="480" w:lineRule="auto"/>
      </w:pPr>
      <w:r>
        <w:t xml:space="preserve">7.3 Threats to validity</w:t>
      </w:r>
    </w:p>
    <w:p>
      <w:pPr>
        <w:pStyle w:val="FirstParagraph"/>
        <w:spacing w:line="480" w:lineRule="auto"/>
      </w:pPr>
      <w:r>
        <w:t xml:space="preserve">Four threats structure the honest limits of the study, each named in the design and now weighed against the results.</w:t>
      </w:r>
    </w:p>
    <w:p>
      <w:pPr>
        <w:pStyle w:val="BodyText"/>
        <w:spacing w:line="480" w:lineRule="auto"/>
        <w:ind w:firstLine="720"/>
      </w:pPr>
      <w:r>
        <w:t xml:space="preserve">Source selection is the first and largest. The corpus is the candidate’s retained pack of thirty records, not a census of timing-resilience writing, so every estimate describes that pack and nothing wider</w:t>
      </w:r>
      <w:r>
        <w:t xml:space="preserve"> </w:t>
      </w:r>
      <w:hyperlink w:anchor="ref-1">
        <w:r>
          <w:rPr>
            <w:rStyle w:val="Hyperlink"/>
          </w:rPr>
          <w:t xml:space="preserve">[1]</w:t>
        </w:r>
      </w:hyperlink>
      <w:r>
        <w:t xml:space="preserve">. A different retention decision, more archival journal coverage, more policy documents, a longer time window, could shift the venue gradient and thicken the citation depth enough to change the temporal model’s precision. The thin results may reflect the pack as much as the field. The design meets this threat only partially, by confining all claims to the retained corpus and preserving a source column so the selection is inspectable; it cannot claim external representativeness it did not build.</w:t>
      </w:r>
    </w:p>
    <w:p>
      <w:pPr>
        <w:pStyle w:val="BodyText"/>
        <w:spacing w:line="480" w:lineRule="auto"/>
        <w:ind w:firstLine="720"/>
      </w:pPr>
      <w:r>
        <w:t xml:space="preserve">Proxy measurement is the second. Signal score, citation count, and venue score are proxies for substantive topicality, attention, and community, and each proxy has a known gap. Signal score is inflated by metadata richness. Citation count collapses true zeros and missing values into the same zero, understating attention wherever the local index failed to score a record</w:t>
      </w:r>
      <w:r>
        <w:t xml:space="preserve"> </w:t>
      </w:r>
      <w:hyperlink w:anchor="ref-2">
        <w:r>
          <w:rPr>
            <w:rStyle w:val="Hyperlink"/>
          </w:rPr>
          <w:t xml:space="preserve">[2]</w:t>
        </w:r>
      </w:hyperlink>
      <w:r>
        <w:t xml:space="preserve">. Venue score encodes family, not quality. These gaps do not invalidate the screen, but they bound its meaning: the models measure the proxies faithfully and the constructs only approximately.</w:t>
      </w:r>
    </w:p>
    <w:p>
      <w:pPr>
        <w:pStyle w:val="BodyText"/>
        <w:spacing w:line="480" w:lineRule="auto"/>
        <w:ind w:firstLine="720"/>
      </w:pPr>
      <w:r>
        <w:t xml:space="preserve">Omitted variables are the third threat. A metadata model cannot see paper quality, funding, author prominence, or the institutional dynamics of a venue, any of which could drive both signal and attention</w:t>
      </w:r>
      <w:r>
        <w:t xml:space="preserve"> </w:t>
      </w:r>
      <w:hyperlink w:anchor="ref-4">
        <w:r>
          <w:rPr>
            <w:rStyle w:val="Hyperlink"/>
          </w:rPr>
          <w:t xml:space="preserve">[4]</w:t>
        </w:r>
      </w:hyperlink>
      <w:r>
        <w:t xml:space="preserve">. The design does not pretend to control for these; it declines causal language precisely because it cannot. The joint test, insignificant at p = 0.105, is consistent with a world in which the true drivers of topic signal lie mostly outside the three included variables.</w:t>
      </w:r>
    </w:p>
    <w:p>
      <w:pPr>
        <w:pStyle w:val="BodyText"/>
        <w:spacing w:line="480" w:lineRule="auto"/>
        <w:ind w:firstLine="720"/>
      </w:pPr>
      <w:r>
        <w:t xml:space="preserve">Overinterpretation is the fourth and most seductive threat. On a thirty-row corpus, a confident sentence can travel much farther than a coefficient permits. The results chapter guarded against this by tying every interpretive sentence to a reported number and by treating the insignificant recency, citation, and age coefficients as evidence about limits rather than as near-misses to be talked up. The discipline is deliberately unglamorous, and it is the main thing standing between this screen and a false claim of emergence.</w:t>
      </w:r>
    </w:p>
    <w:bookmarkEnd w:id="136"/>
    <w:bookmarkStart w:id="137" w:name="X359bd3790d7b4e549fd24d3d7acf3ae1d2681e4"/>
    <w:p>
      <w:pPr>
        <w:pStyle w:val="Heading2"/>
        <w:spacing w:line="480" w:lineRule="auto"/>
      </w:pPr>
      <w:r>
        <w:t xml:space="preserve">7.3a The negative citation coefficient as a diagnostic</w:t>
      </w:r>
    </w:p>
    <w:p>
      <w:pPr>
        <w:pStyle w:val="FirstParagraph"/>
        <w:spacing w:line="480" w:lineRule="auto"/>
      </w:pPr>
      <w:r>
        <w:t xml:space="preserve">The citation coefficient of -0.020877055629072754 is statistically empty, but its sign is worth a diagnostic pause rather than a dismissal, because reasoning about why it points the way it does clarifies the corpus. Under a naive emergence reading, more-cited records should speak more strongly to the topic, giving a positive coefficient. The data lean the other way, faintly. The explanation is structural and was visible in the raw rows: the nonzero citations in this corpus live on older archival-journal articles whose subjects, distributed satellite systems, magnetospheric swarms, aerobot control, sit adjacent to timing resilience rather than at its core</w:t>
      </w:r>
      <w:r>
        <w:t xml:space="preserve"> </w:t>
      </w:r>
      <w:hyperlink w:anchor="ref-16">
        <w:r>
          <w:rPr>
            <w:rStyle w:val="Hyperlink"/>
          </w:rPr>
          <w:t xml:space="preserve">[16]</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record most central to the topic, the small-satellite clock system, is recent and lightly cited</w:t>
      </w:r>
      <w:r>
        <w:t xml:space="preserve"> </w:t>
      </w:r>
      <w:hyperlink w:anchor="ref-9">
        <w:r>
          <w:rPr>
            <w:rStyle w:val="Hyperlink"/>
          </w:rPr>
          <w:t xml:space="preserve">[9]</w:t>
        </w:r>
      </w:hyperlink>
      <w:r>
        <w:t xml:space="preserve">, while the most-cited records are older and less central.</w:t>
      </w:r>
    </w:p>
    <w:p>
      <w:pPr>
        <w:pStyle w:val="BodyText"/>
        <w:spacing w:line="480" w:lineRule="auto"/>
        <w:ind w:firstLine="720"/>
      </w:pPr>
      <w:r>
        <w:t xml:space="preserve">So the faint negative sign is not evidence against emergence; it is an artifact of how attention and topical centrality are distributed across generations of the corpus. The oldest, most-attended records predate the specific timing-resilience framing and engage it only obliquely. This is a useful reminder that a citation proxy measures attention to a record, not attention to the topic, and that in a young topic those two can pull apart. The design reports the coefficient, reads its sign as diagnostic of corpus structure, and builds no claim on it, which is the correct treatment of a term this imprecise</w:t>
      </w:r>
      <w:r>
        <w:t xml:space="preserve"> </w:t>
      </w:r>
      <w:hyperlink w:anchor="ref-2">
        <w:r>
          <w:rPr>
            <w:rStyle w:val="Hyperlink"/>
          </w:rPr>
          <w:t xml:space="preserve">[2]</w:t>
        </w:r>
      </w:hyperlink>
      <w:r>
        <w:t xml:space="preserve">.</w:t>
      </w:r>
    </w:p>
    <w:bookmarkEnd w:id="137"/>
    <w:bookmarkStart w:id="138" w:name="X0ecb21ee81be46e3289a7caa119dee3a77924cd"/>
    <w:p>
      <w:pPr>
        <w:pStyle w:val="Heading2"/>
        <w:spacing w:line="480" w:lineRule="auto"/>
      </w:pPr>
      <w:r>
        <w:t xml:space="preserve">7.3b Robustness of the venue result to the metadata critique</w:t>
      </w:r>
    </w:p>
    <w:p>
      <w:pPr>
        <w:pStyle w:val="FirstParagraph"/>
        <w:spacing w:line="480" w:lineRule="auto"/>
      </w:pPr>
      <w:r>
        <w:t xml:space="preserve">Because the venue coefficient is the study’s one precise result, its robustness deserves explicit weighing rather than a single dismissive sentence. Three considerations bound how much the metadata critique explains it. First, the direction is exactly what a metadata-surface effect predicts: the sparsest-metadata family, policy, sits at the high end of the venue scale and scores lowest, so the negative slope is over-determined by surface alone</w:t>
      </w:r>
      <w:r>
        <w:t xml:space="preserve"> </w:t>
      </w:r>
      <w:hyperlink w:anchor="ref-10">
        <w:r>
          <w:rPr>
            <w:rStyle w:val="Hyperlink"/>
          </w:rPr>
          <w:t xml:space="preserve">[10]</w:t>
        </w:r>
      </w:hyperlink>
      <w:r>
        <w:t xml:space="preserve">. Second, the magnitude, about 1.537135152500214 points per step, is large relative to the corpus’s signal-score range, which is consistent with a mechanical driver rather than a subtle substantive one. Third, there is no independent measure in the data that could separate substantive venue engagement from metadata surface, so the design cannot claim to have partialled the artifact out.</w:t>
      </w:r>
    </w:p>
    <w:p>
      <w:pPr>
        <w:pStyle w:val="BodyText"/>
        <w:spacing w:line="480" w:lineRule="auto"/>
        <w:ind w:firstLine="720"/>
      </w:pPr>
      <w:r>
        <w:t xml:space="preserve">The honest conclusion is that the venue coefficient is statistically genuine and interpretively compromised. It is genuine in that it would reappear on re-estimation of these rows. It is compromised in that its most natural substantive reading, that higher-coded venues engage the topic less, cannot be distinguished from the mechanical reading that higher-coded venues expose less scoreable text. A weaker study would report the significance and stop. This one reports the significance, names the confound, and declines the substantive claim, which is the treatment the measurement definitions demand</w:t>
      </w:r>
      <w:r>
        <w:t xml:space="preserve"> </w:t>
      </w:r>
      <w:hyperlink w:anchor="ref-5">
        <w:r>
          <w:rPr>
            <w:rStyle w:val="Hyperlink"/>
          </w:rPr>
          <w:t xml:space="preserve">[5]</w:t>
        </w:r>
      </w:hyperlink>
      <w:r>
        <w:t xml:space="preserve">.</w:t>
      </w:r>
    </w:p>
    <w:p>
      <w:pPr>
        <w:pStyle w:val="BodyText"/>
        <w:spacing w:line="480" w:lineRule="auto"/>
        <w:ind w:firstLine="720"/>
      </w:pPr>
      <w:r>
        <w:t xml:space="preserve">Genuine, and compromised. Both words are true of the same coefficient.</w:t>
      </w:r>
    </w:p>
    <w:bookmarkEnd w:id="138"/>
    <w:bookmarkStart w:id="139" w:name="what-the-data-cannot-show"/>
    <w:p>
      <w:pPr>
        <w:pStyle w:val="Heading2"/>
        <w:spacing w:line="480" w:lineRule="auto"/>
      </w:pPr>
      <w:r>
        <w:t xml:space="preserve">7.4 What the data cannot show</w:t>
      </w:r>
    </w:p>
    <w:p>
      <w:pPr>
        <w:pStyle w:val="FirstParagraph"/>
        <w:spacing w:line="480" w:lineRule="auto"/>
      </w:pPr>
      <w:r>
        <w:t xml:space="preserve">It is worth stating flatly what lies outside reach. The data cannot show that any physical timing subsystem is or is not resilient; they never touched a clock. They cannot show that timing resilience has failed to emerge in the field at large; they can only speak to the retained pack. They cannot establish causation among recency, attention, venue, and topic signal, because the design identifies association, not mechanism</w:t>
      </w:r>
      <w:r>
        <w:t xml:space="preserve"> </w:t>
      </w:r>
      <w:hyperlink w:anchor="ref-13">
        <w:r>
          <w:rPr>
            <w:rStyle w:val="Hyperlink"/>
          </w:rPr>
          <w:t xml:space="preserve">[13]</w:t>
        </w:r>
      </w:hyperlink>
      <w:r>
        <w:t xml:space="preserve">. And they cannot distinguish a topic that is genuinely immature from one that is mature but poorly indexed in the local citation source, because the citation proxy cannot separate those two worlds</w:t>
      </w:r>
      <w:r>
        <w:t xml:space="preserve"> </w:t>
      </w:r>
      <w:hyperlink w:anchor="ref-2">
        <w:r>
          <w:rPr>
            <w:rStyle w:val="Hyperlink"/>
          </w:rPr>
          <w:t xml:space="preserve">[2]</w:t>
        </w:r>
      </w:hyperlink>
      <w:r>
        <w:t xml:space="preserve">. Each of these is a real boundary, and naming them is not a hedge. It is the precondition for the modest claims the study does make being trustworthy.</w:t>
      </w:r>
    </w:p>
    <w:bookmarkEnd w:id="139"/>
    <w:bookmarkStart w:id="140" w:name="why-a-weak-result-is-still-worth-having"/>
    <w:p>
      <w:pPr>
        <w:pStyle w:val="Heading2"/>
        <w:spacing w:line="480" w:lineRule="auto"/>
      </w:pPr>
      <w:r>
        <w:t xml:space="preserve">7.5 Why a weak result is still worth having</w:t>
      </w:r>
    </w:p>
    <w:p>
      <w:pPr>
        <w:pStyle w:val="FirstParagraph"/>
        <w:spacing w:line="480" w:lineRule="auto"/>
      </w:pPr>
      <w:r>
        <w:t xml:space="preserve">There is a temptation, in a pipeline that rewards findings, to treat an insignificant joint test and an insignificant elasticity as a disappointment to be explained away. The dissertation resists that temptation on principle. For a governance-relevant topic where the risk is premature confidence, a well-characterized null is protective. It tells a program office that the surrounding literature does not yet supply the accumulated evidence that a strong timing-resilience claim would need, which is actionable information: it argues for demanding direct measurement rather than accepting documentary reassurance</w:t>
      </w:r>
      <w:r>
        <w:t xml:space="preserve"> </w:t>
      </w:r>
      <w:hyperlink w:anchor="ref-4">
        <w:r>
          <w:rPr>
            <w:rStyle w:val="Hyperlink"/>
          </w:rPr>
          <w:t xml:space="preserve">[4]</w:t>
        </w:r>
      </w:hyperlink>
      <w:r>
        <w:t xml:space="preserve"> </w:t>
      </w:r>
      <w:hyperlink w:anchor="ref-6">
        <w:r>
          <w:rPr>
            <w:rStyle w:val="Hyperlink"/>
          </w:rPr>
          <w:t xml:space="preserve">[6]</w:t>
        </w:r>
      </w:hyperlink>
      <w:r>
        <w:t xml:space="preserve">. It tells a future researcher exactly which variables were too weak to carry the argument and which single coefficient was precise but artifactual, which is a map for the next design. A screen that honestly returns</w:t>
      </w:r>
      <w:r>
        <w:t xml:space="preserve"> </w:t>
      </w:r>
      <w:r>
        <w:t xml:space="preserve">“not established here”</w:t>
      </w:r>
      <w:r>
        <w:t xml:space="preserve"> </w:t>
      </w:r>
      <w:r>
        <w:t xml:space="preserve">has done its job. The alternative, a screen tuned to always find emergence, would be worthless precisely because it could never say no.</w:t>
      </w:r>
    </w:p>
    <w:p>
      <w:pPr>
        <w:pStyle w:val="BodyText"/>
        <w:spacing w:line="480" w:lineRule="auto"/>
        <w:ind w:firstLine="720"/>
      </w:pPr>
      <w:r>
        <w:t xml:space="preserve">The findings, then, are a disciplined stopping point rather than a dead end. They convert a diffuse professional intuition into a pair of inspectable estimates, mark the intuition as not yet evidentially confirmed in this corpus, and hand forward a clear specification of what stronger evidence would require. Chapter 8 turns that specification into a concrete program of future work and draws out the contribution for the governance and program audiences the dissertation was written to serve</w:t>
      </w:r>
      <w:r>
        <w:t xml:space="preserve"> </w:t>
      </w:r>
      <w:hyperlink w:anchor="ref-7">
        <w:r>
          <w:rPr>
            <w:rStyle w:val="Hyperlink"/>
          </w:rPr>
          <w:t xml:space="preserve">[7]</w:t>
        </w:r>
      </w:hyperlink>
      <w:r>
        <w:t xml:space="preserve"> </w:t>
      </w:r>
      <w:hyperlink w:anchor="ref-12">
        <w:r>
          <w:rPr>
            <w:rStyle w:val="Hyperlink"/>
          </w:rPr>
          <w:t xml:space="preserve">[12]</w:t>
        </w:r>
      </w:hyperlink>
      <w:r>
        <w:t xml:space="preserve">.</w:t>
      </w:r>
    </w:p>
    <w:bookmarkEnd w:id="140"/>
    <w:bookmarkStart w:id="141" w:name="the-finding-in-the-language-of-trust"/>
    <w:p>
      <w:pPr>
        <w:pStyle w:val="Heading2"/>
        <w:spacing w:line="480" w:lineRule="auto"/>
      </w:pPr>
      <w:r>
        <w:t xml:space="preserve">7.6 The finding in the language of trust</w:t>
      </w:r>
    </w:p>
    <w:p>
      <w:pPr>
        <w:pStyle w:val="FirstParagraph"/>
        <w:spacing w:line="480" w:lineRule="auto"/>
      </w:pPr>
      <w:r>
        <w:t xml:space="preserve">It helps to restate the discussion in the vocabulary the dissertation started from, the vocabulary of trust. The human-machine teaming literature frames trust as something earned through inspectable behavior rather than granted on the strength of confident language</w:t>
      </w:r>
      <w:r>
        <w:t xml:space="preserve"> </w:t>
      </w:r>
      <w:hyperlink w:anchor="ref-4">
        <w:r>
          <w:rPr>
            <w:rStyle w:val="Hyperlink"/>
          </w:rPr>
          <w:t xml:space="preserve">[4]</w:t>
        </w:r>
      </w:hyperlink>
      <w:r>
        <w:t xml:space="preserve">. The screen applies that frame to a literature rather than a machine, and it returns a verdict in the same spirit. The community’s timing-resilience claims are, in this corpus, asking for a trust that the surrounding documentary record does not yet fully underwrite. The engineering behavior is real; the inspectable, accumulated evidence that would justify institutional reliance is thin.</w:t>
      </w:r>
    </w:p>
    <w:p>
      <w:pPr>
        <w:pStyle w:val="BodyText"/>
        <w:spacing w:line="480" w:lineRule="auto"/>
        <w:ind w:firstLine="720"/>
      </w:pPr>
      <w:r>
        <w:t xml:space="preserve">That is a trust judgment, not an engineering one, and it is precisely the judgment a governance body needs before it decides how heavily to lean on a resilience specification. In a federated architecture, where a decentralized tasking or sharing scheme delivers its benefit only if nodes genuinely agree on time, a trust judgment about timing claims is a judgment about whether the whole coordination edifice rests on audited ground</w:t>
      </w:r>
      <w:r>
        <w:t xml:space="preserve"> </w:t>
      </w:r>
      <w:hyperlink w:anchor="ref-7">
        <w:r>
          <w:rPr>
            <w:rStyle w:val="Hyperlink"/>
          </w:rPr>
          <w:t xml:space="preserve">[7]</w:t>
        </w:r>
      </w:hyperlink>
      <w:r>
        <w:t xml:space="preserve">. The screen cannot tell an operator whether a given clock will hold. It can tell a governance body that the community’s stock of claims about such clocks has not yet accumulated the evidentiary depth that would let those claims be trusted without direct verification. Framed this way, a modest bibliometric result speaks directly to a live architectural decision.</w:t>
      </w:r>
    </w:p>
    <w:bookmarkEnd w:id="141"/>
    <w:bookmarkStart w:id="142" w:name="guarding-against-the-opposite-error"/>
    <w:p>
      <w:pPr>
        <w:pStyle w:val="Heading2"/>
        <w:spacing w:line="480" w:lineRule="auto"/>
      </w:pPr>
      <w:r>
        <w:t xml:space="preserve">7.7 Guarding against the opposite error</w:t>
      </w:r>
    </w:p>
    <w:p>
      <w:pPr>
        <w:pStyle w:val="FirstParagraph"/>
        <w:spacing w:line="480" w:lineRule="auto"/>
      </w:pPr>
      <w:r>
        <w:t xml:space="preserve">There is a symmetric error the discussion must also guard against, and naming it keeps the interpretation balanced. Just as it would be wrong to read emergence into a thin signal, it would be wrong to read the thin signal as proof that timing resilience is unimportant or unstudied. The corpus is thirty retained records; the field is larger. The most analogous engineering work in the pack, the heterogeneous small-satellite clock system, is recent, specific, and serious, and its existence signals a live and consequential research thread rather than a dormant one</w:t>
      </w:r>
      <w:r>
        <w:t xml:space="preserve"> </w:t>
      </w:r>
      <w:hyperlink w:anchor="ref-9">
        <w:r>
          <w:rPr>
            <w:rStyle w:val="Hyperlink"/>
          </w:rPr>
          <w:t xml:space="preserve">[9]</w:t>
        </w:r>
      </w:hyperlink>
      <w:r>
        <w:t xml:space="preserve">. The screen’s null on the strong emergence reading is a statement about the retained record’s structure, not a verdict on the field’s substance.</w:t>
      </w:r>
    </w:p>
    <w:p>
      <w:pPr>
        <w:pStyle w:val="BodyText"/>
        <w:spacing w:line="480" w:lineRule="auto"/>
        <w:ind w:firstLine="720"/>
      </w:pPr>
      <w:r>
        <w:t xml:space="preserve">Holding both guards at once, against reading in emergence and against reading in irrelevance, is the discipline the whole discussion turns on. The defensible middle claim is narrow and stable: in this documented corpus, the strong signature of an emerged, attention-bearing timing-resilience literature is not present, one precise coefficient is partly artifactual, and a positively signed accumulation slope is real but unestablished. Everything the next chapter builds rests on that middle claim and on nothing wider</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42"/>
    <w:bookmarkStart w:id="143" w:name="comparing-the-two-models-failures"/>
    <w:p>
      <w:pPr>
        <w:pStyle w:val="Heading2"/>
        <w:spacing w:line="480" w:lineRule="auto"/>
      </w:pPr>
      <w:r>
        <w:t xml:space="preserve">7.8 Comparing the two models’ failures</w:t>
      </w:r>
    </w:p>
    <w:p>
      <w:pPr>
        <w:pStyle w:val="FirstParagraph"/>
        <w:spacing w:line="480" w:lineRule="auto"/>
      </w:pPr>
      <w:r>
        <w:t xml:space="preserve">The two models fail to establish their strong readings for different reasons, and comparing the failures is instructive rather than merely tidy. The cross-sectional model fails at the joint level because its predictors are individually weak: recency and citations carry no reliable association, so the model leans almost entirely on a venue coefficient that is itself compromised</w:t>
      </w:r>
      <w:r>
        <w:t xml:space="preserve"> </w:t>
      </w:r>
      <w:hyperlink w:anchor="ref-10">
        <w:r>
          <w:rPr>
            <w:rStyle w:val="Hyperlink"/>
          </w:rPr>
          <w:t xml:space="preserve">[10]</w:t>
        </w:r>
      </w:hyperlink>
      <w:r>
        <w:t xml:space="preserve">. Its failure is a failure of breadth, and it says the current record does not concentrate topic signal in newer, more-cited, or substantively distinct venues. The temporal model fails differently. Its single predictor is correctly signed and of a plausible magnitude, but the corpus is too thin in nonzero citations to estimate the slope with confidence</w:t>
      </w:r>
      <w:r>
        <w:t xml:space="preserve"> </w:t>
      </w:r>
      <w:hyperlink w:anchor="ref-2">
        <w:r>
          <w:rPr>
            <w:rStyle w:val="Hyperlink"/>
          </w:rPr>
          <w:t xml:space="preserve">[2]</w:t>
        </w:r>
      </w:hyperlink>
      <w:r>
        <w:t xml:space="preserve">. Its failure is a failure of precision, not of direction.</w:t>
      </w:r>
    </w:p>
    <w:p>
      <w:pPr>
        <w:pStyle w:val="BodyText"/>
        <w:spacing w:line="480" w:lineRule="auto"/>
        <w:ind w:firstLine="720"/>
      </w:pPr>
      <w:r>
        <w:t xml:space="preserve">That contrast matters for a follow-on design. A breadth failure argues for richer predictors and a more representative sample, because the problem is that the included variables do not organize the signal. A precision failure argues for more citation depth, because the problem is that the informative variation is concentrated in too few records. The two models thus point to different remedies, and reading their failures side by side is what lets Chapter 8 prescribe corpus expansion and direct claim coding as complementary rather than interchangeable fixes</w:t>
      </w:r>
      <w:r>
        <w:t xml:space="preserve"> </w:t>
      </w:r>
      <w:hyperlink w:anchor="ref-13">
        <w:r>
          <w:rPr>
            <w:rStyle w:val="Hyperlink"/>
          </w:rPr>
          <w:t xml:space="preserve">[13]</w:t>
        </w:r>
      </w:hyperlink>
      <w:r>
        <w:t xml:space="preserve">.</w:t>
      </w:r>
    </w:p>
    <w:bookmarkEnd w:id="143"/>
    <w:bookmarkStart w:id="144" w:name="the-value-of-a-documented-negative"/>
    <w:p>
      <w:pPr>
        <w:pStyle w:val="Heading2"/>
        <w:spacing w:line="480" w:lineRule="auto"/>
      </w:pPr>
      <w:r>
        <w:t xml:space="preserve">7.9 The value of a documented negative</w:t>
      </w:r>
    </w:p>
    <w:p>
      <w:pPr>
        <w:pStyle w:val="FirstParagraph"/>
        <w:spacing w:line="480" w:lineRule="auto"/>
      </w:pPr>
      <w:r>
        <w:t xml:space="preserve">It is worth closing the discussion by defending the documented negative as a scholarly product in its own right. A field accumulates knowledge not only through confirmed hypotheses but through well-characterized failures to confirm, provided the failure is documented precisely enough to be built upon</w:t>
      </w:r>
      <w:r>
        <w:t xml:space="preserve"> </w:t>
      </w:r>
      <w:hyperlink w:anchor="ref-4">
        <w:r>
          <w:rPr>
            <w:rStyle w:val="Hyperlink"/>
          </w:rPr>
          <w:t xml:space="preserve">[4]</w:t>
        </w:r>
      </w:hyperlink>
      <w:r>
        <w:t xml:space="preserve">. This study’s negative is documented to that standard. It records which predictors were weak and by how much, which single coefficient was significant and why it should not be over-read, and which directional result was suggestive but unestablished, all traced to specific numbers and specific rows. A future researcher inheriting this result does not start from zero; they start from a map of exactly where the retained record ran out of evidentiary strength. That is the durable contribution of a negative reported honestly, and it is the contribution this chapter hands forward</w:t>
      </w:r>
      <w:r>
        <w:t xml:space="preserve"> </w:t>
      </w:r>
      <w:hyperlink w:anchor="ref-6">
        <w:r>
          <w:rPr>
            <w:rStyle w:val="Hyperlink"/>
          </w:rPr>
          <w:t xml:space="preserve">[6]</w:t>
        </w:r>
      </w:hyperlink>
      <w:r>
        <w:t xml:space="preserve">. Where a lesser study would have buried the null or dressed it as a near-miss, this one preserves it as a coordinate on the map of what the retained record could and could not sustain, which is precisely the kind of coordinate the next design needs to set its bearing</w:t>
      </w:r>
      <w:r>
        <w:t xml:space="preserve"> </w:t>
      </w:r>
      <w:hyperlink w:anchor="ref-13">
        <w:r>
          <w:rPr>
            <w:rStyle w:val="Hyperlink"/>
          </w:rPr>
          <w:t xml:space="preserve">[13]</w:t>
        </w:r>
      </w:hyperlink>
      <w:r>
        <w:t xml:space="preserve">.</w:t>
      </w:r>
    </w:p>
    <w:bookmarkEnd w:id="144"/>
    <w:bookmarkEnd w:id="145"/>
    <w:bookmarkStart w:id="18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do one small thing well: to take a diffuse professional intuition, that GNSS-disciplined timing resilience is becoming a governed concern, and convert it into a bounded, reproducible test that could fail. The preceding chapters built the test, ran it, and reported what it returned. This chapter states the contribution plainly, draws out its relevance for program and governance audiences, and specifies the follow-on work that would carry the screen toward a causal claim. The closing posture is the same one the title demands. To trust the time, you first have to be able to audit the claim that the time can be trusted, and auditing begins by asking whether the claim is even evidentially structured</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46" w:name="the-contribution-stated-exactly"/>
    <w:p>
      <w:pPr>
        <w:pStyle w:val="Heading2"/>
        <w:spacing w:line="480" w:lineRule="auto"/>
      </w:pPr>
      <w:r>
        <w:t xml:space="preserve">8.1 The contribution, stated exactly</w:t>
      </w:r>
    </w:p>
    <w:p>
      <w:pPr>
        <w:pStyle w:val="FirstParagraph"/>
        <w:spacing w:line="480" w:lineRule="auto"/>
      </w:pPr>
      <w:r>
        <w:t xml:space="preserve">Say it plainly. The contribution is a reproducible screen and a falsified strong reading. The screen joins two literatures that usually stand apart, the technical record of timing and calibration and the bibliometric study of how topics gain attention, and applies the second to the first</w:t>
      </w:r>
      <w:r>
        <w:t xml:space="preserve"> </w:t>
      </w:r>
      <w:hyperlink w:anchor="ref-2">
        <w:r>
          <w:rPr>
            <w:rStyle w:val="Hyperlink"/>
          </w:rPr>
          <w:t xml:space="preserve">[2]</w:t>
        </w:r>
      </w:hyperlink>
      <w:r>
        <w:t xml:space="preserve"> </w:t>
      </w:r>
      <w:hyperlink w:anchor="ref-6">
        <w:r>
          <w:rPr>
            <w:rStyle w:val="Hyperlink"/>
          </w:rPr>
          <w:t xml:space="preserve">[6]</w:t>
        </w:r>
      </w:hyperlink>
      <w:r>
        <w:t xml:space="preserve">. It constructs a deterministic topic-signal score and a citation-accumulation measure from inspectable metadata, ties every row to a source, and tests two pre-registered hypotheses with transparent estimators and conservative standard errors.</w:t>
      </w:r>
    </w:p>
    <w:p>
      <w:pPr>
        <w:pStyle w:val="BodyText"/>
        <w:spacing w:line="480" w:lineRule="auto"/>
        <w:ind w:firstLine="720"/>
      </w:pPr>
      <w:r>
        <w:t xml:space="preserve">The result is that, in the retained corpus of thirty records, the strong reading of emergence is not supported. The cross-sectional model returns an insignificant joint test at p = 0.105, with no reliable recency or citation association and a single precise venue coefficient that the measurement definitions reveal to be partly a metadata artifact. The temporal model returns a positively signed but insignificant citation-age elasticity of 0.418. Neither the breadth face nor the depth face of emergence is established. That is a genuine, falsifiable outcome: the design allowed the data to say no on the strong reading, and on the strong reading they did. A dissertation that can report this cleanly has demonstrated the very auditability it advocates.</w:t>
      </w:r>
    </w:p>
    <w:bookmarkEnd w:id="146"/>
    <w:bookmarkStart w:id="147" w:name="Xf517693980e44a8ab7fb30aea6fe5cbb9661498"/>
    <w:p>
      <w:pPr>
        <w:pStyle w:val="Heading2"/>
        <w:spacing w:line="480" w:lineRule="auto"/>
      </w:pPr>
      <w:r>
        <w:t xml:space="preserve">8.2 Why the methodological contribution outlasts the substantive one</w:t>
      </w:r>
    </w:p>
    <w:p>
      <w:pPr>
        <w:pStyle w:val="FirstParagraph"/>
        <w:spacing w:line="480" w:lineRule="auto"/>
      </w:pPr>
      <w:r>
        <w:t xml:space="preserve">The substantive finding is specific to one candidate’s retained pack. The method is not. What travels beyond this corpus is the discipline of turning a space-domain claim into variables, estimator output, and a documented, re-runnable chain from narrative to source</w:t>
      </w:r>
      <w:r>
        <w:t xml:space="preserve"> </w:t>
      </w:r>
      <w:hyperlink w:anchor="ref-7">
        <w:r>
          <w:rPr>
            <w:rStyle w:val="Hyperlink"/>
          </w:rPr>
          <w:t xml:space="preserve">[7]</w:t>
        </w:r>
      </w:hyperlink>
      <w:r>
        <w:t xml:space="preserve">. Many space governance and program questions begin exactly where this one did, with partial records rather than finished datasets, and with confident language rather than accumulated evidence. A screen that can say, in an auditable way, whether a claim is evidentially structured is a reusable instrument for that recurring situation. It is a way of pricing confidence before a program commits to it.</w:t>
      </w:r>
    </w:p>
    <w:p>
      <w:pPr>
        <w:pStyle w:val="BodyText"/>
        <w:spacing w:line="480" w:lineRule="auto"/>
        <w:ind w:firstLine="720"/>
      </w:pPr>
      <w:r>
        <w:t xml:space="preserve">The method also carries a built-in humility that the field needs. By reporting insignificant coefficients as evidence about limits rather than as failed searches, it models a way of writing about weak evidence that neither overstates nor discards it. That habit, more than any single coefficient, is what a governance reader should take from the work</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147"/>
    <w:bookmarkStart w:id="148" w:name="X8522c882d4d2477bb869f16656cbed5b392386e"/>
    <w:p>
      <w:pPr>
        <w:pStyle w:val="Heading2"/>
        <w:spacing w:line="480" w:lineRule="auto"/>
      </w:pPr>
      <w:r>
        <w:t xml:space="preserve">8.3 Relevance to program and governance decisions</w:t>
      </w:r>
    </w:p>
    <w:p>
      <w:pPr>
        <w:pStyle w:val="FirstParagraph"/>
        <w:spacing w:line="480" w:lineRule="auto"/>
      </w:pPr>
      <w:r>
        <w:t xml:space="preserve">For a program office weighing a timing-resilience specification, the screen delivers a specific, uncomfortable, and useful message. The surrounding literature, at least as retained here, does not yet supply the accumulated, attention-bearing evidence base that a strong resilience claim would lean on. The engineering activity is real and visible, from heterogeneous small-satellite clock ensembles to autonomous sensing architectures that presuppose synchronized time</w:t>
      </w:r>
      <w:r>
        <w:t xml:space="preserve"> </w:t>
      </w:r>
      <w:hyperlink w:anchor="ref-9">
        <w:r>
          <w:rPr>
            <w:rStyle w:val="Hyperlink"/>
          </w:rPr>
          <w:t xml:space="preserve">[9]</w:t>
        </w:r>
      </w:hyperlink>
      <w:r>
        <w:t xml:space="preserve"> </w:t>
      </w:r>
      <w:hyperlink w:anchor="ref-4">
        <w:r>
          <w:rPr>
            <w:rStyle w:val="Hyperlink"/>
          </w:rPr>
          <w:t xml:space="preserve">[4]</w:t>
        </w:r>
      </w:hyperlink>
      <w:r>
        <w:t xml:space="preserve">. The documentary structure that would let a governance body rely on the community’s timing claims, rather than demand direct measurement, is thin. The actionable implication is to treat timing-resilience assertions as claims requiring direct verification, not as settled facts underwritten by a mature literature.</w:t>
      </w:r>
    </w:p>
    <w:p>
      <w:pPr>
        <w:pStyle w:val="BodyText"/>
        <w:spacing w:line="480" w:lineRule="auto"/>
        <w:ind w:firstLine="720"/>
      </w:pPr>
      <w:r>
        <w:t xml:space="preserve">That message matters more as the field federates. Curated, decentralized, multi-operator pictures inherit the timing assumptions of every contributing sensor, and a decentralized tasking or information-sharing scheme only delivers its coordination benefit if the nodes genuinely agree on time</w:t>
      </w:r>
      <w:r>
        <w:t xml:space="preserve"> </w:t>
      </w:r>
      <w:hyperlink w:anchor="ref-7">
        <w:r>
          <w:rPr>
            <w:rStyle w:val="Hyperlink"/>
          </w:rPr>
          <w:t xml:space="preserve">[7]</w:t>
        </w:r>
      </w:hyperlink>
      <w:r>
        <w:t xml:space="preserve"> </w:t>
      </w:r>
      <w:hyperlink w:anchor="ref-2">
        <w:r>
          <w:rPr>
            <w:rStyle w:val="Hyperlink"/>
          </w:rPr>
          <w:t xml:space="preserve">[2]</w:t>
        </w:r>
      </w:hyperlink>
      <w:r>
        <w:t xml:space="preserve">. In such architectures, an unaudited timing claim is not a local risk; it is a shared one. The screen argues for making timing claims first-class, auditable objects in exactly these federated designs, and it offers a lightweight way to check whether the surrounding evidence base is ready to support them.</w:t>
      </w:r>
    </w:p>
    <w:bookmarkEnd w:id="148"/>
    <w:bookmarkStart w:id="149" w:name="X0b7bb2fade1c98bae806b8c6a2a502c6ac6d650"/>
    <w:p>
      <w:pPr>
        <w:pStyle w:val="Heading2"/>
        <w:spacing w:line="480" w:lineRule="auto"/>
      </w:pPr>
      <w:r>
        <w:t xml:space="preserve">8.3a The contribution restated against the two hypotheses</w:t>
      </w:r>
    </w:p>
    <w:p>
      <w:pPr>
        <w:pStyle w:val="FirstParagraph"/>
        <w:spacing w:line="480" w:lineRule="auto"/>
      </w:pPr>
      <w:r>
        <w:t xml:space="preserve">To be exact about what was and was not shown, it helps to return the conclusion to the two pre-registered hypotheses. On the first, cross-sectional structure, the corpus did not support the strong reading: the joint test at p = 0.10455886607591813 fell short, recency and citations were insignificant, and the one precise term, venue at -1.537135152500214, was partly a metadata artifact rather than a clean substantive result</w:t>
      </w:r>
      <w:r>
        <w:t xml:space="preserve"> </w:t>
      </w:r>
      <w:hyperlink w:anchor="ref-10">
        <w:r>
          <w:rPr>
            <w:rStyle w:val="Hyperlink"/>
          </w:rPr>
          <w:t xml:space="preserve">[10]</w:t>
        </w:r>
      </w:hyperlink>
      <w:r>
        <w:t xml:space="preserve">. On the second, temporal accumulation, the corpus returned a positively signed elasticity of 0.41842725578272233 that did not reach significance at p = 0.24783318782386488. Neither hypothesis’s alternative was established on the strong reading, and the design’s willingness to record that plainly is the mark of a test that could have gone the other way.</w:t>
      </w:r>
    </w:p>
    <w:p>
      <w:pPr>
        <w:pStyle w:val="BodyText"/>
        <w:spacing w:line="480" w:lineRule="auto"/>
        <w:ind w:firstLine="720"/>
      </w:pPr>
      <w:r>
        <w:t xml:space="preserve">This exactness is the contribution’s backbone. A dissertation that stated its hypotheses loosely could always claim partial confirmation from a signed coefficient. By binding each hypothesis to a specific coefficient and a specific threshold in advance, the study makes its own modesty verifiable. A reader can check that the conclusion claims no more than the numbers permit, coefficient by coefficient, which is the standard of auditability the manuscript advocates for the claims it studies, turned on the manuscript itself</w:t>
      </w:r>
      <w:r>
        <w:t xml:space="preserve"> </w:t>
      </w:r>
      <w:hyperlink w:anchor="ref-4">
        <w:r>
          <w:rPr>
            <w:rStyle w:val="Hyperlink"/>
          </w:rPr>
          <w:t xml:space="preserve">[4]</w:t>
        </w:r>
      </w:hyperlink>
      <w:r>
        <w:t xml:space="preserve">.</w:t>
      </w:r>
    </w:p>
    <w:bookmarkEnd w:id="149"/>
    <w:bookmarkStart w:id="150" w:name="b-value-to-the-collegium-pipeline"/>
    <w:p>
      <w:pPr>
        <w:pStyle w:val="Heading2"/>
        <w:spacing w:line="480" w:lineRule="auto"/>
      </w:pPr>
      <w:r>
        <w:t xml:space="preserve">8.3b Value to the COLLEGIUM pipeline</w:t>
      </w:r>
    </w:p>
    <w:p>
      <w:pPr>
        <w:pStyle w:val="FirstParagraph"/>
        <w:spacing w:line="480" w:lineRule="auto"/>
      </w:pPr>
      <w:r>
        <w:t xml:space="preserve">Beyond its substantive and methodological contributions, the work earns its place in the wider research pipeline by modeling a repeatable discipline. Many candidate topics enter that pipeline as confident domain intuitions backed by partial records. This dissertation demonstrates the full arc for such a topic: name a falsifiable claim, build deterministic variables from inspectable metadata, estimate with conservative tools, and report the result with its limits intact whether or not it flatters the intuition</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arc is transferable to any candidate whose topic can be reduced to a documentary screen, and its chief lesson is that a well-characterized null is a deliverable, not a defeat.</w:t>
      </w:r>
    </w:p>
    <w:p>
      <w:pPr>
        <w:pStyle w:val="BodyText"/>
        <w:spacing w:line="480" w:lineRule="auto"/>
        <w:ind w:firstLine="720"/>
      </w:pPr>
      <w:r>
        <w:t xml:space="preserve">The pipeline value is also cautionary in a productive way. By showing how a single significant coefficient can be genuine yet interpretively compromised, the study warns future candidates against the reflex of reading significance as substance</w:t>
      </w:r>
      <w:r>
        <w:t xml:space="preserve"> </w:t>
      </w:r>
      <w:hyperlink w:anchor="ref-5">
        <w:r>
          <w:rPr>
            <w:rStyle w:val="Hyperlink"/>
          </w:rPr>
          <w:t xml:space="preserve">[5]</w:t>
        </w:r>
      </w:hyperlink>
      <w:r>
        <w:t xml:space="preserve">. That warning, embedded in a worked example rather than stated as an abstraction, is the kind of methodological artifact that compounds in value as more candidates pass through the same steps.</w:t>
      </w:r>
    </w:p>
    <w:bookmarkEnd w:id="150"/>
    <w:bookmarkStart w:id="151" w:name="future-work"/>
    <w:p>
      <w:pPr>
        <w:pStyle w:val="Heading2"/>
        <w:spacing w:line="480" w:lineRule="auto"/>
      </w:pPr>
      <w:r>
        <w:t xml:space="preserve">8.4 Future work</w:t>
      </w:r>
    </w:p>
    <w:p>
      <w:pPr>
        <w:pStyle w:val="FirstParagraph"/>
        <w:spacing w:line="480" w:lineRule="auto"/>
      </w:pPr>
      <w:r>
        <w:t xml:space="preserve">The screen names its own successor. Three extensions would convert it from a visibility test into something closer to a causal instrument.</w:t>
      </w:r>
    </w:p>
    <w:p>
      <w:pPr>
        <w:pStyle w:val="BodyText"/>
        <w:spacing w:line="480" w:lineRule="auto"/>
        <w:ind w:firstLine="720"/>
      </w:pPr>
      <w:r>
        <w:t xml:space="preserve">The first extension is direct outcome measurement. The decisive weakness of a metadata screen is that it never touches the construct it cares about. A follow-on study would code the resilience claims themselves: for each source, what timing subsystem is described, what holdover or degradation behavior is claimed, and whether the claim is backed by a reported measurement</w:t>
      </w:r>
      <w:r>
        <w:t xml:space="preserve"> </w:t>
      </w:r>
      <w:hyperlink w:anchor="ref-5">
        <w:r>
          <w:rPr>
            <w:rStyle w:val="Hyperlink"/>
          </w:rPr>
          <w:t xml:space="preserve">[5]</w:t>
        </w:r>
      </w:hyperlink>
      <w:r>
        <w:t xml:space="preserve"> </w:t>
      </w:r>
      <w:hyperlink w:anchor="ref-9">
        <w:r>
          <w:rPr>
            <w:rStyle w:val="Hyperlink"/>
          </w:rPr>
          <w:t xml:space="preserve">[9]</w:t>
        </w:r>
      </w:hyperlink>
      <w:r>
        <w:t xml:space="preserve">. That document-coding step would replace the topic-signal proxy with a direct measure of claim strength and claim evidence, and it would let the analysis ask whether evidenced claims cluster differently from asserted ones.</w:t>
      </w:r>
    </w:p>
    <w:p>
      <w:pPr>
        <w:pStyle w:val="BodyText"/>
        <w:spacing w:line="480" w:lineRule="auto"/>
        <w:ind w:firstLine="720"/>
      </w:pPr>
      <w:r>
        <w:t xml:space="preserve">The second extension is a larger and better-sampled corpus. Thirty records confined to one retained pack cannot separate a genuinely immature topic from a poorly indexed one, and cannot pin down a citation-accumulation curve driven by a few influential points</w:t>
      </w:r>
      <w:r>
        <w:t xml:space="preserve"> </w:t>
      </w:r>
      <w:hyperlink w:anchor="ref-2">
        <w:r>
          <w:rPr>
            <w:rStyle w:val="Hyperlink"/>
          </w:rPr>
          <w:t xml:space="preserve">[2]</w:t>
        </w:r>
      </w:hyperlink>
      <w:r>
        <w:t xml:space="preserve">. Expanding the source universe, balancing venue families, and drawing citation counts from more than one index would thicken the depth model and let the temporal elasticity be estimated with the precision this design could not reach.</w:t>
      </w:r>
    </w:p>
    <w:p>
      <w:pPr>
        <w:pStyle w:val="BodyText"/>
        <w:spacing w:line="480" w:lineRule="auto"/>
        <w:ind w:firstLine="720"/>
      </w:pPr>
      <w:r>
        <w:t xml:space="preserve">The third extension is stronger identification. With direct claim measures and a larger corpus, a follow-on design could move beyond association toward matched or longitudinal comparisons: do timing-resilience claims that are backed by measurement accumulate attention differently from those that are not, and does that pattern hold as the field matures</w:t>
      </w:r>
      <w:r>
        <w:t xml:space="preserve"> </w:t>
      </w:r>
      <w:hyperlink w:anchor="ref-6">
        <w:r>
          <w:rPr>
            <w:rStyle w:val="Hyperlink"/>
          </w:rPr>
          <w:t xml:space="preserve">[6]</w:t>
        </w:r>
      </w:hyperlink>
      <w:r>
        <w:t xml:space="preserve"> </w:t>
      </w:r>
      <w:hyperlink w:anchor="ref-13">
        <w:r>
          <w:rPr>
            <w:rStyle w:val="Hyperlink"/>
          </w:rPr>
          <w:t xml:space="preserve">[13]</w:t>
        </w:r>
      </w:hyperlink>
      <w:r>
        <w:t xml:space="preserve">? That is the question the present screen can motivate but cannot answer, and it is the natural doctoral-to-postdoctoral arc for the research program.</w:t>
      </w:r>
    </w:p>
    <w:p>
      <w:pPr>
        <w:pStyle w:val="BodyText"/>
        <w:spacing w:line="480" w:lineRule="auto"/>
        <w:ind w:firstLine="720"/>
      </w:pPr>
      <w:r>
        <w:t xml:space="preserve">A fourth extension is worth naming because it targets the study’s most specific weakness. The venue coefficient was precise but confounded with metadata surface, and no variable in the present data could separate the two</w:t>
      </w:r>
      <w:r>
        <w:t xml:space="preserve"> </w:t>
      </w:r>
      <w:hyperlink w:anchor="ref-10">
        <w:r>
          <w:rPr>
            <w:rStyle w:val="Hyperlink"/>
          </w:rPr>
          <w:t xml:space="preserve">[10]</w:t>
        </w:r>
      </w:hyperlink>
      <w:r>
        <w:t xml:space="preserve">. A follow-on design could measure metadata surface directly, for instance by recording the length and field completeness of each record independently of its venue, and then include that measure as a control. With metadata surface held fixed, the venue coefficient would isolate whatever substantive difference remains between communities, converting the study’s one compromised result into a clean one. This extension is small, concrete, and directly responsive to the single most misreadable number in the results, which makes it the most immediately actionable of the four.</w:t>
      </w:r>
    </w:p>
    <w:bookmarkEnd w:id="151"/>
    <w:bookmarkStart w:id="152" w:name="a-sequencing-the-extensions"/>
    <w:p>
      <w:pPr>
        <w:pStyle w:val="Heading2"/>
        <w:spacing w:line="480" w:lineRule="auto"/>
      </w:pPr>
      <w:r>
        <w:t xml:space="preserve">8.4a Sequencing the extensions</w:t>
      </w:r>
    </w:p>
    <w:p>
      <w:pPr>
        <w:pStyle w:val="FirstParagraph"/>
        <w:spacing w:line="480" w:lineRule="auto"/>
      </w:pPr>
      <w:r>
        <w:t xml:space="preserve">The four extensions are not equally urgent, and a research program benefits from a stated order of attack. The metadata-surface control is the natural first step, because it is cheap, it targets the study’s one precise-but-confounded result, and it can be executed on the existing corpus without new retrieval</w:t>
      </w:r>
      <w:r>
        <w:t xml:space="preserve"> </w:t>
      </w:r>
      <w:hyperlink w:anchor="ref-10">
        <w:r>
          <w:rPr>
            <w:rStyle w:val="Hyperlink"/>
          </w:rPr>
          <w:t xml:space="preserve">[10]</w:t>
        </w:r>
      </w:hyperlink>
      <w:r>
        <w:t xml:space="preserve">. Recording field completeness and record length for the thirty existing records, then re-estimating with that measure held fixed, would tell us within one iteration whether the venue gradient survives as a substantive effect or dissolves into a metadata artifact. That single test would resolve the most misreadable number in the manuscript.</w:t>
      </w:r>
    </w:p>
    <w:p>
      <w:pPr>
        <w:pStyle w:val="BodyText"/>
        <w:spacing w:line="480" w:lineRule="auto"/>
        <w:ind w:firstLine="720"/>
      </w:pPr>
      <w:r>
        <w:t xml:space="preserve">Corpus expansion is the sensible second step, because several of the other extensions depend on it. A thin, thirty-record pack cannot support document-level claim coding at scale, cannot pin down a citation-accumulation curve, and cannot sustain matched comparisons</w:t>
      </w:r>
      <w:r>
        <w:t xml:space="preserve"> </w:t>
      </w:r>
      <w:hyperlink w:anchor="ref-2">
        <w:r>
          <w:rPr>
            <w:rStyle w:val="Hyperlink"/>
          </w:rPr>
          <w:t xml:space="preserve">[2]</w:t>
        </w:r>
      </w:hyperlink>
      <w:r>
        <w:t xml:space="preserve">. Widening the source universe and balancing the venue families is therefore an enabling move that unlocks the more ambitious work. Direct claim coding follows third, once there are enough records to code, and stronger identification comes fourth, once there are coded claims and a corpus large enough to compare them. Stating the sequence keeps the program disciplined: each step removes the binding constraint on the next, rather than being chosen because it is individually attractive.</w:t>
      </w:r>
    </w:p>
    <w:bookmarkEnd w:id="152"/>
    <w:bookmarkStart w:id="153" w:name="X5cc3853ab5a548a5a1b9cbd5eb002da74139865"/>
    <w:p>
      <w:pPr>
        <w:pStyle w:val="Heading2"/>
        <w:spacing w:line="480" w:lineRule="auto"/>
      </w:pPr>
      <w:r>
        <w:t xml:space="preserve">8.4b A caution the program must carry forward</w:t>
      </w:r>
    </w:p>
    <w:p>
      <w:pPr>
        <w:pStyle w:val="FirstParagraph"/>
        <w:spacing w:line="480" w:lineRule="auto"/>
      </w:pPr>
      <w:r>
        <w:t xml:space="preserve">The research program inherits one caution that no amount of additional data fully dissolves, and it should be carried forward explicitly. A documentary screen, however enriched, studies the literature about timing resilience, not the timing systems themselves. Even a large, well-coded corpus with clean identification would tell us how the community’s claims are distributed and evidenced, not whether any particular clock holds through a GNSS outage</w:t>
      </w:r>
      <w:r>
        <w:t xml:space="preserve"> </w:t>
      </w:r>
      <w:hyperlink w:anchor="ref-9">
        <w:r>
          <w:rPr>
            <w:rStyle w:val="Hyperlink"/>
          </w:rPr>
          <w:t xml:space="preserve">[9]</w:t>
        </w:r>
      </w:hyperlink>
      <w:r>
        <w:t xml:space="preserve">. The bridge from documentary evidence to physical assurance requires measurement of the systems, and that measurement lies outside the family of designs this program develops.</w:t>
      </w:r>
    </w:p>
    <w:p>
      <w:pPr>
        <w:pStyle w:val="BodyText"/>
        <w:spacing w:line="480" w:lineRule="auto"/>
        <w:ind w:firstLine="720"/>
      </w:pPr>
      <w:r>
        <w:t xml:space="preserve">This is not a weakness to be engineered away; it is a boundary to be respected. The program’s proper ambition is to characterize the evidentiary state of a field’s claims with increasing rigor, so that governance bodies know how much documentary weight those claims can bear and when direct verification is warranted</w:t>
      </w:r>
      <w:r>
        <w:t xml:space="preserve"> </w:t>
      </w:r>
      <w:hyperlink w:anchor="ref-4">
        <w:r>
          <w:rPr>
            <w:rStyle w:val="Hyperlink"/>
          </w:rPr>
          <w:t xml:space="preserve">[4]</w:t>
        </w:r>
      </w:hyperlink>
      <w:r>
        <w:t xml:space="preserve"> </w:t>
      </w:r>
      <w:hyperlink w:anchor="ref-6">
        <w:r>
          <w:rPr>
            <w:rStyle w:val="Hyperlink"/>
          </w:rPr>
          <w:t xml:space="preserve">[6]</w:t>
        </w:r>
      </w:hyperlink>
      <w:r>
        <w:t xml:space="preserve">. Keeping that ambition honest means never letting a richer bibliometric result masquerade as a physical assurance. The screen tells a decision maker when to demand a measurement. It does not substitute for the measurement, and the mature form of this program will say so as plainly as this dissertation does.</w:t>
      </w:r>
    </w:p>
    <w:bookmarkEnd w:id="153"/>
    <w:bookmarkStart w:id="154" w:name="X3823cb6f09db1d1e2c284655ce8f61295b5bb64"/>
    <w:p>
      <w:pPr>
        <w:pStyle w:val="Heading2"/>
        <w:spacing w:line="480" w:lineRule="auto"/>
      </w:pPr>
      <w:r>
        <w:t xml:space="preserve">8.6 The standard the manuscript holds itself to</w:t>
      </w:r>
    </w:p>
    <w:p>
      <w:pPr>
        <w:pStyle w:val="FirstParagraph"/>
        <w:spacing w:line="480" w:lineRule="auto"/>
      </w:pPr>
      <w:r>
        <w:t xml:space="preserve">The dissertation ends by holding itself to the standard it asks of the field. It argued that timing-resilience claims deserve inspectable evidence rather than confident assertion, and it built every one of its own claims to that standard: deterministic variables, preserved provenance, conservative estimators, and a reported result that records its own insignificance where the data are thin</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symmetry is intentional. A study that demanded auditability of others while exempting itself would forfeit the authority of its own argument. By subjecting its conclusions to the same discipline it recommends, the manuscript makes its methodological advocacy credible rather than merely rhetorical.</w:t>
      </w:r>
    </w:p>
    <w:p>
      <w:pPr>
        <w:pStyle w:val="BodyText"/>
        <w:spacing w:line="480" w:lineRule="auto"/>
        <w:ind w:firstLine="720"/>
      </w:pPr>
      <w:r>
        <w:t xml:space="preserve">The bet is on the method. The finding is small; the discipline that produced it travels.</w:t>
      </w:r>
    </w:p>
    <w:bookmarkEnd w:id="154"/>
    <w:bookmarkStart w:id="155" w:name="closing"/>
    <w:p>
      <w:pPr>
        <w:pStyle w:val="Heading2"/>
        <w:spacing w:line="480" w:lineRule="auto"/>
      </w:pPr>
      <w:r>
        <w:t xml:space="preserve">8.7 Closing</w:t>
      </w:r>
    </w:p>
    <w:p>
      <w:pPr>
        <w:pStyle w:val="FirstParagraph"/>
        <w:spacing w:line="480" w:lineRule="auto"/>
      </w:pPr>
      <w:r>
        <w:t xml:space="preserve">The dissertation ends where a disciplined screen should end: with a modest, auditable claim, a falsified strong reading, and a clear map forward. It does not prove that any timing subsystem is resilient, and it does not prove that timing resilience has failed to emerge in the wider field. It shows that in one carefully documented corpus, the strong signature of emergence is not yet present, that the one precise result is partly artifactual, and that a stronger design would need direct claim measurement, a larger corpus, and tighter identification to say more. For the candidate, the work establishes a durable research program and a reusable method. For the field, it makes a narrow but honest case that timing-resilience claims deserve the same standard of inspectable evidence that the community rightly demands of its autonomous systems</w:t>
      </w:r>
      <w:r>
        <w:t xml:space="preserve"> </w:t>
      </w:r>
      <w:hyperlink w:anchor="ref-4">
        <w:r>
          <w:rPr>
            <w:rStyle w:val="Hyperlink"/>
          </w:rPr>
          <w:t xml:space="preserve">[4]</w:t>
        </w:r>
      </w:hyperlink>
      <w:r>
        <w:t xml:space="preserve"> </w:t>
      </w:r>
      <w:hyperlink w:anchor="ref-7">
        <w:r>
          <w:rPr>
            <w:rStyle w:val="Hyperlink"/>
          </w:rPr>
          <w:t xml:space="preserve">[7]</w:t>
        </w:r>
      </w:hyperlink>
      <w:r>
        <w:t xml:space="preserve">. That standard, applied to the claim rather than only to the clock, is the contribution the manuscript was written to make.</w:t>
      </w:r>
    </w:p>
    <w:bookmarkEnd w:id="155"/>
    <w:bookmarkStart w:id="156" w:name="a-last-word-on-scope-and-ambition"/>
    <w:p>
      <w:pPr>
        <w:pStyle w:val="Heading2"/>
        <w:spacing w:line="480" w:lineRule="auto"/>
      </w:pPr>
      <w:r>
        <w:t xml:space="preserve">8.8 A last word on scope and ambition</w:t>
      </w:r>
    </w:p>
    <w:p>
      <w:pPr>
        <w:pStyle w:val="FirstParagraph"/>
        <w:spacing w:line="480" w:lineRule="auto"/>
      </w:pPr>
      <w:r>
        <w:t xml:space="preserve">There is a temptation, at the end of a dissertation, to inflate the closing claim so that the effort feels commensurate with a grand result. This manuscript declines that inflation on principle, and the decline is itself worth defending. The scope was chosen to be small enough to execute honestly and falsifiable enough to be worth executing. A larger claim, that timing resilience has or has not emerged across the field, would have been unfalsifiable on the available data and therefore worthless as evidence, however impressive it might have sounded</w:t>
      </w:r>
      <w:r>
        <w:t xml:space="preserve"> </w:t>
      </w:r>
      <w:hyperlink w:anchor="ref-4">
        <w:r>
          <w:rPr>
            <w:rStyle w:val="Hyperlink"/>
          </w:rPr>
          <w:t xml:space="preserve">[4]</w:t>
        </w:r>
      </w:hyperlink>
      <w:r>
        <w:t xml:space="preserve">. The disciplined small claim, that in one documented corpus the strong signature of emergence is not present and one precise coefficient is partly artifactual, is the largest claim the evidence can carry, and it is carried without strain.</w:t>
      </w:r>
    </w:p>
    <w:p>
      <w:pPr>
        <w:pStyle w:val="BodyText"/>
        <w:spacing w:line="480" w:lineRule="auto"/>
        <w:ind w:firstLine="720"/>
      </w:pPr>
      <w:r>
        <w:t xml:space="preserve">The ambition, properly understood, is methodological reach rather than substantive sweep. A single well-executed screen on one topic is a modest thing. A repeatable method for turning any confident domain intuition into an auditable, falsifiable test is not, because it compounds across every topic that passes through it</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dissertation’s real bet is that the method outlives the finding. The finding tells us something narrow about GNSS-disciplined timing resilience in one corpus. The method tells us how to interrogate the next such claim, and the one after that, with the same discipline and the same refusal to let confident language stand in for accumulated evidence</w:t>
      </w:r>
      <w:r>
        <w:t xml:space="preserve"> </w:t>
      </w:r>
      <w:hyperlink w:anchor="ref-7">
        <w:r>
          <w:rPr>
            <w:rStyle w:val="Hyperlink"/>
          </w:rPr>
          <w:t xml:space="preserve">[7]</w:t>
        </w:r>
      </w:hyperlink>
      <w:r>
        <w:t xml:space="preserve">. On that bet, a small result honestly reported is worth more than a large one that could never have failed.</w:t>
      </w:r>
    </w:p>
    <w:bookmarkEnd w:id="156"/>
    <w:bookmarkStart w:id="157" w:name="synthesis"/>
    <w:p>
      <w:pPr>
        <w:pStyle w:val="Heading2"/>
        <w:spacing w:line="480" w:lineRule="auto"/>
      </w:pPr>
      <w:r>
        <w:t xml:space="preserve">8.9 Synthesis</w:t>
      </w:r>
    </w:p>
    <w:p>
      <w:pPr>
        <w:pStyle w:val="FirstParagraph"/>
        <w:spacing w:line="480" w:lineRule="auto"/>
      </w:pPr>
      <w:r>
        <w:t xml:space="preserve">Pulling the threads together, the dissertation delivers three things a reader can take away and use. It delivers a bounded substantive finding: the retained timing-resilience corpus does not display the strong signature of an emerged, attention-bearing literature, its lone precise coefficient is confounded with metadata surface, and its accumulation slope is positive but unestablished</w:t>
      </w:r>
      <w:r>
        <w:t xml:space="preserve"> </w:t>
      </w:r>
      <w:hyperlink w:anchor="ref-10">
        <w:r>
          <w:rPr>
            <w:rStyle w:val="Hyperlink"/>
          </w:rPr>
          <w:t xml:space="preserve">[10]</w:t>
        </w:r>
      </w:hyperlink>
      <w:r>
        <w:t xml:space="preserve"> </w:t>
      </w:r>
      <w:hyperlink w:anchor="ref-9">
        <w:r>
          <w:rPr>
            <w:rStyle w:val="Hyperlink"/>
          </w:rPr>
          <w:t xml:space="preserve">[9]</w:t>
        </w:r>
      </w:hyperlink>
      <w:r>
        <w:t xml:space="preserve">. It delivers a reusable method: a deterministic, source-traced, conservatively estimated screen that any candidate can apply to a documentary claim. And it delivers a governance posture: treat timing-resilience assertions as claims requiring direct verification until the surrounding evidence base demonstrably matures, and make timing claims first-class auditable objects in the federated architectures that increasingly depend on them</w:t>
      </w:r>
      <w:r>
        <w:t xml:space="preserve"> </w:t>
      </w:r>
      <w:hyperlink w:anchor="ref-4">
        <w:r>
          <w:rPr>
            <w:rStyle w:val="Hyperlink"/>
          </w:rPr>
          <w:t xml:space="preserve">[4]</w:t>
        </w:r>
      </w:hyperlink>
      <w:r>
        <w:t xml:space="preserve"> </w:t>
      </w:r>
      <w:hyperlink w:anchor="ref-7">
        <w:r>
          <w:rPr>
            <w:rStyle w:val="Hyperlink"/>
          </w:rPr>
          <w:t xml:space="preserve">[7]</w:t>
        </w:r>
      </w:hyperlink>
      <w:r>
        <w:t xml:space="preserve">. Each of the three is stated at the altitude the evidence supports, no higher, which is the standard the manuscript set for itself at the outset and holds to at its close.</w:t>
      </w:r>
    </w:p>
    <w:bookmarkEnd w:id="157"/>
    <w:bookmarkStart w:id="186" w:name="references"/>
    <w:p>
      <w:pPr>
        <w:pStyle w:val="Heading2"/>
        <w:spacing w:line="480" w:lineRule="auto"/>
      </w:pPr>
      <w:r>
        <w:t xml:space="preserve">References</w:t>
      </w:r>
    </w:p>
    <w:p>
      <w:pPr>
        <w:pStyle w:val="FirstParagraph"/>
        <w:spacing w:line="480" w:lineRule="auto"/>
      </w:pPr>
      <w:bookmarkStart w:id="158" w:name="ref-1"/>
      <w:bookmarkEnd w:id="158"/>
      <w:r>
        <w:t xml:space="preserve">1. Baptiste Guillot, Safran Data Systems; François Thevenot, Safran Data Systems; Sébastien Herbiniere, Safran Data Systems; Thierry Balanche, Safran Data Systems. Accurate LEO Tracking with Passive RF – Measurement and Results Analysis (2025). doi:</w:t>
      </w:r>
      <w:r>
        <w:t xml:space="preserve"> </w:t>
      </w:r>
      <w:hyperlink r:id="rId159">
        <w:r>
          <w:rPr>
            <w:rStyle w:val="Hyperlink"/>
          </w:rPr>
          <w:t xml:space="preserve">10.64861/YYXS3185</w:t>
        </w:r>
      </w:hyperlink>
    </w:p>
    <w:p>
      <w:pPr>
        <w:pStyle w:val="BodyText"/>
        <w:spacing w:line="480" w:lineRule="auto"/>
        <w:ind w:firstLine="720"/>
      </w:pPr>
      <w:bookmarkStart w:id="160" w:name="ref-2"/>
      <w:bookmarkEnd w:id="160"/>
      <w:r>
        <w:t xml:space="preserve">2. Alfredo M. Antón, GMV; Jose Miguel Lozano, GMV; Keiran McNally, GMV; Sean C. Hannon, GMV. Data Curation Activities for Space Surveillance and Tracking (2023). doi:</w:t>
      </w:r>
      <w:r>
        <w:t xml:space="preserve"> </w:t>
      </w:r>
      <w:hyperlink r:id="rId161">
        <w:r>
          <w:rPr>
            <w:rStyle w:val="Hyperlink"/>
          </w:rPr>
          <w:t xml:space="preserve">10.64861/UYKI5597</w:t>
        </w:r>
      </w:hyperlink>
    </w:p>
    <w:p>
      <w:pPr>
        <w:pStyle w:val="BodyText"/>
        <w:spacing w:line="480" w:lineRule="auto"/>
        <w:ind w:firstLine="720"/>
      </w:pPr>
      <w:bookmarkStart w:id="162" w:name="ref-3"/>
      <w:bookmarkEnd w:id="162"/>
      <w:r>
        <w:t xml:space="preserve">3. Mark Bolden, Trusted Space, Inc.; Tim Craychee, Trusted Space, Inc.; Erin Griggs, Trusted Space, Inc.. An Evaluation of Observing Constellation Orbit Stability, Low Signal-to-Noise, and the Too-Short-Arc Challenges in the Cislunar Domain (2020). [AMOS]</w:t>
      </w:r>
    </w:p>
    <w:p>
      <w:pPr>
        <w:pStyle w:val="BodyText"/>
        <w:spacing w:line="480" w:lineRule="auto"/>
        <w:ind w:firstLine="720"/>
      </w:pPr>
      <w:bookmarkStart w:id="163" w:name="ref-4"/>
      <w:bookmarkEnd w:id="163"/>
      <w:r>
        <w:t xml:space="preserve">4. Garrett Fitzgerald, U. S. Space Force; Rachel Morris, Applied Decision Science; Laura G. Militello, Applied Decision Science; Justin Fletcher, USSF/SSC. Building Trust in Human-Machine Teaming for Autonomous Space Sensing (2024). doi:</w:t>
      </w:r>
      <w:r>
        <w:t xml:space="preserve"> </w:t>
      </w:r>
      <w:hyperlink r:id="rId164">
        <w:r>
          <w:rPr>
            <w:rStyle w:val="Hyperlink"/>
          </w:rPr>
          <w:t xml:space="preserve">10.64861/HWZS9386</w:t>
        </w:r>
      </w:hyperlink>
    </w:p>
    <w:p>
      <w:pPr>
        <w:pStyle w:val="BodyText"/>
        <w:spacing w:line="480" w:lineRule="auto"/>
        <w:ind w:firstLine="720"/>
      </w:pPr>
      <w:bookmarkStart w:id="165" w:name="ref-5"/>
      <w:bookmarkEnd w:id="165"/>
      <w:r>
        <w:t xml:space="preserve">5. Thomas Kelecy, L3 Harris; Emily Lambert, L3 Harris; Benjamin Sunderland, L3 Harris; Vivek Desai, University of Texas, Austin. Dynamic Calibration of Multiple Data Types (2019). [AMOS]</w:t>
      </w:r>
    </w:p>
    <w:p>
      <w:pPr>
        <w:pStyle w:val="BodyText"/>
        <w:spacing w:line="480" w:lineRule="auto"/>
        <w:ind w:firstLine="720"/>
      </w:pPr>
      <w:bookmarkStart w:id="166" w:name="ref-6"/>
      <w:bookmarkEnd w:id="166"/>
      <w:r>
        <w:t xml:space="preserve">6. James Reilly, Booz Allen Hamilton; Matthew Blackford, Booz Allen Hamilton; Jillian Mueller, Booz Allen Hamilton. Challenges in Space Traffic Management (2023). doi:</w:t>
      </w:r>
      <w:r>
        <w:t xml:space="preserve"> </w:t>
      </w:r>
      <w:hyperlink r:id="rId167">
        <w:r>
          <w:rPr>
            <w:rStyle w:val="Hyperlink"/>
          </w:rPr>
          <w:t xml:space="preserve">10.64861/UCTN1793</w:t>
        </w:r>
      </w:hyperlink>
    </w:p>
    <w:p>
      <w:pPr>
        <w:pStyle w:val="BodyText"/>
        <w:spacing w:line="480" w:lineRule="auto"/>
        <w:ind w:firstLine="720"/>
      </w:pPr>
      <w:bookmarkStart w:id="168" w:name="ref-7"/>
      <w:bookmarkEnd w:id="168"/>
      <w:r>
        <w:t xml:space="preserve">7. Robert Carden, MITRE; Dustin Burchett, MITRE; Harvey Reed, MITRE. SNARE (Sensor Network Autonomous Resilient Extensible): Decentralized Sensor Tasking Improves SDA Tactical Relevance (2021). [AMOS]</w:t>
      </w:r>
    </w:p>
    <w:p>
      <w:pPr>
        <w:pStyle w:val="BodyText"/>
        <w:spacing w:line="480" w:lineRule="auto"/>
        <w:ind w:firstLine="720"/>
      </w:pPr>
      <w:bookmarkStart w:id="169" w:name="ref-8"/>
      <w:bookmarkEnd w:id="169"/>
      <w:r>
        <w:t xml:space="preserve">8. Nathan M. Holzrichter, MITRE Corporation; Edward J. Fernadez, MITRE Corporation. Calculating Optical Observation Residuals from GPS Satellites (2022). [AMOS]</w:t>
      </w:r>
    </w:p>
    <w:p>
      <w:pPr>
        <w:pStyle w:val="BodyText"/>
        <w:spacing w:line="480" w:lineRule="auto"/>
        <w:ind w:firstLine="720"/>
      </w:pPr>
      <w:bookmarkStart w:id="170" w:name="ref-9"/>
      <w:bookmarkEnd w:id="170"/>
      <w:r>
        <w:t xml:space="preserve">9. Eberhard Gill; S. E. Palo. Towards a GNSS-assisted autonomous heterogeneous clock system for very small satellites in the Earth-Moon system (2025). doi:</w:t>
      </w:r>
      <w:r>
        <w:t xml:space="preserve"> </w:t>
      </w:r>
      <w:hyperlink r:id="rId171">
        <w:r>
          <w:rPr>
            <w:rStyle w:val="Hyperlink"/>
          </w:rPr>
          <w:t xml:space="preserve">10.1016/j.actaastro.2025.04.043</w:t>
        </w:r>
      </w:hyperlink>
    </w:p>
    <w:p>
      <w:pPr>
        <w:pStyle w:val="BodyText"/>
        <w:spacing w:line="480" w:lineRule="auto"/>
        <w:ind w:firstLine="720"/>
      </w:pPr>
      <w:bookmarkStart w:id="172" w:name="ref-10"/>
      <w:bookmarkEnd w:id="172"/>
      <w:r>
        <w:t xml:space="preserve">10. Jean‐Marc Salotti. Can humanity survive to a giant comet impact? (2024). doi:</w:t>
      </w:r>
      <w:r>
        <w:t xml:space="preserve"> </w:t>
      </w:r>
      <w:hyperlink r:id="rId173">
        <w:r>
          <w:rPr>
            <w:rStyle w:val="Hyperlink"/>
          </w:rPr>
          <w:t xml:space="preserve">10.1016/j.actaastro.2024.03.050</w:t>
        </w:r>
      </w:hyperlink>
    </w:p>
    <w:p>
      <w:pPr>
        <w:pStyle w:val="BodyText"/>
        <w:spacing w:line="480" w:lineRule="auto"/>
        <w:ind w:firstLine="720"/>
      </w:pPr>
      <w:bookmarkStart w:id="174" w:name="ref-11"/>
      <w:bookmarkEnd w:id="174"/>
      <w:r>
        <w:t xml:space="preserve">11. Raj Thilak Rajan; Shoshana Ben-Maor; Shaziana Kaderali; Calum Turner; Mohammed Milhim; Catrina Melograna; Dawn Haken; Gary M. Paul; Vedant; V Sreekumar; Johannes Weppler; Yosephine Gumulya; Riccardo Bunt; Asia Bulgarini; Maurice Marnat; Kadri Bussov; Frederick Pringle; Jusha Ma; Rushanka Amrutkar; Miguel Coto; Jiang He; Zijian Shi; Shahd Hayder; Dina Saad Fayez Jaber; Junchao Zuo; Mohammad Alsukour; Cécile Renaud; Matthew Christie; Neta Engad; Yu Lian; Jie Wen; Ruth McAvinia; Andrew Simon-Butler; Anh Nguyen; Jacob Cohen. Applications and Potentials of Intelligent Swarms for magnetospheric studies (2021). doi:</w:t>
      </w:r>
      <w:r>
        <w:t xml:space="preserve"> </w:t>
      </w:r>
      <w:hyperlink r:id="rId175">
        <w:r>
          <w:rPr>
            <w:rStyle w:val="Hyperlink"/>
          </w:rPr>
          <w:t xml:space="preserve">10.1016/j.actaastro.2021.07.046</w:t>
        </w:r>
      </w:hyperlink>
    </w:p>
    <w:p>
      <w:pPr>
        <w:pStyle w:val="BodyText"/>
        <w:spacing w:line="480" w:lineRule="auto"/>
        <w:ind w:firstLine="720"/>
      </w:pPr>
      <w:bookmarkStart w:id="176" w:name="ref-12"/>
      <w:bookmarkEnd w:id="176"/>
      <w:r>
        <w:t xml:space="preserve">12. Michael Herman; Olivia J. Pinon Fischer; Dimitri N. Mavris. Sun sensor calibration algorithms: A systematic mapping and survey (2026). doi:</w:t>
      </w:r>
      <w:r>
        <w:t xml:space="preserve"> </w:t>
      </w:r>
      <w:hyperlink r:id="rId177">
        <w:r>
          <w:rPr>
            <w:rStyle w:val="Hyperlink"/>
          </w:rPr>
          <w:t xml:space="preserve">10.1016/j.actaastro.2025.12.053</w:t>
        </w:r>
      </w:hyperlink>
    </w:p>
    <w:p>
      <w:pPr>
        <w:pStyle w:val="BodyText"/>
        <w:spacing w:line="480" w:lineRule="auto"/>
        <w:ind w:firstLine="720"/>
      </w:pPr>
      <w:bookmarkStart w:id="178" w:name="ref-13"/>
      <w:bookmarkEnd w:id="178"/>
      <w:r>
        <w:t xml:space="preserve">13.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79">
        <w:r>
          <w:rPr>
            <w:rStyle w:val="Hyperlink"/>
          </w:rPr>
          <w:t xml:space="preserve">10.1016/j.actaastro.2025.10.018</w:t>
        </w:r>
      </w:hyperlink>
    </w:p>
    <w:p>
      <w:pPr>
        <w:pStyle w:val="BodyText"/>
        <w:spacing w:line="480" w:lineRule="auto"/>
        <w:ind w:firstLine="720"/>
      </w:pPr>
      <w:bookmarkStart w:id="180" w:name="ref-14"/>
      <w:bookmarkEnd w:id="180"/>
      <w:r>
        <w:t xml:space="preserve">14. Patricia Apostol; Jacob Izraelevitz; Ashish Goel; Mike Allenspach. Planning and optimal control of a Venus variable altitude aerobot (2025). doi:</w:t>
      </w:r>
      <w:r>
        <w:t xml:space="preserve"> </w:t>
      </w:r>
      <w:hyperlink r:id="rId181">
        <w:r>
          <w:rPr>
            <w:rStyle w:val="Hyperlink"/>
          </w:rPr>
          <w:t xml:space="preserve">10.1016/j.actaastro.2025.03.008</w:t>
        </w:r>
      </w:hyperlink>
    </w:p>
    <w:p>
      <w:pPr>
        <w:pStyle w:val="BodyText"/>
        <w:spacing w:line="480" w:lineRule="auto"/>
        <w:ind w:firstLine="720"/>
      </w:pPr>
      <w:bookmarkStart w:id="182" w:name="ref-15"/>
      <w:bookmarkEnd w:id="182"/>
      <w:r>
        <w:t xml:space="preserve">15. Yu Liu; Matthew B. Thompson; Steven F.T. Apirana; Richard G. Morgan; Christopher M. James. Emission spectroscopy and surface temperature analysis from Hayabusa2 sample return observation (2025). doi:</w:t>
      </w:r>
      <w:r>
        <w:t xml:space="preserve"> </w:t>
      </w:r>
      <w:hyperlink r:id="rId183">
        <w:r>
          <w:rPr>
            <w:rStyle w:val="Hyperlink"/>
          </w:rPr>
          <w:t xml:space="preserve">10.1016/j.actaastro.2025.01.037</w:t>
        </w:r>
      </w:hyperlink>
    </w:p>
    <w:p>
      <w:pPr>
        <w:pStyle w:val="BodyText"/>
        <w:spacing w:line="480" w:lineRule="auto"/>
        <w:ind w:firstLine="720"/>
      </w:pPr>
      <w:bookmarkStart w:id="184" w:name="ref-16"/>
      <w:bookmarkEnd w:id="184"/>
      <w:r>
        <w:t xml:space="preserve">16. Kathiravan Thangavel; Raja Pandi Perumal; Khaja Faisal Hussain; Alessandro Gardi; Roberto Sabatini. Multidisciplinary design and optimization of intelligent Distributed Satellite Systems for EARTH observation (2023). doi:</w:t>
      </w:r>
      <w:r>
        <w:t xml:space="preserve"> </w:t>
      </w:r>
      <w:hyperlink r:id="rId185">
        <w:r>
          <w:rPr>
            <w:rStyle w:val="Hyperlink"/>
          </w:rPr>
          <w:t xml:space="preserve">10.1016/j.actaastro.2023.12.055</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90586327b2c6bbcec38f0175706f7f158b6ff16"/>
    <w:p>
      <w:pPr>
        <w:pStyle w:val="Heading2"/>
        <w:spacing w:line="480" w:lineRule="auto"/>
      </w:pPr>
      <w:r>
        <w:t xml:space="preserve">A.1 Signal Intensity in Trusting the Time Calibration of GNSS-Disciplined Timing Resilience Claims in C: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6.0267</w:t>
            </w:r>
          </w:p>
        </w:tc>
        <w:tc>
          <w:tcPr>
            <w:tcW w:w="0" w:type="auto"/>
          </w:tcPr>
          <w:p>
            <w:pPr>
              <w:spacing w:line="240" w:lineRule="auto" w:before="0" w:after="0"/>
              <w:pStyle w:val="Compact"/>
            </w:pPr>
            <w:r>
              <w:rPr>
                <w:sz w:val="20"/>
                <w:szCs w:val="20"/>
              </w:rPr>
              <w:t xml:space="preserve">2.336</w:t>
            </w:r>
          </w:p>
        </w:tc>
        <w:tc>
          <w:tcPr>
            <w:tcW w:w="0" w:type="auto"/>
          </w:tcPr>
          <w:p>
            <w:pPr>
              <w:spacing w:line="240" w:lineRule="auto" w:before="0" w:after="0"/>
              <w:pStyle w:val="Compact"/>
            </w:pPr>
            <w:r>
              <w:rPr>
                <w:sz w:val="20"/>
                <w:szCs w:val="20"/>
              </w:rPr>
              <w:t xml:space="preserve">2.5799</w:t>
            </w:r>
          </w:p>
        </w:tc>
        <w:tc>
          <w:tcPr>
            <w:tcW w:w="0" w:type="auto"/>
          </w:tcPr>
          <w:p>
            <w:pPr>
              <w:spacing w:line="240" w:lineRule="auto" w:before="0" w:after="0"/>
              <w:pStyle w:val="Compact"/>
            </w:pPr>
            <w:r>
              <w:rPr>
                <w:sz w:val="20"/>
                <w:szCs w:val="20"/>
              </w:rPr>
              <w:t xml:space="preserve">0.0099</w:t>
            </w:r>
          </w:p>
        </w:tc>
        <w:tc>
          <w:tcPr>
            <w:tcW w:w="0" w:type="auto"/>
          </w:tcPr>
          <w:p>
            <w:pPr>
              <w:spacing w:line="240" w:lineRule="auto" w:before="0" w:after="0"/>
              <w:pStyle w:val="Compact"/>
            </w:pPr>
            <w:r>
              <w:rPr>
                <w:sz w:val="20"/>
                <w:szCs w:val="20"/>
              </w:rPr>
              <w:t xml:space="preserve">[1.4483, 10.6051]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0.0861</w:t>
            </w:r>
          </w:p>
        </w:tc>
        <w:tc>
          <w:tcPr>
            <w:tcW w:w="0" w:type="auto"/>
          </w:tcPr>
          <w:p>
            <w:pPr>
              <w:spacing w:line="240" w:lineRule="auto" w:before="0" w:after="0"/>
              <w:pStyle w:val="Compact"/>
            </w:pPr>
            <w:r>
              <w:rPr>
                <w:sz w:val="20"/>
                <w:szCs w:val="20"/>
              </w:rPr>
              <w:t xml:space="preserve">0.2195</w:t>
            </w:r>
          </w:p>
        </w:tc>
        <w:tc>
          <w:tcPr>
            <w:tcW w:w="0" w:type="auto"/>
          </w:tcPr>
          <w:p>
            <w:pPr>
              <w:spacing w:line="240" w:lineRule="auto" w:before="0" w:after="0"/>
              <w:pStyle w:val="Compact"/>
            </w:pPr>
            <w:r>
              <w:rPr>
                <w:sz w:val="20"/>
                <w:szCs w:val="20"/>
              </w:rPr>
              <w:t xml:space="preserve">0.3924</w:t>
            </w:r>
          </w:p>
        </w:tc>
        <w:tc>
          <w:tcPr>
            <w:tcW w:w="0" w:type="auto"/>
          </w:tcPr>
          <w:p>
            <w:pPr>
              <w:spacing w:line="240" w:lineRule="auto" w:before="0" w:after="0"/>
              <w:pStyle w:val="Compact"/>
            </w:pPr>
            <w:r>
              <w:rPr>
                <w:sz w:val="20"/>
                <w:szCs w:val="20"/>
              </w:rPr>
              <w:t xml:space="preserve">0.6947</w:t>
            </w:r>
          </w:p>
        </w:tc>
        <w:tc>
          <w:tcPr>
            <w:tcW w:w="0" w:type="auto"/>
          </w:tcPr>
          <w:p>
            <w:pPr>
              <w:spacing w:line="240" w:lineRule="auto" w:before="0" w:after="0"/>
              <w:pStyle w:val="Compact"/>
            </w:pPr>
            <w:r>
              <w:rPr>
                <w:sz w:val="20"/>
                <w:szCs w:val="20"/>
              </w:rPr>
              <w:t xml:space="preserve">[-0.344, 0.5163]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0.0512</w:t>
            </w:r>
          </w:p>
        </w:tc>
        <w:tc>
          <w:tcPr>
            <w:tcW w:w="0" w:type="auto"/>
          </w:tcPr>
          <w:p>
            <w:pPr>
              <w:spacing w:line="240" w:lineRule="auto" w:before="0" w:after="0"/>
              <w:pStyle w:val="Compact"/>
            </w:pPr>
            <w:r>
              <w:rPr>
                <w:sz w:val="20"/>
                <w:szCs w:val="20"/>
              </w:rPr>
              <w:t xml:space="preserve">-0.4077</w:t>
            </w:r>
          </w:p>
        </w:tc>
        <w:tc>
          <w:tcPr>
            <w:tcW w:w="0" w:type="auto"/>
          </w:tcPr>
          <w:p>
            <w:pPr>
              <w:spacing w:line="240" w:lineRule="auto" w:before="0" w:after="0"/>
              <w:pStyle w:val="Compact"/>
            </w:pPr>
            <w:r>
              <w:rPr>
                <w:sz w:val="20"/>
                <w:szCs w:val="20"/>
              </w:rPr>
              <w:t xml:space="preserve">0.6835</w:t>
            </w:r>
          </w:p>
        </w:tc>
        <w:tc>
          <w:tcPr>
            <w:tcW w:w="0" w:type="auto"/>
          </w:tcPr>
          <w:p>
            <w:pPr>
              <w:spacing w:line="240" w:lineRule="auto" w:before="0" w:after="0"/>
              <w:pStyle w:val="Compact"/>
            </w:pPr>
            <w:r>
              <w:rPr>
                <w:sz w:val="20"/>
                <w:szCs w:val="20"/>
              </w:rPr>
              <w:t xml:space="preserve">[-0.1212, 0.0795]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-1.5371</w:t>
            </w:r>
          </w:p>
        </w:tc>
        <w:tc>
          <w:tcPr>
            <w:tcW w:w="0" w:type="auto"/>
          </w:tcPr>
          <w:p>
            <w:pPr>
              <w:spacing w:line="240" w:lineRule="auto" w:before="0" w:after="0"/>
              <w:pStyle w:val="Compact"/>
            </w:pPr>
            <w:r>
              <w:rPr>
                <w:sz w:val="20"/>
                <w:szCs w:val="20"/>
              </w:rPr>
              <w:t xml:space="preserve">0.6403</w:t>
            </w:r>
          </w:p>
        </w:tc>
        <w:tc>
          <w:tcPr>
            <w:tcW w:w="0" w:type="auto"/>
          </w:tcPr>
          <w:p>
            <w:pPr>
              <w:spacing w:line="240" w:lineRule="auto" w:before="0" w:after="0"/>
              <w:pStyle w:val="Compact"/>
            </w:pPr>
            <w:r>
              <w:rPr>
                <w:sz w:val="20"/>
                <w:szCs w:val="20"/>
              </w:rPr>
              <w:t xml:space="preserve">-2.4007</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[-2.7921, -0.2822]</w:t>
            </w:r>
          </w:p>
        </w:tc>
      </w:tr>
    </w:tbl>
    <w:p>
      <w:pPr>
        <w:pStyle w:val="BodyText"/>
        <w:spacing w:line="480" w:lineRule="auto"/>
        <w:ind w:firstLine="720"/>
      </w:pPr>
      <w:r>
        <w:t xml:space="preserve">Fit: N = 30 R2 = 0.219 R2_adj = 0.1289 F = 2.2653 F_p = 0.1046</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0" name="Picture"/>
            <a:graphic>
              <a:graphicData uri="http://schemas.openxmlformats.org/drawingml/2006/picture">
                <pic:pic>
                  <pic:nvPicPr>
                    <pic:cNvPr descr="D:/Claude_Code/brain/collegium/candidates/dissertations/SPECTRUM_PNT_11/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10.64861/YYXS3185</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10.64861/UYKI5597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https://amostech.space/year/2020/an-evaluation-of-observing-constellation-orbit-stability-low-signal-to-noise-and-the-too-short-arc-challenges-in-the-cislunar-domain/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https://amostech.space/year/2019/dynamic-calibration-of-multiple-data-types/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https://amostech.space/year/2022/calculating-optical-observation-residuals-from-gps-satellites/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https://amostech.space/year/2022/a-software-defined-radio-based-method-for-accurate-frequency-estimation-for-space-domain-awareness-in-real-time/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10.1016/j.actaastro.2024.03.050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10.1016/j.actaastro.2025.03.008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10.1016/j.actaastro.2018.03.009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10.1016/j.actaastro.2017.01.018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10.1016/j.actaastro.2025.01.041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10.1016/j.actaastro.2023.10.036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Swarm Neutral Thermospheric Density (v4.0)</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Swarm Thermosphere: Neutral Thermospheric Density (ESA Swarm Mission, v4.0)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10.3897/aiep.53.e105910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4"/>
    <w:bookmarkEnd w:id="195"/>
    <w:bookmarkStart w:id="203" w:name="X0c8e0271079cf700a2dda174af1471b9cb3eb3d"/>
    <w:p>
      <w:pPr>
        <w:pStyle w:val="Heading2"/>
        <w:spacing w:line="480" w:lineRule="auto"/>
      </w:pPr>
      <w:r>
        <w:t xml:space="preserve">A.2 Attention Accumulation in Trusting the Time Calibration of GNSS-Disciplined Timing Resilience Claims in C: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-0.0523</w:t>
            </w:r>
          </w:p>
        </w:tc>
        <w:tc>
          <w:tcPr>
            <w:tcW w:w="0" w:type="auto"/>
          </w:tcPr>
          <w:p>
            <w:pPr>
              <w:spacing w:line="240" w:lineRule="auto" w:before="0" w:after="0"/>
              <w:pStyle w:val="Compact"/>
            </w:pPr>
            <w:r>
              <w:rPr>
                <w:sz w:val="20"/>
                <w:szCs w:val="20"/>
              </w:rPr>
              <w:t xml:space="preserve">0.4354</w:t>
            </w:r>
          </w:p>
        </w:tc>
        <w:tc>
          <w:tcPr>
            <w:tcW w:w="0" w:type="auto"/>
          </w:tcPr>
          <w:p>
            <w:pPr>
              <w:spacing w:line="240" w:lineRule="auto" w:before="0" w:after="0"/>
              <w:pStyle w:val="Compact"/>
            </w:pPr>
            <w:r>
              <w:rPr>
                <w:sz w:val="20"/>
                <w:szCs w:val="20"/>
              </w:rPr>
              <w:t xml:space="preserve">-0.1201</w:t>
            </w:r>
          </w:p>
        </w:tc>
        <w:tc>
          <w:tcPr>
            <w:tcW w:w="0" w:type="auto"/>
          </w:tcPr>
          <w:p>
            <w:pPr>
              <w:spacing w:line="240" w:lineRule="auto" w:before="0" w:after="0"/>
              <w:pStyle w:val="Compact"/>
            </w:pPr>
            <w:r>
              <w:rPr>
                <w:sz w:val="20"/>
                <w:szCs w:val="20"/>
              </w:rPr>
              <w:t xml:space="preserve">0.9044</w:t>
            </w:r>
          </w:p>
        </w:tc>
        <w:tc>
          <w:tcPr>
            <w:tcW w:w="0" w:type="auto"/>
          </w:tcPr>
          <w:p>
            <w:pPr>
              <w:spacing w:line="240" w:lineRule="auto" w:before="0" w:after="0"/>
              <w:pStyle w:val="Compact"/>
            </w:pPr>
            <w:r>
              <w:rPr>
                <w:sz w:val="20"/>
                <w:szCs w:val="20"/>
              </w:rPr>
              <w:t xml:space="preserve">[-0.9057, 0.8011]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0.4184</w:t>
            </w:r>
          </w:p>
        </w:tc>
        <w:tc>
          <w:tcPr>
            <w:tcW w:w="0" w:type="auto"/>
          </w:tcPr>
          <w:p>
            <w:pPr>
              <w:spacing w:line="240" w:lineRule="auto" w:before="0" w:after="0"/>
              <w:pStyle w:val="Compact"/>
            </w:pPr>
            <w:r>
              <w:rPr>
                <w:sz w:val="20"/>
                <w:szCs w:val="20"/>
              </w:rPr>
              <w:t xml:space="preserve">0.3621</w:t>
            </w:r>
          </w:p>
        </w:tc>
        <w:tc>
          <w:tcPr>
            <w:tcW w:w="0" w:type="auto"/>
          </w:tcPr>
          <w:p>
            <w:pPr>
              <w:spacing w:line="240" w:lineRule="auto" w:before="0" w:after="0"/>
              <w:pStyle w:val="Compact"/>
            </w:pPr>
            <w:r>
              <w:rPr>
                <w:sz w:val="20"/>
                <w:szCs w:val="20"/>
              </w:rPr>
              <w:t xml:space="preserve">1.1556</w:t>
            </w:r>
          </w:p>
        </w:tc>
        <w:tc>
          <w:tcPr>
            <w:tcW w:w="0" w:type="auto"/>
          </w:tcPr>
          <w:p>
            <w:pPr>
              <w:spacing w:line="240" w:lineRule="auto" w:before="0" w:after="0"/>
              <w:pStyle w:val="Compact"/>
            </w:pPr>
            <w:r>
              <w:rPr>
                <w:sz w:val="20"/>
                <w:szCs w:val="20"/>
              </w:rPr>
              <w:t xml:space="preserve">0.2478</w:t>
            </w:r>
          </w:p>
        </w:tc>
        <w:tc>
          <w:tcPr>
            <w:tcW w:w="0" w:type="auto"/>
          </w:tcPr>
          <w:p>
            <w:pPr>
              <w:spacing w:line="240" w:lineRule="auto" w:before="0" w:after="0"/>
              <w:pStyle w:val="Compact"/>
            </w:pPr>
            <w:r>
              <w:rPr>
                <w:sz w:val="20"/>
                <w:szCs w:val="20"/>
              </w:rPr>
              <w:t xml:space="preserve">[-0.2912, 1.1281]</w:t>
            </w:r>
          </w:p>
        </w:tc>
      </w:tr>
    </w:tbl>
    <w:p>
      <w:pPr>
        <w:pStyle w:val="BodyText"/>
        <w:spacing w:line="480" w:lineRule="auto"/>
        <w:ind w:firstLine="720"/>
      </w:pPr>
      <w:r>
        <w:t xml:space="preserve">Fit: N = 30 R2 = 0.0477 elasticity_b = 0.4184 progress_ratio_2^b = 1.3365</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8" name="Picture"/>
            <a:graphic>
              <a:graphicData uri="http://schemas.openxmlformats.org/drawingml/2006/picture">
                <pic:pic>
                  <pic:nvPicPr>
                    <pic:cNvPr descr="D:/Claude_Code/brain/collegium/candidates/dissertations/SPECTRUM_PNT_11/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10.64861/YYXS3185</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10.64861/UYKI5597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https://amostech.space/year/2020/an-evaluation-of-observing-constellation-orbit-stability-low-signal-to-noise-and-the-too-short-arc-challenges-in-the-cislunar-domain/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https://amostech.space/year/2019/dynamic-calibration-of-multiple-data-types/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https://amostech.space/year/2022/calculating-optical-observation-residuals-from-gps-satellites/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https://amostech.space/year/2022/a-software-defined-radio-based-method-for-accurate-frequency-estimation-for-space-domain-awareness-in-real-time/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10.1016/j.actaastro.2024.03.050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10.1016/j.actaastro.2025.03.008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10.1016/j.actaastro.2018.03.009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10.1016/j.actaastro.2017.01.018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10.1016/j.actaastro.2025.01.041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10.1016/j.actaastro.2023.10.036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Swarm Neutral Thermospheric Density (v4.0)</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Swarm Thermosphere: Neutral Thermospheric Density (ESA Swarm Mission, v4.0)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10.3897/aiep.53.e105910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75" Type="http://schemas.openxmlformats.org/officeDocument/2006/relationships/hyperlink" Target="https://doi.org/10.1016/j.actaastro.2021.07.046" TargetMode="External"/><Relationship Id="rId185" Type="http://schemas.openxmlformats.org/officeDocument/2006/relationships/hyperlink" Target="https://doi.org/10.1016/j.actaastro.2023.12.055" TargetMode="External"/><Relationship Id="rId173" Type="http://schemas.openxmlformats.org/officeDocument/2006/relationships/hyperlink" Target="https://doi.org/10.1016/j.actaastro.2024.03.050" TargetMode="External"/><Relationship Id="rId183" Type="http://schemas.openxmlformats.org/officeDocument/2006/relationships/hyperlink" Target="https://doi.org/10.1016/j.actaastro.2025.01.037" TargetMode="External"/><Relationship Id="rId181" Type="http://schemas.openxmlformats.org/officeDocument/2006/relationships/hyperlink" Target="https://doi.org/10.1016/j.actaastro.2025.03.008" TargetMode="External"/><Relationship Id="rId171" Type="http://schemas.openxmlformats.org/officeDocument/2006/relationships/hyperlink" Target="https://doi.org/10.1016/j.actaastro.2025.04.043" TargetMode="External"/><Relationship Id="rId179" Type="http://schemas.openxmlformats.org/officeDocument/2006/relationships/hyperlink" Target="https://doi.org/10.1016/j.actaastro.2025.10.018" TargetMode="External"/><Relationship Id="rId177" Type="http://schemas.openxmlformats.org/officeDocument/2006/relationships/hyperlink" Target="https://doi.org/10.1016/j.actaastro.2025.12.053" TargetMode="External"/><Relationship Id="rId164" Type="http://schemas.openxmlformats.org/officeDocument/2006/relationships/hyperlink" Target="https://doi.org/10.64861/HWZS9386" TargetMode="External"/><Relationship Id="rId167" Type="http://schemas.openxmlformats.org/officeDocument/2006/relationships/hyperlink" Target="https://doi.org/10.64861/UCTN1793" TargetMode="External"/><Relationship Id="rId161" Type="http://schemas.openxmlformats.org/officeDocument/2006/relationships/hyperlink" Target="https://doi.org/10.64861/UYKI5597" TargetMode="External"/><Relationship Id="rId159" Type="http://schemas.openxmlformats.org/officeDocument/2006/relationships/hyperlink" Target="https://doi.org/10.64861/YYXS3185"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16/j.actaastro.2021.07.046" TargetMode="External"/><Relationship Id="rId185" Type="http://schemas.openxmlformats.org/officeDocument/2006/relationships/hyperlink" Target="https://doi.org/10.1016/j.actaastro.2023.12.055" TargetMode="External"/><Relationship Id="rId173" Type="http://schemas.openxmlformats.org/officeDocument/2006/relationships/hyperlink" Target="https://doi.org/10.1016/j.actaastro.2024.03.050" TargetMode="External"/><Relationship Id="rId183" Type="http://schemas.openxmlformats.org/officeDocument/2006/relationships/hyperlink" Target="https://doi.org/10.1016/j.actaastro.2025.01.037" TargetMode="External"/><Relationship Id="rId181" Type="http://schemas.openxmlformats.org/officeDocument/2006/relationships/hyperlink" Target="https://doi.org/10.1016/j.actaastro.2025.03.008" TargetMode="External"/><Relationship Id="rId171" Type="http://schemas.openxmlformats.org/officeDocument/2006/relationships/hyperlink" Target="https://doi.org/10.1016/j.actaastro.2025.04.043" TargetMode="External"/><Relationship Id="rId179" Type="http://schemas.openxmlformats.org/officeDocument/2006/relationships/hyperlink" Target="https://doi.org/10.1016/j.actaastro.2025.10.018" TargetMode="External"/><Relationship Id="rId177" Type="http://schemas.openxmlformats.org/officeDocument/2006/relationships/hyperlink" Target="https://doi.org/10.1016/j.actaastro.2025.12.053" TargetMode="External"/><Relationship Id="rId164" Type="http://schemas.openxmlformats.org/officeDocument/2006/relationships/hyperlink" Target="https://doi.org/10.64861/HWZS9386" TargetMode="External"/><Relationship Id="rId167" Type="http://schemas.openxmlformats.org/officeDocument/2006/relationships/hyperlink" Target="https://doi.org/10.64861/UCTN1793" TargetMode="External"/><Relationship Id="rId161" Type="http://schemas.openxmlformats.org/officeDocument/2006/relationships/hyperlink" Target="https://doi.org/10.64861/UYKI5597" TargetMode="External"/><Relationship Id="rId159" Type="http://schemas.openxmlformats.org/officeDocument/2006/relationships/hyperlink" Target="https://doi.org/10.64861/YYXS31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Trusting the Time: Calibration of GNSS-Disciplined Timing Resilience Claims in C</dc:title>
  <dc:creator>Daniel Novak (1B-ITI-195)</dc:creator>
  <cp:keywords/>
  <dcterms:created xsi:type="dcterms:W3CDTF">2026-07-02T23:34:52Z</dcterms:created>
  <dcterms:modified xsi:type="dcterms:W3CDTF">2026-07-02T23:34:52Z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