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2" w:name="Xd4bcf68d0cdc3e7c496b9d9d2bdbc5cbaebf1e0"/>
    <w:p>
      <w:pPr>
        <w:pStyle w:val="Heading1"/>
      </w:pPr>
      <w:r>
        <w:t xml:space="preserve">Aggregate Co-Channel Interference at GSO Earth Stations as a Function of NGSO Emitter Density and Coordination Intensity: A Cross-Sectional OLS Test of the Polycentric DSS Mechanism</w:t>
      </w:r>
    </w:p>
    <w:bookmarkStart w:id="61" w:name="introduction"/>
    <w:p>
      <w:pPr>
        <w:pStyle w:val="Heading2"/>
      </w:pPr>
      <w:r>
        <w:t xml:space="preserve">1. Introduction</w:t>
      </w:r>
    </w:p>
    <w:p>
      <w:pPr>
        <w:pStyle w:val="FirstParagraph"/>
      </w:pPr>
      <w:r>
        <w:t xml:space="preserve">The polycentric spectrum-commons thesis of the parent dissertation rests on a concrete causal claim: that the depth of bilateral coordination between non-geostationary (NGSO) and geostationary (GSO) operators in the Ku- and Ka-bands matters for the aggregate co-channel interference observed at GSO earth stations, above and beyond the geometric pressure created by the number of NGSO satellites in line of sight and above and beyond the static treaty-layer protections of the International Telecommunication Union (ITU) Radio Regulations</w:t>
      </w:r>
      <w:r>
        <w:t xml:space="preserve"> </w:t>
      </w:r>
      <w:hyperlink w:anchor="ref-1">
        <m:oMathPara>
          <m:oMathParaPr>
            <m:jc m:val="center"/>
          </m:oMathParaPr>
          <m:oMath>
            <m:r>
              <m:t>1</m:t>
            </m:r>
          </m:oMath>
        </m:oMathPara>
      </w:hyperlink>
      <w:r>
        <w:t xml:space="preserve">[2]. The companion paper in this dissertation tests that claim with a difference-in-differences design on the coordination-event timeline. This paper tests it with a complementary cross-sectional ordinary-least-squares specification on operator-pair-level link budgets, in order to ask whether the coordination signal is detectable once the legally binding EPFD margin and the raw emitter density are conditioned on. The cross-sectional test is a sharper falsification instrument than the panel test because it forces coordination intensity to do work against the regulatory and geometric variables that are known to drive interference.</w:t>
      </w:r>
    </w:p>
    <w:bookmarkEnd w:id="61"/>
    <w:bookmarkStart w:id="62" w:name="theory-and-hypotheses"/>
    <w:p>
      <w:pPr>
        <w:pStyle w:val="Heading2"/>
      </w:pPr>
      <w:r>
        <w:t xml:space="preserve">2. Theory and Hypotheses</w:t>
      </w:r>
    </w:p>
    <w:p>
      <w:pPr>
        <w:pStyle w:val="FirstParagraph"/>
      </w:pPr>
      <w:r>
        <w:t xml:space="preserve">Three mechanisms compete to explain variation in aggregate interference at a GSO earth station. The first is purely geometric. More NGSO emitters in the GSO earth station’s field of view increase the aggregate noise floor mechanically</w:t>
      </w:r>
      <w:r>
        <w:t xml:space="preserve"> </w:t>
      </w:r>
      <w:hyperlink w:anchor="ref-1">
        <m:oMathPara>
          <m:oMathParaPr>
            <m:jc m:val="center"/>
          </m:oMathParaPr>
          <m:oMath>
            <m:r>
              <m:t>1</m:t>
            </m:r>
          </m:oMath>
        </m:oMathPara>
      </w:hyperlink>
      <w:r>
        <w:t xml:space="preserve">. The second is regulatory. The Article 22 equivalent power flux density (EPFD) hard limits negotiated at the World Radiocommunication Conferences constrain the per-emitter contribution and the aggregate envelope by design, and the operator-reported margin against those limits should be the single strongest predictor of measured interference because it is the variable the rule is written against</w:t>
      </w:r>
      <w:r>
        <w:t xml:space="preserve"> </w:t>
      </w:r>
      <w:hyperlink w:anchor="ref-2">
        <m:oMathPara>
          <m:oMathParaPr>
            <m:jc m:val="center"/>
          </m:oMathParaPr>
          <m:oMath>
            <m:r>
              <m:t>2</m:t>
            </m:r>
          </m:oMath>
        </m:oMathPara>
      </w:hyperlink>
      <w:r>
        <w:t xml:space="preserve">. The third is institutional. The polycentric DSS thesis predicts that, after the regulatory floor is accounted for, deeper bilateral coordination (sharing of pointing schedules, exclusion zones, traffic-state exchange) reduces aggregate interference at the GSO earth station relative to the static-coordination baseline</w:t>
      </w:r>
      <w:r>
        <w:t xml:space="preserve"> </w:t>
      </w:r>
      <w:hyperlink w:anchor="ref-3">
        <m:oMathPara>
          <m:oMathParaPr>
            <m:jc m:val="center"/>
          </m:oMathParaPr>
          <m:oMath>
            <m:r>
              <m:t>3</m:t>
            </m:r>
          </m:oMath>
        </m:oMathPara>
      </w:hyperlink>
      <w:r>
        <w:t xml:space="preserve">[4]. The orbital-commons literature predicts the same direction for orbital-debris governance and motivates the application here</w:t>
      </w:r>
      <w:r>
        <w:t xml:space="preserve"> </w:t>
      </w:r>
      <w:hyperlink w:anchor="ref-3">
        <m:oMathPara>
          <m:oMathParaPr>
            <m:jc m:val="center"/>
          </m:oMathParaPr>
          <m:oMath>
            <m:r>
              <m:t>3</m:t>
            </m:r>
          </m:oMath>
        </m:oMathPara>
      </w:hyperlink>
      <w:r>
        <w:t xml:space="preserve">[4][5].</w:t>
      </w:r>
    </w:p>
    <w:p>
      <w:pPr>
        <w:pStyle w:val="FirstParagraph"/>
      </w:pPr>
      <w:r>
        <w:t xml:space="preserve">The hypothesis of this paper is therefore that, in a specification that includes the EPFD margin and the NGSO emitter count as controls, the coefficient on coordination intensity is negative and statistically significant. A null or wrong-sign coefficient on coordination intensity, conditional on EPFD margin, would imply that the polycentric DSS mechanism is not detectable at the cross-sectional link-budget level once the legally binding regulatory variable is accounted for, and would push the polycentric-commons thesis back onto the panel evidence in the companion paper.</w:t>
      </w:r>
    </w:p>
    <w:bookmarkEnd w:id="62"/>
    <w:bookmarkStart w:id="63" w:name="data"/>
    <w:p>
      <w:pPr>
        <w:pStyle w:val="Heading2"/>
      </w:pPr>
      <w:r>
        <w:t xml:space="preserve">3. Data</w:t>
      </w:r>
    </w:p>
    <w:p>
      <w:pPr>
        <w:pStyle w:val="FirstParagraph"/>
      </w:pPr>
      <w:r>
        <w:t xml:space="preserve">The unit of observation is the NGSO-GSO operator-band pairing. The sample is 28 pairings drawn from the U.S. Federal Communications Commission International Bureau Filing System (IBFS) Schedule S submissions associated with the Ku- and Ka-band NGSO authorizations granted to SpaceX Starlink Gen1 and Gen2, OneWeb Phase 1 and Phase 2, Telesat Lightspeed, Amazon Kuiper, SES O3b mPOWER, Hughes JUPITER 3, Iridium NEXT, Kepler Communications, and Planet SkySat, paired with the GSO earth-station coordination filings of Intelsat, SES, Eutelsat, Inmarsat (Viasat), Echostar, Hughes, JSAT, and ABS that share the same nominal frequency assignments. The dependent variable is the aggregate co-channel interference at the GSO earth station in dBW, taken from the Schedule S link-budget annex. The independent variables are the number of NGSO satellites of the named operator simultaneously in line of sight of the GSO earth station at the Schedule S reference geometry, an ordinal index of coordination intensity coded against the Ostrom design principles following the orbital-debris polycentric-governance audit</w:t>
      </w:r>
      <w:r>
        <w:t xml:space="preserve"> </w:t>
      </w:r>
      <w:hyperlink w:anchor="ref-3">
        <m:oMathPara>
          <m:oMathParaPr>
            <m:jc m:val="center"/>
          </m:oMathParaPr>
          <m:oMath>
            <m:r>
              <m:t>3</m:t>
            </m:r>
          </m:oMath>
        </m:oMathPara>
      </w:hyperlink>
      <w:r>
        <w:t xml:space="preserve">, and the operator-reported margin against the ITU Radio Regulations Article 22 EPFD hard limits at the GSO earth station</w:t>
      </w:r>
      <w:r>
        <w:t xml:space="preserve"> </w:t>
      </w:r>
      <w:hyperlink w:anchor="ref-2">
        <m:oMathPara>
          <m:oMathParaPr>
            <m:jc m:val="center"/>
          </m:oMathParaPr>
          <m:oMath>
            <m:r>
              <m:t>2</m:t>
            </m:r>
          </m:oMath>
        </m:oMathPara>
      </w:hyperlink>
      <w:r>
        <w:t xml:space="preserve">. The full per-row source string is recorded in the data file. Two of the twenty-eight rows are marked illustrative on a single variable each; the remainder are taken from the cited filings.</w:t>
      </w:r>
    </w:p>
    <w:bookmarkEnd w:id="63"/>
    <w:bookmarkStart w:id="64" w:name="method"/>
    <w:p>
      <w:pPr>
        <w:pStyle w:val="Heading2"/>
      </w:pPr>
      <w:r>
        <w:t xml:space="preserve">4. Method</w:t>
      </w:r>
    </w:p>
    <w:p>
      <w:pPr>
        <w:pStyle w:val="FirstParagraph"/>
      </w:pPr>
      <w:r>
        <w:t xml:space="preserve">The estimator is ordinary least squares with heteroskedasticity-consistent standard errors. The functional form is a linear-in-parameters regression of aggregate interference on the three regressors. The coefficient of primary interest is the one on coordination intensity. The EPFD margin is included as the regulatory floor, and the NGSO emitter count is included as the geometric driver. Identification rests on the cross-sectional variation in coordination depth across the documented Ku- and Ka-band pairings and on the conditional-on-observables interpretation of the coordination coefficient. Because the dependent variable is in dB, the coefficients are read in dB per unit of the regressor. The fit diagnostics reported are the unadjusted R-squared, the adjusted R-squared, and the F statistic with its p-value.</w:t>
      </w:r>
    </w:p>
    <w:bookmarkEnd w:id="64"/>
    <w:bookmarkStart w:id="65" w:name="findings"/>
    <w:p>
      <w:pPr>
        <w:pStyle w:val="Heading2"/>
      </w:pPr>
      <w:r>
        <w:t xml:space="preserve">5. Findings</w:t>
      </w:r>
    </w:p>
    <w:p>
      <w:pPr>
        <w:pStyle w:val="FirstParagraph"/>
      </w:pPr>
      <w:r>
        <w:t xml:space="preserve">The model fits the cross-section closely. The unadjusted R-squared is 0.9952 and the adjusted R-squared is 0.9946 on 28 observations, and the F statistic of 1374.47 is significant at p well below 0.001. The intercept is -140.1293 dBW with a standard error of 0.7047, which places the unconditional baseline in the range expected for Ku- and Ka-band GSO earth-station link budgets. The coefficient on the EPFD margin is -3.0971 dB per dB of margin, with a standard error of 0.1847 and a p-value indistinguishable from zero at the reported precision. The regulatory floor is therefore the dominant driver in the cross-section, and the sign is the expected one: each additional dB of margin against the Article 22 hard limit corresponds to roughly three dB of lower aggregate interference. The coefficient on the NGSO satellite count is -0.0330 dB per additional satellite with a standard error of 0.0219 and a p-value of 0.1313, which fails to reach conventional significance. The coefficient on coordination intensity is 0.0148 dB per ordinal step with a standard error of 0.0518 and a p-value of 0.7749, which is statistically indistinguishable from zero and pointing in the wrong direction for the polycentric hypothesis.</w:t>
      </w:r>
    </w:p>
    <w:p>
      <w:pPr>
        <w:pStyle w:val="BodyText"/>
      </w:pPr>
      <w:r>
        <w:t xml:space="preserve">The hypothesis of a detectable polycentric-coordination effect on aggregate interference, conditional on the regulatory and geometric controls, is not supported by this cross-section. The signal that the polycentric thesis predicts is absorbed by the EPFD margin variable. Substantively, this means that once the operator-reported margin against the Article 22 limits is in the regression, deeper bilateral coordination does not add measurable interference reduction at the link-budget level. The geometric variable also fails to reach significance once the regulatory variable is included, which is consistent with the EPFD limit doing the binding work it was designed to do.</w:t>
      </w:r>
    </w:p>
    <w:bookmarkEnd w:id="65"/>
    <w:bookmarkStart w:id="66" w:name="discussion"/>
    <w:p>
      <w:pPr>
        <w:pStyle w:val="Heading2"/>
      </w:pPr>
      <w:r>
        <w:t xml:space="preserve">6. Discussion</w:t>
      </w:r>
    </w:p>
    <w:p>
      <w:pPr>
        <w:pStyle w:val="FirstParagraph"/>
      </w:pPr>
      <w:r>
        <w:t xml:space="preserve">The cross-sectional null on coordination intensity is informative rather than fatal for the polycentric-commons thesis. Three readings are available and each maps to a specific test in the rest of the dissertation. First, the EPFD margin may already encode the coordination signal because operators that coordinate more deeply file tighter margins; in that case, the cross-section is collinear by construction and the panel difference-in-differences in the companion paper is the right test. Second, the cross-sectional link budget may be the wrong layer at which to look for the polycentric effect, which the parent prospectus argues should manifest in the dynamic adaptation of pointing and traffic state rather than in the static filed link budget</w:t>
      </w:r>
      <w:r>
        <w:t xml:space="preserve"> </w:t>
      </w:r>
      <w:hyperlink w:anchor="ref-1">
        <m:oMathPara>
          <m:oMathParaPr>
            <m:jc m:val="center"/>
          </m:oMathParaPr>
          <m:oMath>
            <m:r>
              <m:t>1</m:t>
            </m:r>
          </m:oMath>
        </m:oMathPara>
      </w:hyperlink>
      <w:r>
        <w:t xml:space="preserve">[3]. Third, the coordination-intensity index, coded ordinally against the Ostrom design principles</w:t>
      </w:r>
      <w:r>
        <w:t xml:space="preserve"> </w:t>
      </w:r>
      <w:hyperlink w:anchor="ref-3">
        <m:oMathPara>
          <m:oMathParaPr>
            <m:jc m:val="center"/>
          </m:oMathParaPr>
          <m:oMath>
            <m:r>
              <m:t>3</m:t>
            </m:r>
          </m:oMath>
        </m:oMathPara>
      </w:hyperlink>
      <w:r>
        <w:t xml:space="preserve">[4], may be too coarse to register the variation in coordination depth that matters for interference. The regulatory finding, by contrast, is strong and clean: the Article 22 EPFD margin is the binding constraint at the link-budget layer, which is consistent with the WRC-19 record</w:t>
      </w:r>
      <w:r>
        <w:t xml:space="preserve"> </w:t>
      </w:r>
      <w:hyperlink w:anchor="ref-2">
        <m:oMathPara>
          <m:oMathParaPr>
            <m:jc m:val="center"/>
          </m:oMathParaPr>
          <m:oMath>
            <m:r>
              <m:t>2</m:t>
            </m:r>
          </m:oMath>
        </m:oMathPara>
      </w:hyperlink>
      <w:r>
        <w:t xml:space="preserve"> </w:t>
      </w:r>
      <w:r>
        <w:t xml:space="preserve">and which supports the parent dissertation’s framing of the static baseline as a treaty-layer instrument rather than as an operational one</w:t>
      </w:r>
      <w:r>
        <w:t xml:space="preserve"> </w:t>
      </w:r>
      <w:hyperlink w:anchor="ref-2">
        <m:oMathPara>
          <m:oMathParaPr>
            <m:jc m:val="center"/>
          </m:oMathParaPr>
          <m:oMath>
            <m:r>
              <m:t>2</m:t>
            </m:r>
          </m:oMath>
        </m:oMathPara>
      </w:hyperlink>
      <w:r>
        <w:t xml:space="preserve">[3]. The polycentric DSS thesis therefore stands or falls on the dynamic evidence in the companion paper and on the institutional process-trace, not on the cross-section.</w:t>
      </w:r>
    </w:p>
    <w:bookmarkEnd w:id="66"/>
    <w:bookmarkStart w:id="72" w:name="references"/>
    <w:p>
      <w:pPr>
        <w:pStyle w:val="Heading2"/>
      </w:pPr>
      <w:r>
        <w:t xml:space="preserve">References</w:t>
      </w:r>
    </w:p>
    <w:p>
      <w:pPr>
        <w:pStyle w:val="FirstParagraph"/>
      </w:pPr>
      <w:bookmarkStart w:id="67" w:name="ref-1"/>
      <w:bookmarkEnd w:id="67"/>
      <w:r>
        <w:t xml:space="preserve">1. M. Young and A. Thadani,</w:t>
      </w:r>
      <w:r>
        <w:t xml:space="preserve"> </w:t>
      </w:r>
      <w:r>
        <w:t xml:space="preserve">“Low-Orbit, High Stakes: Winning the LEO Broadband Competition,”</w:t>
      </w:r>
      <w:r>
        <w:t xml:space="preserve"> </w:t>
      </w:r>
      <w:r>
        <w:t xml:space="preserve">Proc. Advanced Maui Optical and Space Surveillance Technologies (AMOS) Conference, 2022. https://amostech.space/year/2022/low-orbit-high-stakes-winning-the-leo-broadband-competition/</w:t>
      </w:r>
    </w:p>
    <w:p>
      <w:pPr>
        <w:pStyle w:val="BodyText"/>
      </w:pPr>
      <w:bookmarkStart w:id="68" w:name="ref-2"/>
      <w:bookmarkEnd w:id="68"/>
      <w:r>
        <w:t xml:space="preserve">2. A. Allison,</w:t>
      </w:r>
      <w:r>
        <w:t xml:space="preserve"> </w:t>
      </w:r>
      <w:r>
        <w:t xml:space="preserve">“WRC-19: New Space Law Enabling the Sustainability of LEO,”</w:t>
      </w:r>
      <w:r>
        <w:t xml:space="preserve"> </w:t>
      </w:r>
      <w:r>
        <w:t xml:space="preserve">Proc. Advanced Maui Optical and Space Surveillance Technologies (AMOS) Conference, 2020. https://amostech.space/year/2020/wrc-19-new-space-law-enabling-the-sustainability-of-leo/</w:t>
      </w:r>
    </w:p>
    <w:p>
      <w:pPr>
        <w:pStyle w:val="BodyText"/>
      </w:pPr>
      <w:bookmarkStart w:id="69" w:name="ref-3"/>
      <w:bookmarkEnd w:id="69"/>
      <w:r>
        <w:t xml:space="preserve">3. J.-F. Morin and C. Couette,</w:t>
      </w:r>
      <w:r>
        <w:t xml:space="preserve"> </w:t>
      </w:r>
      <w:r>
        <w:t xml:space="preserve">“The Missing Ingredients for a Polycentric Governance System of Orbital Debris,”</w:t>
      </w:r>
      <w:r>
        <w:t xml:space="preserve"> </w:t>
      </w:r>
      <w:r>
        <w:t xml:space="preserve">Global Environmental Politics, 2025. doi: https://doi.org/10.1162/glep_a_00775</w:t>
      </w:r>
    </w:p>
    <w:p>
      <w:pPr>
        <w:pStyle w:val="BodyText"/>
      </w:pPr>
      <w:bookmarkStart w:id="70" w:name="ref-4"/>
      <w:bookmarkEnd w:id="70"/>
      <w:r>
        <w:t xml:space="preserve">4. X.-S. Yap, M. A. Janssen, T. Aganaba, and R. Tutton,</w:t>
      </w:r>
      <w:r>
        <w:t xml:space="preserve"> </w:t>
      </w:r>
      <w:r>
        <w:t xml:space="preserve">“Four Alternative Scenarios of Commons in Space: Prospects and Challenges,”</w:t>
      </w:r>
      <w:r>
        <w:t xml:space="preserve"> </w:t>
      </w:r>
      <w:r>
        <w:t xml:space="preserve">International Journal of the Commons, 2023. doi: https://doi.org/10.5334/ijc.1272</w:t>
      </w:r>
    </w:p>
    <w:p>
      <w:pPr>
        <w:pStyle w:val="BodyText"/>
      </w:pPr>
      <w:bookmarkStart w:id="71" w:name="ref-5"/>
      <w:bookmarkEnd w:id="71"/>
      <w:r>
        <w:t xml:space="preserve">5. M. Weinzierl,</w:t>
      </w:r>
      <w:r>
        <w:t xml:space="preserve"> </w:t>
      </w:r>
      <w:r>
        <w:t xml:space="preserve">“Space, the Final Economic Frontier,”</w:t>
      </w:r>
      <w:r>
        <w:t xml:space="preserve"> </w:t>
      </w:r>
      <w:r>
        <w:t xml:space="preserve">Journal of Economic Perspectives, 2018. (Space Economy Papers corpus, SD18.)</w:t>
      </w:r>
    </w:p>
    <w:bookmarkEnd w:id="72"/>
    <w:bookmarkStart w:id="73" w:name="specification"/>
    <w:p>
      <w:pPr>
        <w:pStyle w:val="Heading2"/>
      </w:pPr>
      <w:r>
        <w:t xml:space="preserve">Specification</w:t>
      </w:r>
    </w:p>
    <w:p>
      <w:pPr>
        <w:pStyle w:val="FirstParagraph"/>
      </w:pPr>
      <m:oMathPara>
        <m:oMathParaPr>
          <m:jc m:val="center"/>
        </m:oMathParaPr>
        <m:oMath>
          <m:sSub>
            <m:e>
              <m:r>
                <m:t>I</m:t>
              </m:r>
            </m:e>
            <m:sub>
              <m:r>
                <m:t>i</m:t>
              </m:r>
            </m:sub>
          </m:sSub>
          <m:r>
            <m:rPr>
              <m:sty m:val="p"/>
            </m:rPr>
            <m:t>=</m:t>
          </m:r>
          <m:sSub>
            <m:e>
              <m:r>
                <m:t>β</m:t>
              </m:r>
            </m:e>
            <m:sub>
              <m:r>
                <m:t>0</m:t>
              </m:r>
            </m:sub>
          </m:sSub>
          <m:r>
            <m:rPr>
              <m:sty m:val="p"/>
            </m:rPr>
            <m:t>+</m:t>
          </m:r>
          <m:sSub>
            <m:e>
              <m:r>
                <m:t>β</m:t>
              </m:r>
            </m:e>
            <m:sub>
              <m:r>
                <m:t>1</m:t>
              </m:r>
            </m:sub>
          </m:sSub>
          <m:sSub>
            <m:e>
              <m:r>
                <m:t>N</m:t>
              </m:r>
            </m:e>
            <m:sub>
              <m:r>
                <m:t>i</m:t>
              </m:r>
            </m:sub>
          </m:sSub>
          <m:r>
            <m:rPr>
              <m:sty m:val="p"/>
            </m:rPr>
            <m:t>+</m:t>
          </m:r>
          <m:sSub>
            <m:e>
              <m:r>
                <m:t>β</m:t>
              </m:r>
            </m:e>
            <m:sub>
              <m:r>
                <m:t>2</m:t>
              </m:r>
            </m:sub>
          </m:sSub>
          <m:sSub>
            <m:e>
              <m:r>
                <m:t>C</m:t>
              </m:r>
            </m:e>
            <m:sub>
              <m:r>
                <m:t>i</m:t>
              </m:r>
            </m:sub>
          </m:sSub>
          <m:r>
            <m:rPr>
              <m:sty m:val="p"/>
            </m:rPr>
            <m:t>+</m:t>
          </m:r>
          <m:sSub>
            <m:e>
              <m:r>
                <m:t>β</m:t>
              </m:r>
            </m:e>
            <m:sub>
              <m:r>
                <m:t>3</m:t>
              </m:r>
            </m:sub>
          </m:sSub>
          <m:sSub>
            <m:e>
              <m:r>
                <m:t>M</m:t>
              </m:r>
            </m:e>
            <m:sub>
              <m:r>
                <m:t>i</m:t>
              </m:r>
            </m:sub>
          </m:sSub>
          <m:r>
            <m:rPr>
              <m:sty m:val="p"/>
            </m:rPr>
            <m:t>+</m:t>
          </m:r>
          <m:sSub>
            <m:e>
              <m:r>
                <m:t>ε</m:t>
              </m:r>
            </m:e>
            <m:sub>
              <m:r>
                <m:t>i</m:t>
              </m:r>
            </m:sub>
          </m:sSub>
        </m:oMath>
      </m:oMathPara>
    </w:p>
    <w:bookmarkEnd w:id="73"/>
    <w:bookmarkStart w:id="77"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-140.1293</w:t>
            </w:r>
          </w:p>
        </w:tc>
        <w:tc>
          <w:tcPr>
            <w:tcW w:w="0" w:type="auto"/>
          </w:tcPr>
          <w:p>
            <w:pPr>
              <w:spacing w:line="240" w:lineRule="auto" w:before="0" w:after="0"/>
              <w:pStyle w:val="Compact"/>
            </w:pPr>
            <w:r>
              <w:rPr>
                <w:sz w:val="20"/>
                <w:szCs w:val="20"/>
              </w:rPr>
              <w:t xml:space="preserve">0.7047</w:t>
            </w:r>
          </w:p>
        </w:tc>
        <w:tc>
          <w:tcPr>
            <w:tcW w:w="0" w:type="auto"/>
          </w:tcPr>
          <w:p>
            <w:pPr>
              <w:spacing w:line="240" w:lineRule="auto" w:before="0" w:after="0"/>
              <w:pStyle w:val="Compact"/>
            </w:pPr>
            <w:r>
              <w:rPr>
                <w:sz w:val="20"/>
                <w:szCs w:val="20"/>
              </w:rPr>
              <w:t xml:space="preserve">-198.8562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[-141.5104, -138.7482]</w:t>
            </w:r>
          </w:p>
        </w:tc>
      </w:tr>
      <w:tr>
        <w:tc>
          <w:tcPr>
            <w:tcW w:w="0" w:type="auto"/>
          </w:tcPr>
          <w:p>
            <w:pPr>
              <w:spacing w:line="240" w:lineRule="auto" w:before="0" w:after="0"/>
              <w:pStyle w:val="Compact"/>
            </w:pPr>
            <w:r>
              <w:rPr>
                <w:sz w:val="20"/>
                <w:szCs w:val="20"/>
              </w:rPr>
              <w:t xml:space="preserve">n_ngso_satellites_in_view</w:t>
            </w:r>
          </w:p>
        </w:tc>
        <w:tc>
          <w:tcPr>
            <w:tcW w:w="0" w:type="auto"/>
          </w:tcPr>
          <w:p>
            <w:pPr>
              <w:spacing w:line="240" w:lineRule="auto" w:before="0" w:after="0"/>
              <w:pStyle w:val="Compact"/>
            </w:pPr>
            <w:r>
              <w:rPr>
                <w:sz w:val="20"/>
                <w:szCs w:val="20"/>
              </w:rPr>
              <w:t xml:space="preserve">-0.033</w:t>
            </w:r>
          </w:p>
        </w:tc>
        <w:tc>
          <w:tcPr>
            <w:tcW w:w="0" w:type="auto"/>
          </w:tcPr>
          <w:p>
            <w:pPr>
              <w:spacing w:line="240" w:lineRule="auto" w:before="0" w:after="0"/>
              <w:pStyle w:val="Compact"/>
            </w:pPr>
            <w:r>
              <w:rPr>
                <w:sz w:val="20"/>
                <w:szCs w:val="20"/>
              </w:rPr>
              <w:t xml:space="preserve">0.0219</w:t>
            </w:r>
          </w:p>
        </w:tc>
        <w:tc>
          <w:tcPr>
            <w:tcW w:w="0" w:type="auto"/>
          </w:tcPr>
          <w:p>
            <w:pPr>
              <w:spacing w:line="240" w:lineRule="auto" w:before="0" w:after="0"/>
              <w:pStyle w:val="Compact"/>
            </w:pPr>
            <w:r>
              <w:rPr>
                <w:sz w:val="20"/>
                <w:szCs w:val="20"/>
              </w:rPr>
              <w:t xml:space="preserve">-1.5088</w:t>
            </w:r>
          </w:p>
        </w:tc>
        <w:tc>
          <w:tcPr>
            <w:tcW w:w="0" w:type="auto"/>
          </w:tcPr>
          <w:p>
            <w:pPr>
              <w:spacing w:line="240" w:lineRule="auto" w:before="0" w:after="0"/>
              <w:pStyle w:val="Compact"/>
            </w:pPr>
            <w:r>
              <w:rPr>
                <w:sz w:val="20"/>
                <w:szCs w:val="20"/>
              </w:rPr>
              <w:t xml:space="preserve">0.1313</w:t>
            </w:r>
          </w:p>
        </w:tc>
        <w:tc>
          <w:tcPr>
            <w:tcW w:w="0" w:type="auto"/>
          </w:tcPr>
          <w:p>
            <w:pPr>
              <w:spacing w:line="240" w:lineRule="auto" w:before="0" w:after="0"/>
              <w:pStyle w:val="Compact"/>
            </w:pPr>
            <w:r>
              <w:rPr>
                <w:sz w:val="20"/>
                <w:szCs w:val="20"/>
              </w:rPr>
              <w:t xml:space="preserve">[-0.0758, 0.0099]</w:t>
            </w:r>
          </w:p>
        </w:tc>
      </w:tr>
      <w:tr>
        <w:tc>
          <w:tcPr>
            <w:tcW w:w="0" w:type="auto"/>
          </w:tcPr>
          <w:p>
            <w:pPr>
              <w:spacing w:line="240" w:lineRule="auto" w:before="0" w:after="0"/>
              <w:pStyle w:val="Compact"/>
            </w:pPr>
            <w:r>
              <w:rPr>
                <w:sz w:val="20"/>
                <w:szCs w:val="20"/>
              </w:rPr>
              <w:t xml:space="preserve">coordination_intensity</w:t>
            </w:r>
          </w:p>
        </w:tc>
        <w:tc>
          <w:tcPr>
            <w:tcW w:w="0" w:type="auto"/>
          </w:tcPr>
          <w:p>
            <w:pPr>
              <w:spacing w:line="240" w:lineRule="auto" w:before="0" w:after="0"/>
              <w:pStyle w:val="Compact"/>
            </w:pPr>
            <w:r>
              <w:rPr>
                <w:sz w:val="20"/>
                <w:szCs w:val="20"/>
              </w:rPr>
              <w:t xml:space="preserve">0.0148</w:t>
            </w:r>
          </w:p>
        </w:tc>
        <w:tc>
          <w:tcPr>
            <w:tcW w:w="0" w:type="auto"/>
          </w:tcPr>
          <w:p>
            <w:pPr>
              <w:spacing w:line="240" w:lineRule="auto" w:before="0" w:after="0"/>
              <w:pStyle w:val="Compact"/>
            </w:pPr>
            <w:r>
              <w:rPr>
                <w:sz w:val="20"/>
                <w:szCs w:val="20"/>
              </w:rPr>
              <w:t xml:space="preserve">0.0518</w:t>
            </w:r>
          </w:p>
        </w:tc>
        <w:tc>
          <w:tcPr>
            <w:tcW w:w="0" w:type="auto"/>
          </w:tcPr>
          <w:p>
            <w:pPr>
              <w:spacing w:line="240" w:lineRule="auto" w:before="0" w:after="0"/>
              <w:pStyle w:val="Compact"/>
            </w:pPr>
            <w:r>
              <w:rPr>
                <w:sz w:val="20"/>
                <w:szCs w:val="20"/>
              </w:rPr>
              <w:t xml:space="preserve">0.2859</w:t>
            </w:r>
          </w:p>
        </w:tc>
        <w:tc>
          <w:tcPr>
            <w:tcW w:w="0" w:type="auto"/>
          </w:tcPr>
          <w:p>
            <w:pPr>
              <w:spacing w:line="240" w:lineRule="auto" w:before="0" w:after="0"/>
              <w:pStyle w:val="Compact"/>
            </w:pPr>
            <w:r>
              <w:rPr>
                <w:sz w:val="20"/>
                <w:szCs w:val="20"/>
              </w:rPr>
              <w:t xml:space="preserve">0.7749</w:t>
            </w:r>
          </w:p>
        </w:tc>
        <w:tc>
          <w:tcPr>
            <w:tcW w:w="0" w:type="auto"/>
          </w:tcPr>
          <w:p>
            <w:pPr>
              <w:spacing w:line="240" w:lineRule="auto" w:before="0" w:after="0"/>
              <w:pStyle w:val="Compact"/>
            </w:pPr>
            <w:r>
              <w:rPr>
                <w:sz w:val="20"/>
                <w:szCs w:val="20"/>
              </w:rPr>
              <w:t xml:space="preserve">[-0.0868, 0.1164]</w:t>
            </w:r>
          </w:p>
        </w:tc>
      </w:tr>
      <w:tr>
        <w:tc>
          <w:tcPr>
            <w:tcW w:w="0" w:type="auto"/>
          </w:tcPr>
          <w:p>
            <w:pPr>
              <w:spacing w:line="240" w:lineRule="auto" w:before="0" w:after="0"/>
              <w:pStyle w:val="Compact"/>
            </w:pPr>
            <w:r>
              <w:rPr>
                <w:sz w:val="20"/>
                <w:szCs w:val="20"/>
              </w:rPr>
              <w:t xml:space="preserve">off_axis_epfd_margin_db</w:t>
            </w:r>
          </w:p>
        </w:tc>
        <w:tc>
          <w:tcPr>
            <w:tcW w:w="0" w:type="auto"/>
          </w:tcPr>
          <w:p>
            <w:pPr>
              <w:spacing w:line="240" w:lineRule="auto" w:before="0" w:after="0"/>
              <w:pStyle w:val="Compact"/>
            </w:pPr>
            <w:r>
              <w:rPr>
                <w:sz w:val="20"/>
                <w:szCs w:val="20"/>
              </w:rPr>
              <w:t xml:space="preserve">-3.0971</w:t>
            </w:r>
          </w:p>
        </w:tc>
        <w:tc>
          <w:tcPr>
            <w:tcW w:w="0" w:type="auto"/>
          </w:tcPr>
          <w:p>
            <w:pPr>
              <w:spacing w:line="240" w:lineRule="auto" w:before="0" w:after="0"/>
              <w:pStyle w:val="Compact"/>
            </w:pPr>
            <w:r>
              <w:rPr>
                <w:sz w:val="20"/>
                <w:szCs w:val="20"/>
              </w:rPr>
              <w:t xml:space="preserve">0.1847</w:t>
            </w:r>
          </w:p>
        </w:tc>
        <w:tc>
          <w:tcPr>
            <w:tcW w:w="0" w:type="auto"/>
          </w:tcPr>
          <w:p>
            <w:pPr>
              <w:spacing w:line="240" w:lineRule="auto" w:before="0" w:after="0"/>
              <w:pStyle w:val="Compact"/>
            </w:pPr>
            <w:r>
              <w:rPr>
                <w:sz w:val="20"/>
                <w:szCs w:val="20"/>
              </w:rPr>
              <w:t xml:space="preserve">-16.7688</w:t>
            </w:r>
          </w:p>
        </w:tc>
        <w:tc>
          <w:tcPr>
            <w:tcW w:w="0" w:type="auto"/>
          </w:tcPr>
          <w:p>
            <w:pPr>
              <w:spacing w:line="240" w:lineRule="auto" w:before="0" w:after="0"/>
              <w:pStyle w:val="Compact"/>
            </w:pPr>
            <w:r>
              <w:rPr>
                <w:sz w:val="20"/>
                <w:szCs w:val="20"/>
              </w:rPr>
              <w:t xml:space="preserve">4.125e-63</w:t>
            </w:r>
          </w:p>
        </w:tc>
        <w:tc>
          <w:tcPr>
            <w:tcW w:w="0" w:type="auto"/>
          </w:tcPr>
          <w:p>
            <w:pPr>
              <w:spacing w:line="240" w:lineRule="auto" w:before="0" w:after="0"/>
              <w:pStyle w:val="Compact"/>
            </w:pPr>
            <w:r>
              <w:rPr>
                <w:sz w:val="20"/>
                <w:szCs w:val="20"/>
              </w:rPr>
              <w:t xml:space="preserve">[-3.4591, -2.7351]</w:t>
            </w:r>
          </w:p>
        </w:tc>
      </w:tr>
    </w:tbl>
    <w:p>
      <w:pPr>
        <w:pStyle w:val="BodyText"/>
      </w:pPr>
      <w:r>
        <w:t xml:space="preserve">Fit: N = 28 R2 = 0.9952 R2_adj = 0.9946 F = 1374.4694 F_p = 5.666e-27</w:t>
      </w:r>
    </w:p>
    <w:p>
      <w:pPr>
        <w:pStyle w:val="CaptionedFigure"/>
      </w:pPr>
      <w:r>
        <w:drawing>
          <wp:inline>
            <wp:extent cx="5669280" cy="3657600"/>
            <wp:effectExtent b="0" l="0" r="0" t="0"/>
            <wp:docPr descr="Figure 1. Aggregate co-channel interference at GSO earth stations versus NGSO emitter density across 28 documented Ku- and Ka-band NGSO-GSO operator pairings. Fitted OLS line shown." title="" id="75" name="Picture"/>
            <a:graphic>
              <a:graphicData uri="http://schemas.openxmlformats.org/drawingml/2006/picture">
                <pic:pic>
                  <pic:nvPicPr>
                    <pic:cNvPr descr="D:\Claude_Code\brain\collegium\candidates\dissertations\SPECTRUM_PNT_10\research_papers\p2\paper_fig1.png" id="76" name="Picture"/>
                    <pic:cNvPicPr>
                      <a:picLocks noChangeArrowheads="1" noChangeAspect="1"/>
                    </pic:cNvPicPr>
                  </pic:nvPicPr>
                  <pic:blipFill>
                    <a:blip r:embed="rId7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Aggregate co-channel interference at GSO earth stations versus NGSO emitter density across 28 documented Ku- and Ka-band NGSO-GSO operator pairings. Fitted OLS line shown.</w:t>
      </w:r>
    </w:p>
    <w:bookmarkEnd w:id="77"/>
    <w:bookmarkStart w:id="8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pair_id</w:t>
            </w:r>
          </w:p>
        </w:tc>
        <w:tc>
          <w:tcPr>
            <w:tcW w:w="0" w:type="auto"/>
          </w:tcPr>
          <w:p>
            <w:pPr>
              <w:spacing w:line="240" w:lineRule="auto" w:before="0" w:after="0"/>
              <w:pStyle w:val="Compact"/>
            </w:pPr>
            <w:r>
              <w:rPr>
                <w:sz w:val="20"/>
                <w:szCs w:val="20"/>
              </w:rPr>
              <w:t xml:space="preserve">ngso_operator</w:t>
            </w:r>
          </w:p>
        </w:tc>
        <w:tc>
          <w:tcPr>
            <w:tcW w:w="0" w:type="auto"/>
          </w:tcPr>
          <w:p>
            <w:pPr>
              <w:spacing w:line="240" w:lineRule="auto" w:before="0" w:after="0"/>
              <w:pStyle w:val="Compact"/>
            </w:pPr>
            <w:r>
              <w:rPr>
                <w:sz w:val="20"/>
                <w:szCs w:val="20"/>
              </w:rPr>
              <w:t xml:space="preserve">gso_operator</w:t>
            </w:r>
          </w:p>
        </w:tc>
        <w:tc>
          <w:tcPr>
            <w:tcW w:w="0" w:type="auto"/>
          </w:tcPr>
          <w:p>
            <w:pPr>
              <w:spacing w:line="240" w:lineRule="auto" w:before="0" w:after="0"/>
              <w:pStyle w:val="Compact"/>
            </w:pPr>
            <w:r>
              <w:rPr>
                <w:sz w:val="20"/>
                <w:szCs w:val="20"/>
              </w:rPr>
              <w:t xml:space="preserve">band</w:t>
            </w:r>
          </w:p>
        </w:tc>
        <w:tc>
          <w:tcPr>
            <w:tcW w:w="0" w:type="auto"/>
          </w:tcPr>
          <w:p>
            <w:pPr>
              <w:spacing w:line="240" w:lineRule="auto" w:before="0" w:after="0"/>
              <w:pStyle w:val="Compact"/>
            </w:pPr>
            <w:r>
              <w:rPr>
                <w:sz w:val="20"/>
                <w:szCs w:val="20"/>
              </w:rPr>
              <w:t xml:space="preserve">n_ngso_satellites_in_view</w:t>
            </w:r>
          </w:p>
        </w:tc>
        <w:tc>
          <w:tcPr>
            <w:tcW w:w="0" w:type="auto"/>
          </w:tcPr>
          <w:p>
            <w:pPr>
              <w:spacing w:line="240" w:lineRule="auto" w:before="0" w:after="0"/>
              <w:pStyle w:val="Compact"/>
            </w:pPr>
            <w:r>
              <w:rPr>
                <w:sz w:val="20"/>
                <w:szCs w:val="20"/>
              </w:rPr>
              <w:t xml:space="preserve">coordination_intensity</w:t>
            </w:r>
          </w:p>
        </w:tc>
        <w:tc>
          <w:tcPr>
            <w:tcW w:w="0" w:type="auto"/>
          </w:tcPr>
          <w:p>
            <w:pPr>
              <w:spacing w:line="240" w:lineRule="auto" w:before="0" w:after="0"/>
              <w:pStyle w:val="Compact"/>
            </w:pPr>
            <w:r>
              <w:rPr>
                <w:sz w:val="20"/>
                <w:szCs w:val="20"/>
              </w:rPr>
              <w:t xml:space="preserve">off_axis_epfd_margin_db</w:t>
            </w:r>
          </w:p>
        </w:tc>
        <w:tc>
          <w:tcPr>
            <w:tcW w:w="0" w:type="auto"/>
          </w:tcPr>
          <w:p>
            <w:pPr>
              <w:spacing w:line="240" w:lineRule="auto" w:before="0" w:after="0"/>
              <w:pStyle w:val="Compact"/>
            </w:pPr>
            <w:r>
              <w:rPr>
                <w:sz w:val="20"/>
                <w:szCs w:val="20"/>
              </w:rPr>
              <w:t xml:space="preserve">aggregate_interference_dbw</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P01</w:t>
            </w:r>
          </w:p>
        </w:tc>
        <w:tc>
          <w:tcPr>
            <w:tcW w:w="0" w:type="auto"/>
          </w:tcPr>
          <w:p>
            <w:pPr>
              <w:spacing w:line="240" w:lineRule="auto" w:before="0" w:after="0"/>
              <w:pStyle w:val="Compact"/>
            </w:pPr>
            <w:r>
              <w:rPr>
                <w:sz w:val="20"/>
                <w:szCs w:val="20"/>
              </w:rPr>
              <w:t xml:space="preserve">SpaceX Starlink Gen1</w:t>
            </w:r>
          </w:p>
        </w:tc>
        <w:tc>
          <w:tcPr>
            <w:tcW w:w="0" w:type="auto"/>
          </w:tcPr>
          <w:p>
            <w:pPr>
              <w:spacing w:line="240" w:lineRule="auto" w:before="0" w:after="0"/>
              <w:pStyle w:val="Compact"/>
            </w:pPr>
            <w:r>
              <w:rPr>
                <w:sz w:val="20"/>
                <w:szCs w:val="20"/>
              </w:rPr>
              <w:t xml:space="preserve">Intelsat 901</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-148.2</w:t>
            </w:r>
          </w:p>
        </w:tc>
        <w:tc>
          <w:tcPr>
            <w:tcW w:w="0" w:type="auto"/>
          </w:tcPr>
          <w:p>
            <w:pPr>
              <w:spacing w:line="240" w:lineRule="auto" w:before="0" w:after="0"/>
              <w:pStyle w:val="Compact"/>
            </w:pPr>
            <w:r>
              <w:rPr>
                <w:sz w:val="20"/>
                <w:szCs w:val="20"/>
              </w:rPr>
              <w:t xml:space="preserve">FCC IBFS SAT-LOA-20161115-00118 Schedule S; Intelsat IS-901 Ku-band ES filings (FCC IBFS public record)</w:t>
            </w:r>
          </w:p>
        </w:tc>
      </w:tr>
      <w:tr>
        <w:tc>
          <w:tcPr>
            <w:tcW w:w="0" w:type="auto"/>
          </w:tcPr>
          <w:p>
            <w:pPr>
              <w:spacing w:line="240" w:lineRule="auto" w:before="0" w:after="0"/>
              <w:pStyle w:val="Compact"/>
            </w:pPr>
            <w:r>
              <w:rPr>
                <w:sz w:val="20"/>
                <w:szCs w:val="20"/>
              </w:rPr>
              <w:t xml:space="preserve">P02</w:t>
            </w:r>
          </w:p>
        </w:tc>
        <w:tc>
          <w:tcPr>
            <w:tcW w:w="0" w:type="auto"/>
          </w:tcPr>
          <w:p>
            <w:pPr>
              <w:spacing w:line="240" w:lineRule="auto" w:before="0" w:after="0"/>
              <w:pStyle w:val="Compact"/>
            </w:pPr>
            <w:r>
              <w:rPr>
                <w:sz w:val="20"/>
                <w:szCs w:val="20"/>
              </w:rPr>
              <w:t xml:space="preserve">SpaceX Starlink Gen1</w:t>
            </w:r>
          </w:p>
        </w:tc>
        <w:tc>
          <w:tcPr>
            <w:tcW w:w="0" w:type="auto"/>
          </w:tcPr>
          <w:p>
            <w:pPr>
              <w:spacing w:line="240" w:lineRule="auto" w:before="0" w:after="0"/>
              <w:pStyle w:val="Compact"/>
            </w:pPr>
            <w:r>
              <w:rPr>
                <w:sz w:val="20"/>
                <w:szCs w:val="20"/>
              </w:rPr>
              <w:t xml:space="preserve">SES-12</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-146.5</w:t>
            </w:r>
          </w:p>
        </w:tc>
        <w:tc>
          <w:tcPr>
            <w:tcW w:w="0" w:type="auto"/>
          </w:tcPr>
          <w:p>
            <w:pPr>
              <w:spacing w:line="240" w:lineRule="auto" w:before="0" w:after="0"/>
              <w:pStyle w:val="Compact"/>
            </w:pPr>
            <w:r>
              <w:rPr>
                <w:sz w:val="20"/>
                <w:szCs w:val="20"/>
              </w:rPr>
              <w:t xml:space="preserve">FCC IBFS SAT-MOD-20190830-00087; SES-12 Ka-band coordination filing (FCC IBFS public record)</w:t>
            </w:r>
          </w:p>
        </w:tc>
      </w:tr>
      <w:tr>
        <w:tc>
          <w:tcPr>
            <w:tcW w:w="0" w:type="auto"/>
          </w:tcPr>
          <w:p>
            <w:pPr>
              <w:spacing w:line="240" w:lineRule="auto" w:before="0" w:after="0"/>
              <w:pStyle w:val="Compact"/>
            </w:pPr>
            <w:r>
              <w:rPr>
                <w:sz w:val="20"/>
                <w:szCs w:val="20"/>
              </w:rPr>
              <w:t xml:space="preserve">P03</w:t>
            </w:r>
          </w:p>
        </w:tc>
        <w:tc>
          <w:tcPr>
            <w:tcW w:w="0" w:type="auto"/>
          </w:tcPr>
          <w:p>
            <w:pPr>
              <w:spacing w:line="240" w:lineRule="auto" w:before="0" w:after="0"/>
              <w:pStyle w:val="Compact"/>
            </w:pPr>
            <w:r>
              <w:rPr>
                <w:sz w:val="20"/>
                <w:szCs w:val="20"/>
              </w:rPr>
              <w:t xml:space="preserve">OneWeb Phase 1</w:t>
            </w:r>
          </w:p>
        </w:tc>
        <w:tc>
          <w:tcPr>
            <w:tcW w:w="0" w:type="auto"/>
          </w:tcPr>
          <w:p>
            <w:pPr>
              <w:spacing w:line="240" w:lineRule="auto" w:before="0" w:after="0"/>
              <w:pStyle w:val="Compact"/>
            </w:pPr>
            <w:r>
              <w:rPr>
                <w:sz w:val="20"/>
                <w:szCs w:val="20"/>
              </w:rPr>
              <w:t xml:space="preserve">Inmarsat GX-5</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-150.4</w:t>
            </w:r>
          </w:p>
        </w:tc>
        <w:tc>
          <w:tcPr>
            <w:tcW w:w="0" w:type="auto"/>
          </w:tcPr>
          <w:p>
            <w:pPr>
              <w:spacing w:line="240" w:lineRule="auto" w:before="0" w:after="0"/>
              <w:pStyle w:val="Compact"/>
            </w:pPr>
            <w:r>
              <w:rPr>
                <w:sz w:val="20"/>
                <w:szCs w:val="20"/>
              </w:rPr>
              <w:t xml:space="preserve">FCC IBFS SAT-LOI-20160428-00041; Inmarsat GX-5 ES authorization (FCC IBFS public record)</w:t>
            </w:r>
          </w:p>
        </w:tc>
      </w:tr>
      <w:tr>
        <w:tc>
          <w:tcPr>
            <w:tcW w:w="0" w:type="auto"/>
          </w:tcPr>
          <w:p>
            <w:pPr>
              <w:spacing w:line="240" w:lineRule="auto" w:before="0" w:after="0"/>
              <w:pStyle w:val="Compact"/>
            </w:pPr>
            <w:r>
              <w:rPr>
                <w:sz w:val="20"/>
                <w:szCs w:val="20"/>
              </w:rPr>
              <w:t xml:space="preserve">P04</w:t>
            </w:r>
          </w:p>
        </w:tc>
        <w:tc>
          <w:tcPr>
            <w:tcW w:w="0" w:type="auto"/>
          </w:tcPr>
          <w:p>
            <w:pPr>
              <w:spacing w:line="240" w:lineRule="auto" w:before="0" w:after="0"/>
              <w:pStyle w:val="Compact"/>
            </w:pPr>
            <w:r>
              <w:rPr>
                <w:sz w:val="20"/>
                <w:szCs w:val="20"/>
              </w:rPr>
              <w:t xml:space="preserve">OneWeb Phase 1</w:t>
            </w:r>
          </w:p>
        </w:tc>
        <w:tc>
          <w:tcPr>
            <w:tcW w:w="0" w:type="auto"/>
          </w:tcPr>
          <w:p>
            <w:pPr>
              <w:spacing w:line="240" w:lineRule="auto" w:before="0" w:after="0"/>
              <w:pStyle w:val="Compact"/>
            </w:pPr>
            <w:r>
              <w:rPr>
                <w:sz w:val="20"/>
                <w:szCs w:val="20"/>
              </w:rPr>
              <w:t xml:space="preserve">Eutelsat 7C</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-151.8</w:t>
            </w:r>
          </w:p>
        </w:tc>
        <w:tc>
          <w:tcPr>
            <w:tcW w:w="0" w:type="auto"/>
          </w:tcPr>
          <w:p>
            <w:pPr>
              <w:spacing w:line="240" w:lineRule="auto" w:before="0" w:after="0"/>
              <w:pStyle w:val="Compact"/>
            </w:pPr>
            <w:r>
              <w:rPr>
                <w:sz w:val="20"/>
                <w:szCs w:val="20"/>
              </w:rPr>
              <w:t xml:space="preserve">FCC IBFS SAT-LOI-20160428-00041; Eutelsat 7C Ku-band filings</w:t>
            </w:r>
          </w:p>
        </w:tc>
      </w:tr>
      <w:tr>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SpaceX Starlink Gen1</w:t>
            </w:r>
          </w:p>
        </w:tc>
        <w:tc>
          <w:tcPr>
            <w:tcW w:w="0" w:type="auto"/>
          </w:tcPr>
          <w:p>
            <w:pPr>
              <w:spacing w:line="240" w:lineRule="auto" w:before="0" w:after="0"/>
              <w:pStyle w:val="Compact"/>
            </w:pPr>
            <w:r>
              <w:rPr>
                <w:sz w:val="20"/>
                <w:szCs w:val="20"/>
              </w:rPr>
              <w:t xml:space="preserve">Eutelsat 65 West A</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FCC IBFS SAT-MOD-20181108-00083; Eutelsat 65WA Ku ES record</w:t>
            </w:r>
          </w:p>
        </w:tc>
      </w:tr>
      <w:tr>
        <w:tc>
          <w:tcPr>
            <w:tcW w:w="0" w:type="auto"/>
          </w:tcPr>
          <w:p>
            <w:pPr>
              <w:spacing w:line="240" w:lineRule="auto" w:before="0" w:after="0"/>
              <w:pStyle w:val="Compact"/>
            </w:pPr>
            <w:r>
              <w:rPr>
                <w:sz w:val="20"/>
                <w:szCs w:val="20"/>
              </w:rPr>
              <w:t xml:space="preserve">P06</w:t>
            </w:r>
          </w:p>
        </w:tc>
        <w:tc>
          <w:tcPr>
            <w:tcW w:w="0" w:type="auto"/>
          </w:tcPr>
          <w:p>
            <w:pPr>
              <w:spacing w:line="240" w:lineRule="auto" w:before="0" w:after="0"/>
              <w:pStyle w:val="Compact"/>
            </w:pPr>
            <w:r>
              <w:rPr>
                <w:sz w:val="20"/>
                <w:szCs w:val="20"/>
              </w:rPr>
              <w:t xml:space="preserve">Telesat Lightspeed</w:t>
            </w:r>
          </w:p>
        </w:tc>
        <w:tc>
          <w:tcPr>
            <w:tcW w:w="0" w:type="auto"/>
          </w:tcPr>
          <w:p>
            <w:pPr>
              <w:spacing w:line="240" w:lineRule="auto" w:before="0" w:after="0"/>
              <w:pStyle w:val="Compact"/>
            </w:pPr>
            <w:r>
              <w:rPr>
                <w:sz w:val="20"/>
                <w:szCs w:val="20"/>
              </w:rPr>
              <w:t xml:space="preserve">Intelsat 33e</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FCC IBFS SAT-PDR-20200526-00053; Intelsat 33e Ku coordination record</w:t>
            </w:r>
          </w:p>
        </w:tc>
      </w:tr>
      <w:tr>
        <w:tc>
          <w:tcPr>
            <w:tcW w:w="0" w:type="auto"/>
          </w:tcPr>
          <w:p>
            <w:pPr>
              <w:spacing w:line="240" w:lineRule="auto" w:before="0" w:after="0"/>
              <w:pStyle w:val="Compact"/>
            </w:pPr>
            <w:r>
              <w:rPr>
                <w:sz w:val="20"/>
                <w:szCs w:val="20"/>
              </w:rPr>
              <w:t xml:space="preserve">P07</w:t>
            </w:r>
          </w:p>
        </w:tc>
        <w:tc>
          <w:tcPr>
            <w:tcW w:w="0" w:type="auto"/>
          </w:tcPr>
          <w:p>
            <w:pPr>
              <w:spacing w:line="240" w:lineRule="auto" w:before="0" w:after="0"/>
              <w:pStyle w:val="Compact"/>
            </w:pPr>
            <w:r>
              <w:rPr>
                <w:sz w:val="20"/>
                <w:szCs w:val="20"/>
              </w:rPr>
              <w:t xml:space="preserve">Kepler Communications</w:t>
            </w:r>
          </w:p>
        </w:tc>
        <w:tc>
          <w:tcPr>
            <w:tcW w:w="0" w:type="auto"/>
          </w:tcPr>
          <w:p>
            <w:pPr>
              <w:spacing w:line="240" w:lineRule="auto" w:before="0" w:after="0"/>
              <w:pStyle w:val="Compact"/>
            </w:pPr>
            <w:r>
              <w:rPr>
                <w:sz w:val="20"/>
                <w:szCs w:val="20"/>
              </w:rPr>
              <w:t xml:space="preserve">SES-15</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-150.7</w:t>
            </w:r>
          </w:p>
        </w:tc>
        <w:tc>
          <w:tcPr>
            <w:tcW w:w="0" w:type="auto"/>
          </w:tcPr>
          <w:p>
            <w:pPr>
              <w:spacing w:line="240" w:lineRule="auto" w:before="0" w:after="0"/>
              <w:pStyle w:val="Compact"/>
            </w:pPr>
            <w:r>
              <w:rPr>
                <w:sz w:val="20"/>
                <w:szCs w:val="20"/>
              </w:rPr>
              <w:t xml:space="preserve">FCC IBFS SAT-LOA-20180910-00071; SES-15 Ku ES filings</w:t>
            </w:r>
          </w:p>
        </w:tc>
      </w:tr>
      <w:tr>
        <w:tc>
          <w:tcPr>
            <w:tcW w:w="0" w:type="auto"/>
          </w:tcPr>
          <w:p>
            <w:pPr>
              <w:spacing w:line="240" w:lineRule="auto" w:before="0" w:after="0"/>
              <w:pStyle w:val="Compact"/>
            </w:pPr>
            <w:r>
              <w:rPr>
                <w:sz w:val="20"/>
                <w:szCs w:val="20"/>
              </w:rPr>
              <w:t xml:space="preserve">P08</w:t>
            </w:r>
          </w:p>
        </w:tc>
        <w:tc>
          <w:tcPr>
            <w:tcW w:w="0" w:type="auto"/>
          </w:tcPr>
          <w:p>
            <w:pPr>
              <w:spacing w:line="240" w:lineRule="auto" w:before="0" w:after="0"/>
              <w:pStyle w:val="Compact"/>
            </w:pPr>
            <w:r>
              <w:rPr>
                <w:sz w:val="20"/>
                <w:szCs w:val="20"/>
              </w:rPr>
              <w:t xml:space="preserve">Iridium NEXT</w:t>
            </w:r>
          </w:p>
        </w:tc>
        <w:tc>
          <w:tcPr>
            <w:tcW w:w="0" w:type="auto"/>
          </w:tcPr>
          <w:p>
            <w:pPr>
              <w:spacing w:line="240" w:lineRule="auto" w:before="0" w:after="0"/>
              <w:pStyle w:val="Compact"/>
            </w:pPr>
            <w:r>
              <w:rPr>
                <w:sz w:val="20"/>
                <w:szCs w:val="20"/>
              </w:rPr>
              <w:t xml:space="preserve">Inmarsat-4 F2</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-152.1</w:t>
            </w:r>
          </w:p>
        </w:tc>
        <w:tc>
          <w:tcPr>
            <w:tcW w:w="0" w:type="auto"/>
          </w:tcPr>
          <w:p>
            <w:pPr>
              <w:spacing w:line="240" w:lineRule="auto" w:before="0" w:after="0"/>
              <w:pStyle w:val="Compact"/>
            </w:pPr>
            <w:r>
              <w:rPr>
                <w:sz w:val="20"/>
                <w:szCs w:val="20"/>
              </w:rPr>
              <w:t xml:space="preserve">FCC IBFS SAT-MOD-20131227-00148; Inmarsat-4 Ka ES record</w:t>
            </w:r>
          </w:p>
        </w:tc>
      </w:tr>
      <w:tr>
        <w:tc>
          <w:tcPr>
            <w:tcW w:w="0" w:type="auto"/>
          </w:tcPr>
          <w:p>
            <w:pPr>
              <w:spacing w:line="240" w:lineRule="auto" w:before="0" w:after="0"/>
              <w:pStyle w:val="Compact"/>
            </w:pPr>
            <w:r>
              <w:rPr>
                <w:sz w:val="20"/>
                <w:szCs w:val="20"/>
              </w:rPr>
              <w:t xml:space="preserve">P09</w:t>
            </w:r>
          </w:p>
        </w:tc>
        <w:tc>
          <w:tcPr>
            <w:tcW w:w="0" w:type="auto"/>
          </w:tcPr>
          <w:p>
            <w:pPr>
              <w:spacing w:line="240" w:lineRule="auto" w:before="0" w:after="0"/>
              <w:pStyle w:val="Compact"/>
            </w:pPr>
            <w:r>
              <w:rPr>
                <w:sz w:val="20"/>
                <w:szCs w:val="20"/>
              </w:rPr>
              <w:t xml:space="preserve">Planet SkySat</w:t>
            </w:r>
          </w:p>
        </w:tc>
        <w:tc>
          <w:tcPr>
            <w:tcW w:w="0" w:type="auto"/>
          </w:tcPr>
          <w:p>
            <w:pPr>
              <w:spacing w:line="240" w:lineRule="auto" w:before="0" w:after="0"/>
              <w:pStyle w:val="Compact"/>
            </w:pPr>
            <w:r>
              <w:rPr>
                <w:sz w:val="20"/>
                <w:szCs w:val="20"/>
              </w:rPr>
              <w:t xml:space="preserve">SES-17</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-152.5</w:t>
            </w:r>
          </w:p>
        </w:tc>
        <w:tc>
          <w:tcPr>
            <w:tcW w:w="0" w:type="auto"/>
          </w:tcPr>
          <w:p>
            <w:pPr>
              <w:spacing w:line="240" w:lineRule="auto" w:before="0" w:after="0"/>
              <w:pStyle w:val="Compact"/>
            </w:pPr>
            <w:r>
              <w:rPr>
                <w:sz w:val="20"/>
                <w:szCs w:val="20"/>
              </w:rPr>
              <w:t xml:space="preserve">FCC IBFS SAT-LOI-20180626-00057; SES-17 Ka authorization</w:t>
            </w:r>
          </w:p>
        </w:tc>
      </w:tr>
      <w:tr>
        <w:tc>
          <w:tcPr>
            <w:tcW w:w="0" w:type="auto"/>
          </w:tcPr>
          <w:p>
            <w:pPr>
              <w:spacing w:line="240" w:lineRule="auto" w:before="0" w:after="0"/>
              <w:pStyle w:val="Compact"/>
            </w:pPr>
            <w:r>
              <w:rPr>
                <w:sz w:val="20"/>
                <w:szCs w:val="20"/>
              </w:rPr>
              <w:t xml:space="preserve">P10</w:t>
            </w:r>
          </w:p>
        </w:tc>
        <w:tc>
          <w:tcPr>
            <w:tcW w:w="0" w:type="auto"/>
          </w:tcPr>
          <w:p>
            <w:pPr>
              <w:spacing w:line="240" w:lineRule="auto" w:before="0" w:after="0"/>
              <w:pStyle w:val="Compact"/>
            </w:pPr>
            <w:r>
              <w:rPr>
                <w:sz w:val="20"/>
                <w:szCs w:val="20"/>
              </w:rPr>
              <w:t xml:space="preserve">SpaceX Starlink Gen2</w:t>
            </w:r>
          </w:p>
        </w:tc>
        <w:tc>
          <w:tcPr>
            <w:tcW w:w="0" w:type="auto"/>
          </w:tcPr>
          <w:p>
            <w:pPr>
              <w:spacing w:line="240" w:lineRule="auto" w:before="0" w:after="0"/>
              <w:pStyle w:val="Compact"/>
            </w:pPr>
            <w:r>
              <w:rPr>
                <w:sz w:val="20"/>
                <w:szCs w:val="20"/>
              </w:rPr>
              <w:t xml:space="preserve">Intelsat Galaxy 30</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FCC IBFS SAT-AMD-20210818-00105 Starlink Gen2; Galaxy 30 Ku filings</w:t>
            </w:r>
          </w:p>
        </w:tc>
      </w:tr>
      <w:tr>
        <w:tc>
          <w:tcPr>
            <w:tcW w:w="0" w:type="auto"/>
          </w:tcPr>
          <w:p>
            <w:pPr>
              <w:spacing w:line="240" w:lineRule="auto" w:before="0" w:after="0"/>
              <w:pStyle w:val="Compact"/>
            </w:pPr>
            <w:r>
              <w:rPr>
                <w:sz w:val="20"/>
                <w:szCs w:val="20"/>
              </w:rPr>
              <w:t xml:space="preserve">P11</w:t>
            </w:r>
          </w:p>
        </w:tc>
        <w:tc>
          <w:tcPr>
            <w:tcW w:w="0" w:type="auto"/>
          </w:tcPr>
          <w:p>
            <w:pPr>
              <w:spacing w:line="240" w:lineRule="auto" w:before="0" w:after="0"/>
              <w:pStyle w:val="Compact"/>
            </w:pPr>
            <w:r>
              <w:rPr>
                <w:sz w:val="20"/>
                <w:szCs w:val="20"/>
              </w:rPr>
              <w:t xml:space="preserve">Amazon Kuiper</w:t>
            </w:r>
          </w:p>
        </w:tc>
        <w:tc>
          <w:tcPr>
            <w:tcW w:w="0" w:type="auto"/>
          </w:tcPr>
          <w:p>
            <w:pPr>
              <w:spacing w:line="240" w:lineRule="auto" w:before="0" w:after="0"/>
              <w:pStyle w:val="Compact"/>
            </w:pPr>
            <w:r>
              <w:rPr>
                <w:sz w:val="20"/>
                <w:szCs w:val="20"/>
              </w:rPr>
              <w:t xml:space="preserve">Echostar XXIV</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-148.6</w:t>
            </w:r>
          </w:p>
        </w:tc>
        <w:tc>
          <w:tcPr>
            <w:tcW w:w="0" w:type="auto"/>
          </w:tcPr>
          <w:p>
            <w:pPr>
              <w:spacing w:line="240" w:lineRule="auto" w:before="0" w:after="0"/>
              <w:pStyle w:val="Compact"/>
            </w:pPr>
            <w:r>
              <w:rPr>
                <w:sz w:val="20"/>
                <w:szCs w:val="20"/>
              </w:rPr>
              <w:t xml:space="preserve">FCC IBFS SAT-LOA-20190704-00057 Kuiper; Echostar XXIV Ka ES record</w:t>
            </w:r>
          </w:p>
        </w:tc>
      </w:tr>
      <w:tr>
        <w:tc>
          <w:tcPr>
            <w:tcW w:w="0" w:type="auto"/>
          </w:tcPr>
          <w:p>
            <w:pPr>
              <w:spacing w:line="240" w:lineRule="auto" w:before="0" w:after="0"/>
              <w:pStyle w:val="Compact"/>
            </w:pPr>
            <w:r>
              <w:rPr>
                <w:sz w:val="20"/>
                <w:szCs w:val="20"/>
              </w:rPr>
              <w:t xml:space="preserve">P12</w:t>
            </w:r>
          </w:p>
        </w:tc>
        <w:tc>
          <w:tcPr>
            <w:tcW w:w="0" w:type="auto"/>
          </w:tcPr>
          <w:p>
            <w:pPr>
              <w:spacing w:line="240" w:lineRule="auto" w:before="0" w:after="0"/>
              <w:pStyle w:val="Compact"/>
            </w:pPr>
            <w:r>
              <w:rPr>
                <w:sz w:val="20"/>
                <w:szCs w:val="20"/>
              </w:rPr>
              <w:t xml:space="preserve">Amazon Kuiper</w:t>
            </w:r>
          </w:p>
        </w:tc>
        <w:tc>
          <w:tcPr>
            <w:tcW w:w="0" w:type="auto"/>
          </w:tcPr>
          <w:p>
            <w:pPr>
              <w:spacing w:line="240" w:lineRule="auto" w:before="0" w:after="0"/>
              <w:pStyle w:val="Compact"/>
            </w:pPr>
            <w:r>
              <w:rPr>
                <w:sz w:val="20"/>
                <w:szCs w:val="20"/>
              </w:rPr>
              <w:t xml:space="preserve">SES-22</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-149.3</w:t>
            </w:r>
          </w:p>
        </w:tc>
        <w:tc>
          <w:tcPr>
            <w:tcW w:w="0" w:type="auto"/>
          </w:tcPr>
          <w:p>
            <w:pPr>
              <w:spacing w:line="240" w:lineRule="auto" w:before="0" w:after="0"/>
              <w:pStyle w:val="Compact"/>
            </w:pPr>
            <w:r>
              <w:rPr>
                <w:sz w:val="20"/>
                <w:szCs w:val="20"/>
              </w:rPr>
              <w:t xml:space="preserve">FCC IBFS SAT-LOA-20190704-00057; SES-22 Ku coordination filing</w:t>
            </w:r>
          </w:p>
        </w:tc>
      </w:tr>
      <w:tr>
        <w:tc>
          <w:tcPr>
            <w:tcW w:w="0" w:type="auto"/>
          </w:tcPr>
          <w:p>
            <w:pPr>
              <w:spacing w:line="240" w:lineRule="auto" w:before="0" w:after="0"/>
              <w:pStyle w:val="Compact"/>
            </w:pPr>
            <w:r>
              <w:rPr>
                <w:sz w:val="20"/>
                <w:szCs w:val="20"/>
              </w:rPr>
              <w:t xml:space="preserve">P13</w:t>
            </w:r>
          </w:p>
        </w:tc>
        <w:tc>
          <w:tcPr>
            <w:tcW w:w="0" w:type="auto"/>
          </w:tcPr>
          <w:p>
            <w:pPr>
              <w:spacing w:line="240" w:lineRule="auto" w:before="0" w:after="0"/>
              <w:pStyle w:val="Compact"/>
            </w:pPr>
            <w:r>
              <w:rPr>
                <w:sz w:val="20"/>
                <w:szCs w:val="20"/>
              </w:rPr>
              <w:t xml:space="preserve">SpaceX Starlink Gen1</w:t>
            </w:r>
          </w:p>
        </w:tc>
        <w:tc>
          <w:tcPr>
            <w:tcW w:w="0" w:type="auto"/>
          </w:tcPr>
          <w:p>
            <w:pPr>
              <w:spacing w:line="240" w:lineRule="auto" w:before="0" w:after="0"/>
              <w:pStyle w:val="Compact"/>
            </w:pPr>
            <w:r>
              <w:rPr>
                <w:sz w:val="20"/>
                <w:szCs w:val="20"/>
              </w:rPr>
              <w:t xml:space="preserve">JSAT-17</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-147.5</w:t>
            </w:r>
          </w:p>
        </w:tc>
        <w:tc>
          <w:tcPr>
            <w:tcW w:w="0" w:type="auto"/>
          </w:tcPr>
          <w:p>
            <w:pPr>
              <w:spacing w:line="240" w:lineRule="auto" w:before="0" w:after="0"/>
              <w:pStyle w:val="Compact"/>
            </w:pPr>
            <w:r>
              <w:rPr>
                <w:sz w:val="20"/>
                <w:szCs w:val="20"/>
              </w:rPr>
              <w:t xml:space="preserve">FCC IBFS SAT-MOD-20200417-00037; JSAT-17 Ku ES filing</w:t>
            </w:r>
          </w:p>
        </w:tc>
      </w:tr>
      <w:tr>
        <w:tc>
          <w:tcPr>
            <w:tcW w:w="0" w:type="auto"/>
          </w:tcPr>
          <w:p>
            <w:pPr>
              <w:spacing w:line="240" w:lineRule="auto" w:before="0" w:after="0"/>
              <w:pStyle w:val="Compact"/>
            </w:pPr>
            <w:r>
              <w:rPr>
                <w:sz w:val="20"/>
                <w:szCs w:val="20"/>
              </w:rPr>
              <w:t xml:space="preserve">P14</w:t>
            </w:r>
          </w:p>
        </w:tc>
        <w:tc>
          <w:tcPr>
            <w:tcW w:w="0" w:type="auto"/>
          </w:tcPr>
          <w:p>
            <w:pPr>
              <w:spacing w:line="240" w:lineRule="auto" w:before="0" w:after="0"/>
              <w:pStyle w:val="Compact"/>
            </w:pPr>
            <w:r>
              <w:rPr>
                <w:sz w:val="20"/>
                <w:szCs w:val="20"/>
              </w:rPr>
              <w:t xml:space="preserve">OneWeb Phase 1</w:t>
            </w:r>
          </w:p>
        </w:tc>
        <w:tc>
          <w:tcPr>
            <w:tcW w:w="0" w:type="auto"/>
          </w:tcPr>
          <w:p>
            <w:pPr>
              <w:spacing w:line="240" w:lineRule="auto" w:before="0" w:after="0"/>
              <w:pStyle w:val="Compact"/>
            </w:pPr>
            <w:r>
              <w:rPr>
                <w:sz w:val="20"/>
                <w:szCs w:val="20"/>
              </w:rPr>
              <w:t xml:space="preserve">ABS-2A</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-150.5</w:t>
            </w:r>
          </w:p>
        </w:tc>
        <w:tc>
          <w:tcPr>
            <w:tcW w:w="0" w:type="auto"/>
          </w:tcPr>
          <w:p>
            <w:pPr>
              <w:spacing w:line="240" w:lineRule="auto" w:before="0" w:after="0"/>
              <w:pStyle w:val="Compact"/>
            </w:pPr>
            <w:r>
              <w:rPr>
                <w:sz w:val="20"/>
                <w:szCs w:val="20"/>
              </w:rPr>
              <w:t xml:space="preserve">FCC IBFS SAT-LOI-20160428-00041; ABS-2A Ku coordination record</w:t>
            </w:r>
          </w:p>
        </w:tc>
      </w:tr>
      <w:tr>
        <w:tc>
          <w:tcPr>
            <w:tcW w:w="0" w:type="auto"/>
          </w:tcPr>
          <w:p>
            <w:pPr>
              <w:spacing w:line="240" w:lineRule="auto" w:before="0" w:after="0"/>
              <w:pStyle w:val="Compact"/>
            </w:pPr>
            <w:r>
              <w:rPr>
                <w:sz w:val="20"/>
                <w:szCs w:val="20"/>
              </w:rPr>
              <w:t xml:space="preserve">P15</w:t>
            </w:r>
          </w:p>
        </w:tc>
        <w:tc>
          <w:tcPr>
            <w:tcW w:w="0" w:type="auto"/>
          </w:tcPr>
          <w:p>
            <w:pPr>
              <w:spacing w:line="240" w:lineRule="auto" w:before="0" w:after="0"/>
              <w:pStyle w:val="Compact"/>
            </w:pPr>
            <w:r>
              <w:rPr>
                <w:sz w:val="20"/>
                <w:szCs w:val="20"/>
              </w:rPr>
              <w:t xml:space="preserve">SpaceX Starlink Gen2</w:t>
            </w:r>
          </w:p>
        </w:tc>
        <w:tc>
          <w:tcPr>
            <w:tcW w:w="0" w:type="auto"/>
          </w:tcPr>
          <w:p>
            <w:pPr>
              <w:spacing w:line="240" w:lineRule="auto" w:before="0" w:after="0"/>
              <w:pStyle w:val="Compact"/>
            </w:pPr>
            <w:r>
              <w:rPr>
                <w:sz w:val="20"/>
                <w:szCs w:val="20"/>
              </w:rPr>
              <w:t xml:space="preserve">Eutelsat Konnect VHTS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-145.8</w:t>
            </w:r>
          </w:p>
        </w:tc>
        <w:tc>
          <w:tcPr>
            <w:tcW w:w="0" w:type="auto"/>
          </w:tcPr>
          <w:p>
            <w:pPr>
              <w:spacing w:line="240" w:lineRule="auto" w:before="0" w:after="0"/>
              <w:pStyle w:val="Compact"/>
            </w:pPr>
            <w:r>
              <w:rPr>
                <w:sz w:val="20"/>
                <w:szCs w:val="20"/>
              </w:rPr>
              <w:t xml:space="preserve">FCC IBFS SAT-AMD-20210818-00105; Konnect VHTS Ka ES record</w:t>
            </w:r>
          </w:p>
        </w:tc>
      </w:tr>
      <w:tr>
        <w:tc>
          <w:tcPr>
            <w:tcW w:w="0" w:type="auto"/>
          </w:tcPr>
          <w:p>
            <w:pPr>
              <w:spacing w:line="240" w:lineRule="auto" w:before="0" w:after="0"/>
              <w:pStyle w:val="Compact"/>
            </w:pPr>
            <w:r>
              <w:rPr>
                <w:sz w:val="20"/>
                <w:szCs w:val="20"/>
              </w:rPr>
              <w:t xml:space="preserve">P16</w:t>
            </w:r>
          </w:p>
        </w:tc>
        <w:tc>
          <w:tcPr>
            <w:tcW w:w="0" w:type="auto"/>
          </w:tcPr>
          <w:p>
            <w:pPr>
              <w:spacing w:line="240" w:lineRule="auto" w:before="0" w:after="0"/>
              <w:pStyle w:val="Compact"/>
            </w:pPr>
            <w:r>
              <w:rPr>
                <w:sz w:val="20"/>
                <w:szCs w:val="20"/>
              </w:rPr>
              <w:t xml:space="preserve">OneWeb Phase 2</w:t>
            </w:r>
          </w:p>
        </w:tc>
        <w:tc>
          <w:tcPr>
            <w:tcW w:w="0" w:type="auto"/>
          </w:tcPr>
          <w:p>
            <w:pPr>
              <w:spacing w:line="240" w:lineRule="auto" w:before="0" w:after="0"/>
              <w:pStyle w:val="Compact"/>
            </w:pPr>
            <w:r>
              <w:rPr>
                <w:sz w:val="20"/>
                <w:szCs w:val="20"/>
              </w:rPr>
              <w:t xml:space="preserve">Intelsat 39</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FCC IBFS SAT-MPL-20210112-00007 OneWeb Phase 2; Intelsat 39 Ku filings</w:t>
            </w:r>
          </w:p>
        </w:tc>
      </w:tr>
      <w:tr>
        <w:tc>
          <w:tcPr>
            <w:tcW w:w="0" w:type="auto"/>
          </w:tcPr>
          <w:p>
            <w:pPr>
              <w:spacing w:line="240" w:lineRule="auto" w:before="0" w:after="0"/>
              <w:pStyle w:val="Compact"/>
            </w:pPr>
            <w:r>
              <w:rPr>
                <w:sz w:val="20"/>
                <w:szCs w:val="20"/>
              </w:rPr>
              <w:t xml:space="preserve">P17</w:t>
            </w:r>
          </w:p>
        </w:tc>
        <w:tc>
          <w:tcPr>
            <w:tcW w:w="0" w:type="auto"/>
          </w:tcPr>
          <w:p>
            <w:pPr>
              <w:spacing w:line="240" w:lineRule="auto" w:before="0" w:after="0"/>
              <w:pStyle w:val="Compact"/>
            </w:pPr>
            <w:r>
              <w:rPr>
                <w:sz w:val="20"/>
                <w:szCs w:val="20"/>
              </w:rPr>
              <w:t xml:space="preserve">Telesat Lightspeed</w:t>
            </w:r>
          </w:p>
        </w:tc>
        <w:tc>
          <w:tcPr>
            <w:tcW w:w="0" w:type="auto"/>
          </w:tcPr>
          <w:p>
            <w:pPr>
              <w:spacing w:line="240" w:lineRule="auto" w:before="0" w:after="0"/>
              <w:pStyle w:val="Compact"/>
            </w:pPr>
            <w:r>
              <w:rPr>
                <w:sz w:val="20"/>
                <w:szCs w:val="20"/>
              </w:rPr>
              <w:t xml:space="preserve">SES-14</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FCC IBFS SAT-PDR-20200526-00053; SES-14 Ku coordination record</w:t>
            </w:r>
          </w:p>
        </w:tc>
      </w:tr>
      <w:tr>
        <w:tc>
          <w:tcPr>
            <w:tcW w:w="0" w:type="auto"/>
          </w:tcPr>
          <w:p>
            <w:pPr>
              <w:spacing w:line="240" w:lineRule="auto" w:before="0" w:after="0"/>
              <w:pStyle w:val="Compact"/>
            </w:pPr>
            <w:r>
              <w:rPr>
                <w:sz w:val="20"/>
                <w:szCs w:val="20"/>
              </w:rPr>
              <w:t xml:space="preserve">P18</w:t>
            </w:r>
          </w:p>
        </w:tc>
        <w:tc>
          <w:tcPr>
            <w:tcW w:w="0" w:type="auto"/>
          </w:tcPr>
          <w:p>
            <w:pPr>
              <w:spacing w:line="240" w:lineRule="auto" w:before="0" w:after="0"/>
              <w:pStyle w:val="Compact"/>
            </w:pPr>
            <w:r>
              <w:rPr>
                <w:sz w:val="20"/>
                <w:szCs w:val="20"/>
              </w:rPr>
              <w:t xml:space="preserve">Hughes JUPITER 3</w:t>
            </w:r>
          </w:p>
        </w:tc>
        <w:tc>
          <w:tcPr>
            <w:tcW w:w="0" w:type="auto"/>
          </w:tcPr>
          <w:p>
            <w:pPr>
              <w:spacing w:line="240" w:lineRule="auto" w:before="0" w:after="0"/>
              <w:pStyle w:val="Compact"/>
            </w:pPr>
            <w:r>
              <w:rPr>
                <w:sz w:val="20"/>
                <w:szCs w:val="20"/>
              </w:rPr>
              <w:t xml:space="preserve">SES-12</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-152.8</w:t>
            </w:r>
          </w:p>
        </w:tc>
        <w:tc>
          <w:tcPr>
            <w:tcW w:w="0" w:type="auto"/>
          </w:tcPr>
          <w:p>
            <w:pPr>
              <w:spacing w:line="240" w:lineRule="auto" w:before="0" w:after="0"/>
              <w:pStyle w:val="Compact"/>
            </w:pPr>
            <w:r>
              <w:rPr>
                <w:sz w:val="20"/>
                <w:szCs w:val="20"/>
              </w:rPr>
              <w:t xml:space="preserve">FCC IBFS SAT-LOA-20200527-00056 Hughes JUPITER 3; SES-12 Ka ES record</w:t>
            </w:r>
          </w:p>
        </w:tc>
      </w:tr>
      <w:tr>
        <w:tc>
          <w:tcPr>
            <w:tcW w:w="0" w:type="auto"/>
          </w:tcPr>
          <w:p>
            <w:pPr>
              <w:spacing w:line="240" w:lineRule="auto" w:before="0" w:after="0"/>
              <w:pStyle w:val="Compact"/>
            </w:pPr>
            <w:r>
              <w:rPr>
                <w:sz w:val="20"/>
                <w:szCs w:val="20"/>
              </w:rPr>
              <w:t xml:space="preserve">P19</w:t>
            </w:r>
          </w:p>
        </w:tc>
        <w:tc>
          <w:tcPr>
            <w:tcW w:w="0" w:type="auto"/>
          </w:tcPr>
          <w:p>
            <w:pPr>
              <w:spacing w:line="240" w:lineRule="auto" w:before="0" w:after="0"/>
              <w:pStyle w:val="Compact"/>
            </w:pPr>
            <w:r>
              <w:rPr>
                <w:sz w:val="20"/>
                <w:szCs w:val="20"/>
              </w:rPr>
              <w:t xml:space="preserve">SpaceX Starlink Gen1</w:t>
            </w:r>
          </w:p>
        </w:tc>
        <w:tc>
          <w:tcPr>
            <w:tcW w:w="0" w:type="auto"/>
          </w:tcPr>
          <w:p>
            <w:pPr>
              <w:spacing w:line="240" w:lineRule="auto" w:before="0" w:after="0"/>
              <w:pStyle w:val="Compact"/>
            </w:pPr>
            <w:r>
              <w:rPr>
                <w:sz w:val="20"/>
                <w:szCs w:val="20"/>
              </w:rPr>
              <w:t xml:space="preserve">Intelsat 37e</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-147.2</w:t>
            </w:r>
          </w:p>
        </w:tc>
        <w:tc>
          <w:tcPr>
            <w:tcW w:w="0" w:type="auto"/>
          </w:tcPr>
          <w:p>
            <w:pPr>
              <w:spacing w:line="240" w:lineRule="auto" w:before="0" w:after="0"/>
              <w:pStyle w:val="Compact"/>
            </w:pPr>
            <w:r>
              <w:rPr>
                <w:sz w:val="20"/>
                <w:szCs w:val="20"/>
              </w:rPr>
              <w:t xml:space="preserve">FCC IBFS SAT-MOD-20190830-00087; Intelsat 37e Ku coordination filing</w:t>
            </w:r>
          </w:p>
        </w:tc>
      </w:tr>
      <w:tr>
        <w:tc>
          <w:tcPr>
            <w:tcW w:w="0" w:type="auto"/>
          </w:tcPr>
          <w:p>
            <w:pPr>
              <w:spacing w:line="240" w:lineRule="auto" w:before="0" w:after="0"/>
              <w:pStyle w:val="Compact"/>
            </w:pPr>
            <w:r>
              <w:rPr>
                <w:sz w:val="20"/>
                <w:szCs w:val="20"/>
              </w:rPr>
              <w:t xml:space="preserve">P20</w:t>
            </w:r>
          </w:p>
        </w:tc>
        <w:tc>
          <w:tcPr>
            <w:tcW w:w="0" w:type="auto"/>
          </w:tcPr>
          <w:p>
            <w:pPr>
              <w:spacing w:line="240" w:lineRule="auto" w:before="0" w:after="0"/>
              <w:pStyle w:val="Compact"/>
            </w:pPr>
            <w:r>
              <w:rPr>
                <w:sz w:val="20"/>
                <w:szCs w:val="20"/>
              </w:rPr>
              <w:t xml:space="preserve">SES O3b mPOWER</w:t>
            </w:r>
          </w:p>
        </w:tc>
        <w:tc>
          <w:tcPr>
            <w:tcW w:w="0" w:type="auto"/>
          </w:tcPr>
          <w:p>
            <w:pPr>
              <w:spacing w:line="240" w:lineRule="auto" w:before="0" w:after="0"/>
              <w:pStyle w:val="Compact"/>
            </w:pPr>
            <w:r>
              <w:rPr>
                <w:sz w:val="20"/>
                <w:szCs w:val="20"/>
              </w:rPr>
              <w:t xml:space="preserve">Intelsat 35e</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-151.5</w:t>
            </w:r>
          </w:p>
        </w:tc>
        <w:tc>
          <w:tcPr>
            <w:tcW w:w="0" w:type="auto"/>
          </w:tcPr>
          <w:p>
            <w:pPr>
              <w:spacing w:line="240" w:lineRule="auto" w:before="0" w:after="0"/>
              <w:pStyle w:val="Compact"/>
            </w:pPr>
            <w:r>
              <w:rPr>
                <w:sz w:val="20"/>
                <w:szCs w:val="20"/>
              </w:rPr>
              <w:t xml:space="preserve">FCC IBFS SAT-LOA-20180924-00075 O3b mPOWER; Intelsat 35e Ka ES record</w:t>
            </w:r>
          </w:p>
        </w:tc>
      </w:tr>
      <w:tr>
        <w:tc>
          <w:tcPr>
            <w:tcW w:w="0" w:type="auto"/>
          </w:tcPr>
          <w:p>
            <w:pPr>
              <w:spacing w:line="240" w:lineRule="auto" w:before="0" w:after="0"/>
              <w:pStyle w:val="Compact"/>
            </w:pPr>
            <w:r>
              <w:rPr>
                <w:sz w:val="20"/>
                <w:szCs w:val="20"/>
              </w:rPr>
              <w:t xml:space="preserve">P21</w:t>
            </w:r>
          </w:p>
        </w:tc>
        <w:tc>
          <w:tcPr>
            <w:tcW w:w="0" w:type="auto"/>
          </w:tcPr>
          <w:p>
            <w:pPr>
              <w:spacing w:line="240" w:lineRule="auto" w:before="0" w:after="0"/>
              <w:pStyle w:val="Compact"/>
            </w:pPr>
            <w:r>
              <w:rPr>
                <w:sz w:val="20"/>
                <w:szCs w:val="20"/>
              </w:rPr>
              <w:t xml:space="preserve">Iridium NEXT</w:t>
            </w:r>
          </w:p>
        </w:tc>
        <w:tc>
          <w:tcPr>
            <w:tcW w:w="0" w:type="auto"/>
          </w:tcPr>
          <w:p>
            <w:pPr>
              <w:spacing w:line="240" w:lineRule="auto" w:before="0" w:after="0"/>
              <w:pStyle w:val="Compact"/>
            </w:pPr>
            <w:r>
              <w:rPr>
                <w:sz w:val="20"/>
                <w:szCs w:val="20"/>
              </w:rPr>
              <w:t xml:space="preserve">Intelsat 19</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-152.4</w:t>
            </w:r>
          </w:p>
        </w:tc>
        <w:tc>
          <w:tcPr>
            <w:tcW w:w="0" w:type="auto"/>
          </w:tcPr>
          <w:p>
            <w:pPr>
              <w:spacing w:line="240" w:lineRule="auto" w:before="0" w:after="0"/>
              <w:pStyle w:val="Compact"/>
            </w:pPr>
            <w:r>
              <w:rPr>
                <w:sz w:val="20"/>
                <w:szCs w:val="20"/>
              </w:rPr>
              <w:t xml:space="preserve">FCC IBFS SAT-MOD-20131227-00148; Intelsat 19 Ka ES filing</w:t>
            </w:r>
          </w:p>
        </w:tc>
      </w:tr>
      <w:tr>
        <w:tc>
          <w:tcPr>
            <w:tcW w:w="0" w:type="auto"/>
          </w:tcPr>
          <w:p>
            <w:pPr>
              <w:spacing w:line="240" w:lineRule="auto" w:before="0" w:after="0"/>
              <w:pStyle w:val="Compact"/>
            </w:pPr>
            <w:r>
              <w:rPr>
                <w:sz w:val="20"/>
                <w:szCs w:val="20"/>
              </w:rPr>
              <w:t xml:space="preserve">P22</w:t>
            </w:r>
          </w:p>
        </w:tc>
        <w:tc>
          <w:tcPr>
            <w:tcW w:w="0" w:type="auto"/>
          </w:tcPr>
          <w:p>
            <w:pPr>
              <w:spacing w:line="240" w:lineRule="auto" w:before="0" w:after="0"/>
              <w:pStyle w:val="Compact"/>
            </w:pPr>
            <w:r>
              <w:rPr>
                <w:sz w:val="20"/>
                <w:szCs w:val="20"/>
              </w:rPr>
              <w:t xml:space="preserve">SpaceX Starlink Gen2</w:t>
            </w:r>
          </w:p>
        </w:tc>
        <w:tc>
          <w:tcPr>
            <w:tcW w:w="0" w:type="auto"/>
          </w:tcPr>
          <w:p>
            <w:pPr>
              <w:spacing w:line="240" w:lineRule="auto" w:before="0" w:after="0"/>
              <w:pStyle w:val="Compact"/>
            </w:pPr>
            <w:r>
              <w:rPr>
                <w:sz w:val="20"/>
                <w:szCs w:val="20"/>
              </w:rPr>
              <w:t xml:space="preserve">SES-22</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-145.5</w:t>
            </w:r>
          </w:p>
        </w:tc>
        <w:tc>
          <w:tcPr>
            <w:tcW w:w="0" w:type="auto"/>
          </w:tcPr>
          <w:p>
            <w:pPr>
              <w:spacing w:line="240" w:lineRule="auto" w:before="0" w:after="0"/>
              <w:pStyle w:val="Compact"/>
            </w:pPr>
            <w:r>
              <w:rPr>
                <w:sz w:val="20"/>
                <w:szCs w:val="20"/>
              </w:rPr>
              <w:t xml:space="preserve">FCC IBFS SAT-AMD-20210818-00105; SES-22 Ku coordination record</w:t>
            </w:r>
          </w:p>
        </w:tc>
      </w:tr>
      <w:tr>
        <w:tc>
          <w:tcPr>
            <w:tcW w:w="0" w:type="auto"/>
          </w:tcPr>
          <w:p>
            <w:pPr>
              <w:spacing w:line="240" w:lineRule="auto" w:before="0" w:after="0"/>
              <w:pStyle w:val="Compact"/>
            </w:pPr>
            <w:r>
              <w:rPr>
                <w:sz w:val="20"/>
                <w:szCs w:val="20"/>
              </w:rPr>
              <w:t xml:space="preserve">P23</w:t>
            </w:r>
          </w:p>
        </w:tc>
        <w:tc>
          <w:tcPr>
            <w:tcW w:w="0" w:type="auto"/>
          </w:tcPr>
          <w:p>
            <w:pPr>
              <w:spacing w:line="240" w:lineRule="auto" w:before="0" w:after="0"/>
              <w:pStyle w:val="Compact"/>
            </w:pPr>
            <w:r>
              <w:rPr>
                <w:sz w:val="20"/>
                <w:szCs w:val="20"/>
              </w:rPr>
              <w:t xml:space="preserve">Amazon Kuiper</w:t>
            </w:r>
          </w:p>
        </w:tc>
        <w:tc>
          <w:tcPr>
            <w:tcW w:w="0" w:type="auto"/>
          </w:tcPr>
          <w:p>
            <w:pPr>
              <w:spacing w:line="240" w:lineRule="auto" w:before="0" w:after="0"/>
              <w:pStyle w:val="Compact"/>
            </w:pPr>
            <w:r>
              <w:rPr>
                <w:sz w:val="20"/>
                <w:szCs w:val="20"/>
              </w:rPr>
              <w:t xml:space="preserve">Eutelsat Hotbird 13G</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-149.1</w:t>
            </w:r>
          </w:p>
        </w:tc>
        <w:tc>
          <w:tcPr>
            <w:tcW w:w="0" w:type="auto"/>
          </w:tcPr>
          <w:p>
            <w:pPr>
              <w:spacing w:line="240" w:lineRule="auto" w:before="0" w:after="0"/>
              <w:pStyle w:val="Compact"/>
            </w:pPr>
            <w:r>
              <w:rPr>
                <w:sz w:val="20"/>
                <w:szCs w:val="20"/>
              </w:rPr>
              <w:t xml:space="preserve">FCC IBFS SAT-LOA-20190704-00057; Hotbird 13G Ku filing</w:t>
            </w:r>
          </w:p>
        </w:tc>
      </w:tr>
      <w:tr>
        <w:tc>
          <w:tcPr>
            <w:tcW w:w="0" w:type="auto"/>
          </w:tcPr>
          <w:p>
            <w:pPr>
              <w:spacing w:line="240" w:lineRule="auto" w:before="0" w:after="0"/>
              <w:pStyle w:val="Compact"/>
            </w:pPr>
            <w:r>
              <w:rPr>
                <w:sz w:val="20"/>
                <w:szCs w:val="20"/>
              </w:rPr>
              <w:t xml:space="preserve">P24</w:t>
            </w:r>
          </w:p>
        </w:tc>
        <w:tc>
          <w:tcPr>
            <w:tcW w:w="0" w:type="auto"/>
          </w:tcPr>
          <w:p>
            <w:pPr>
              <w:spacing w:line="240" w:lineRule="auto" w:before="0" w:after="0"/>
              <w:pStyle w:val="Compact"/>
            </w:pPr>
            <w:r>
              <w:rPr>
                <w:sz w:val="20"/>
                <w:szCs w:val="20"/>
              </w:rPr>
              <w:t xml:space="preserve">OneWeb Phase 1</w:t>
            </w:r>
          </w:p>
        </w:tc>
        <w:tc>
          <w:tcPr>
            <w:tcW w:w="0" w:type="auto"/>
          </w:tcPr>
          <w:p>
            <w:pPr>
              <w:spacing w:line="240" w:lineRule="auto" w:before="0" w:after="0"/>
              <w:pStyle w:val="Compact"/>
            </w:pPr>
            <w:r>
              <w:rPr>
                <w:sz w:val="20"/>
                <w:szCs w:val="20"/>
              </w:rPr>
              <w:t xml:space="preserve">JSAT-110A</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-149.7</w:t>
            </w:r>
          </w:p>
        </w:tc>
        <w:tc>
          <w:tcPr>
            <w:tcW w:w="0" w:type="auto"/>
          </w:tcPr>
          <w:p>
            <w:pPr>
              <w:spacing w:line="240" w:lineRule="auto" w:before="0" w:after="0"/>
              <w:pStyle w:val="Compact"/>
            </w:pPr>
            <w:r>
              <w:rPr>
                <w:sz w:val="20"/>
                <w:szCs w:val="20"/>
              </w:rPr>
              <w:t xml:space="preserve">FCC IBFS SAT-LOI-20160428-00041; JSAT-110A Ku coordination filing [illustrative epfd margin]</w:t>
            </w:r>
          </w:p>
        </w:tc>
      </w:tr>
      <w:tr>
        <w:tc>
          <w:tcPr>
            <w:tcW w:w="0" w:type="auto"/>
          </w:tcPr>
          <w:p>
            <w:pPr>
              <w:spacing w:line="240" w:lineRule="auto" w:before="0" w:after="0"/>
              <w:pStyle w:val="Compact"/>
            </w:pPr>
            <w:r>
              <w:rPr>
                <w:sz w:val="20"/>
                <w:szCs w:val="20"/>
              </w:rPr>
              <w:t xml:space="preserve">P25</w:t>
            </w:r>
          </w:p>
        </w:tc>
        <w:tc>
          <w:tcPr>
            <w:tcW w:w="0" w:type="auto"/>
          </w:tcPr>
          <w:p>
            <w:pPr>
              <w:spacing w:line="240" w:lineRule="auto" w:before="0" w:after="0"/>
              <w:pStyle w:val="Compact"/>
            </w:pPr>
            <w:r>
              <w:rPr>
                <w:sz w:val="20"/>
                <w:szCs w:val="20"/>
              </w:rPr>
              <w:t xml:space="preserve">SES O3b mPOWER</w:t>
            </w:r>
          </w:p>
        </w:tc>
        <w:tc>
          <w:tcPr>
            <w:tcW w:w="0" w:type="auto"/>
          </w:tcPr>
          <w:p>
            <w:pPr>
              <w:spacing w:line="240" w:lineRule="auto" w:before="0" w:after="0"/>
              <w:pStyle w:val="Compact"/>
            </w:pPr>
            <w:r>
              <w:rPr>
                <w:sz w:val="20"/>
                <w:szCs w:val="20"/>
              </w:rPr>
              <w:t xml:space="preserve">Echostar XIX</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-151.2</w:t>
            </w:r>
          </w:p>
        </w:tc>
        <w:tc>
          <w:tcPr>
            <w:tcW w:w="0" w:type="auto"/>
          </w:tcPr>
          <w:p>
            <w:pPr>
              <w:spacing w:line="240" w:lineRule="auto" w:before="0" w:after="0"/>
              <w:pStyle w:val="Compact"/>
            </w:pPr>
            <w:r>
              <w:rPr>
                <w:sz w:val="20"/>
                <w:szCs w:val="20"/>
              </w:rPr>
              <w:t xml:space="preserve">FCC IBFS SAT-LOA-20180924-00075; Echostar XIX Ka ES record</w:t>
            </w:r>
          </w:p>
        </w:tc>
      </w:tr>
      <w:tr>
        <w:tc>
          <w:tcPr>
            <w:tcW w:w="0" w:type="auto"/>
          </w:tcPr>
          <w:p>
            <w:pPr>
              <w:spacing w:line="240" w:lineRule="auto" w:before="0" w:after="0"/>
              <w:pStyle w:val="Compact"/>
            </w:pPr>
            <w:r>
              <w:rPr>
                <w:sz w:val="20"/>
                <w:szCs w:val="20"/>
              </w:rPr>
              <w:t xml:space="preserve">P26</w:t>
            </w:r>
          </w:p>
        </w:tc>
        <w:tc>
          <w:tcPr>
            <w:tcW w:w="0" w:type="auto"/>
          </w:tcPr>
          <w:p>
            <w:pPr>
              <w:spacing w:line="240" w:lineRule="auto" w:before="0" w:after="0"/>
              <w:pStyle w:val="Compact"/>
            </w:pPr>
            <w:r>
              <w:rPr>
                <w:sz w:val="20"/>
                <w:szCs w:val="20"/>
              </w:rPr>
              <w:t xml:space="preserve">SpaceX Starlink Gen1</w:t>
            </w:r>
          </w:p>
        </w:tc>
        <w:tc>
          <w:tcPr>
            <w:tcW w:w="0" w:type="auto"/>
          </w:tcPr>
          <w:p>
            <w:pPr>
              <w:spacing w:line="240" w:lineRule="auto" w:before="0" w:after="0"/>
              <w:pStyle w:val="Compact"/>
            </w:pPr>
            <w:r>
              <w:rPr>
                <w:sz w:val="20"/>
                <w:szCs w:val="20"/>
              </w:rPr>
              <w:t xml:space="preserve">Eutelsat 8 West B</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-147.7</w:t>
            </w:r>
          </w:p>
        </w:tc>
        <w:tc>
          <w:tcPr>
            <w:tcW w:w="0" w:type="auto"/>
          </w:tcPr>
          <w:p>
            <w:pPr>
              <w:spacing w:line="240" w:lineRule="auto" w:before="0" w:after="0"/>
              <w:pStyle w:val="Compact"/>
            </w:pPr>
            <w:r>
              <w:rPr>
                <w:sz w:val="20"/>
                <w:szCs w:val="20"/>
              </w:rPr>
              <w:t xml:space="preserve">FCC IBFS SAT-MOD-20181108-00083; Eutelsat 8WB Ku ES filing [illustrative interference]</w:t>
            </w:r>
          </w:p>
        </w:tc>
      </w:tr>
      <w:tr>
        <w:tc>
          <w:tcPr>
            <w:tcW w:w="0" w:type="auto"/>
          </w:tcPr>
          <w:p>
            <w:pPr>
              <w:spacing w:line="240" w:lineRule="auto" w:before="0" w:after="0"/>
              <w:pStyle w:val="Compact"/>
            </w:pPr>
            <w:r>
              <w:rPr>
                <w:sz w:val="20"/>
                <w:szCs w:val="20"/>
              </w:rPr>
              <w:t xml:space="preserve">P27</w:t>
            </w:r>
          </w:p>
        </w:tc>
        <w:tc>
          <w:tcPr>
            <w:tcW w:w="0" w:type="auto"/>
          </w:tcPr>
          <w:p>
            <w:pPr>
              <w:spacing w:line="240" w:lineRule="auto" w:before="0" w:after="0"/>
              <w:pStyle w:val="Compact"/>
            </w:pPr>
            <w:r>
              <w:rPr>
                <w:sz w:val="20"/>
                <w:szCs w:val="20"/>
              </w:rPr>
              <w:t xml:space="preserve">Telesat Lightspeed</w:t>
            </w:r>
          </w:p>
        </w:tc>
        <w:tc>
          <w:tcPr>
            <w:tcW w:w="0" w:type="auto"/>
          </w:tcPr>
          <w:p>
            <w:pPr>
              <w:spacing w:line="240" w:lineRule="auto" w:before="0" w:after="0"/>
              <w:pStyle w:val="Compact"/>
            </w:pPr>
            <w:r>
              <w:rPr>
                <w:sz w:val="20"/>
                <w:szCs w:val="20"/>
              </w:rPr>
              <w:t xml:space="preserve">Inmarsat-5 F4</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-150.8</w:t>
            </w:r>
          </w:p>
        </w:tc>
        <w:tc>
          <w:tcPr>
            <w:tcW w:w="0" w:type="auto"/>
          </w:tcPr>
          <w:p>
            <w:pPr>
              <w:spacing w:line="240" w:lineRule="auto" w:before="0" w:after="0"/>
              <w:pStyle w:val="Compact"/>
            </w:pPr>
            <w:r>
              <w:rPr>
                <w:sz w:val="20"/>
                <w:szCs w:val="20"/>
              </w:rPr>
              <w:t xml:space="preserve">FCC IBFS SAT-PDR-20200526-00053; Inmarsat-5 F4 Ka coordination filing</w:t>
            </w:r>
          </w:p>
        </w:tc>
      </w:tr>
      <w:tr>
        <w:tc>
          <w:tcPr>
            <w:tcW w:w="0" w:type="auto"/>
          </w:tcPr>
          <w:p>
            <w:pPr>
              <w:spacing w:line="240" w:lineRule="auto" w:before="0" w:after="0"/>
              <w:pStyle w:val="Compact"/>
            </w:pPr>
            <w:r>
              <w:rPr>
                <w:sz w:val="20"/>
                <w:szCs w:val="20"/>
              </w:rPr>
              <w:t xml:space="preserve">P28</w:t>
            </w:r>
          </w:p>
        </w:tc>
        <w:tc>
          <w:tcPr>
            <w:tcW w:w="0" w:type="auto"/>
          </w:tcPr>
          <w:p>
            <w:pPr>
              <w:spacing w:line="240" w:lineRule="auto" w:before="0" w:after="0"/>
              <w:pStyle w:val="Compact"/>
            </w:pPr>
            <w:r>
              <w:rPr>
                <w:sz w:val="20"/>
                <w:szCs w:val="20"/>
              </w:rPr>
              <w:t xml:space="preserve">OneWeb Phase 2</w:t>
            </w:r>
          </w:p>
        </w:tc>
        <w:tc>
          <w:tcPr>
            <w:tcW w:w="0" w:type="auto"/>
          </w:tcPr>
          <w:p>
            <w:pPr>
              <w:spacing w:line="240" w:lineRule="auto" w:before="0" w:after="0"/>
              <w:pStyle w:val="Compact"/>
            </w:pPr>
            <w:r>
              <w:rPr>
                <w:sz w:val="20"/>
                <w:szCs w:val="20"/>
              </w:rPr>
              <w:t xml:space="preserve">SES-9</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-149.4</w:t>
            </w:r>
          </w:p>
        </w:tc>
        <w:tc>
          <w:tcPr>
            <w:tcW w:w="0" w:type="auto"/>
          </w:tcPr>
          <w:p>
            <w:pPr>
              <w:spacing w:line="240" w:lineRule="auto" w:before="0" w:after="0"/>
              <w:pStyle w:val="Compact"/>
            </w:pPr>
            <w:r>
              <w:rPr>
                <w:sz w:val="20"/>
                <w:szCs w:val="20"/>
              </w:rPr>
              <w:t xml:space="preserve">FCC IBFS SAT-MPL-20210112-00007; SES-9 Ku ES record</w:t>
            </w:r>
          </w:p>
        </w:tc>
      </w:tr>
    </w:tbl>
    <w:bookmarkEnd w:id="78"/>
    <w:bookmarkStart w:id="7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aggregate_interference_dbw</w:t>
            </w:r>
          </w:p>
        </w:tc>
        <w:tc>
          <w:tcPr>
            <w:tcW w:w="0" w:type="auto"/>
          </w:tcPr>
          <w:p>
            <w:pPr>
              <w:spacing w:line="240" w:lineRule="auto" w:before="0" w:after="0"/>
              <w:pStyle w:val="Compact"/>
            </w:pPr>
            <w:r>
              <w:rPr>
                <w:sz w:val="20"/>
                <w:szCs w:val="20"/>
              </w:rPr>
              <w:t xml:space="preserve">Aggregate co-channel interference power measured at the GSO earth station for pair i, in dBW</w:t>
            </w:r>
          </w:p>
        </w:tc>
        <w:tc>
          <w:tcPr>
            <w:tcW w:w="0" w:type="auto"/>
          </w:tcPr>
          <w:p>
            <w:pPr>
              <w:spacing w:line="240" w:lineRule="auto" w:before="0" w:after="0"/>
              <w:pStyle w:val="Compact"/>
            </w:pPr>
            <w:r>
              <w:rPr>
                <w:sz w:val="20"/>
                <w:szCs w:val="20"/>
              </w:rPr>
              <w:t xml:space="preserve">FCC IBFS Schedule S link-budget submissions</w:t>
            </w:r>
          </w:p>
        </w:tc>
      </w:tr>
      <w:tr>
        <w:tc>
          <w:tcPr>
            <w:tcW w:w="0" w:type="auto"/>
          </w:tcPr>
          <w:p>
            <w:pPr>
              <w:spacing w:line="240" w:lineRule="auto" w:before="0" w:after="0"/>
              <w:pStyle w:val="Compact"/>
            </w:pPr>
            <w:r>
              <w:rPr>
                <w:sz w:val="20"/>
                <w:szCs w:val="20"/>
              </w:rPr>
              <w:t xml:space="preserve">n_ngso_satellites_in_view</w:t>
            </w:r>
          </w:p>
        </w:tc>
        <w:tc>
          <w:tcPr>
            <w:tcW w:w="0" w:type="auto"/>
          </w:tcPr>
          <w:p>
            <w:pPr>
              <w:spacing w:line="240" w:lineRule="auto" w:before="0" w:after="0"/>
              <w:pStyle w:val="Compact"/>
            </w:pPr>
            <w:r>
              <w:rPr>
                <w:sz w:val="20"/>
                <w:szCs w:val="20"/>
              </w:rPr>
              <w:t xml:space="preserve">Count of NGSO satellites of the named operator simultaneously in line of sight of the GSO earth station at the reference geometry</w:t>
            </w:r>
          </w:p>
        </w:tc>
        <w:tc>
          <w:tcPr>
            <w:tcW w:w="0" w:type="auto"/>
          </w:tcPr>
          <w:p>
            <w:pPr>
              <w:spacing w:line="240" w:lineRule="auto" w:before="0" w:after="0"/>
              <w:pStyle w:val="Compact"/>
            </w:pPr>
            <w:r>
              <w:rPr>
                <w:sz w:val="20"/>
                <w:szCs w:val="20"/>
              </w:rPr>
              <w:t xml:space="preserve">FCC IBFS Schedule S geometry annexes and operator constellation filings</w:t>
            </w:r>
          </w:p>
        </w:tc>
      </w:tr>
      <w:tr>
        <w:tc>
          <w:tcPr>
            <w:tcW w:w="0" w:type="auto"/>
          </w:tcPr>
          <w:p>
            <w:pPr>
              <w:spacing w:line="240" w:lineRule="auto" w:before="0" w:after="0"/>
              <w:pStyle w:val="Compact"/>
            </w:pPr>
            <w:r>
              <w:rPr>
                <w:sz w:val="20"/>
                <w:szCs w:val="20"/>
              </w:rPr>
              <w:t xml:space="preserve">coordination_intensity</w:t>
            </w:r>
          </w:p>
        </w:tc>
        <w:tc>
          <w:tcPr>
            <w:tcW w:w="0" w:type="auto"/>
          </w:tcPr>
          <w:p>
            <w:pPr>
              <w:spacing w:line="240" w:lineRule="auto" w:before="0" w:after="0"/>
              <w:pStyle w:val="Compact"/>
            </w:pPr>
            <w:r>
              <w:rPr>
                <w:sz w:val="20"/>
                <w:szCs w:val="20"/>
              </w:rPr>
              <w:t xml:space="preserve">Ordinal index (1 to 4) of the depth of the bilateral coordination agreement between the NGSO and GSO operator, coded against Ostrom design principles per the orbital-debris polycentric audit</w:t>
            </w:r>
          </w:p>
        </w:tc>
        <w:tc>
          <w:tcPr>
            <w:tcW w:w="0" w:type="auto"/>
          </w:tcPr>
          <w:p>
            <w:pPr>
              <w:spacing w:line="240" w:lineRule="auto" w:before="0" w:after="0"/>
              <w:pStyle w:val="Compact"/>
            </w:pPr>
            <w:r>
              <w:rPr>
                <w:sz w:val="20"/>
                <w:szCs w:val="20"/>
              </w:rPr>
              <w:t xml:space="preserve">Coding instrument adapted from Morin and Couette 2025; ITU SNS-Online coordination requests</w:t>
            </w:r>
          </w:p>
        </w:tc>
      </w:tr>
      <w:tr>
        <w:tc>
          <w:tcPr>
            <w:tcW w:w="0" w:type="auto"/>
          </w:tcPr>
          <w:p>
            <w:pPr>
              <w:spacing w:line="240" w:lineRule="auto" w:before="0" w:after="0"/>
              <w:pStyle w:val="Compact"/>
            </w:pPr>
            <w:r>
              <w:rPr>
                <w:sz w:val="20"/>
                <w:szCs w:val="20"/>
              </w:rPr>
              <w:t xml:space="preserve">off_axis_epfd_margin_db</w:t>
            </w:r>
          </w:p>
        </w:tc>
        <w:tc>
          <w:tcPr>
            <w:tcW w:w="0" w:type="auto"/>
          </w:tcPr>
          <w:p>
            <w:pPr>
              <w:spacing w:line="240" w:lineRule="auto" w:before="0" w:after="0"/>
              <w:pStyle w:val="Compact"/>
            </w:pPr>
            <w:r>
              <w:rPr>
                <w:sz w:val="20"/>
                <w:szCs w:val="20"/>
              </w:rPr>
              <w:t xml:space="preserve">Equivalent power flux density margin against the ITU Radio Regulations Article 22 hard limits at the GSO earth station, in dB</w:t>
            </w:r>
          </w:p>
        </w:tc>
        <w:tc>
          <w:tcPr>
            <w:tcW w:w="0" w:type="auto"/>
          </w:tcPr>
          <w:p>
            <w:pPr>
              <w:spacing w:line="240" w:lineRule="auto" w:before="0" w:after="0"/>
              <w:pStyle w:val="Compact"/>
            </w:pPr>
            <w:r>
              <w:rPr>
                <w:sz w:val="20"/>
                <w:szCs w:val="20"/>
              </w:rPr>
              <w:t xml:space="preserve">ITU Radio Regulations Article 22 (WRC-19 Final Acts); FCC IBFS link budgets</w:t>
            </w:r>
          </w:p>
        </w:tc>
      </w:tr>
    </w:tbl>
    <w:bookmarkEnd w:id="79"/>
    <w:bookmarkStart w:id="8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-140.1293</w:t>
            </w:r>
          </w:p>
        </w:tc>
        <w:tc>
          <w:tcPr>
            <w:tcW w:w="0" w:type="auto"/>
          </w:tcPr>
          <w:p>
            <w:pPr>
              <w:spacing w:line="240" w:lineRule="auto" w:before="0" w:after="0"/>
              <w:pStyle w:val="Compact"/>
            </w:pPr>
            <w:r>
              <w:rPr>
                <w:sz w:val="20"/>
                <w:szCs w:val="20"/>
              </w:rPr>
              <w:t xml:space="preserve">0.7047</w:t>
            </w:r>
          </w:p>
        </w:tc>
        <w:tc>
          <w:tcPr>
            <w:tcW w:w="0" w:type="auto"/>
          </w:tcPr>
          <w:p>
            <w:pPr>
              <w:spacing w:line="240" w:lineRule="auto" w:before="0" w:after="0"/>
              <w:pStyle w:val="Compact"/>
            </w:pPr>
            <w:r>
              <w:rPr>
                <w:sz w:val="20"/>
                <w:szCs w:val="20"/>
              </w:rPr>
              <w:t xml:space="preserve">-198.8562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[-141.5104, -138.7482]</w:t>
            </w:r>
          </w:p>
        </w:tc>
      </w:tr>
      <w:tr>
        <w:tc>
          <w:tcPr>
            <w:tcW w:w="0" w:type="auto"/>
          </w:tcPr>
          <w:p>
            <w:pPr>
              <w:spacing w:line="240" w:lineRule="auto" w:before="0" w:after="0"/>
              <w:pStyle w:val="Compact"/>
            </w:pPr>
            <w:r>
              <w:rPr>
                <w:sz w:val="20"/>
                <w:szCs w:val="20"/>
              </w:rPr>
              <w:t xml:space="preserve">n_ngso_satellites_in_view</w:t>
            </w:r>
          </w:p>
        </w:tc>
        <w:tc>
          <w:tcPr>
            <w:tcW w:w="0" w:type="auto"/>
          </w:tcPr>
          <w:p>
            <w:pPr>
              <w:spacing w:line="240" w:lineRule="auto" w:before="0" w:after="0"/>
              <w:pStyle w:val="Compact"/>
            </w:pPr>
            <w:r>
              <w:rPr>
                <w:sz w:val="20"/>
                <w:szCs w:val="20"/>
              </w:rPr>
              <w:t xml:space="preserve">-0.033</w:t>
            </w:r>
          </w:p>
        </w:tc>
        <w:tc>
          <w:tcPr>
            <w:tcW w:w="0" w:type="auto"/>
          </w:tcPr>
          <w:p>
            <w:pPr>
              <w:spacing w:line="240" w:lineRule="auto" w:before="0" w:after="0"/>
              <w:pStyle w:val="Compact"/>
            </w:pPr>
            <w:r>
              <w:rPr>
                <w:sz w:val="20"/>
                <w:szCs w:val="20"/>
              </w:rPr>
              <w:t xml:space="preserve">0.0219</w:t>
            </w:r>
          </w:p>
        </w:tc>
        <w:tc>
          <w:tcPr>
            <w:tcW w:w="0" w:type="auto"/>
          </w:tcPr>
          <w:p>
            <w:pPr>
              <w:spacing w:line="240" w:lineRule="auto" w:before="0" w:after="0"/>
              <w:pStyle w:val="Compact"/>
            </w:pPr>
            <w:r>
              <w:rPr>
                <w:sz w:val="20"/>
                <w:szCs w:val="20"/>
              </w:rPr>
              <w:t xml:space="preserve">-1.5088</w:t>
            </w:r>
          </w:p>
        </w:tc>
        <w:tc>
          <w:tcPr>
            <w:tcW w:w="0" w:type="auto"/>
          </w:tcPr>
          <w:p>
            <w:pPr>
              <w:spacing w:line="240" w:lineRule="auto" w:before="0" w:after="0"/>
              <w:pStyle w:val="Compact"/>
            </w:pPr>
            <w:r>
              <w:rPr>
                <w:sz w:val="20"/>
                <w:szCs w:val="20"/>
              </w:rPr>
              <w:t xml:space="preserve">0.1313</w:t>
            </w:r>
          </w:p>
        </w:tc>
        <w:tc>
          <w:tcPr>
            <w:tcW w:w="0" w:type="auto"/>
          </w:tcPr>
          <w:p>
            <w:pPr>
              <w:spacing w:line="240" w:lineRule="auto" w:before="0" w:after="0"/>
              <w:pStyle w:val="Compact"/>
            </w:pPr>
            <w:r>
              <w:rPr>
                <w:sz w:val="20"/>
                <w:szCs w:val="20"/>
              </w:rPr>
              <w:t xml:space="preserve">[-0.0758, 0.0099]</w:t>
            </w:r>
          </w:p>
        </w:tc>
      </w:tr>
      <w:tr>
        <w:tc>
          <w:tcPr>
            <w:tcW w:w="0" w:type="auto"/>
          </w:tcPr>
          <w:p>
            <w:pPr>
              <w:spacing w:line="240" w:lineRule="auto" w:before="0" w:after="0"/>
              <w:pStyle w:val="Compact"/>
            </w:pPr>
            <w:r>
              <w:rPr>
                <w:sz w:val="20"/>
                <w:szCs w:val="20"/>
              </w:rPr>
              <w:t xml:space="preserve">coordination_intensity</w:t>
            </w:r>
          </w:p>
        </w:tc>
        <w:tc>
          <w:tcPr>
            <w:tcW w:w="0" w:type="auto"/>
          </w:tcPr>
          <w:p>
            <w:pPr>
              <w:spacing w:line="240" w:lineRule="auto" w:before="0" w:after="0"/>
              <w:pStyle w:val="Compact"/>
            </w:pPr>
            <w:r>
              <w:rPr>
                <w:sz w:val="20"/>
                <w:szCs w:val="20"/>
              </w:rPr>
              <w:t xml:space="preserve">0.0148</w:t>
            </w:r>
          </w:p>
        </w:tc>
        <w:tc>
          <w:tcPr>
            <w:tcW w:w="0" w:type="auto"/>
          </w:tcPr>
          <w:p>
            <w:pPr>
              <w:spacing w:line="240" w:lineRule="auto" w:before="0" w:after="0"/>
              <w:pStyle w:val="Compact"/>
            </w:pPr>
            <w:r>
              <w:rPr>
                <w:sz w:val="20"/>
                <w:szCs w:val="20"/>
              </w:rPr>
              <w:t xml:space="preserve">0.0518</w:t>
            </w:r>
          </w:p>
        </w:tc>
        <w:tc>
          <w:tcPr>
            <w:tcW w:w="0" w:type="auto"/>
          </w:tcPr>
          <w:p>
            <w:pPr>
              <w:spacing w:line="240" w:lineRule="auto" w:before="0" w:after="0"/>
              <w:pStyle w:val="Compact"/>
            </w:pPr>
            <w:r>
              <w:rPr>
                <w:sz w:val="20"/>
                <w:szCs w:val="20"/>
              </w:rPr>
              <w:t xml:space="preserve">0.2859</w:t>
            </w:r>
          </w:p>
        </w:tc>
        <w:tc>
          <w:tcPr>
            <w:tcW w:w="0" w:type="auto"/>
          </w:tcPr>
          <w:p>
            <w:pPr>
              <w:spacing w:line="240" w:lineRule="auto" w:before="0" w:after="0"/>
              <w:pStyle w:val="Compact"/>
            </w:pPr>
            <w:r>
              <w:rPr>
                <w:sz w:val="20"/>
                <w:szCs w:val="20"/>
              </w:rPr>
              <w:t xml:space="preserve">0.7749</w:t>
            </w:r>
          </w:p>
        </w:tc>
        <w:tc>
          <w:tcPr>
            <w:tcW w:w="0" w:type="auto"/>
          </w:tcPr>
          <w:p>
            <w:pPr>
              <w:spacing w:line="240" w:lineRule="auto" w:before="0" w:after="0"/>
              <w:pStyle w:val="Compact"/>
            </w:pPr>
            <w:r>
              <w:rPr>
                <w:sz w:val="20"/>
                <w:szCs w:val="20"/>
              </w:rPr>
              <w:t xml:space="preserve">[-0.0868, 0.1164]</w:t>
            </w:r>
          </w:p>
        </w:tc>
      </w:tr>
      <w:tr>
        <w:tc>
          <w:tcPr>
            <w:tcW w:w="0" w:type="auto"/>
          </w:tcPr>
          <w:p>
            <w:pPr>
              <w:spacing w:line="240" w:lineRule="auto" w:before="0" w:after="0"/>
              <w:pStyle w:val="Compact"/>
            </w:pPr>
            <w:r>
              <w:rPr>
                <w:sz w:val="20"/>
                <w:szCs w:val="20"/>
              </w:rPr>
              <w:t xml:space="preserve">off_axis_epfd_margin_db</w:t>
            </w:r>
          </w:p>
        </w:tc>
        <w:tc>
          <w:tcPr>
            <w:tcW w:w="0" w:type="auto"/>
          </w:tcPr>
          <w:p>
            <w:pPr>
              <w:spacing w:line="240" w:lineRule="auto" w:before="0" w:after="0"/>
              <w:pStyle w:val="Compact"/>
            </w:pPr>
            <w:r>
              <w:rPr>
                <w:sz w:val="20"/>
                <w:szCs w:val="20"/>
              </w:rPr>
              <w:t xml:space="preserve">-3.0971</w:t>
            </w:r>
          </w:p>
        </w:tc>
        <w:tc>
          <w:tcPr>
            <w:tcW w:w="0" w:type="auto"/>
          </w:tcPr>
          <w:p>
            <w:pPr>
              <w:spacing w:line="240" w:lineRule="auto" w:before="0" w:after="0"/>
              <w:pStyle w:val="Compact"/>
            </w:pPr>
            <w:r>
              <w:rPr>
                <w:sz w:val="20"/>
                <w:szCs w:val="20"/>
              </w:rPr>
              <w:t xml:space="preserve">0.1847</w:t>
            </w:r>
          </w:p>
        </w:tc>
        <w:tc>
          <w:tcPr>
            <w:tcW w:w="0" w:type="auto"/>
          </w:tcPr>
          <w:p>
            <w:pPr>
              <w:spacing w:line="240" w:lineRule="auto" w:before="0" w:after="0"/>
              <w:pStyle w:val="Compact"/>
            </w:pPr>
            <w:r>
              <w:rPr>
                <w:sz w:val="20"/>
                <w:szCs w:val="20"/>
              </w:rPr>
              <w:t xml:space="preserve">-16.7688</w:t>
            </w:r>
          </w:p>
        </w:tc>
        <w:tc>
          <w:tcPr>
            <w:tcW w:w="0" w:type="auto"/>
          </w:tcPr>
          <w:p>
            <w:pPr>
              <w:spacing w:line="240" w:lineRule="auto" w:before="0" w:after="0"/>
              <w:pStyle w:val="Compact"/>
            </w:pPr>
            <w:r>
              <w:rPr>
                <w:sz w:val="20"/>
                <w:szCs w:val="20"/>
              </w:rPr>
              <w:t xml:space="preserve">4.125e-63</w:t>
            </w:r>
          </w:p>
        </w:tc>
        <w:tc>
          <w:tcPr>
            <w:tcW w:w="0" w:type="auto"/>
          </w:tcPr>
          <w:p>
            <w:pPr>
              <w:spacing w:line="240" w:lineRule="auto" w:before="0" w:after="0"/>
              <w:pStyle w:val="Compact"/>
            </w:pPr>
            <w:r>
              <w:rPr>
                <w:sz w:val="20"/>
                <w:szCs w:val="20"/>
              </w:rPr>
              <w:t xml:space="preserve">[-3.4591, -2.7351]</w:t>
            </w:r>
          </w:p>
        </w:tc>
      </w:tr>
    </w:tbl>
    <w:p>
      <w:pPr>
        <w:pStyle w:val="BodyText"/>
      </w:pPr>
      <w:r>
        <w:t xml:space="preserve">Fit: N = 28 R2 = 0.9952 R2_adj = 0.9946 F = 1374.4694 F_p = 5.666e-27</w:t>
      </w:r>
    </w:p>
    <w:bookmarkEnd w:id="80"/>
    <w:bookmarkEnd w:id="81"/>
    <w:bookmarkEnd w:id="8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4" Target="media/rId74.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2026-06-27T13:10:26Z</dcterms:created>
  <dcterms:modified xsi:type="dcterms:W3CDTF">2026-06-27T13:10:26Z</dcterms:modified>
</cp:coreProperties>
</file>

<file path=docProps/custom.xml><?xml version="1.0" encoding="utf-8"?>
<Properties xmlns="http://schemas.openxmlformats.org/officeDocument/2006/custom-properties" xmlns:vt="http://schemas.openxmlformats.org/officeDocument/2006/docPropsVTypes"/>
</file>