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4a0fed3da8e1165f705ddf967b322d07c7440d6"/>
    <w:p>
      <w:pPr>
        <w:pStyle w:val="Heading1"/>
      </w:pPr>
      <w:r>
        <w:t xml:space="preserve">Dynamic Spectrum Sharing and the GSO Interference Margin: Panel Fixed-Effects Evidence from NGSO-GSO Operator Pairs in Ku- and Ka-Bands, 2020-2023</w:t>
      </w:r>
    </w:p>
    <w:bookmarkStart w:id="61" w:name="introduction"/>
    <w:p>
      <w:pPr>
        <w:pStyle w:val="Heading2"/>
      </w:pPr>
      <w:r>
        <w:t xml:space="preserve">1. Introduction</w:t>
      </w:r>
    </w:p>
    <w:p>
      <w:pPr>
        <w:pStyle w:val="FirstParagraph"/>
      </w:pPr>
      <w:r>
        <w:t xml:space="preserve">The build-out of low earth orbit broadband constellations has compressed the operational separation between non-geostationary (NGSO) terminals and the incumbent geostationary (GSO) fixed-satellite-service networks that share the Ku- and Ka-band assignments. The static, treaty-anchored International Telecommunication Union (ITU) coordination model that governs those bands was designed for a sparse GSO environment and partitions the spectrum on a first-come basis</w:t>
      </w:r>
      <w:r>
        <w:t xml:space="preserve"> </w:t>
      </w:r>
      <w:hyperlink w:anchor="ref-1">
        <m:oMathPara>
          <m:oMathParaPr>
            <m:jc m:val="center"/>
          </m:oMathParaPr>
          <m:oMath>
            <m:r>
              <m:t>1</m:t>
            </m:r>
          </m:oMath>
        </m:oMathPara>
      </w:hyperlink>
      <w:r>
        <w:t xml:space="preserve">[2]. As the number of active NGSO emitters has crossed the thousands-per-system threshold, operators and regulators have begun to negotiate bilateral dynamic spectrum sharing (DSS) coordination agreements that move discrete portions of the coexistence problem from the treaty layer to an operational one. This paper tests whether those agreements produce a measurable improvement in the GSO interference margin observed at incumbent earth stations, holding constellation size and emission characteristics constant.</w:t>
      </w:r>
    </w:p>
    <w:bookmarkEnd w:id="61"/>
    <w:bookmarkStart w:id="62" w:name="theory-and-hypotheses"/>
    <w:p>
      <w:pPr>
        <w:pStyle w:val="Heading2"/>
      </w:pPr>
      <w:r>
        <w:t xml:space="preserve">2. Theory and Hypotheses</w:t>
      </w:r>
    </w:p>
    <w:p>
      <w:pPr>
        <w:pStyle w:val="FirstParagraph"/>
      </w:pPr>
      <w:r>
        <w:t xml:space="preserve">The polycentric-commons literature predicts that when resource users craft layered, monitored, and graduated rules at the scale at which the resource is actually used, aggregate degradation falls relative to a static partition regime, even when the underlying use intensity rises</w:t>
      </w:r>
      <w:r>
        <w:t xml:space="preserve"> </w:t>
      </w:r>
      <w:hyperlink w:anchor="ref-3">
        <m:oMathPara>
          <m:oMathParaPr>
            <m:jc m:val="center"/>
          </m:oMathParaPr>
          <m:oMath>
            <m:r>
              <m:t>3</m:t>
            </m:r>
          </m:oMath>
        </m:oMathPara>
      </w:hyperlink>
      <w:r>
        <w:t xml:space="preserve">[4]. The argument has been applied to orbital debris and to scenario analyses of orbital futures</w:t>
      </w:r>
      <w:r>
        <w:t xml:space="preserve"> </w:t>
      </w:r>
      <w:hyperlink w:anchor="ref-3">
        <m:oMathPara>
          <m:oMathParaPr>
            <m:jc m:val="center"/>
          </m:oMathParaPr>
          <m:oMath>
            <m:r>
              <m:t>3</m:t>
            </m:r>
          </m:oMath>
        </m:oMathPara>
      </w:hyperlink>
      <w:r>
        <w:t xml:space="preserve">[4], and the WRC-19 record documents the legal architecture that admits, in principle, the kind of operator-pair coordination that the polycentric account requires</w:t>
      </w:r>
      <w:r>
        <w:t xml:space="preserve"> </w:t>
      </w:r>
      <w:hyperlink w:anchor="ref-2">
        <m:oMathPara>
          <m:oMathParaPr>
            <m:jc m:val="center"/>
          </m:oMathParaPr>
          <m:oMath>
            <m:r>
              <m:t>2</m:t>
            </m:r>
          </m:oMath>
        </m:oMathPara>
      </w:hyperlink>
      <w:r>
        <w:t xml:space="preserve">. The space-economics literature on orbital commons identifies Ostromian operator-level rules as a complement to Pigouvian and Coasian remedies</w:t>
      </w:r>
      <w:r>
        <w:t xml:space="preserve"> </w:t>
      </w:r>
      <w:hyperlink w:anchor="ref-6">
        <m:oMathPara>
          <m:oMathParaPr>
            <m:jc m:val="center"/>
          </m:oMathParaPr>
          <m:oMath>
            <m:r>
              <m:t>6</m:t>
            </m:r>
          </m:oMath>
        </m:oMathPara>
      </w:hyperlink>
      <w:r>
        <w:t xml:space="preserve">. The AMOS record on the LEO broadband competition supplies the operational background against which a static-versus-shared comparison is informative</w:t>
      </w:r>
      <w:r>
        <w:t xml:space="preserve"> </w:t>
      </w:r>
      <w:hyperlink w:anchor="ref-1">
        <m:oMathPara>
          <m:oMathParaPr>
            <m:jc m:val="center"/>
          </m:oMathParaPr>
          <m:oMath>
            <m:r>
              <m:t>1</m:t>
            </m:r>
          </m:oMath>
        </m:oMathPara>
      </w:hyperlink>
      <w:r>
        <w:t xml:space="preserve">. Translating that frame to spectrum at the operator-pair level yields the testable claim that pair-years governed by a DSS agreement should show a higher GSO interference margin, in decibels, than pair-years on the static ITU-coordination baseline.</w:t>
      </w:r>
    </w:p>
    <w:p>
      <w:pPr>
        <w:pStyle w:val="FirstParagraph"/>
      </w:pPr>
      <w:r>
        <w:t xml:space="preserve">H1. The coefficient on the DSS treatment indicator in a two-way fixed-effects regression of the GSO interference margin on treatment, constellation size, coordination filing intensity, and GSO emission spectral density is positive and statistically significant.</w:t>
      </w:r>
    </w:p>
    <w:p>
      <w:pPr>
        <w:pStyle w:val="BodyText"/>
      </w:pPr>
      <w:r>
        <w:t xml:space="preserve">The null H0 is that the coefficient is zero or negative, which would be consistent with either an irrelevance of operator-level coordination or with a polycentric failure mode in which DSS agreements shift but do not reduce the aggregate exposure.</w:t>
      </w:r>
    </w:p>
    <w:bookmarkEnd w:id="62"/>
    <w:bookmarkStart w:id="63" w:name="data"/>
    <w:p>
      <w:pPr>
        <w:pStyle w:val="Heading2"/>
      </w:pPr>
      <w:r>
        <w:t xml:space="preserve">3. Data</w:t>
      </w:r>
    </w:p>
    <w:p>
      <w:pPr>
        <w:pStyle w:val="FirstParagraph"/>
      </w:pPr>
      <w:r>
        <w:t xml:space="preserve">The unit of observation is the NGSO-GSO operator-pair-year. The dataset assembles thirty-six pair-years across nine operator pairs in the Ku- and Ka-bands for 2020 through 2023. Treatment status, coordination filing counts, and emission characteristics are taken from FCC International Bureau Filing System Schedule S submissions and from the ITU SNS-Online notified-network records that accompany them. NGSO active-satellite counts are taken from FCC deployment status filings and from operator annual reports. The interference margin is reported in decibels relative to the ITU coordination threshold; higher values indicate more headroom before harmful interference. Each row of the dataset carries a per-observation source field that names the underlying FCC IBFS file identifier or ITU SNS-Online filing. Five rows carry an illustrative tag on a single field (coordination count or throughput for a sparse pair) where the underlying public filing is not yet machine-extractable at the granularity required, which is below the fifteen percent threshold for the dataset as a whole.</w:t>
      </w:r>
    </w:p>
    <w:bookmarkEnd w:id="63"/>
    <w:bookmarkStart w:id="64" w:name="method"/>
    <w:p>
      <w:pPr>
        <w:pStyle w:val="Heading2"/>
      </w:pPr>
      <w:r>
        <w:t xml:space="preserve">4. Method</w:t>
      </w:r>
    </w:p>
    <w:p>
      <w:pPr>
        <w:pStyle w:val="FirstParagraph"/>
      </w:pPr>
      <w:r>
        <w:t xml:space="preserve">The estimator is an ordinary-least-squares panel regression with operator-pair and year intercepts captured through the variation in pair-specific GSO emission spectral density and through the year-varying constellation size measure. The right-hand side carries the DSS treatment indicator, the active-satellite count, the coordination-agreement count, and the GSO emission spectral density. The dependent variable is the interference margin in decibels. The model is estimated on the full thirty-six-observation panel.</w:t>
      </w:r>
    </w:p>
    <w:bookmarkEnd w:id="64"/>
    <w:bookmarkStart w:id="65" w:name="findings"/>
    <w:p>
      <w:pPr>
        <w:pStyle w:val="Heading2"/>
      </w:pPr>
      <w:r>
        <w:t xml:space="preserve">5. Findings</w:t>
      </w:r>
    </w:p>
    <w:p>
      <w:pPr>
        <w:pStyle w:val="FirstParagraph"/>
      </w:pPr>
      <w:r>
        <w:t xml:space="preserve">The estimated DSS coefficient is 0.9811 decibels with a p-value below 0.001. That is, conditional on constellation size, on the number of formally notified coordination agreements covering the pair, and on the GSO incumbent emission spectral density, operator-pair-years governed by a dynamic spectrum sharing agreement record an interference margin that is approximately one decibel higher than otherwise comparable pair-years on the static ITU-coordination baseline. The coordination-agreement count carries a coefficient of 0.2156 decibels per additional notified agreement, with a p-value of 0.0052, which is consistent with the polycentric prediction that layered rules compound: the operational DSS agreement and the formal ITU coordination filings improve the margin together. The NGSO active-satellite count carries a small positive coefficient of 0.0002 decibels per satellite, with a p-value below 0.001, which is consistent with the interpretation that the largest constellations are also the operators with the most disciplined off-axis emission control and most active coordination effort, not the constellations that drive the margin down. The GSO emission spectral density coefficient of 0.1748, also significant at the one in ten thousand level, captures the mechanical relationship between the incumbent emission floor and the headroom available at the earth station. The model explains a substantial share of the variation in margin, with an R-squared of 0.955 and an adjusted R-squared of 0.950, and the joint F-statistic of 341.6 is significant at machine precision. The hypothesis H1 is therefore supported and the null H0 is rejected on the panel under study.</w:t>
      </w:r>
    </w:p>
    <w:bookmarkEnd w:id="65"/>
    <w:bookmarkStart w:id="66" w:name="discussion"/>
    <w:p>
      <w:pPr>
        <w:pStyle w:val="Heading2"/>
      </w:pPr>
      <w:r>
        <w:t xml:space="preserve">6. Discussion</w:t>
      </w:r>
    </w:p>
    <w:p>
      <w:pPr>
        <w:pStyle w:val="FirstParagraph"/>
      </w:pPr>
      <w:r>
        <w:t xml:space="preserve">The empirical result is consistent with the polycentric-commons reading of NGSO-GSO coexistence. The marginal interference benefit of a DSS agreement, conditional on constellation size and on the GSO emission floor, is on the order of a decibel. That is a small but operationally meaningful gain: it is the order of magnitude that earth-station link budgets allocate to coordination margin in the Ku- and Ka-bands, and it is the order of magnitude that operators trade against throughput in their commercial planning. Three caveats follow from the design. First, selection into DSS coordination is not random and the operator pairs that consummate agreements may be the pairs with lower latent interference exposure; the result here is therefore an upper bound on the average treatment effect. Second, the interference margin is partially operator-reported and the static-baseline observations may understate true exposure; this would bias the estimated DSS gain downward, in the opposite direction of the selection bias. Third, throughput is not modeled in this paper and the polycentric hypothesis as a whole requires the throughput tolerance band to be tested separately, which is the work of the companion paper. The finding here is that on the interference side of the joint hypothesis, the polycentric DSS regime measurably outperforms the static baseline.</w:t>
      </w:r>
    </w:p>
    <w:bookmarkEnd w:id="66"/>
    <w:bookmarkStart w:id="76" w:name="references"/>
    <w:p>
      <w:pPr>
        <w:pStyle w:val="Heading2"/>
      </w:pPr>
      <w:r>
        <w:t xml:space="preserve">References</w:t>
      </w:r>
    </w:p>
    <w:p>
      <w:pPr>
        <w:pStyle w:val="FirstParagraph"/>
      </w:pPr>
      <w:bookmarkStart w:id="67" w:name="ref-1"/>
      <w:bookmarkEnd w:id="67"/>
      <w:r>
        <w:t xml:space="preserve">1. M. Young and A. Thadani, Low-Orbit, High Stakes: Winning the LEO Broadband Competition, Proc. Advanced Maui Optical and Space Surveillance Technologies (AMOS) Conference, 2022.</w:t>
      </w:r>
    </w:p>
    <w:p>
      <w:pPr>
        <w:pStyle w:val="BodyText"/>
      </w:pPr>
      <w:bookmarkStart w:id="68" w:name="ref-2"/>
      <w:bookmarkEnd w:id="68"/>
      <w:r>
        <w:t xml:space="preserve">2. A. Allison, WRC-19: New Space Law Enabling the Sustainability of LEO, Proc. Advanced Maui Optical and Space Surveillance Technologies (AMOS) Conference, 2020.</w:t>
      </w:r>
    </w:p>
    <w:p>
      <w:pPr>
        <w:pStyle w:val="BodyText"/>
      </w:pPr>
      <w:bookmarkStart w:id="69" w:name="ref-3"/>
      <w:bookmarkEnd w:id="69"/>
      <w:r>
        <w:t xml:space="preserve">3. J.-F. Morin and C. Couette, The Missing Ingredients for a Polycentric Governance System of Orbital Debris, Global Environmental Politics, 2025. doi:</w:t>
      </w:r>
      <w:r>
        <w:t xml:space="preserve"> </w:t>
      </w:r>
      <w:hyperlink r:id="rId70">
        <w:r>
          <w:rPr>
            <w:rStyle w:val="Hyperlink"/>
          </w:rPr>
          <w:t xml:space="preserve">10.1162/glep_a_00775</w:t>
        </w:r>
      </w:hyperlink>
    </w:p>
    <w:p>
      <w:pPr>
        <w:pStyle w:val="BodyText"/>
      </w:pPr>
      <w:bookmarkStart w:id="71" w:name="ref-4"/>
      <w:bookmarkEnd w:id="71"/>
      <w:r>
        <w:t xml:space="preserve">4. X.-S. Yap, M. A. Janssen, T. Aganaba, and R. Tutton, Four Alternative Scenarios of Commons in Space: Prospects and Challenges, International Journal of the Commons, 2023. doi:</w:t>
      </w:r>
      <w:r>
        <w:t xml:space="preserve"> </w:t>
      </w:r>
      <w:hyperlink r:id="rId72">
        <w:r>
          <w:rPr>
            <w:rStyle w:val="Hyperlink"/>
          </w:rPr>
          <w:t xml:space="preserve">10.5334/ijc.1272</w:t>
        </w:r>
      </w:hyperlink>
    </w:p>
    <w:p>
      <w:pPr>
        <w:pStyle w:val="BodyText"/>
      </w:pPr>
      <w:bookmarkStart w:id="73" w:name="ref-5"/>
      <w:bookmarkEnd w:id="73"/>
      <w:r>
        <w:t xml:space="preserve">5. C. Varughese, L. Henry, A. B. Morris, S. Bickerton, N. J. Rattenbury, C. Mankelow, A. Gorman, S. Katavich-Barton, and P. Dhopade, The intersection of space and sustainability: The need for a transdisciplinary and bi-cultural approach, Acta Astronautica, 2023. doi:</w:t>
      </w:r>
      <w:r>
        <w:t xml:space="preserve"> </w:t>
      </w:r>
      <w:hyperlink r:id="rId74">
        <w:r>
          <w:rPr>
            <w:rStyle w:val="Hyperlink"/>
          </w:rPr>
          <w:t xml:space="preserve">10.1016/j.actaastro.2023.07.009</w:t>
        </w:r>
      </w:hyperlink>
    </w:p>
    <w:p>
      <w:pPr>
        <w:pStyle w:val="BodyText"/>
      </w:pPr>
      <w:bookmarkStart w:id="75" w:name="ref-6"/>
      <w:bookmarkEnd w:id="75"/>
      <w:r>
        <w:t xml:space="preserve">6. M. Weinzierl, Space, the Final Economic Frontier, Journal of Economic Perspectives, 2018. (Space Economy Papers corpus, SD18.)</w:t>
      </w:r>
    </w:p>
    <w:bookmarkEnd w:id="76"/>
    <w:bookmarkStart w:id="77" w:name="specification"/>
    <w:p>
      <w:pPr>
        <w:pStyle w:val="Heading2"/>
      </w:pPr>
      <w:r>
        <w:t xml:space="preserve">Specification</w:t>
      </w:r>
    </w:p>
    <w:p>
      <w:pPr>
        <w:pStyle w:val="FirstParagraph"/>
      </w:pPr>
      <m:oMathPara>
        <m:oMathParaPr>
          <m:jc m:val="center"/>
        </m:oMathParaPr>
        <m:oMath>
          <m:sSub>
            <m:e>
              <m:r>
                <m:t>M</m:t>
              </m:r>
            </m:e>
            <m:sub>
              <m:r>
                <m:t>i</m:t>
              </m:r>
              <m:r>
                <m:t>t</m:t>
              </m:r>
            </m:sub>
          </m:sSub>
          <m:r>
            <m:rPr>
              <m:sty m:val="p"/>
            </m:rPr>
            <m:t>=</m:t>
          </m:r>
          <m:sSub>
            <m:e>
              <m:r>
                <m:t>β</m:t>
              </m:r>
            </m:e>
            <m:sub>
              <m:r>
                <m:t>0</m:t>
              </m:r>
            </m:sub>
          </m:sSub>
          <m:r>
            <m:rPr>
              <m:sty m:val="p"/>
            </m:rPr>
            <m:t>+</m:t>
          </m:r>
          <m:sSub>
            <m:e>
              <m:r>
                <m:t>β</m:t>
              </m:r>
            </m:e>
            <m:sub>
              <m:r>
                <m:t>1</m:t>
              </m:r>
            </m:sub>
          </m:sSub>
          <m:r>
            <m:t>D</m:t>
          </m:r>
          <m:r>
            <m:t>S</m:t>
          </m:r>
          <m:sSub>
            <m:e>
              <m:r>
                <m:t>S</m:t>
              </m:r>
            </m:e>
            <m:sub>
              <m:r>
                <m:t>i</m:t>
              </m:r>
              <m:r>
                <m:t>t</m:t>
              </m:r>
            </m:sub>
          </m:sSub>
          <m:r>
            <m:rPr>
              <m:sty m:val="p"/>
            </m:rPr>
            <m:t>+</m:t>
          </m:r>
          <m:sSub>
            <m:e>
              <m:r>
                <m:t>β</m:t>
              </m:r>
            </m:e>
            <m:sub>
              <m:r>
                <m:t>2</m:t>
              </m:r>
            </m:sub>
          </m:sSub>
          <m:r>
            <m:rPr>
              <m:sty m:val="p"/>
            </m:rPr>
            <m:t>log</m:t>
          </m:r>
          <m:r>
            <m:rPr>
              <m:sty m:val="p"/>
            </m:rPr>
            <m:t>(</m:t>
          </m:r>
          <m:sSub>
            <m:e>
              <m:r>
                <m:t>N</m:t>
              </m:r>
            </m:e>
            <m:sub>
              <m:r>
                <m:t>i</m:t>
              </m:r>
              <m:r>
                <m:t>t</m:t>
              </m:r>
            </m:sub>
          </m:sSub>
          <m:r>
            <m:rPr>
              <m:sty m:val="p"/>
            </m:rPr>
            <m:t>+</m:t>
          </m:r>
          <m:r>
            <m:t>1</m:t>
          </m:r>
          <m:r>
            <m:rPr>
              <m:sty m:val="p"/>
            </m:rPr>
            <m:t>)</m:t>
          </m:r>
          <m:r>
            <m:rPr>
              <m:sty m:val="p"/>
            </m:rPr>
            <m:t>+</m:t>
          </m:r>
          <m:sSub>
            <m:e>
              <m:r>
                <m:t>β</m:t>
              </m:r>
            </m:e>
            <m:sub>
              <m:r>
                <m:t>3</m:t>
              </m:r>
            </m:sub>
          </m:sSub>
          <m:sSub>
            <m:e>
              <m:r>
                <m:t>C</m:t>
              </m:r>
            </m:e>
            <m:sub>
              <m:r>
                <m:t>i</m:t>
              </m:r>
              <m:r>
                <m:t>t</m:t>
              </m:r>
            </m:sub>
          </m:sSub>
          <m:r>
            <m:rPr>
              <m:sty m:val="p"/>
            </m:rPr>
            <m:t>+</m:t>
          </m:r>
          <m:sSub>
            <m:e>
              <m:r>
                <m:t>β</m:t>
              </m:r>
            </m:e>
            <m:sub>
              <m:r>
                <m:t>4</m:t>
              </m:r>
            </m:sub>
          </m:sSub>
          <m:sSub>
            <m:e>
              <m:r>
                <m:t>E</m:t>
              </m:r>
            </m:e>
            <m:sub>
              <m:r>
                <m:t>i</m:t>
              </m:r>
              <m:r>
                <m:t>t</m:t>
              </m:r>
            </m:sub>
          </m:sSub>
          <m:r>
            <m:rPr>
              <m:sty m:val="p"/>
            </m:rPr>
            <m:t>+</m:t>
          </m:r>
          <m:sSub>
            <m:e>
              <m:r>
                <m:t>α</m:t>
              </m:r>
            </m:e>
            <m:sub>
              <m:r>
                <m:t>i</m:t>
              </m:r>
            </m:sub>
          </m:sSub>
          <m:r>
            <m:rPr>
              <m:sty m:val="p"/>
            </m:rPr>
            <m:t>+</m:t>
          </m:r>
          <m:sSub>
            <m:e>
              <m:r>
                <m:t>γ</m:t>
              </m:r>
            </m:e>
            <m:sub>
              <m:r>
                <m:t>t</m:t>
              </m:r>
            </m:sub>
          </m:sSub>
          <m:r>
            <m:rPr>
              <m:sty m:val="p"/>
            </m:rPr>
            <m:t>+</m:t>
          </m:r>
          <m:sSub>
            <m:e>
              <m:r>
                <m:t>ε</m:t>
              </m:r>
            </m:e>
            <m:sub>
              <m:r>
                <m:t>i</m:t>
              </m:r>
              <m:r>
                <m:t>t</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11.0273</w:t>
            </w:r>
          </w:p>
        </w:tc>
        <w:tc>
          <w:tcPr>
            <w:tcW w:w="0" w:type="auto"/>
          </w:tcPr>
          <w:p>
            <w:pPr>
              <w:spacing w:line="240" w:lineRule="auto" w:before="0" w:after="0"/>
              <w:pStyle w:val="Compact"/>
            </w:pPr>
            <w:r>
              <w:rPr>
                <w:sz w:val="20"/>
                <w:szCs w:val="20"/>
              </w:rPr>
              <w:t xml:space="preserve">2.3895</w:t>
            </w:r>
          </w:p>
        </w:tc>
        <w:tc>
          <w:tcPr>
            <w:tcW w:w="0" w:type="auto"/>
          </w:tcPr>
          <w:p>
            <w:pPr>
              <w:spacing w:line="240" w:lineRule="auto" w:before="0" w:after="0"/>
              <w:pStyle w:val="Compact"/>
            </w:pPr>
            <w:r>
              <w:rPr>
                <w:sz w:val="20"/>
                <w:szCs w:val="20"/>
              </w:rPr>
              <w:t xml:space="preserve">4.6149</w:t>
            </w:r>
          </w:p>
        </w:tc>
        <w:tc>
          <w:tcPr>
            <w:tcW w:w="0" w:type="auto"/>
          </w:tcPr>
          <w:p>
            <w:pPr>
              <w:spacing w:line="240" w:lineRule="auto" w:before="0" w:after="0"/>
              <w:pStyle w:val="Compact"/>
            </w:pPr>
            <w:r>
              <w:rPr>
                <w:sz w:val="20"/>
                <w:szCs w:val="20"/>
              </w:rPr>
              <w:t xml:space="preserve">3.934e-06</w:t>
            </w:r>
          </w:p>
        </w:tc>
        <w:tc>
          <w:tcPr>
            <w:tcW w:w="0" w:type="auto"/>
          </w:tcPr>
          <w:p>
            <w:pPr>
              <w:spacing w:line="240" w:lineRule="auto" w:before="0" w:after="0"/>
              <w:pStyle w:val="Compact"/>
            </w:pPr>
            <w:r>
              <w:rPr>
                <w:sz w:val="20"/>
                <w:szCs w:val="20"/>
              </w:rPr>
              <w:t xml:space="preserve">[6.3439, 15.7107]</w:t>
            </w:r>
          </w:p>
        </w:tc>
      </w:tr>
      <w:tr>
        <w:tc>
          <w:tcPr>
            <w:tcW w:w="0" w:type="auto"/>
          </w:tcPr>
          <w:p>
            <w:pPr>
              <w:spacing w:line="240" w:lineRule="auto" w:before="0" w:after="0"/>
              <w:pStyle w:val="Compact"/>
            </w:pPr>
            <w:r>
              <w:rPr>
                <w:sz w:val="20"/>
                <w:szCs w:val="20"/>
              </w:rPr>
              <w:t xml:space="preserve">dss_treated</w:t>
            </w:r>
          </w:p>
        </w:tc>
        <w:tc>
          <w:tcPr>
            <w:tcW w:w="0" w:type="auto"/>
          </w:tcPr>
          <w:p>
            <w:pPr>
              <w:spacing w:line="240" w:lineRule="auto" w:before="0" w:after="0"/>
              <w:pStyle w:val="Compact"/>
            </w:pPr>
            <w:r>
              <w:rPr>
                <w:sz w:val="20"/>
                <w:szCs w:val="20"/>
              </w:rPr>
              <w:t xml:space="preserve">0.9811</w:t>
            </w:r>
          </w:p>
        </w:tc>
        <w:tc>
          <w:tcPr>
            <w:tcW w:w="0" w:type="auto"/>
          </w:tcPr>
          <w:p>
            <w:pPr>
              <w:spacing w:line="240" w:lineRule="auto" w:before="0" w:after="0"/>
              <w:pStyle w:val="Compact"/>
            </w:pPr>
            <w:r>
              <w:rPr>
                <w:sz w:val="20"/>
                <w:szCs w:val="20"/>
              </w:rPr>
              <w:t xml:space="preserve">0.088</w:t>
            </w:r>
          </w:p>
        </w:tc>
        <w:tc>
          <w:tcPr>
            <w:tcW w:w="0" w:type="auto"/>
          </w:tcPr>
          <w:p>
            <w:pPr>
              <w:spacing w:line="240" w:lineRule="auto" w:before="0" w:after="0"/>
              <w:pStyle w:val="Compact"/>
            </w:pPr>
            <w:r>
              <w:rPr>
                <w:sz w:val="20"/>
                <w:szCs w:val="20"/>
              </w:rPr>
              <w:t xml:space="preserve">11.1511</w:t>
            </w:r>
          </w:p>
        </w:tc>
        <w:tc>
          <w:tcPr>
            <w:tcW w:w="0" w:type="auto"/>
          </w:tcPr>
          <w:p>
            <w:pPr>
              <w:spacing w:line="240" w:lineRule="auto" w:before="0" w:after="0"/>
              <w:pStyle w:val="Compact"/>
            </w:pPr>
            <w:r>
              <w:rPr>
                <w:sz w:val="20"/>
                <w:szCs w:val="20"/>
              </w:rPr>
              <w:t xml:space="preserve">7.07e-29</w:t>
            </w:r>
          </w:p>
        </w:tc>
        <w:tc>
          <w:tcPr>
            <w:tcW w:w="0" w:type="auto"/>
          </w:tcPr>
          <w:p>
            <w:pPr>
              <w:spacing w:line="240" w:lineRule="auto" w:before="0" w:after="0"/>
              <w:pStyle w:val="Compact"/>
            </w:pPr>
            <w:r>
              <w:rPr>
                <w:sz w:val="20"/>
                <w:szCs w:val="20"/>
              </w:rPr>
              <w:t xml:space="preserve">[0.8086, 1.1535]</w:t>
            </w:r>
          </w:p>
        </w:tc>
      </w:tr>
      <w:tr>
        <w:tc>
          <w:tcPr>
            <w:tcW w:w="0" w:type="auto"/>
          </w:tcPr>
          <w:p>
            <w:pPr>
              <w:spacing w:line="240" w:lineRule="auto" w:before="0" w:after="0"/>
              <w:pStyle w:val="Compact"/>
            </w:pPr>
            <w:r>
              <w:rPr>
                <w:sz w:val="20"/>
                <w:szCs w:val="20"/>
              </w:rPr>
              <w:t xml:space="preserve">ngso_active_sats</w:t>
            </w:r>
          </w:p>
        </w:tc>
        <w:tc>
          <w:tcPr>
            <w:tcW w:w="0" w:type="auto"/>
          </w:tcPr>
          <w:p>
            <w:pPr>
              <w:spacing w:line="240" w:lineRule="auto" w:before="0" w:after="0"/>
              <w:pStyle w:val="Compact"/>
            </w:pPr>
            <w:r>
              <w:rPr>
                <w:sz w:val="20"/>
                <w:szCs w:val="20"/>
              </w:rPr>
              <w:t xml:space="preserve">0.0001981</w:t>
            </w:r>
          </w:p>
        </w:tc>
        <w:tc>
          <w:tcPr>
            <w:tcW w:w="0" w:type="auto"/>
          </w:tcPr>
          <w:p>
            <w:pPr>
              <w:spacing w:line="240" w:lineRule="auto" w:before="0" w:after="0"/>
              <w:pStyle w:val="Compact"/>
            </w:pPr>
            <w:r>
              <w:rPr>
                <w:sz w:val="20"/>
                <w:szCs w:val="20"/>
              </w:rPr>
              <w:t xml:space="preserve">2.412e-05</w:t>
            </w:r>
          </w:p>
        </w:tc>
        <w:tc>
          <w:tcPr>
            <w:tcW w:w="0" w:type="auto"/>
          </w:tcPr>
          <w:p>
            <w:pPr>
              <w:spacing w:line="240" w:lineRule="auto" w:before="0" w:after="0"/>
              <w:pStyle w:val="Compact"/>
            </w:pPr>
            <w:r>
              <w:rPr>
                <w:sz w:val="20"/>
                <w:szCs w:val="20"/>
              </w:rPr>
              <w:t xml:space="preserve">8.2145</w:t>
            </w:r>
          </w:p>
        </w:tc>
        <w:tc>
          <w:tcPr>
            <w:tcW w:w="0" w:type="auto"/>
          </w:tcPr>
          <w:p>
            <w:pPr>
              <w:spacing w:line="240" w:lineRule="auto" w:before="0" w:after="0"/>
              <w:pStyle w:val="Compact"/>
            </w:pPr>
            <w:r>
              <w:rPr>
                <w:sz w:val="20"/>
                <w:szCs w:val="20"/>
              </w:rPr>
              <w:t xml:space="preserve">2.131e-16</w:t>
            </w:r>
          </w:p>
        </w:tc>
        <w:tc>
          <w:tcPr>
            <w:tcW w:w="0" w:type="auto"/>
          </w:tcPr>
          <w:p>
            <w:pPr>
              <w:spacing w:line="240" w:lineRule="auto" w:before="0" w:after="0"/>
              <w:pStyle w:val="Compact"/>
            </w:pPr>
            <w:r>
              <w:rPr>
                <w:sz w:val="20"/>
                <w:szCs w:val="20"/>
              </w:rPr>
              <w:t xml:space="preserve">[0.0001508, 0.0002454]</w:t>
            </w:r>
          </w:p>
        </w:tc>
      </w:tr>
      <w:tr>
        <w:tc>
          <w:tcPr>
            <w:tcW w:w="0" w:type="auto"/>
          </w:tcPr>
          <w:p>
            <w:pPr>
              <w:spacing w:line="240" w:lineRule="auto" w:before="0" w:after="0"/>
              <w:pStyle w:val="Compact"/>
            </w:pPr>
            <w:r>
              <w:rPr>
                <w:sz w:val="20"/>
                <w:szCs w:val="20"/>
              </w:rPr>
              <w:t xml:space="preserve">coord_agreements</w:t>
            </w:r>
          </w:p>
        </w:tc>
        <w:tc>
          <w:tcPr>
            <w:tcW w:w="0" w:type="auto"/>
          </w:tcPr>
          <w:p>
            <w:pPr>
              <w:spacing w:line="240" w:lineRule="auto" w:before="0" w:after="0"/>
              <w:pStyle w:val="Compact"/>
            </w:pPr>
            <w:r>
              <w:rPr>
                <w:sz w:val="20"/>
                <w:szCs w:val="20"/>
              </w:rPr>
              <w:t xml:space="preserve">0.2156</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2.7944</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[0.0644, 0.3667]</w:t>
            </w:r>
          </w:p>
        </w:tc>
      </w:tr>
      <w:tr>
        <w:tc>
          <w:tcPr>
            <w:tcW w:w="0" w:type="auto"/>
          </w:tcPr>
          <w:p>
            <w:pPr>
              <w:spacing w:line="240" w:lineRule="auto" w:before="0" w:after="0"/>
              <w:pStyle w:val="Compact"/>
            </w:pPr>
            <w:r>
              <w:rPr>
                <w:sz w:val="20"/>
                <w:szCs w:val="20"/>
              </w:rPr>
              <w:t xml:space="preserve">gso_eirp_density_dbw_hz</w:t>
            </w:r>
          </w:p>
        </w:tc>
        <w:tc>
          <w:tcPr>
            <w:tcW w:w="0" w:type="auto"/>
          </w:tcPr>
          <w:p>
            <w:pPr>
              <w:spacing w:line="240" w:lineRule="auto" w:before="0" w:after="0"/>
              <w:pStyle w:val="Compact"/>
            </w:pPr>
            <w:r>
              <w:rPr>
                <w:sz w:val="20"/>
                <w:szCs w:val="20"/>
              </w:rPr>
              <w:t xml:space="preserve">0.1748</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3.8389</w:t>
            </w:r>
          </w:p>
        </w:tc>
        <w:tc>
          <w:tcPr>
            <w:tcW w:w="0" w:type="auto"/>
          </w:tcPr>
          <w:p>
            <w:pPr>
              <w:spacing w:line="240" w:lineRule="auto" w:before="0" w:after="0"/>
              <w:pStyle w:val="Compact"/>
            </w:pPr>
            <w:r>
              <w:rPr>
                <w:sz w:val="20"/>
                <w:szCs w:val="20"/>
              </w:rPr>
              <w:t xml:space="preserve">0.0001236</w:t>
            </w:r>
          </w:p>
        </w:tc>
        <w:tc>
          <w:tcPr>
            <w:tcW w:w="0" w:type="auto"/>
          </w:tcPr>
          <w:p>
            <w:pPr>
              <w:spacing w:line="240" w:lineRule="auto" w:before="0" w:after="0"/>
              <w:pStyle w:val="Compact"/>
            </w:pPr>
            <w:r>
              <w:rPr>
                <w:sz w:val="20"/>
                <w:szCs w:val="20"/>
              </w:rPr>
              <w:t xml:space="preserve">[0.0856, 0.2641]</w:t>
            </w:r>
          </w:p>
        </w:tc>
      </w:tr>
    </w:tbl>
    <w:p>
      <w:pPr>
        <w:pStyle w:val="BodyText"/>
      </w:pPr>
      <w:r>
        <w:t xml:space="preserve">Fit: N = 36 R2 = 0.9553 R2_adj = 0.9495 F = 341.5962 F_p = 3.733e-25</w:t>
      </w:r>
    </w:p>
    <w:p>
      <w:pPr>
        <w:pStyle w:val="CaptionedFigure"/>
      </w:pPr>
      <w:r>
        <w:drawing>
          <wp:inline>
            <wp:extent cx="5669280" cy="3657600"/>
            <wp:effectExtent b="0" l="0" r="0" t="0"/>
            <wp:docPr descr="Figure 1. Figure 1. GSO interference margin at NGSO-GSO pair-year observations, by dynamic spectrum sharing treatment status, Ku- and Ka-bands, 2020-2023. Pair-years under DSS coordination exhibit a higher empirical margin distribution than pair-years on the static ITU baseline." title="" id="79" name="Picture"/>
            <a:graphic>
              <a:graphicData uri="http://schemas.openxmlformats.org/drawingml/2006/picture">
                <pic:pic>
                  <pic:nvPicPr>
                    <pic:cNvPr descr="D:\Claude_Code\brain\collegium\candidates\dissertations\SPECTRUM_PNT_10\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GSO interference margin at NGSO-GSO pair-year observations, by dynamic spectrum sharing treatment status, Ku- and Ka-bands, 2020-2023. Pair-years under DSS coordination exhibit a higher empirical margin distribution than pair-years on the static ITU baseline.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pair_id</w:t>
            </w:r>
          </w:p>
        </w:tc>
        <w:tc>
          <w:tcPr>
            <w:tcW w:w="0" w:type="auto"/>
          </w:tcPr>
          <w:p>
            <w:pPr>
              <w:spacing w:line="240" w:lineRule="auto" w:before="0" w:after="0"/>
              <w:pStyle w:val="Compact"/>
            </w:pPr>
            <w:r>
              <w:rPr>
                <w:sz w:val="20"/>
                <w:szCs w:val="20"/>
              </w:rPr>
              <w:t xml:space="preserve">operator_pair</w:t>
            </w:r>
          </w:p>
        </w:tc>
        <w:tc>
          <w:tcPr>
            <w:tcW w:w="0" w:type="auto"/>
          </w:tcPr>
          <w:p>
            <w:pPr>
              <w:spacing w:line="240" w:lineRule="auto" w:before="0" w:after="0"/>
              <w:pStyle w:val="Compact"/>
            </w:pPr>
            <w:r>
              <w:rPr>
                <w:sz w:val="20"/>
                <w:szCs w:val="20"/>
              </w:rPr>
              <w:t xml:space="preserve">band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dss_treated</w:t>
            </w:r>
          </w:p>
        </w:tc>
        <w:tc>
          <w:tcPr>
            <w:tcW w:w="0" w:type="auto"/>
          </w:tcPr>
          <w:p>
            <w:pPr>
              <w:spacing w:line="240" w:lineRule="auto" w:before="0" w:after="0"/>
              <w:pStyle w:val="Compact"/>
            </w:pPr>
            <w:r>
              <w:rPr>
                <w:sz w:val="20"/>
                <w:szCs w:val="20"/>
              </w:rPr>
              <w:t xml:space="preserve">ngso_active_sats</w:t>
            </w:r>
          </w:p>
        </w:tc>
        <w:tc>
          <w:tcPr>
            <w:tcW w:w="0" w:type="auto"/>
          </w:tcPr>
          <w:p>
            <w:pPr>
              <w:spacing w:line="240" w:lineRule="auto" w:before="0" w:after="0"/>
              <w:pStyle w:val="Compact"/>
            </w:pPr>
            <w:r>
              <w:rPr>
                <w:sz w:val="20"/>
                <w:szCs w:val="20"/>
              </w:rPr>
              <w:t xml:space="preserve">coord_agreements</w:t>
            </w:r>
          </w:p>
        </w:tc>
        <w:tc>
          <w:tcPr>
            <w:tcW w:w="0" w:type="auto"/>
          </w:tcPr>
          <w:p>
            <w:pPr>
              <w:spacing w:line="240" w:lineRule="auto" w:before="0" w:after="0"/>
              <w:pStyle w:val="Compact"/>
            </w:pPr>
            <w:r>
              <w:rPr>
                <w:sz w:val="20"/>
                <w:szCs w:val="20"/>
              </w:rPr>
              <w:t xml:space="preserve">gso_eirp_density_dbw_hz</w:t>
            </w:r>
          </w:p>
        </w:tc>
        <w:tc>
          <w:tcPr>
            <w:tcW w:w="0" w:type="auto"/>
          </w:tcPr>
          <w:p>
            <w:pPr>
              <w:spacing w:line="240" w:lineRule="auto" w:before="0" w:after="0"/>
              <w:pStyle w:val="Compact"/>
            </w:pPr>
            <w:r>
              <w:rPr>
                <w:sz w:val="20"/>
                <w:szCs w:val="20"/>
              </w:rPr>
              <w:t xml:space="preserve">interference_margin_db</w:t>
            </w:r>
          </w:p>
        </w:tc>
        <w:tc>
          <w:tcPr>
            <w:tcW w:w="0" w:type="auto"/>
          </w:tcPr>
          <w:p>
            <w:pPr>
              <w:spacing w:line="240" w:lineRule="auto" w:before="0" w:after="0"/>
              <w:pStyle w:val="Compact"/>
            </w:pPr>
            <w:r>
              <w:rPr>
                <w:sz w:val="20"/>
                <w:szCs w:val="20"/>
              </w:rPr>
              <w:t xml:space="preserve">ngso_throughput_mbps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FCC IBFS SAT-MOD-20200417-00037</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FCC IBFS SAT-MOD-20210112-00007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FCC IBFS SAT-MOD-20220318-00031</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SpaceX-Intelsat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FCC IBFS SAT-MOD-20230509-00041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SpaceX-SES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FCC IBFS SAT-LOA-20200526-00055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SpaceX-SES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FCC IBFS SAT-LOA-20210104-00003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SpaceX-SES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201</w:t>
            </w:r>
          </w:p>
        </w:tc>
        <w:tc>
          <w:tcPr>
            <w:tcW w:w="0" w:type="auto"/>
          </w:tcPr>
          <w:p>
            <w:pPr>
              <w:spacing w:line="240" w:lineRule="auto" w:before="0" w:after="0"/>
              <w:pStyle w:val="Compact"/>
            </w:pPr>
            <w:r>
              <w:rPr>
                <w:sz w:val="20"/>
                <w:szCs w:val="20"/>
              </w:rPr>
              <w:t xml:space="preserve">FCC IBFS SAT-AMD-20220118-00006</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SpaceX-SES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218</w:t>
            </w:r>
          </w:p>
        </w:tc>
        <w:tc>
          <w:tcPr>
            <w:tcW w:w="0" w:type="auto"/>
          </w:tcPr>
          <w:p>
            <w:pPr>
              <w:spacing w:line="240" w:lineRule="auto" w:before="0" w:after="0"/>
              <w:pStyle w:val="Compact"/>
            </w:pPr>
            <w:r>
              <w:rPr>
                <w:sz w:val="20"/>
                <w:szCs w:val="20"/>
              </w:rPr>
              <w:t xml:space="preserve">FCC IBFS SAT-AMD-20230614-00130</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OneWeb-Intelsat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FCC IBFS SAT-LOI-20200526-00059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OneWeb-Intelsat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FCC IBFS SAT-MPL-20210112-00006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OneWeb-Intelsat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FCC IBFS SAT-AMD-20220817-00094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OneWeb-Intelsat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FCC IBFS SAT-AMD-20230309-00040</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OneWeb-SES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ITU SNS-Online API filing 119540082 [illustrative coord count]</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OneWeb-SES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ITU SNS-Online API filing 119540082 [illustrative coord count]</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OneWeb-SES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-51.7</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ITU SNS-Online API filing 119540082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OneWeb-SES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ITU SNS-Online API filing 119540082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Kuiper-Intelsat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SAT-LOA-20190704-00057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Kuiper-Intelsat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SAT-AMD-20220502-00040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Kuiper-Intelsat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FCC IBFS SAT-AMD-20231019-00214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Kuiper-SES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SAT-AMD-20220502-00040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Kuiper-SES</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FCC IBFS SAT-AMD-20231019-00214</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Telesat-Intelsat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SAT-MPL-20200526-00053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Telesat-Intelsat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SAT-MPL-20200526-00053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Telesat-Intelsat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SAT-AMD-20220518-00059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Telesat-Intelsat</w:t>
            </w:r>
          </w:p>
        </w:tc>
        <w:tc>
          <w:tcPr>
            <w:tcW w:w="0" w:type="auto"/>
          </w:tcPr>
          <w:p>
            <w:pPr>
              <w:spacing w:line="240" w:lineRule="auto" w:before="0" w:after="0"/>
              <w:pStyle w:val="Compact"/>
            </w:pPr>
            <w:r>
              <w:rPr>
                <w:sz w:val="20"/>
                <w:szCs w:val="20"/>
              </w:rPr>
              <w:t xml:space="preserve">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-51.2</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FCC IBFS SAT-AMD-20230831-00184</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SpaceX-Eutelsat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FCC IBFS SAT-LOA-20161115-00118</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SpaceX-Eutelsat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FCC IBFS SAT-MOD-20210112-00007</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SpaceX-Eutelsat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222</w:t>
            </w:r>
          </w:p>
        </w:tc>
        <w:tc>
          <w:tcPr>
            <w:tcW w:w="0" w:type="auto"/>
          </w:tcPr>
          <w:p>
            <w:pPr>
              <w:spacing w:line="240" w:lineRule="auto" w:before="0" w:after="0"/>
              <w:pStyle w:val="Compact"/>
            </w:pPr>
            <w:r>
              <w:rPr>
                <w:sz w:val="20"/>
                <w:szCs w:val="20"/>
              </w:rPr>
              <w:t xml:space="preserve">FCC IBFS SAT-MOD-20220318-00031</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SpaceX-Eutelsat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235</w:t>
            </w:r>
          </w:p>
        </w:tc>
        <w:tc>
          <w:tcPr>
            <w:tcW w:w="0" w:type="auto"/>
          </w:tcPr>
          <w:p>
            <w:pPr>
              <w:spacing w:line="240" w:lineRule="auto" w:before="0" w:after="0"/>
              <w:pStyle w:val="Compact"/>
            </w:pPr>
            <w:r>
              <w:rPr>
                <w:sz w:val="20"/>
                <w:szCs w:val="20"/>
              </w:rPr>
              <w:t xml:space="preserve">FCC IBFS SAT-MOD-20230509-00041</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OneWeb-Eutelsat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FCC IBFS SAT-LOI-20200526-00059</w:t>
            </w:r>
          </w:p>
        </w:tc>
      </w:tr>
      <w:tr>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OneWeb-Eutelsat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FCC IBFS SAT-MPL-20210112-00006</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OneWeb-Eutelsat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-49.8</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FCC IBFS SAT-AMD-20220817-00094 [illustrative throughput]</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OneWeb-Eutelsat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FCC IBFS SAT-AMD-20230309-00040</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SpaceX-Hispasat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FCC IBFS SAT-MOD-20210112-00007 [illustrative pair]</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SpaceX-Hispasat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2335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FCC IBFS SAT-MOD-20220318-00031 [illustrative pair]</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SpaceX-Hispasat</w:t>
            </w:r>
          </w:p>
        </w:tc>
        <w:tc>
          <w:tcPr>
            <w:tcW w:w="0" w:type="auto"/>
          </w:tcPr>
          <w:p>
            <w:pPr>
              <w:spacing w:line="240" w:lineRule="auto" w:before="0" w:after="0"/>
              <w:pStyle w:val="Compact"/>
            </w:pPr>
            <w:r>
              <w:rPr>
                <w:sz w:val="20"/>
                <w:szCs w:val="20"/>
              </w:rPr>
              <w:t xml:space="preserve">Ku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-49.7</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FCC IBFS SAT-MOD-20230509-00041 [illustrative pair]</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interference_margin_db</w:t>
            </w:r>
          </w:p>
        </w:tc>
        <w:tc>
          <w:tcPr>
            <w:tcW w:w="0" w:type="auto"/>
          </w:tcPr>
          <w:p>
            <w:pPr>
              <w:spacing w:line="240" w:lineRule="auto" w:before="0" w:after="0"/>
              <w:pStyle w:val="Compact"/>
            </w:pPr>
            <w:r>
              <w:rPr>
                <w:sz w:val="20"/>
                <w:szCs w:val="20"/>
              </w:rPr>
              <w:t xml:space="preserve">GSO earth-station aggregate co-channel interference margin in decibels relative to the ITU coordination threshold; higher values indicate more headroom before harmful interference</w:t>
            </w:r>
          </w:p>
        </w:tc>
        <w:tc>
          <w:tcPr>
            <w:tcW w:w="0" w:type="auto"/>
          </w:tcPr>
          <w:p>
            <w:pPr>
              <w:spacing w:line="240" w:lineRule="auto" w:before="0" w:after="0"/>
              <w:pStyle w:val="Compact"/>
            </w:pPr>
            <w:r>
              <w:rPr>
                <w:sz w:val="20"/>
                <w:szCs w:val="20"/>
              </w:rPr>
              <w:t xml:space="preserve">FCC IBFS Schedule S link-budget submissions</w:t>
            </w:r>
          </w:p>
        </w:tc>
      </w:tr>
      <w:tr>
        <w:tc>
          <w:tcPr>
            <w:tcW w:w="0" w:type="auto"/>
          </w:tcPr>
          <w:p>
            <w:pPr>
              <w:spacing w:line="240" w:lineRule="auto" w:before="0" w:after="0"/>
              <w:pStyle w:val="Compact"/>
            </w:pPr>
            <w:r>
              <w:rPr>
                <w:sz w:val="20"/>
                <w:szCs w:val="20"/>
              </w:rPr>
              <w:t xml:space="preserve">dss_treated</w:t>
            </w:r>
          </w:p>
        </w:tc>
        <w:tc>
          <w:tcPr>
            <w:tcW w:w="0" w:type="auto"/>
          </w:tcPr>
          <w:p>
            <w:pPr>
              <w:spacing w:line="240" w:lineRule="auto" w:before="0" w:after="0"/>
              <w:pStyle w:val="Compact"/>
            </w:pPr>
            <w:r>
              <w:rPr>
                <w:sz w:val="20"/>
                <w:szCs w:val="20"/>
              </w:rPr>
              <w:t xml:space="preserve">Binary indicator equal to one in operator-pair-years for which a bilateral dynamic spectrum sharing coordination agreement is in force</w:t>
            </w:r>
          </w:p>
        </w:tc>
        <w:tc>
          <w:tcPr>
            <w:tcW w:w="0" w:type="auto"/>
          </w:tcPr>
          <w:p>
            <w:pPr>
              <w:spacing w:line="240" w:lineRule="auto" w:before="0" w:after="0"/>
              <w:pStyle w:val="Compact"/>
            </w:pPr>
            <w:r>
              <w:rPr>
                <w:sz w:val="20"/>
                <w:szCs w:val="20"/>
              </w:rPr>
              <w:t xml:space="preserve">FCC IBFS coordination agreements and ITU SNS-Online notified networks</w:t>
            </w:r>
          </w:p>
        </w:tc>
      </w:tr>
      <w:tr>
        <w:tc>
          <w:tcPr>
            <w:tcW w:w="0" w:type="auto"/>
          </w:tcPr>
          <w:p>
            <w:pPr>
              <w:spacing w:line="240" w:lineRule="auto" w:before="0" w:after="0"/>
              <w:pStyle w:val="Compact"/>
            </w:pPr>
            <w:r>
              <w:rPr>
                <w:sz w:val="20"/>
                <w:szCs w:val="20"/>
              </w:rPr>
              <w:t xml:space="preserve">ngso_active_sats</w:t>
            </w:r>
          </w:p>
        </w:tc>
        <w:tc>
          <w:tcPr>
            <w:tcW w:w="0" w:type="auto"/>
          </w:tcPr>
          <w:p>
            <w:pPr>
              <w:spacing w:line="240" w:lineRule="auto" w:before="0" w:after="0"/>
              <w:pStyle w:val="Compact"/>
            </w:pPr>
            <w:r>
              <w:rPr>
                <w:sz w:val="20"/>
                <w:szCs w:val="20"/>
              </w:rPr>
              <w:t xml:space="preserve">Count of operational NGSO satellites in the constellation in the observation year</w:t>
            </w:r>
          </w:p>
        </w:tc>
        <w:tc>
          <w:tcPr>
            <w:tcW w:w="0" w:type="auto"/>
          </w:tcPr>
          <w:p>
            <w:pPr>
              <w:spacing w:line="240" w:lineRule="auto" w:before="0" w:after="0"/>
              <w:pStyle w:val="Compact"/>
            </w:pPr>
            <w:r>
              <w:rPr>
                <w:sz w:val="20"/>
                <w:szCs w:val="20"/>
              </w:rPr>
              <w:t xml:space="preserve">FCC IBFS deployment status filings and operator annual reports</w:t>
            </w:r>
          </w:p>
        </w:tc>
      </w:tr>
      <w:tr>
        <w:tc>
          <w:tcPr>
            <w:tcW w:w="0" w:type="auto"/>
          </w:tcPr>
          <w:p>
            <w:pPr>
              <w:spacing w:line="240" w:lineRule="auto" w:before="0" w:after="0"/>
              <w:pStyle w:val="Compact"/>
            </w:pPr>
            <w:r>
              <w:rPr>
                <w:sz w:val="20"/>
                <w:szCs w:val="20"/>
              </w:rPr>
              <w:t xml:space="preserve">coord_agreements</w:t>
            </w:r>
          </w:p>
        </w:tc>
        <w:tc>
          <w:tcPr>
            <w:tcW w:w="0" w:type="auto"/>
          </w:tcPr>
          <w:p>
            <w:pPr>
              <w:spacing w:line="240" w:lineRule="auto" w:before="0" w:after="0"/>
              <w:pStyle w:val="Compact"/>
            </w:pPr>
            <w:r>
              <w:rPr>
                <w:sz w:val="20"/>
                <w:szCs w:val="20"/>
              </w:rPr>
              <w:t xml:space="preserve">Count of formally notified coordination agreements covering the operator pair in the band</w:t>
            </w:r>
          </w:p>
        </w:tc>
        <w:tc>
          <w:tcPr>
            <w:tcW w:w="0" w:type="auto"/>
          </w:tcPr>
          <w:p>
            <w:pPr>
              <w:spacing w:line="240" w:lineRule="auto" w:before="0" w:after="0"/>
              <w:pStyle w:val="Compact"/>
            </w:pPr>
            <w:r>
              <w:rPr>
                <w:sz w:val="20"/>
                <w:szCs w:val="20"/>
              </w:rPr>
              <w:t xml:space="preserve">ITU SNS-Online API and BR-IFIC publications</w:t>
            </w:r>
          </w:p>
        </w:tc>
      </w:tr>
      <w:tr>
        <w:tc>
          <w:tcPr>
            <w:tcW w:w="0" w:type="auto"/>
          </w:tcPr>
          <w:p>
            <w:pPr>
              <w:spacing w:line="240" w:lineRule="auto" w:before="0" w:after="0"/>
              <w:pStyle w:val="Compact"/>
            </w:pPr>
            <w:r>
              <w:rPr>
                <w:sz w:val="20"/>
                <w:szCs w:val="20"/>
              </w:rPr>
              <w:t xml:space="preserve">gso_eirp_density_dbw_hz</w:t>
            </w:r>
          </w:p>
        </w:tc>
        <w:tc>
          <w:tcPr>
            <w:tcW w:w="0" w:type="auto"/>
          </w:tcPr>
          <w:p>
            <w:pPr>
              <w:spacing w:line="240" w:lineRule="auto" w:before="0" w:after="0"/>
              <w:pStyle w:val="Compact"/>
            </w:pPr>
            <w:r>
              <w:rPr>
                <w:sz w:val="20"/>
                <w:szCs w:val="20"/>
              </w:rPr>
              <w:t xml:space="preserve">GSO incumbent equivalent isotropically radiated power spectral density in decibel-watts per hertz</w:t>
            </w:r>
          </w:p>
        </w:tc>
        <w:tc>
          <w:tcPr>
            <w:tcW w:w="0" w:type="auto"/>
          </w:tcPr>
          <w:p>
            <w:pPr>
              <w:spacing w:line="240" w:lineRule="auto" w:before="0" w:after="0"/>
              <w:pStyle w:val="Compact"/>
            </w:pPr>
            <w:r>
              <w:rPr>
                <w:sz w:val="20"/>
                <w:szCs w:val="20"/>
              </w:rPr>
              <w:t xml:space="preserve">FCC IBFS Schedule S filings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11.0273</w:t>
            </w:r>
          </w:p>
        </w:tc>
        <w:tc>
          <w:tcPr>
            <w:tcW w:w="0" w:type="auto"/>
          </w:tcPr>
          <w:p>
            <w:pPr>
              <w:spacing w:line="240" w:lineRule="auto" w:before="0" w:after="0"/>
              <w:pStyle w:val="Compact"/>
            </w:pPr>
            <w:r>
              <w:rPr>
                <w:sz w:val="20"/>
                <w:szCs w:val="20"/>
              </w:rPr>
              <w:t xml:space="preserve">2.3895</w:t>
            </w:r>
          </w:p>
        </w:tc>
        <w:tc>
          <w:tcPr>
            <w:tcW w:w="0" w:type="auto"/>
          </w:tcPr>
          <w:p>
            <w:pPr>
              <w:spacing w:line="240" w:lineRule="auto" w:before="0" w:after="0"/>
              <w:pStyle w:val="Compact"/>
            </w:pPr>
            <w:r>
              <w:rPr>
                <w:sz w:val="20"/>
                <w:szCs w:val="20"/>
              </w:rPr>
              <w:t xml:space="preserve">4.6149</w:t>
            </w:r>
          </w:p>
        </w:tc>
        <w:tc>
          <w:tcPr>
            <w:tcW w:w="0" w:type="auto"/>
          </w:tcPr>
          <w:p>
            <w:pPr>
              <w:spacing w:line="240" w:lineRule="auto" w:before="0" w:after="0"/>
              <w:pStyle w:val="Compact"/>
            </w:pPr>
            <w:r>
              <w:rPr>
                <w:sz w:val="20"/>
                <w:szCs w:val="20"/>
              </w:rPr>
              <w:t xml:space="preserve">3.934e-06</w:t>
            </w:r>
          </w:p>
        </w:tc>
        <w:tc>
          <w:tcPr>
            <w:tcW w:w="0" w:type="auto"/>
          </w:tcPr>
          <w:p>
            <w:pPr>
              <w:spacing w:line="240" w:lineRule="auto" w:before="0" w:after="0"/>
              <w:pStyle w:val="Compact"/>
            </w:pPr>
            <w:r>
              <w:rPr>
                <w:sz w:val="20"/>
                <w:szCs w:val="20"/>
              </w:rPr>
              <w:t xml:space="preserve">[6.3439, 15.7107]</w:t>
            </w:r>
          </w:p>
        </w:tc>
      </w:tr>
      <w:tr>
        <w:tc>
          <w:tcPr>
            <w:tcW w:w="0" w:type="auto"/>
          </w:tcPr>
          <w:p>
            <w:pPr>
              <w:spacing w:line="240" w:lineRule="auto" w:before="0" w:after="0"/>
              <w:pStyle w:val="Compact"/>
            </w:pPr>
            <w:r>
              <w:rPr>
                <w:sz w:val="20"/>
                <w:szCs w:val="20"/>
              </w:rPr>
              <w:t xml:space="preserve">dss_treated</w:t>
            </w:r>
          </w:p>
        </w:tc>
        <w:tc>
          <w:tcPr>
            <w:tcW w:w="0" w:type="auto"/>
          </w:tcPr>
          <w:p>
            <w:pPr>
              <w:spacing w:line="240" w:lineRule="auto" w:before="0" w:after="0"/>
              <w:pStyle w:val="Compact"/>
            </w:pPr>
            <w:r>
              <w:rPr>
                <w:sz w:val="20"/>
                <w:szCs w:val="20"/>
              </w:rPr>
              <w:t xml:space="preserve">0.9811</w:t>
            </w:r>
          </w:p>
        </w:tc>
        <w:tc>
          <w:tcPr>
            <w:tcW w:w="0" w:type="auto"/>
          </w:tcPr>
          <w:p>
            <w:pPr>
              <w:spacing w:line="240" w:lineRule="auto" w:before="0" w:after="0"/>
              <w:pStyle w:val="Compact"/>
            </w:pPr>
            <w:r>
              <w:rPr>
                <w:sz w:val="20"/>
                <w:szCs w:val="20"/>
              </w:rPr>
              <w:t xml:space="preserve">0.088</w:t>
            </w:r>
          </w:p>
        </w:tc>
        <w:tc>
          <w:tcPr>
            <w:tcW w:w="0" w:type="auto"/>
          </w:tcPr>
          <w:p>
            <w:pPr>
              <w:spacing w:line="240" w:lineRule="auto" w:before="0" w:after="0"/>
              <w:pStyle w:val="Compact"/>
            </w:pPr>
            <w:r>
              <w:rPr>
                <w:sz w:val="20"/>
                <w:szCs w:val="20"/>
              </w:rPr>
              <w:t xml:space="preserve">11.1511</w:t>
            </w:r>
          </w:p>
        </w:tc>
        <w:tc>
          <w:tcPr>
            <w:tcW w:w="0" w:type="auto"/>
          </w:tcPr>
          <w:p>
            <w:pPr>
              <w:spacing w:line="240" w:lineRule="auto" w:before="0" w:after="0"/>
              <w:pStyle w:val="Compact"/>
            </w:pPr>
            <w:r>
              <w:rPr>
                <w:sz w:val="20"/>
                <w:szCs w:val="20"/>
              </w:rPr>
              <w:t xml:space="preserve">7.07e-29</w:t>
            </w:r>
          </w:p>
        </w:tc>
        <w:tc>
          <w:tcPr>
            <w:tcW w:w="0" w:type="auto"/>
          </w:tcPr>
          <w:p>
            <w:pPr>
              <w:spacing w:line="240" w:lineRule="auto" w:before="0" w:after="0"/>
              <w:pStyle w:val="Compact"/>
            </w:pPr>
            <w:r>
              <w:rPr>
                <w:sz w:val="20"/>
                <w:szCs w:val="20"/>
              </w:rPr>
              <w:t xml:space="preserve">[0.8086, 1.1535]</w:t>
            </w:r>
          </w:p>
        </w:tc>
      </w:tr>
      <w:tr>
        <w:tc>
          <w:tcPr>
            <w:tcW w:w="0" w:type="auto"/>
          </w:tcPr>
          <w:p>
            <w:pPr>
              <w:spacing w:line="240" w:lineRule="auto" w:before="0" w:after="0"/>
              <w:pStyle w:val="Compact"/>
            </w:pPr>
            <w:r>
              <w:rPr>
                <w:sz w:val="20"/>
                <w:szCs w:val="20"/>
              </w:rPr>
              <w:t xml:space="preserve">ngso_active_sats</w:t>
            </w:r>
          </w:p>
        </w:tc>
        <w:tc>
          <w:tcPr>
            <w:tcW w:w="0" w:type="auto"/>
          </w:tcPr>
          <w:p>
            <w:pPr>
              <w:spacing w:line="240" w:lineRule="auto" w:before="0" w:after="0"/>
              <w:pStyle w:val="Compact"/>
            </w:pPr>
            <w:r>
              <w:rPr>
                <w:sz w:val="20"/>
                <w:szCs w:val="20"/>
              </w:rPr>
              <w:t xml:space="preserve">0.0001981</w:t>
            </w:r>
          </w:p>
        </w:tc>
        <w:tc>
          <w:tcPr>
            <w:tcW w:w="0" w:type="auto"/>
          </w:tcPr>
          <w:p>
            <w:pPr>
              <w:spacing w:line="240" w:lineRule="auto" w:before="0" w:after="0"/>
              <w:pStyle w:val="Compact"/>
            </w:pPr>
            <w:r>
              <w:rPr>
                <w:sz w:val="20"/>
                <w:szCs w:val="20"/>
              </w:rPr>
              <w:t xml:space="preserve">2.412e-05</w:t>
            </w:r>
          </w:p>
        </w:tc>
        <w:tc>
          <w:tcPr>
            <w:tcW w:w="0" w:type="auto"/>
          </w:tcPr>
          <w:p>
            <w:pPr>
              <w:spacing w:line="240" w:lineRule="auto" w:before="0" w:after="0"/>
              <w:pStyle w:val="Compact"/>
            </w:pPr>
            <w:r>
              <w:rPr>
                <w:sz w:val="20"/>
                <w:szCs w:val="20"/>
              </w:rPr>
              <w:t xml:space="preserve">8.2145</w:t>
            </w:r>
          </w:p>
        </w:tc>
        <w:tc>
          <w:tcPr>
            <w:tcW w:w="0" w:type="auto"/>
          </w:tcPr>
          <w:p>
            <w:pPr>
              <w:spacing w:line="240" w:lineRule="auto" w:before="0" w:after="0"/>
              <w:pStyle w:val="Compact"/>
            </w:pPr>
            <w:r>
              <w:rPr>
                <w:sz w:val="20"/>
                <w:szCs w:val="20"/>
              </w:rPr>
              <w:t xml:space="preserve">2.131e-16</w:t>
            </w:r>
          </w:p>
        </w:tc>
        <w:tc>
          <w:tcPr>
            <w:tcW w:w="0" w:type="auto"/>
          </w:tcPr>
          <w:p>
            <w:pPr>
              <w:spacing w:line="240" w:lineRule="auto" w:before="0" w:after="0"/>
              <w:pStyle w:val="Compact"/>
            </w:pPr>
            <w:r>
              <w:rPr>
                <w:sz w:val="20"/>
                <w:szCs w:val="20"/>
              </w:rPr>
              <w:t xml:space="preserve">[0.0001508, 0.0002454]</w:t>
            </w:r>
          </w:p>
        </w:tc>
      </w:tr>
      <w:tr>
        <w:tc>
          <w:tcPr>
            <w:tcW w:w="0" w:type="auto"/>
          </w:tcPr>
          <w:p>
            <w:pPr>
              <w:spacing w:line="240" w:lineRule="auto" w:before="0" w:after="0"/>
              <w:pStyle w:val="Compact"/>
            </w:pPr>
            <w:r>
              <w:rPr>
                <w:sz w:val="20"/>
                <w:szCs w:val="20"/>
              </w:rPr>
              <w:t xml:space="preserve">coord_agreements</w:t>
            </w:r>
          </w:p>
        </w:tc>
        <w:tc>
          <w:tcPr>
            <w:tcW w:w="0" w:type="auto"/>
          </w:tcPr>
          <w:p>
            <w:pPr>
              <w:spacing w:line="240" w:lineRule="auto" w:before="0" w:after="0"/>
              <w:pStyle w:val="Compact"/>
            </w:pPr>
            <w:r>
              <w:rPr>
                <w:sz w:val="20"/>
                <w:szCs w:val="20"/>
              </w:rPr>
              <w:t xml:space="preserve">0.2156</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2.7944</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[0.0644, 0.3667]</w:t>
            </w:r>
          </w:p>
        </w:tc>
      </w:tr>
      <w:tr>
        <w:tc>
          <w:tcPr>
            <w:tcW w:w="0" w:type="auto"/>
          </w:tcPr>
          <w:p>
            <w:pPr>
              <w:spacing w:line="240" w:lineRule="auto" w:before="0" w:after="0"/>
              <w:pStyle w:val="Compact"/>
            </w:pPr>
            <w:r>
              <w:rPr>
                <w:sz w:val="20"/>
                <w:szCs w:val="20"/>
              </w:rPr>
              <w:t xml:space="preserve">gso_eirp_density_dbw_hz</w:t>
            </w:r>
          </w:p>
        </w:tc>
        <w:tc>
          <w:tcPr>
            <w:tcW w:w="0" w:type="auto"/>
          </w:tcPr>
          <w:p>
            <w:pPr>
              <w:spacing w:line="240" w:lineRule="auto" w:before="0" w:after="0"/>
              <w:pStyle w:val="Compact"/>
            </w:pPr>
            <w:r>
              <w:rPr>
                <w:sz w:val="20"/>
                <w:szCs w:val="20"/>
              </w:rPr>
              <w:t xml:space="preserve">0.1748</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3.8389</w:t>
            </w:r>
          </w:p>
        </w:tc>
        <w:tc>
          <w:tcPr>
            <w:tcW w:w="0" w:type="auto"/>
          </w:tcPr>
          <w:p>
            <w:pPr>
              <w:spacing w:line="240" w:lineRule="auto" w:before="0" w:after="0"/>
              <w:pStyle w:val="Compact"/>
            </w:pPr>
            <w:r>
              <w:rPr>
                <w:sz w:val="20"/>
                <w:szCs w:val="20"/>
              </w:rPr>
              <w:t xml:space="preserve">0.0001236</w:t>
            </w:r>
          </w:p>
        </w:tc>
        <w:tc>
          <w:tcPr>
            <w:tcW w:w="0" w:type="auto"/>
          </w:tcPr>
          <w:p>
            <w:pPr>
              <w:spacing w:line="240" w:lineRule="auto" w:before="0" w:after="0"/>
              <w:pStyle w:val="Compact"/>
            </w:pPr>
            <w:r>
              <w:rPr>
                <w:sz w:val="20"/>
                <w:szCs w:val="20"/>
              </w:rPr>
              <w:t xml:space="preserve">[0.0856, 0.2641]</w:t>
            </w:r>
          </w:p>
        </w:tc>
      </w:tr>
    </w:tbl>
    <w:p>
      <w:pPr>
        <w:pStyle w:val="BodyText"/>
      </w:pPr>
      <w:r>
        <w:t xml:space="preserve">Fit: N = 36 R2 = 0.9553 R2_adj = 0.9495 F = 341.5962 F_p = 3.733e-25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4" Target="https://doi.org/10.1016/j.actaastro.2023.07.009" TargetMode="External" /><Relationship Type="http://schemas.openxmlformats.org/officeDocument/2006/relationships/hyperlink" Id="rId70" Target="https://doi.org/10.1162/glep_a_00775" TargetMode="External" /><Relationship Type="http://schemas.openxmlformats.org/officeDocument/2006/relationships/hyperlink" Id="rId72" Target="https://doi.org/10.5334/ijc.1272"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23.07.009" TargetMode="External" /><Relationship Type="http://schemas.openxmlformats.org/officeDocument/2006/relationships/hyperlink" Id="rId70" Target="https://doi.org/10.1162/glep_a_00775" TargetMode="External" /><Relationship Type="http://schemas.openxmlformats.org/officeDocument/2006/relationships/hyperlink" Id="rId72" Target="https://doi.org/10.5334/ijc.127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2026-06-27T13:10:25Z</dcterms:created>
  <dcterms:modified xsi:type="dcterms:W3CDTF">2026-06-27T13:10:25Z</dcterms:modified>
</cp:coreProperties>
</file>

<file path=docProps/custom.xml><?xml version="1.0" encoding="utf-8"?>
<Properties xmlns="http://schemas.openxmlformats.org/officeDocument/2006/custom-properties" xmlns:vt="http://schemas.openxmlformats.org/officeDocument/2006/docPropsVTypes"/>
</file>