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POLYCENTRIC SPECTRUM COMMONS: DOES DYNAMIC SPECTRUM SHARING BETWEEN NGSO AND GSO OPERATORS REDUCE AGGREGATE INTERFERENCE WITHOUT DEGRADING THROUGHPUT?</w:t>
      </w:r>
    </w:p>
    <w:p>
      <w:pPr>
        <w:jc w:val="center"/>
      </w:pPr>
    </w:p>
    <w:p>
      <w:pPr>
        <w:jc w:val="center"/>
      </w:pPr>
      <w:r>
        <w:rPr>
          <w:rFonts w:ascii="Times New Roman" w:hAnsi="Times New Roman"/>
          <w:sz w:val="24"/>
        </w:rPr>
        <w:t>by</w:t>
      </w:r>
    </w:p>
    <w:p>
      <w:pPr>
        <w:jc w:val="center"/>
      </w:pPr>
      <w:r>
        <w:rPr>
          <w:rFonts w:ascii="Times New Roman" w:hAnsi="Times New Roman"/>
          <w:b/>
          <w:sz w:val="28"/>
        </w:rPr>
        <w:t>Vincent Rahman</w:t>
      </w:r>
    </w:p>
    <w:p>
      <w:pPr>
        <w:jc w:val="center"/>
      </w:pPr>
      <w:r>
        <w:rPr>
          <w:rFonts w:ascii="Times New Roman" w:hAnsi="Times New Roman"/>
          <w:sz w:val="24"/>
        </w:rPr>
        <w:t>1B-ITI-124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in-plain-terms"/>
    <w:p>
      <w:pPr>
        <w:pStyle w:val="Heading2"/>
        <w:spacing w:line="480" w:lineRule="auto"/>
      </w:pPr>
      <w:r>
        <w:t xml:space="preserve">1.1 The Problem in Plain Terms</w:t>
      </w:r>
    </w:p>
    <w:p>
      <w:pPr>
        <w:pStyle w:val="FirstParagraph"/>
        <w:spacing w:line="480" w:lineRule="auto"/>
      </w:pPr>
      <w:r>
        <w:t xml:space="preserve">The Ku- and Ka-bands are simultaneously the principal commercial frequencies for incumbent geostationary fixed-satellite-service operators and the principal downlink frequencies for the new generation of non-geostationary broadband megaconstellations. The static, first-come, treaty-anchored coordination model administered by the International Telecommunication Union (ITU) was designed when the geostationary arc was sparsely populated and when the population of non-geostationary (NGSO) emitters in any earth station’s field of view was, in practice, negligible. That coordination model partitions spectrum as a divisible resource rather than as a shared one and does not adapt to the actual geometric or traffic state of the sky</w:t>
      </w:r>
      <w:r>
        <w:t xml:space="preserve"> </w:t>
      </w:r>
      <w:hyperlink w:anchor="ref-1">
        <w:r>
          <w:rPr>
            <w:rStyle w:val="Hyperlink"/>
          </w:rPr>
          <w:t xml:space="preserve">[1]</w:t>
        </w:r>
      </w:hyperlink>
      <w:r>
        <w:t xml:space="preserve">[2]. The build-out of low earth orbit (LEO) broadband systems has pushed the active NGSO emitter count per system across the thousands-per-system threshold within the same Ku- and Ka-band assignments that incumbent geostationary (GSO) operators rely on for commercial service, and that build-out shows no sign of slowing across the cohort of authorized operators that includes SpaceX Starlink, OneWeb, Telesat Lightspeed, Amazon Kuiper, and the Ka-band capacity of SES O3b mPOWER and Hughes JUPITER 3</w:t>
      </w:r>
      <w:r>
        <w:t xml:space="preserve"> </w:t>
      </w:r>
      <w:hyperlink w:anchor="ref-1">
        <w:r>
          <w:rPr>
            <w:rStyle w:val="Hyperlink"/>
          </w:rPr>
          <w:t xml:space="preserve">[1]</w:t>
        </w:r>
      </w:hyperlink>
      <w:r>
        <w:t xml:space="preserve">.</w:t>
      </w:r>
    </w:p>
    <w:p>
      <w:pPr>
        <w:pStyle w:val="BodyText"/>
        <w:spacing w:line="480" w:lineRule="auto"/>
        <w:ind w:firstLine="720"/>
      </w:pPr>
      <w:r>
        <w:t xml:space="preserve">What this collision produces is operationally concrete. Aggregate co-channel interference at a GSO earth station is a function of the number of NGSO emitters in line of sight, of the off-axis emission characteristics of each emitter, and of the coordination rules in force. The first two terms have risen by orders of magnitude over the past decade. The third has been adjusted only at the slow cadence of the World Radiocommunication Conferences and remains, at its core, a treaty-layer instrument</w:t>
      </w:r>
      <w:r>
        <w:t xml:space="preserve"> </w:t>
      </w:r>
      <w:hyperlink w:anchor="ref-2">
        <w:r>
          <w:rPr>
            <w:rStyle w:val="Hyperlink"/>
          </w:rPr>
          <w:t xml:space="preserve">[2]</w:t>
        </w:r>
      </w:hyperlink>
      <w:r>
        <w:t xml:space="preserve">. A structural mismatch results. Use of the resource outpaces the rate at which the rules for using it adapt. Operators, regulators, and the wider space-sustainability community have characterized that mismatch as an orbital-commons problem in which finite spectrum and orbital resources are being claimed faster than governance can adapt</w:t>
      </w:r>
      <w:r>
        <w:t xml:space="preserve"> </w:t>
      </w:r>
      <w:hyperlink w:anchor="ref-6">
        <w:r>
          <w:rPr>
            <w:rStyle w:val="Hyperlink"/>
          </w:rPr>
          <w:t xml:space="preserve">[6]</w:t>
        </w:r>
      </w:hyperlink>
      <w:r>
        <w:t xml:space="preserve">[7][9].</w:t>
      </w:r>
    </w:p>
    <w:p>
      <w:pPr>
        <w:pStyle w:val="BodyText"/>
        <w:spacing w:line="480" w:lineRule="auto"/>
        <w:ind w:firstLine="720"/>
      </w:pPr>
      <w:r>
        <w:t xml:space="preserve">The problem is not whether NGSO and GSO operators will share the bands. They are sharing them now. What is at issue is whether the regime under which they share can be moved, in part, from a static treaty-layer partition to an operationally polycentric arrangement that is monitored and graduated at the operator-pair level, in the sense in which Elinor Ostrom’s design principles describe successful commons regimes</w:t>
      </w:r>
      <w:r>
        <w:t xml:space="preserve"> </w:t>
      </w:r>
      <w:hyperlink w:anchor="ref-3">
        <w:r>
          <w:rPr>
            <w:rStyle w:val="Hyperlink"/>
          </w:rPr>
          <w:t xml:space="preserve">[3]</w:t>
        </w:r>
      </w:hyperlink>
      <w:r>
        <w:t xml:space="preserve">[4]. The Morin and Couette audit of orbital-debris governance documents the absence of those principles in current radio-regulatory practice and identifies the missing ingredients for a polycentric system</w:t>
      </w:r>
      <w:r>
        <w:t xml:space="preserve"> </w:t>
      </w:r>
      <w:hyperlink w:anchor="ref-3">
        <w:r>
          <w:rPr>
            <w:rStyle w:val="Hyperlink"/>
          </w:rPr>
          <w:t xml:space="preserve">[3]</w:t>
        </w:r>
      </w:hyperlink>
      <w:r>
        <w:t xml:space="preserve">. The Yap, Janssen, Aganaba, and Tutton scenario analysis of commons in space gives the polycentric scenario a concrete content</w:t>
      </w:r>
      <w:r>
        <w:t xml:space="preserve"> </w:t>
      </w:r>
      <w:hyperlink w:anchor="ref-4">
        <w:r>
          <w:rPr>
            <w:rStyle w:val="Hyperlink"/>
          </w:rPr>
          <w:t xml:space="preserve">[4]</w:t>
        </w:r>
      </w:hyperlink>
      <w:r>
        <w:t xml:space="preserve">. The WRC-19 record, in turn, documents the legal architecture under which bilateral coordination agreements between NGSO and GSO operators are admissible in principle, including the Article 22 equivalent power flux density (EPFD) limits that govern LEO emissions into the GSO arc</w:t>
      </w:r>
      <w:r>
        <w:t xml:space="preserve"> </w:t>
      </w:r>
      <w:hyperlink w:anchor="ref-2">
        <w:r>
          <w:rPr>
            <w:rStyle w:val="Hyperlink"/>
          </w:rPr>
          <w:t xml:space="preserve">[2]</w:t>
        </w:r>
      </w:hyperlink>
      <w:r>
        <w:t xml:space="preserve">. What none of those literatures has done is to test the polycentric prediction empirically at the layer at which the resource is actually used.</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stakes of getting this empirical test right are immediate for the National Aeronautics and Space Administration and for the Jet Propulsion Laboratory specifically. NASA operates a large fleet of Ka-band downlinks for high-rate science data return and is increasingly dependent on commercial Ka-band capacity for terrestrial backhaul of mission data. The Deep Space Network, the Near Space Network, and the commercial-services architecture that is being layered over them all sit in the same Ku- and Ka-band coordination environment in which the NGSO-GSO collision is occurring. A static-allocation regime that is failing to control aggregate interference imposes a direct degradation on the link budgets that NASA depends on to return science data, and it does so in a band where the agency has limited capacity to relocate. A polycentric regime that demonstrably reduces aggregate interference without sacrificing throughput is therefore not only a regulatory novelty; it is a directly relevant input to NASA’s spectrum strategy and to JPL’s mission-design margin assumptions.</w:t>
      </w:r>
    </w:p>
    <w:p>
      <w:pPr>
        <w:pStyle w:val="BodyText"/>
        <w:spacing w:line="480" w:lineRule="auto"/>
        <w:ind w:firstLine="720"/>
      </w:pPr>
      <w:r>
        <w:t xml:space="preserve">For JPL the stakes extend further than link-budget margin. JPL has historically been the technical authority within the agency on the trade between coordination overhead and downlink throughput, and the laboratory’s mission-design culture is built around quantified, falsifiable claims about interference budgets and data-return rates. A dissertation that translates the polycentric-commons literature into a measurable interference-and-throughput claim, and that fields the claim against the actual ITU and Federal Communications Commission (FCC) filings of the operator population that JPL works alongside, produces evidence in the form that JPL mission-system engineers and spectrum strategists can act on. A null result is informative in the same form: it tells the laboratory that the polycentric DSS regime, on the data available, is not yet a substitute for the static baseline at the layer that link budgets care about. Either outcome is a contribution to the laboratory’s institutional knowledge of the spectrum environment in which its missions operate. The companion-paper finding that the EPFD margin variable absorbs the cross-sectional coordination signal, while the panel-fixed-effects estimator recovers a roughly one-decibel margin gain conditional on constellation size and emission floor, is precisely the kind of layered evidence that JPL spectrum strategists are equipped to use, because it distinguishes the layer at which the polycentric effect is detectable from the layer at which the regulatory floor does the binding work.</w:t>
      </w:r>
    </w:p>
    <w:p>
      <w:pPr>
        <w:pStyle w:val="BodyText"/>
        <w:spacing w:line="480" w:lineRule="auto"/>
        <w:ind w:firstLine="720"/>
      </w:pPr>
      <w:r>
        <w:t xml:space="preserve">Beyond the laboratory, the stakes bear on the agency’s broader institutional position in the space-sustainability discourse. NASA’s voice in international fora on the long-term sustainability of outer space activities has historically been a technical one, anchored in measured quantities and in publicly documented data sources. A dissertation that uses only publicly available ITU SNS-Online filings and FCC International Bureau Filing System Schedule S submissions, that pre-registers its tolerance bands, and that publishes its coding instrument for the institutional process-trace, produces evidence in a form that NASA and JPL can cite without re-litigating provenance. That is the form in which the agency’s technical authorities prefer to enter regulatory debates, and it is the form in which a polycentric-commons claim can be made operationally legible to an audience that has, to date, encountered the polycentric frame primarily through the orbital-debris literature</w:t>
      </w:r>
      <w:r>
        <w:t xml:space="preserve"> </w:t>
      </w:r>
      <w:hyperlink w:anchor="ref-3">
        <w:r>
          <w:rPr>
            <w:rStyle w:val="Hyperlink"/>
          </w:rPr>
          <w:t xml:space="preserve">[3]</w:t>
        </w:r>
      </w:hyperlink>
      <w:r>
        <w:t xml:space="preserve">[9][14][15].</w:t>
      </w:r>
    </w:p>
    <w:bookmarkEnd w:id="62"/>
    <w:bookmarkStart w:id="63" w:name="Xf30008fd28f360eb8a859a1c12858bf7c60a4b4"/>
    <w:p>
      <w:pPr>
        <w:pStyle w:val="Heading2"/>
        <w:spacing w:line="480" w:lineRule="auto"/>
      </w:pPr>
      <w:r>
        <w:t xml:space="preserve">1.3 The Gap Between the Domain Literature and the Econometric-Method Literature</w:t>
      </w:r>
    </w:p>
    <w:p>
      <w:pPr>
        <w:pStyle w:val="FirstParagraph"/>
        <w:spacing w:line="480" w:lineRule="auto"/>
      </w:pPr>
      <w:r>
        <w:t xml:space="preserve">Three literatures bear on the problem, and the gap between them is the gap this dissertation closes. Consider first the space-policy literature on LEO broadband, which documents the commercial and strategic stakes of the Ku- and Ka-band competition in detail and characterizes the operational environment created by the megaconstellation build-out</w:t>
      </w:r>
      <w:r>
        <w:t xml:space="preserve"> </w:t>
      </w:r>
      <w:hyperlink w:anchor="ref-1">
        <w:r>
          <w:rPr>
            <w:rStyle w:val="Hyperlink"/>
          </w:rPr>
          <w:t xml:space="preserve">[1]</w:t>
        </w:r>
      </w:hyperlink>
      <w:r>
        <w:t xml:space="preserve">. It does not, however, test sharing regimes empirically. It is a literature of stakes, not of identification.</w:t>
      </w:r>
    </w:p>
    <w:p>
      <w:pPr>
        <w:pStyle w:val="BodyText"/>
        <w:spacing w:line="480" w:lineRule="auto"/>
        <w:ind w:firstLine="720"/>
      </w:pPr>
      <w:r>
        <w:t xml:space="preserve">Consider next the radio-regulatory literature, of which the WRC-19 record is the canonical contemporary instance. It lays out the legal architecture for LEO and articulates the spectrum-efficiency gains that mega-LEO systems have pursued, including the Article 22 EPFD architecture that governs LEO emissions into the GSO arc</w:t>
      </w:r>
      <w:r>
        <w:t xml:space="preserve"> </w:t>
      </w:r>
      <w:hyperlink w:anchor="ref-2">
        <w:r>
          <w:rPr>
            <w:rStyle w:val="Hyperlink"/>
          </w:rPr>
          <w:t xml:space="preserve">[2]</w:t>
        </w:r>
      </w:hyperlink>
      <w:r>
        <w:t xml:space="preserve">. It treats coexistence as a coordination problem solved at the treaty layer rather than as an operational regime to be measured. The companion paper to this dissertation finds that the Article 22 EPFD margin variable is, indeed, the dominant cross-sectional driver of aggregate interference at the link-budget layer, which is exactly the result one would expect if the treaty-layer instrument is doing the binding work it was designed to do. That finding confirms the regulatory literature on its own terms, but it is silent on whether an operationally polycentric layer added on top of the treaty-layer instrument produces additional interference reduction.</w:t>
      </w:r>
    </w:p>
    <w:p>
      <w:pPr>
        <w:pStyle w:val="BodyText"/>
        <w:spacing w:line="480" w:lineRule="auto"/>
        <w:ind w:firstLine="720"/>
      </w:pPr>
      <w:r>
        <w:t xml:space="preserve">The commons-governance literature has begun to apply Ostrom’s polycentric framework to orbital debris</w:t>
      </w:r>
      <w:r>
        <w:t xml:space="preserve"> </w:t>
      </w:r>
      <w:hyperlink w:anchor="ref-3">
        <w:r>
          <w:rPr>
            <w:rStyle w:val="Hyperlink"/>
          </w:rPr>
          <w:t xml:space="preserve">[3]</w:t>
        </w:r>
      </w:hyperlink>
      <w:r>
        <w:t xml:space="preserve">, to scenario analyses of orbital futures</w:t>
      </w:r>
      <w:r>
        <w:t xml:space="preserve"> </w:t>
      </w:r>
      <w:hyperlink w:anchor="ref-4">
        <w:r>
          <w:rPr>
            <w:rStyle w:val="Hyperlink"/>
          </w:rPr>
          <w:t xml:space="preserve">[4]</w:t>
        </w:r>
      </w:hyperlink>
      <w:r>
        <w:t xml:space="preserve">, and to the transdisciplinary sustainability frame that connects orbital and terrestrial commons</w:t>
      </w:r>
      <w:r>
        <w:t xml:space="preserve"> </w:t>
      </w:r>
      <w:hyperlink w:anchor="ref-9">
        <w:r>
          <w:rPr>
            <w:rStyle w:val="Hyperlink"/>
          </w:rPr>
          <w:t xml:space="preserve">[9]</w:t>
        </w:r>
      </w:hyperlink>
      <w:r>
        <w:t xml:space="preserve">. It has been linked, in the space-economics literature, to Pigouvian, Coasian, and Ostromian remedies for orbital externalities</w:t>
      </w:r>
      <w:r>
        <w:t xml:space="preserve"> </w:t>
      </w:r>
      <w:hyperlink w:anchor="ref-8">
        <w:r>
          <w:rPr>
            <w:rStyle w:val="Hyperlink"/>
          </w:rPr>
          <w:t xml:space="preserve">[8]</w:t>
        </w:r>
      </w:hyperlink>
      <w:r>
        <w:t xml:space="preserve">. The decentralized space information-sharing literature has translated polycentric reasoning into concrete proposals for situational-awareness data sharing among operators and between operators and regulators</w:t>
      </w:r>
      <w:r>
        <w:t xml:space="preserve"> </w:t>
      </w:r>
      <w:hyperlink w:anchor="ref-11">
        <w:r>
          <w:rPr>
            <w:rStyle w:val="Hyperlink"/>
          </w:rPr>
          <w:t xml:space="preserve">[11]</w:t>
        </w:r>
      </w:hyperlink>
      <w:r>
        <w:t xml:space="preserve">[12][14][15]. These contributions have established the frame and the operational analogues, but they have not been translated into a measurable hypothesis about spectrum sharing between NGSO and GSO operators that can be tested against the actual operator-pair filings.</w:t>
      </w:r>
    </w:p>
    <w:p>
      <w:pPr>
        <w:pStyle w:val="BodyText"/>
        <w:spacing w:line="480" w:lineRule="auto"/>
        <w:ind w:firstLine="720"/>
      </w:pPr>
      <w:r>
        <w:t xml:space="preserve">The econometric-method literature on panel and cross-sectional identification, by contrast, has the instruments that the empirical test requires. Two-way fixed-effects estimators on operator-pair panels with staggered treatment timing, event-study specifications with parallel-pre-trend diagnostics, and cross-sectional ordinary-least-squares specifications with heteroskedasticity-consistent standard errors are off-the-shelf tools for exactly the kind of bilateral-coordination-agreement timeline that the ITU SNS-Online and FCC IBFS records make publicly available. The companion papers to this dissertation use both estimators in their canonical forms: a panel fixed-effects test on the coordination-event timeline and a cross-sectional OLS test on operator-pair link budgets. Neither estimator is novel as a method. What is new is the application of the estimators to the polycentric-commons claim at the operator-pair layer of the spectrum-sharing problem, on data that the regulatory and policy literatures have not previously been required to test claims against.</w:t>
      </w:r>
    </w:p>
    <w:p>
      <w:pPr>
        <w:pStyle w:val="BodyText"/>
        <w:spacing w:line="480" w:lineRule="auto"/>
        <w:ind w:firstLine="720"/>
      </w:pPr>
      <w:r>
        <w:t xml:space="preserve">The gap, then, is not a gap of method and not a gap of frame. It is a gap of translation. Nothing more, and nothing less. The polycentric-commons claim has not been written as a falsifiable hypothesis at the operator-pair level, with the legally binding regulatory variable as a control and with the geometric variable as a control, on the publicly available filings that are the appropriate evidentiary basis for the test. The domain literature has supplied the frame; the econometric-method literature has supplied the instruments; and the two have not yet been joined. The economic-frontier literature on space, and the orbital-capacity and orbital-commons contributions that bear on the demand side of the problem, have supplied the broader context within which the test is informative</w:t>
      </w:r>
      <w:r>
        <w:t xml:space="preserve"> </w:t>
      </w:r>
      <w:hyperlink w:anchor="ref-7">
        <w:r>
          <w:rPr>
            <w:rStyle w:val="Hyperlink"/>
          </w:rPr>
          <w:t xml:space="preserve">[7]</w:t>
        </w:r>
      </w:hyperlink>
      <w:r>
        <w:t xml:space="preserve">[8][16][21]. The evolving-governance literature on the New Space transition has motivated the move from treaty-layer to operator-layer evidence</w:t>
      </w:r>
      <w:r>
        <w:t xml:space="preserve"> </w:t>
      </w:r>
      <w:hyperlink w:anchor="ref-17">
        <w:r>
          <w:rPr>
            <w:rStyle w:val="Hyperlink"/>
          </w:rPr>
          <w:t xml:space="preserve">[17]</w:t>
        </w:r>
      </w:hyperlink>
      <w:r>
        <w:t xml:space="preserve">. The integration of those strands into a single test on the spectrum problem is the work of this dissertation.</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this dissertation is a single falsifiable claim, stated precisely, on the population of NGSO-GSO operator pairs that share Ku- and Ka-band assignments and that are documented in the ITU SNS-Online and FCC IBFS records.</w:t>
      </w:r>
    </w:p>
    <w:p>
      <w:pPr>
        <w:pStyle w:val="BodyText"/>
        <w:spacing w:line="480" w:lineRule="auto"/>
        <w:ind w:firstLine="720"/>
      </w:pPr>
      <w:r>
        <w:t xml:space="preserve">The null hypothesis (H0) is that a polycentrically governed dynamic spectrum sharing (DSS) regime between NGSO and GSO operators in the Ku- and Ka-bands produces aggregate co-channel interference at GSO earth stations that is statistically indistinguishable from the static-allocation baseline, or produces an NGSO downlink throughput penalty that exceeds a pre-registered tolerance band of ten percent of the static-baseline median.</w:t>
      </w:r>
    </w:p>
    <w:p>
      <w:pPr>
        <w:pStyle w:val="BodyText"/>
        <w:spacing w:line="480" w:lineRule="auto"/>
        <w:ind w:firstLine="720"/>
      </w:pPr>
      <w:r>
        <w:t xml:space="preserve">The alternative hypothesis (H1) is that the polycentric DSS regime produces a statistically significant reduction in aggregate co-channel interference at GSO earth stations relative to the static baseline, and does so within the ten-percent throughput tolerance band.</w:t>
      </w:r>
    </w:p>
    <w:p>
      <w:pPr>
        <w:pStyle w:val="BodyText"/>
        <w:spacing w:line="480" w:lineRule="auto"/>
        <w:ind w:firstLine="720"/>
      </w:pPr>
      <w:r>
        <w:t xml:space="preserve">Rejection of H0 in the direction of H1 constitutes the single positive contribution of the dissertation. Failure to reject H0, or a throughput penalty outside the tolerance band, constitutes a negative finding of equal substantive importance to a regulator considering the adoption of an operationally polycentric layer above the existing treaty-layer instrument.</w:t>
      </w:r>
    </w:p>
    <w:p>
      <w:pPr>
        <w:pStyle w:val="BodyText"/>
        <w:spacing w:line="480" w:lineRule="auto"/>
        <w:ind w:firstLine="720"/>
      </w:pPr>
      <w:r>
        <w:t xml:space="preserve">The claim is falsifiable in four specific senses. First, the treatment is defined by the entry into force of a bilateral coordination agreement that implements a DSS protocol between an NGSO operator and a GSO operator sharing a Ku- or Ka-band assignment, and the treatment status is observable in the ITU SNS-Online notified-network record. Second, the dependent variables are the aggregate co-channel interference power measured at GSO earth stations, in dBW, and the NGSO downlink throughput at matched terminals, both of which are reported in FCC IBFS Schedule S filings against the ITU coordination thresholds. Third, the tolerance band on the throughput side is fixed in advance at ten percent of the static-baseline median and is not adjusted in light of the realized point estimate. Fourth, the polycentric coding of the coordination institutions, against Ostrom’s eight design principles, is performed with a published coding instrument and with intercoder reliability established on a held-out subset of the agreements, following the methodological example of the Morin and Couette orbital-debris audit</w:t>
      </w:r>
      <w:r>
        <w:t xml:space="preserve"> </w:t>
      </w:r>
      <w:hyperlink w:anchor="ref-3">
        <w:r>
          <w:rPr>
            <w:rStyle w:val="Hyperlink"/>
          </w:rPr>
          <w:t xml:space="preserve">[3]</w:t>
        </w:r>
      </w:hyperlink>
      <w:r>
        <w:t xml:space="preserve">.</w:t>
      </w:r>
    </w:p>
    <w:p>
      <w:pPr>
        <w:pStyle w:val="BodyText"/>
        <w:spacing w:line="480" w:lineRule="auto"/>
        <w:ind w:firstLine="720"/>
      </w:pPr>
      <w:r>
        <w:t xml:space="preserve">The companion papers in this dissertation produce two pieces of evidence that delimit the falsification frontier in advance of the integrated test in the chapters that follow. The panel fixed-effects test recovers a DSS coefficient of approximately 0.98 decibels on the interference margin, significant at conventional levels, conditional on constellation size, coordination filing intensity, and GSO emission spectral density, on a panel of thirty-six operator-pair-years from 2020 through 2023. The cross-sectional OLS test on operator-pair link budgets recovers a null on the coordination-intensity ordinal once the Article 22 EPFD margin variable is included as a control. Read together, the two findings position the integrated dissertation test at the layer at which the polycentric signal is detectable, namely the dynamic adaptation of pointing and traffic state recorded in the panel of coordination events, rather than at the layer at which the legally binding regulatory floor does the binding work, namely the static cross-section of filed link budgets</w:t>
      </w:r>
      <w:r>
        <w:t xml:space="preserve"> </w:t>
      </w:r>
      <w:hyperlink w:anchor="ref-2">
        <w:r>
          <w:rPr>
            <w:rStyle w:val="Hyperlink"/>
          </w:rPr>
          <w:t xml:space="preserve">[2]</w:t>
        </w:r>
      </w:hyperlink>
      <w:r>
        <w:t xml:space="preserve">[3]. The single falsifiable contribution is the integrated joint test of the interference reduction and the throughput tolerance band, on the full operator-pair panel, with the institutional process-trace mapped onto the treatment intensity.</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proceeds in eight further chapters. Chapter 2 reviews the three bearing literatures in detail and traces the path by which the polycentric-commons frame moves from terrestrial common-pool resources to the orbital domain</w:t>
      </w:r>
      <w:r>
        <w:t xml:space="preserve"> </w:t>
      </w:r>
      <w:hyperlink w:anchor="ref-3">
        <w:r>
          <w:rPr>
            <w:rStyle w:val="Hyperlink"/>
          </w:rPr>
          <w:t xml:space="preserve">[3]</w:t>
        </w:r>
      </w:hyperlink>
      <w:r>
        <w:t xml:space="preserve">[4][5], to debris</w:t>
      </w:r>
      <w:r>
        <w:t xml:space="preserve"> </w:t>
      </w:r>
      <w:hyperlink w:anchor="ref-3">
        <w:r>
          <w:rPr>
            <w:rStyle w:val="Hyperlink"/>
          </w:rPr>
          <w:t xml:space="preserve">[3]</w:t>
        </w:r>
      </w:hyperlink>
      <w:r>
        <w:t xml:space="preserve">[13][22], to the broader sustainability frame</w:t>
      </w:r>
      <w:r>
        <w:t xml:space="preserve"> </w:t>
      </w:r>
      <w:hyperlink w:anchor="ref-9">
        <w:r>
          <w:rPr>
            <w:rStyle w:val="Hyperlink"/>
          </w:rPr>
          <w:t xml:space="preserve">[9]</w:t>
        </w:r>
      </w:hyperlink>
      <w:r>
        <w:t xml:space="preserve">[19][24], and to the spectrum problem that this dissertation tests. It develops the gap argument summarized in Section 1.3 above and identifies the specific theoretical commitments that the empirical test will rest on.</w:t>
      </w:r>
    </w:p>
    <w:p>
      <w:pPr>
        <w:pStyle w:val="BodyText"/>
        <w:spacing w:line="480" w:lineRule="auto"/>
        <w:ind w:firstLine="720"/>
      </w:pPr>
      <w:r>
        <w:t xml:space="preserve">Chapter 3 develops the formal model of the polycentric DSS regime at the operator-pair level. It states the assumptions under which the polycentric prediction follows from the design principles, identifies the mapping between the design principles and the observable features of a bilateral coordination agreement, and specifies the relationship between the layered-rules prediction of the polycentric account and the cumulative-coordination-agreement count that appears in the panel evidence.</w:t>
      </w:r>
    </w:p>
    <w:p>
      <w:pPr>
        <w:pStyle w:val="BodyText"/>
        <w:spacing w:line="480" w:lineRule="auto"/>
        <w:ind w:firstLine="720"/>
      </w:pPr>
      <w:r>
        <w:t xml:space="preserve">Chapter 4 specifies the data. It identifies the ITU SNS-Online filings and BR-IFIC publications as the source of the treatment-status variable, the operator-pair panel structure, and the coordination-agreement event dates</w:t>
      </w:r>
      <w:r>
        <w:t xml:space="preserve"> </w:t>
      </w:r>
      <w:hyperlink w:anchor="ref-2">
        <w:r>
          <w:rPr>
            <w:rStyle w:val="Hyperlink"/>
          </w:rPr>
          <w:t xml:space="preserve">[2]</w:t>
        </w:r>
      </w:hyperlink>
      <w:r>
        <w:t xml:space="preserve">. It identifies the FCC International Bureau Filing System and Schedule S earth-station coordination submissions as the source of the interference and throughput measurements. It documents the provenance of each variable, fixes the terminal class and the measurement window in advance of estimation, and sets out the rules for handling the operator population, which includes the NGSO authorizations of SpaceX Starlink, OneWeb, Telesat Lightspeed, Amazon Kuiper, SES O3b mPOWER, Hughes JUPITER 3, Iridium NEXT, Kepler Communications, and Planet SkySat, paired with the GSO coordination filings of Intelsat, SES, Eutelsat, Inmarsat (Viasat), Echostar, Hughes, JSAT, and ABS</w:t>
      </w:r>
      <w:r>
        <w:t xml:space="preserve"> </w:t>
      </w:r>
      <w:hyperlink w:anchor="ref-1">
        <w:r>
          <w:rPr>
            <w:rStyle w:val="Hyperlink"/>
          </w:rPr>
          <w:t xml:space="preserve">[1]</w:t>
        </w:r>
      </w:hyperlink>
      <w:r>
        <w:t xml:space="preserve">.</w:t>
      </w:r>
    </w:p>
    <w:p>
      <w:pPr>
        <w:pStyle w:val="BodyText"/>
        <w:spacing w:line="480" w:lineRule="auto"/>
        <w:ind w:firstLine="720"/>
      </w:pPr>
      <w:r>
        <w:t xml:space="preserve">Chapter 5 presents the quantitative core of the dissertation. It reports the full operator-pair panel difference-in-differences estimator, the event-study specification with parallel-pre-trend diagnostics, the placebo treatment on announced-but-unconsummated pairings, and the joint test of the interference reduction and the throughput tolerance band. It extends the panel evidence summarized in the first companion paper to the full operator-pair population and to the throughput dependent variable that the companion paper deferred.</w:t>
      </w:r>
    </w:p>
    <w:p>
      <w:pPr>
        <w:pStyle w:val="BodyText"/>
        <w:spacing w:line="480" w:lineRule="auto"/>
        <w:ind w:firstLine="720"/>
      </w:pPr>
      <w:r>
        <w:t xml:space="preserve">Chapter 6 presents the cross-sectional check and the EPFD-margin diagnostic. It extends the cross-sectional OLS evidence of the second companion paper to the full operator-pair sample and tests the collinearity hypothesis that the EPFD margin variable absorbs the polycentric-coordination signal at the static link-budget layer.</w:t>
      </w:r>
    </w:p>
    <w:p>
      <w:pPr>
        <w:pStyle w:val="BodyText"/>
        <w:spacing w:line="480" w:lineRule="auto"/>
        <w:ind w:firstLine="720"/>
      </w:pPr>
      <w:r>
        <w:t xml:space="preserve">Chapter 7 presents the qualitative process-trace of the coordination institutions. It codes the bilateral coordination agreements against Ostrom’s eight design principles, following the orbital-debris audit instrument</w:t>
      </w:r>
      <w:r>
        <w:t xml:space="preserve"> </w:t>
      </w:r>
      <w:hyperlink w:anchor="ref-3">
        <w:r>
          <w:rPr>
            <w:rStyle w:val="Hyperlink"/>
          </w:rPr>
          <w:t xml:space="preserve">[3]</w:t>
        </w:r>
      </w:hyperlink>
      <w:r>
        <w:t xml:space="preserve">, establishes intercoder reliability on a held-out subset, and maps the institutional codings onto the treatment intensity in the panel. It addresses the question of which institutional features of a DSS regime are present in the treated operator pairs and which are absent, and identifies the specific features whose presence is associated with larger margin gains.</w:t>
      </w:r>
    </w:p>
    <w:p>
      <w:pPr>
        <w:pStyle w:val="BodyText"/>
        <w:spacing w:line="480" w:lineRule="auto"/>
        <w:ind w:firstLine="720"/>
      </w:pPr>
      <w:r>
        <w:t xml:space="preserve">Chapter 8 discusses the threats to validity introduced in Section 6 of the prospectus. It addresses selection into DSS coordination, the operator-reported character of the interference measurements, the sensitivity of the throughput tolerance band to traffic mix and terminal class, and the interpretive character of the polycentric coding. It places the dissertation’s findings in the broader context of the orbital-commons literature</w:t>
      </w:r>
      <w:r>
        <w:t xml:space="preserve"> </w:t>
      </w:r>
      <w:hyperlink w:anchor="ref-3">
        <w:r>
          <w:rPr>
            <w:rStyle w:val="Hyperlink"/>
          </w:rPr>
          <w:t xml:space="preserve">[3]</w:t>
        </w:r>
      </w:hyperlink>
      <w:r>
        <w:t xml:space="preserve">[4][7][16] and of the New Space governance transition</w:t>
      </w:r>
      <w:r>
        <w:t xml:space="preserve"> </w:t>
      </w:r>
      <w:hyperlink w:anchor="ref-17">
        <w:r>
          <w:rPr>
            <w:rStyle w:val="Hyperlink"/>
          </w:rPr>
          <w:t xml:space="preserve">[17]</w:t>
        </w:r>
      </w:hyperlink>
      <w:r>
        <w:t xml:space="preserve">, and it identifies the specific decisions before NASA and JPL that the findings inform.</w:t>
      </w:r>
    </w:p>
    <w:p>
      <w:pPr>
        <w:pStyle w:val="BodyText"/>
        <w:spacing w:line="480" w:lineRule="auto"/>
        <w:ind w:firstLine="720"/>
      </w:pPr>
      <w:r>
        <w:t xml:space="preserve">Chapter 9 concludes. It states the single falsifiable contribution of the dissertation in its post-estimation form, identifies the implications for regulators considering an operationally polycentric layer above the treaty-layer instrument, identifies the implications for NASA and JPL spectrum strategy and mission-design margin assumptions, and identifies the next falsifiable claims that the polycentric DSS frame admits. It returns the dissertation to the broader question with which it opens, which is whether the rate at which the rules for using the Ku- and Ka-bands can be made to adapt can be brought closer to the rate at which the bands are actually being used.</w:t>
      </w:r>
    </w:p>
    <w:bookmarkEnd w:id="65"/>
    <w:bookmarkEnd w:id="66"/>
    <w:bookmarkStart w:id="82" w:name="chapter-2.-literature-review"/>
    <w:p>
      <w:pPr>
        <w:pStyle w:val="Heading1"/>
        <w:spacing w:line="480" w:lineRule="auto"/>
      </w:pPr>
      <w:r>
        <w:t xml:space="preserve">Chapter 2. Literature Review</w:t>
      </w:r>
    </w:p>
    <w:bookmarkStart w:id="67" w:name="aim-and-structure-of-the-review"/>
    <w:p>
      <w:pPr>
        <w:pStyle w:val="Heading2"/>
        <w:spacing w:line="480" w:lineRule="auto"/>
      </w:pPr>
      <w:r>
        <w:t xml:space="preserve">2.1 Aim and Structure of the Review</w:t>
      </w:r>
    </w:p>
    <w:p>
      <w:pPr>
        <w:pStyle w:val="FirstParagraph"/>
        <w:spacing w:line="480" w:lineRule="auto"/>
      </w:pPr>
      <w:r>
        <w:t xml:space="preserve">The dissertation advances a single falsifiable claim: that a polycentrically governed dynamic spectrum sharing (DSS) regime between non-geostationary (NGSO) and geostationary (GSO) operators in the Ku- and Ka-bands reduces aggregate co-channel interference at GSO earth stations without breaching a pre-registered downlink throughput tolerance band. The claim sits at the intersection of two literatures that have, until now, not been formally joined. The first is the domain technical literature on NGSO-GSO coexistence, the equivalent power flux density (EPFD) regulatory architecture established at the World Radiocommunication Conferences, the LEO broadband build-out, and the wider orbital-commons critique of static treaty-anchored governance. The second is the cliometric and quasi-experimental econometric methodology literature on staggered treatment timing, two-way fixed-effects estimation, and the principled use of conditional ordinary-least-squares (OLS) tests with institutional codings to triangulate a polycentric mechanism. The argument of this chapter is that each of the two literatures has, on its own terms, taken its theoretical and empirical project as far as the existing methodological scaffolding permits, and that neither has been translated into a measurable hypothesis about the joint behaviour of interference and throughput under bilateral operator-level coordination. The gap, which the empirical chapters of this dissertation occupy, is the principled cliometric joining of the two.</w:t>
      </w:r>
    </w:p>
    <w:p>
      <w:pPr>
        <w:pStyle w:val="BodyText"/>
        <w:spacing w:line="480" w:lineRule="auto"/>
        <w:ind w:firstLine="720"/>
      </w:pPr>
      <w:r>
        <w:t xml:space="preserve">The chapter proceeds in four moves. Section 2.2 reviews the domain technical literature on NGSO-GSO spectrum coexistence and the polycentric-commons critique of orbital and spectrum governance, surfacing the variables, the mechanisms, and the limits of identification that the domain has so far been able to establish. Section 2.3 reviews the cliometric and quasi-experimental econometric methodology literature on which a credible test of the polycentric DSS claim must rest, including the panel difference-in-differences architecture, the cross-sectional conditional-OLS architecture, and the institutional-coding tradition that allows a qualitative polycentric construct to be operationalised against a quantitative estimator. Section 2.4 synthesises the two literatures and identifies the precise unjoined seam at which the dissertation operates. Section 2.5 specifies the gap and frames the empirical strategy that closes it.</w:t>
      </w:r>
    </w:p>
    <w:bookmarkEnd w:id="67"/>
    <w:bookmarkStart w:id="73" w:name="the-domain-technical-literature"/>
    <w:p>
      <w:pPr>
        <w:pStyle w:val="Heading2"/>
        <w:spacing w:line="480" w:lineRule="auto"/>
      </w:pPr>
      <w:r>
        <w:t xml:space="preserve">2.2 The Domain Technical Literature</w:t>
      </w:r>
    </w:p>
    <w:bookmarkStart w:id="68" w:name="X806c11d24e28d67dc5ceac4461a95c6ddb7d57f"/>
    <w:p>
      <w:pPr>
        <w:pStyle w:val="Heading3"/>
        <w:spacing w:line="480" w:lineRule="auto"/>
      </w:pPr>
      <w:r>
        <w:t xml:space="preserve">2.2.1 The LEO Broadband Build-Out and the Compression of NGSO-GSO Separation</w:t>
      </w:r>
    </w:p>
    <w:p>
      <w:pPr>
        <w:pStyle w:val="FirstParagraph"/>
        <w:spacing w:line="480" w:lineRule="auto"/>
      </w:pPr>
      <w:r>
        <w:t xml:space="preserve">Begin with the empirical fact from which the technical literature departs: the build-out of low earth orbit broadband constellations has compressed the operational separation between NGSO terminals and the incumbent GSO fixed-satellite-service networks that share the Ku- and Ka-band assignments. Young and Thadani characterise this competition as the central strategic and commercial fact of contemporary LEO development and document the scale and pace at which thousands of NGSO emitters have entered bands that were originally allocated under the assumption of a sparse GSO environment</w:t>
      </w:r>
      <w:r>
        <w:t xml:space="preserve"> </w:t>
      </w:r>
      <w:hyperlink w:anchor="ref-1">
        <w:r>
          <w:rPr>
            <w:rStyle w:val="Hyperlink"/>
          </w:rPr>
          <w:t xml:space="preserve">[1]</w:t>
        </w:r>
      </w:hyperlink>
      <w:r>
        <w:t xml:space="preserve">. The same paper makes the institutional point that the static, first-come, ITU-coordinated allocation model that governs those bands was not designed to adapt to the actual geometric and traffic state of the sky and treats spectrum as a partitioned rather than a shared resource</w:t>
      </w:r>
      <w:r>
        <w:t xml:space="preserve"> </w:t>
      </w:r>
      <w:hyperlink w:anchor="ref-1">
        <w:r>
          <w:rPr>
            <w:rStyle w:val="Hyperlink"/>
          </w:rPr>
          <w:t xml:space="preserve">[1]</w:t>
        </w:r>
      </w:hyperlink>
      <w:r>
        <w:t xml:space="preserve">. The strategic-commercial framing of</w:t>
      </w:r>
      <w:r>
        <w:t xml:space="preserve"> </w:t>
      </w:r>
      <w:hyperlink w:anchor="ref-1">
        <w:r>
          <w:rPr>
            <w:rStyle w:val="Hyperlink"/>
          </w:rPr>
          <w:t xml:space="preserve">[1]</w:t>
        </w:r>
      </w:hyperlink>
      <w:r>
        <w:t xml:space="preserve"> </w:t>
      </w:r>
      <w:r>
        <w:t xml:space="preserve">is mirrored at the level of national and whole-of-nation industrial policy by the synthesis in The Space Imperative, which sets the LEO broadband competition inside the wider economic and security stakes of orbital infrastructure and frames the regulatory architecture as a binding constraint on commercial activity</w:t>
      </w:r>
      <w:r>
        <w:t xml:space="preserve"> </w:t>
      </w:r>
      <w:hyperlink w:anchor="ref-25">
        <w:r>
          <w:rPr>
            <w:rStyle w:val="Hyperlink"/>
          </w:rPr>
          <w:t xml:space="preserve">[25]</w:t>
        </w:r>
      </w:hyperlink>
      <w:r>
        <w:t xml:space="preserve">.</w:t>
      </w:r>
    </w:p>
    <w:p>
      <w:pPr>
        <w:pStyle w:val="BodyText"/>
        <w:spacing w:line="480" w:lineRule="auto"/>
        <w:ind w:firstLine="720"/>
      </w:pPr>
      <w:r>
        <w:t xml:space="preserve">At the World Radiocommunication Conferences, the institutional architecture against which the build-out has had to be reconciled was negotiated. Allison’s WRC-19 record is the canonical technical-legal account</w:t>
      </w:r>
      <w:r>
        <w:t xml:space="preserve"> </w:t>
      </w:r>
      <w:hyperlink w:anchor="ref-2">
        <w:r>
          <w:rPr>
            <w:rStyle w:val="Hyperlink"/>
          </w:rPr>
          <w:t xml:space="preserve">[2]</w:t>
        </w:r>
      </w:hyperlink>
      <w:r>
        <w:t xml:space="preserve">, with the corresponding industry account given in</w:t>
      </w:r>
      <w:r>
        <w:t xml:space="preserve"> </w:t>
      </w:r>
      <w:hyperlink w:anchor="ref-10">
        <w:r>
          <w:rPr>
            <w:rStyle w:val="Hyperlink"/>
          </w:rPr>
          <w:t xml:space="preserve">[10]</w:t>
        </w:r>
      </w:hyperlink>
      <w:r>
        <w:t xml:space="preserve">. The two documents are substantively the same instrument and they jointly establish three points that any empirical test of NGSO-GSO coexistence must respect. First, the Article 22 equivalent power flux density limits are the legally binding floor against which aggregate emissions from NGSO systems into GSO earth stations are measured, and operators report their margin against those limits as a regulatory obligation</w:t>
      </w:r>
      <w:r>
        <w:t xml:space="preserve"> </w:t>
      </w:r>
      <w:hyperlink w:anchor="ref-2">
        <w:r>
          <w:rPr>
            <w:rStyle w:val="Hyperlink"/>
          </w:rPr>
          <w:t xml:space="preserve">[2]</w:t>
        </w:r>
      </w:hyperlink>
      <w:r>
        <w:t xml:space="preserve">[10]. Second, the WRC-19 record explicitly admits the possibility of operator-level coordination as a complement to the treaty-layer architecture, which is the legal opening on which an operationally implemented DSS regime depends</w:t>
      </w:r>
      <w:r>
        <w:t xml:space="preserve"> </w:t>
      </w:r>
      <w:hyperlink w:anchor="ref-2">
        <w:r>
          <w:rPr>
            <w:rStyle w:val="Hyperlink"/>
          </w:rPr>
          <w:t xml:space="preserve">[2]</w:t>
        </w:r>
      </w:hyperlink>
      <w:r>
        <w:t xml:space="preserve">[10]. Third, the spectrum-efficiency gains that mega-LEO systems have pursued are presented in the WRC record as engineering achievements within the existing legal envelope rather than as a substitute for it</w:t>
      </w:r>
      <w:r>
        <w:t xml:space="preserve"> </w:t>
      </w:r>
      <w:hyperlink w:anchor="ref-2">
        <w:r>
          <w:rPr>
            <w:rStyle w:val="Hyperlink"/>
          </w:rPr>
          <w:t xml:space="preserve">[2]</w:t>
        </w:r>
      </w:hyperlink>
      <w:r>
        <w:t xml:space="preserve">[10]. The cumulative effect is that the EPFD margin is both the most theoretically motivated and the most empirically dominant single regulatory variable in any link-budget-level test of interference at the GSO earth station, a feature whose econometric implications are revisited at length in Section 2.3 and confirmed in the cross-sectional results of the companion paper.</w:t>
      </w:r>
    </w:p>
    <w:bookmarkEnd w:id="68"/>
    <w:bookmarkStart w:id="69" w:name="Xb5ba846d9306e7fe0e9e3672f9f4cb32f1d1101"/>
    <w:p>
      <w:pPr>
        <w:pStyle w:val="Heading3"/>
        <w:spacing w:line="480" w:lineRule="auto"/>
      </w:pPr>
      <w:r>
        <w:t xml:space="preserve">2.2.2 The Polycentric-Commons Critique of Orbital and Spectrum Governance</w:t>
      </w:r>
    </w:p>
    <w:p>
      <w:pPr>
        <w:pStyle w:val="FirstParagraph"/>
        <w:spacing w:line="480" w:lineRule="auto"/>
      </w:pPr>
      <w:r>
        <w:t xml:space="preserve">Parallel to the technical literature on coexistence, a polycentric-commons critique has developed which argues that the prevailing radio-regulatory architecture, taken as a whole, lacks the institutional features that Ostrom’s design principles identify as necessary for a sustainable commons. Morin and Couette set out the most precise version of this argument for orbital debris and show, by an explicit audit against the eight design principles, that the existing arrangements fail on monitoring, graduated sanctions, conflict-resolution mechanisms, and nested enterprises</w:t>
      </w:r>
      <w:r>
        <w:t xml:space="preserve"> </w:t>
      </w:r>
      <w:hyperlink w:anchor="ref-3">
        <w:r>
          <w:rPr>
            <w:rStyle w:val="Hyperlink"/>
          </w:rPr>
          <w:t xml:space="preserve">[3]</w:t>
        </w:r>
      </w:hyperlink>
      <w:r>
        <w:t xml:space="preserve">. The Morin and Couette analysis is significant for the present dissertation in two distinct ways. Substantively, it identifies the absence of polycentric features as the diagnosis rather than the institutional thinness as a side effect, and it does so through a formulation that translates directly into a coding instrument. Methodologically, it establishes the auditable Ostrom-principle coding template that the qualitative component of this dissertation, and the ordinal coordination-intensity index of the companion cross-sectional paper, adopt without significant modification</w:t>
      </w:r>
      <w:r>
        <w:t xml:space="preserve"> </w:t>
      </w:r>
      <w:hyperlink w:anchor="ref-3">
        <w:r>
          <w:rPr>
            <w:rStyle w:val="Hyperlink"/>
          </w:rPr>
          <w:t xml:space="preserve">[3]</w:t>
        </w:r>
      </w:hyperlink>
      <w:r>
        <w:t xml:space="preserve">.</w:t>
      </w:r>
    </w:p>
    <w:p>
      <w:pPr>
        <w:pStyle w:val="BodyText"/>
        <w:spacing w:line="480" w:lineRule="auto"/>
        <w:ind w:firstLine="720"/>
      </w:pPr>
      <w:r>
        <w:t xml:space="preserve">Complementing the diagnostic work of</w:t>
      </w:r>
      <w:r>
        <w:t xml:space="preserve"> </w:t>
      </w:r>
      <w:hyperlink w:anchor="ref-3">
        <w:r>
          <w:rPr>
            <w:rStyle w:val="Hyperlink"/>
          </w:rPr>
          <w:t xml:space="preserve">[3]</w:t>
        </w:r>
      </w:hyperlink>
      <w:r>
        <w:t xml:space="preserve">, the orbital-commons scenario literature adds a forward-looking architecture. Yap, Janssen, Aganaba and Tutton specify four alternative commons scenarios and assess each against the design principles, identifying the polycentric scenario as the one most consistent with sustainable use of the orbital and spectrum resources at stake</w:t>
      </w:r>
      <w:r>
        <w:t xml:space="preserve"> </w:t>
      </w:r>
      <w:hyperlink w:anchor="ref-4">
        <w:r>
          <w:rPr>
            <w:rStyle w:val="Hyperlink"/>
          </w:rPr>
          <w:t xml:space="preserve">[4]</w:t>
        </w:r>
      </w:hyperlink>
      <w:r>
        <w:t xml:space="preserve">. The same group of authors has elsewhere shown, with discourse-network analysis, that the global socio-technical regime tackling space debris is in fact emerging in a polycentric and discourse-mediated way, with multiple sites of rule-making and a non-trivial degree of institutional adaptation</w:t>
      </w:r>
      <w:r>
        <w:t xml:space="preserve"> </w:t>
      </w:r>
      <w:hyperlink w:anchor="ref-22">
        <w:r>
          <w:rPr>
            <w:rStyle w:val="Hyperlink"/>
          </w:rPr>
          <w:t xml:space="preserve">[22]</w:t>
        </w:r>
      </w:hyperlink>
      <w:r>
        <w:t xml:space="preserve">. The combination of</w:t>
      </w:r>
      <w:r>
        <w:t xml:space="preserve"> </w:t>
      </w:r>
      <w:hyperlink w:anchor="ref-4">
        <w:r>
          <w:rPr>
            <w:rStyle w:val="Hyperlink"/>
          </w:rPr>
          <w:t xml:space="preserve">[4]</w:t>
        </w:r>
      </w:hyperlink>
      <w:r>
        <w:t xml:space="preserve"> </w:t>
      </w:r>
      <w:r>
        <w:t xml:space="preserve">and</w:t>
      </w:r>
      <w:r>
        <w:t xml:space="preserve"> </w:t>
      </w:r>
      <w:hyperlink w:anchor="ref-22">
        <w:r>
          <w:rPr>
            <w:rStyle w:val="Hyperlink"/>
          </w:rPr>
          <w:t xml:space="preserve">[22]</w:t>
        </w:r>
      </w:hyperlink>
      <w:r>
        <w:t xml:space="preserve"> </w:t>
      </w:r>
      <w:r>
        <w:t xml:space="preserve">is important for the present project because it establishes that the polycentric scenario is not a normative aspiration imposed on the case from outside but a description of the trajectory that the technical and policy actors are themselves on. The orbital-debris-specific argument of</w:t>
      </w:r>
      <w:r>
        <w:t xml:space="preserve"> </w:t>
      </w:r>
      <w:hyperlink w:anchor="ref-3">
        <w:r>
          <w:rPr>
            <w:rStyle w:val="Hyperlink"/>
          </w:rPr>
          <w:t xml:space="preserve">[3]</w:t>
        </w:r>
      </w:hyperlink>
      <w:r>
        <w:t xml:space="preserve"> </w:t>
      </w:r>
      <w:r>
        <w:t xml:space="preserve">and the scenario architecture of</w:t>
      </w:r>
      <w:r>
        <w:t xml:space="preserve"> </w:t>
      </w:r>
      <w:hyperlink w:anchor="ref-4">
        <w:r>
          <w:rPr>
            <w:rStyle w:val="Hyperlink"/>
          </w:rPr>
          <w:t xml:space="preserve">[4]</w:t>
        </w:r>
      </w:hyperlink>
      <w:r>
        <w:t xml:space="preserve"> </w:t>
      </w:r>
      <w:r>
        <w:t xml:space="preserve">together motivate the application of the polycentric frame to spectrum, with the WRC-19 record</w:t>
      </w:r>
      <w:r>
        <w:t xml:space="preserve"> </w:t>
      </w:r>
      <w:hyperlink w:anchor="ref-2">
        <w:r>
          <w:rPr>
            <w:rStyle w:val="Hyperlink"/>
          </w:rPr>
          <w:t xml:space="preserve">[2]</w:t>
        </w:r>
      </w:hyperlink>
      <w:r>
        <w:t xml:space="preserve">[10] providing the legal architecture inside which the operator-level coordination that the polycentric account requires must take place.</w:t>
      </w:r>
    </w:p>
    <w:p>
      <w:pPr>
        <w:pStyle w:val="BodyText"/>
        <w:spacing w:line="480" w:lineRule="auto"/>
        <w:ind w:firstLine="720"/>
      </w:pPr>
      <w:r>
        <w:t xml:space="preserve">Varughese and colleagues extend the orbital-debris architecture to a transdisciplinary sustainability framing, arguing that orbital and spectrum sustainability cannot be adequately treated by any single discipline and require the integrated transdisciplinary and bi-cultural framing they specify</w:t>
      </w:r>
      <w:r>
        <w:t xml:space="preserve"> </w:t>
      </w:r>
      <w:hyperlink w:anchor="ref-9">
        <w:r>
          <w:rPr>
            <w:rStyle w:val="Hyperlink"/>
          </w:rPr>
          <w:t xml:space="preserve">[9]</w:t>
        </w:r>
      </w:hyperlink>
      <w:r>
        <w:t xml:space="preserve">. The same general claim about integration appears in Cirkovic and Wood, who develop a planetary-boundaries framework for sustainable space exploration in which orbital and spectrum resources are treated as coupled to terrestrial earth-system boundaries</w:t>
      </w:r>
      <w:r>
        <w:t xml:space="preserve"> </w:t>
      </w:r>
      <w:hyperlink w:anchor="ref-19">
        <w:r>
          <w:rPr>
            <w:rStyle w:val="Hyperlink"/>
          </w:rPr>
          <w:t xml:space="preserve">[19]</w:t>
        </w:r>
      </w:hyperlink>
      <w:r>
        <w:t xml:space="preserve">. Profitiliotis extends the sustainability frame into the metanarrative space shared between SETI and space sustainability, with implications for the discourse environment in which polycentric regimes must achieve legitimacy</w:t>
      </w:r>
      <w:r>
        <w:t xml:space="preserve"> </w:t>
      </w:r>
      <w:hyperlink w:anchor="ref-24">
        <w:r>
          <w:rPr>
            <w:rStyle w:val="Hyperlink"/>
          </w:rPr>
          <w:t xml:space="preserve">[24]</w:t>
        </w:r>
      </w:hyperlink>
      <w:r>
        <w:t xml:space="preserve">. These contributions are not the immediate substantive background for the spectrum-coexistence test of this dissertation, but they establish the discursive register and the multi-actor logic in which the polycentric account of spectrum coexistence must be located.</w:t>
      </w:r>
    </w:p>
    <w:bookmarkEnd w:id="69"/>
    <w:bookmarkStart w:id="70" w:name="X037bfb1b98c8b9f143b890b8e8b48bc6af3958f"/>
    <w:p>
      <w:pPr>
        <w:pStyle w:val="Heading3"/>
        <w:spacing w:line="480" w:lineRule="auto"/>
      </w:pPr>
      <w:r>
        <w:t xml:space="preserve">2.2.3 Operationalising the Polycentric Frame: Information Sharing and the Operator Layer</w:t>
      </w:r>
    </w:p>
    <w:p>
      <w:pPr>
        <w:pStyle w:val="FirstParagraph"/>
        <w:spacing w:line="480" w:lineRule="auto"/>
      </w:pPr>
      <w:r>
        <w:t xml:space="preserve">A distinct strand of the domain literature has translated the polycentric diagnostic of</w:t>
      </w:r>
      <w:r>
        <w:t xml:space="preserve"> </w:t>
      </w:r>
      <w:hyperlink w:anchor="ref-3">
        <w:r>
          <w:rPr>
            <w:rStyle w:val="Hyperlink"/>
          </w:rPr>
          <w:t xml:space="preserve">[3]</w:t>
        </w:r>
      </w:hyperlink>
      <w:r>
        <w:t xml:space="preserve"> </w:t>
      </w:r>
      <w:r>
        <w:t xml:space="preserve">and</w:t>
      </w:r>
      <w:r>
        <w:t xml:space="preserve"> </w:t>
      </w:r>
      <w:hyperlink w:anchor="ref-4">
        <w:r>
          <w:rPr>
            <w:rStyle w:val="Hyperlink"/>
          </w:rPr>
          <w:t xml:space="preserve">[4]</w:t>
        </w:r>
      </w:hyperlink>
      <w:r>
        <w:t xml:space="preserve"> </w:t>
      </w:r>
      <w:r>
        <w:t xml:space="preserve">into operational arguments about information-sharing institutions at the operator layer. Reed, Dailey, Stilwell and Weeden set out the case that decentralised space information sharing is the key operational enabler of trust and of the preservation of space as a useable domain</w:t>
      </w:r>
      <w:r>
        <w:t xml:space="preserve"> </w:t>
      </w:r>
      <w:hyperlink w:anchor="ref-11">
        <w:r>
          <w:rPr>
            <w:rStyle w:val="Hyperlink"/>
          </w:rPr>
          <w:t xml:space="preserve">[11]</w:t>
        </w:r>
      </w:hyperlink>
      <w:r>
        <w:t xml:space="preserve">. The closely related Reed, Stilwell, Weeden, Dailey and Tsamis contribution argues that sharing operational risk information in the space domain is the mechanism through which norms development and compliance monitoring can be supported</w:t>
      </w:r>
      <w:r>
        <w:t xml:space="preserve"> </w:t>
      </w:r>
      <w:hyperlink w:anchor="ref-15">
        <w:r>
          <w:rPr>
            <w:rStyle w:val="Hyperlink"/>
          </w:rPr>
          <w:t xml:space="preserve">[15]</w:t>
        </w:r>
      </w:hyperlink>
      <w:r>
        <w:t xml:space="preserve">. Dailey, Toner and Murphy extend the operator-layer logic to the bilateral case, arguing that a shared space information sharing ecosystem can function as a mechanism for promoting constructive U.S.-China space relations</w:t>
      </w:r>
      <w:r>
        <w:t xml:space="preserve"> </w:t>
      </w:r>
      <w:hyperlink w:anchor="ref-14">
        <w:r>
          <w:rPr>
            <w:rStyle w:val="Hyperlink"/>
          </w:rPr>
          <w:t xml:space="preserve">[14]</w:t>
        </w:r>
      </w:hyperlink>
      <w:r>
        <w:t xml:space="preserve">. The same general operator-layer architecture is described in Mokhnatkin’s analysis of the ISON initiative as a consortium for decentralised sharing of SSA data</w:t>
      </w:r>
      <w:r>
        <w:t xml:space="preserve"> </w:t>
      </w:r>
      <w:hyperlink w:anchor="ref-12">
        <w:r>
          <w:rPr>
            <w:rStyle w:val="Hyperlink"/>
          </w:rPr>
          <w:t xml:space="preserve">[12]</w:t>
        </w:r>
      </w:hyperlink>
      <w:r>
        <w:t xml:space="preserve">. Skinner and colleagues, working from the commercial GEO satellite operator side, describe ground-based SSA concepts that can be deployed in support of the commercial GEO operators that are the incumbent population of the GSO side of the Ku- and Ka-band coexistence problem</w:t>
      </w:r>
      <w:r>
        <w:t xml:space="preserve"> </w:t>
      </w:r>
      <w:hyperlink w:anchor="ref-5">
        <w:r>
          <w:rPr>
            <w:rStyle w:val="Hyperlink"/>
          </w:rPr>
          <w:t xml:space="preserve">[5]</w:t>
        </w:r>
      </w:hyperlink>
      <w:r>
        <w:t xml:space="preserve">.</w:t>
      </w:r>
    </w:p>
    <w:p>
      <w:pPr>
        <w:pStyle w:val="BodyText"/>
        <w:spacing w:line="480" w:lineRule="auto"/>
        <w:ind w:firstLine="720"/>
      </w:pPr>
      <w:r>
        <w:t xml:space="preserve">These contributions are not, on their face, about spectrum coordination. They are about SSA, conjunction risk, and the broader information-sharing surface of space-domain operations. They matter for the present review because they collectively establish that the operator layer in space, on issues that span orbital debris, conjunction risk, and norm formation, is already being theorised as a polycentric layer at which information exchange does institutional work</w:t>
      </w:r>
      <w:r>
        <w:t xml:space="preserve"> </w:t>
      </w:r>
      <w:hyperlink w:anchor="ref-11">
        <w:r>
          <w:rPr>
            <w:rStyle w:val="Hyperlink"/>
          </w:rPr>
          <w:t xml:space="preserve">[11]</w:t>
        </w:r>
      </w:hyperlink>
      <w:r>
        <w:t xml:space="preserve">[12][14][15]. The translation of that operator-layer logic to NGSO-GSO spectrum coordination is short. The bilateral DSS coordination agreement between an NGSO operator and a GSO operator is structurally the same kind of operator-layer information-sharing institution that</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4">
        <w:r>
          <w:rPr>
            <w:rStyle w:val="Hyperlink"/>
          </w:rPr>
          <w:t xml:space="preserve">[14]</w:t>
        </w:r>
      </w:hyperlink>
      <w:r>
        <w:t xml:space="preserve"> </w:t>
      </w:r>
      <w:r>
        <w:t xml:space="preserve">and</w:t>
      </w:r>
      <w:r>
        <w:t xml:space="preserve"> </w:t>
      </w:r>
      <w:hyperlink w:anchor="ref-15">
        <w:r>
          <w:rPr>
            <w:rStyle w:val="Hyperlink"/>
          </w:rPr>
          <w:t xml:space="preserve">[15]</w:t>
        </w:r>
      </w:hyperlink>
      <w:r>
        <w:t xml:space="preserve"> </w:t>
      </w:r>
      <w:r>
        <w:t xml:space="preserve">describe in adjacent domains, and the auditable Ostrom-principle coding instrument of</w:t>
      </w:r>
      <w:r>
        <w:t xml:space="preserve"> </w:t>
      </w:r>
      <w:hyperlink w:anchor="ref-3">
        <w:r>
          <w:rPr>
            <w:rStyle w:val="Hyperlink"/>
          </w:rPr>
          <w:t xml:space="preserve">[3]</w:t>
        </w:r>
      </w:hyperlink>
      <w:r>
        <w:t xml:space="preserve"> </w:t>
      </w:r>
      <w:r>
        <w:t xml:space="preserve">applies to it with minimal adaptation. The Reed, Dailey, Stilwell, Weeden, and Tsamis pieces in particular</w:t>
      </w:r>
      <w:r>
        <w:t xml:space="preserve"> </w:t>
      </w:r>
      <w:hyperlink w:anchor="ref-11">
        <w:r>
          <w:rPr>
            <w:rStyle w:val="Hyperlink"/>
          </w:rPr>
          <w:t xml:space="preserve">[11]</w:t>
        </w:r>
      </w:hyperlink>
      <w:r>
        <w:t xml:space="preserve">[15] establish the substantive vocabulary in which the present dissertation operates when it codes coordination depth as a polycentric variable rather than as a technical procedure.</w:t>
      </w:r>
    </w:p>
    <w:bookmarkEnd w:id="70"/>
    <w:bookmarkStart w:id="71" w:name="X7524fa96b5d2f4a7bdee09e5ab90151c2092b62"/>
    <w:p>
      <w:pPr>
        <w:pStyle w:val="Heading3"/>
        <w:spacing w:line="480" w:lineRule="auto"/>
      </w:pPr>
      <w:r>
        <w:t xml:space="preserve">2.2.4 Orbital Capacity, Demand, and the Constellation-Design Background</w:t>
      </w:r>
    </w:p>
    <w:p>
      <w:pPr>
        <w:pStyle w:val="FirstParagraph"/>
        <w:spacing w:line="480" w:lineRule="auto"/>
      </w:pPr>
      <w:r>
        <w:t xml:space="preserve">A further strand of the domain literature provides the constellation-design and orbital-capacity background against which the operator-pair-level test of this dissertation has to be calibrated. D’Ambrosio, Lifson, Jang, Pasiecznik and Linares develop a projection of orbital demand and a measure of LEO environmental capacity that frames the macro-level pressure on the orbital and spectrum commons in quantitative terms</w:t>
      </w:r>
      <w:r>
        <w:t xml:space="preserve"> </w:t>
      </w:r>
      <w:hyperlink w:anchor="ref-16">
        <w:r>
          <w:rPr>
            <w:rStyle w:val="Hyperlink"/>
          </w:rPr>
          <w:t xml:space="preserve">[16]</w:t>
        </w:r>
      </w:hyperlink>
      <w:r>
        <w:t xml:space="preserve">. Anderson, Cardin and Grogan extend the constellation-design literature with a flexible multi-layer staged-deployment design for satellite mega-constellations under demand uncertainty, which establishes that the deployment trajectories of the NGSO constellations that drive the present dissertation’s panel are themselves contingent decisions taken under uncertainty rather than fixed exogenous quantities</w:t>
      </w:r>
      <w:r>
        <w:t xml:space="preserve"> </w:t>
      </w:r>
      <w:hyperlink w:anchor="ref-21">
        <w:r>
          <w:rPr>
            <w:rStyle w:val="Hyperlink"/>
          </w:rPr>
          <w:t xml:space="preserve">[21]</w:t>
        </w:r>
      </w:hyperlink>
      <w:r>
        <w:t xml:space="preserve">. Stanley and Woollands extend the constellation-modelling toolkit with shared gravity approximations for satellite constellations, which matters for the present project because the geometric exposure of a GSO earth station to NGSO emitters is in part a function of constellation-level orbital dynamics whose modelling is itself an active research frontier</w:t>
      </w:r>
      <w:r>
        <w:t xml:space="preserve"> </w:t>
      </w:r>
      <w:hyperlink w:anchor="ref-18">
        <w:r>
          <w:rPr>
            <w:rStyle w:val="Hyperlink"/>
          </w:rPr>
          <w:t xml:space="preserve">[18]</w:t>
        </w:r>
      </w:hyperlink>
      <w:r>
        <w:t xml:space="preserve">. Campana and Topputo’s ephemeris refinement of low-energy Earth-Moon transfers is more distant from the present project but contributes to the same broader astrodynamics literature in which the geometric driver of aggregate interference is computed</w:t>
      </w:r>
      <w:r>
        <w:t xml:space="preserve"> </w:t>
      </w:r>
      <w:hyperlink w:anchor="ref-20">
        <w:r>
          <w:rPr>
            <w:rStyle w:val="Hyperlink"/>
          </w:rPr>
          <w:t xml:space="preserve">[20]</w:t>
        </w:r>
      </w:hyperlink>
      <w:r>
        <w:t xml:space="preserve">. Stilwell and colleagues, in the orbital capacity contribution, place the capacity question in the international policy register in which the present dissertation’s institutional component operates</w:t>
      </w:r>
      <w:r>
        <w:t xml:space="preserve"> </w:t>
      </w:r>
      <w:hyperlink w:anchor="ref-7">
        <w:r>
          <w:rPr>
            <w:rStyle w:val="Hyperlink"/>
          </w:rPr>
          <w:t xml:space="preserve">[7]</w:t>
        </w:r>
      </w:hyperlink>
      <w:r>
        <w:t xml:space="preserve">.</w:t>
      </w:r>
    </w:p>
    <w:p>
      <w:pPr>
        <w:pStyle w:val="BodyText"/>
        <w:spacing w:line="480" w:lineRule="auto"/>
        <w:ind w:firstLine="720"/>
      </w:pPr>
      <w:r>
        <w:t xml:space="preserve">Why does this literature matter to the present review? It warns against treating the NGSO satellite count as a clean exogenous regressor. The companion panel paper finds that, conditional on the other regressors, NGSO active-satellite count carries a small positive coefficient on the interference margin, which is consistent with the interpretation that the largest constellations are also the operators with the most disciplined off-axis emission control and most active coordination effort. That reading is precisely the one</w:t>
      </w:r>
      <w:r>
        <w:t xml:space="preserve"> </w:t>
      </w:r>
      <w:hyperlink w:anchor="ref-16">
        <w:r>
          <w:rPr>
            <w:rStyle w:val="Hyperlink"/>
          </w:rPr>
          <w:t xml:space="preserve">[16]</w:t>
        </w:r>
      </w:hyperlink>
      <w:r>
        <w:t xml:space="preserve"> </w:t>
      </w:r>
      <w:r>
        <w:t xml:space="preserve">and</w:t>
      </w:r>
      <w:r>
        <w:t xml:space="preserve"> </w:t>
      </w:r>
      <w:hyperlink w:anchor="ref-21">
        <w:r>
          <w:rPr>
            <w:rStyle w:val="Hyperlink"/>
          </w:rPr>
          <w:t xml:space="preserve">[21]</w:t>
        </w:r>
      </w:hyperlink>
      <w:r>
        <w:t xml:space="preserve"> </w:t>
      </w:r>
      <w:r>
        <w:t xml:space="preserve">would predict and is one reason the panel design uses operator-pair fixed effects rather than treating the count as if it were a randomly assigned dose.</w:t>
      </w:r>
    </w:p>
    <w:bookmarkEnd w:id="71"/>
    <w:bookmarkStart w:id="72" w:name="Xc7a032d8d6a28fb5d134171fcaf2993dedea7e9"/>
    <w:p>
      <w:pPr>
        <w:pStyle w:val="Heading3"/>
        <w:spacing w:line="480" w:lineRule="auto"/>
      </w:pPr>
      <w:r>
        <w:t xml:space="preserve">2.2.5 Governance Evolution, Legal Frontiers, and the New Space Regime</w:t>
      </w:r>
    </w:p>
    <w:p>
      <w:pPr>
        <w:pStyle w:val="FirstParagraph"/>
        <w:spacing w:line="480" w:lineRule="auto"/>
      </w:pPr>
      <w:r>
        <w:t xml:space="preserve">The space-governance literature also contributes a regime-evolution framing that bears on the question of whether a DSS regime is the kind of arrangement that current institutions can in fact host. Zancan, Paravano, Locatelli and Trucco analyse the evolution of governance in the space sector from Legacy Space to New Space models and identify the operator-layer adaptations and bilateral arrangements that the new regime is generating</w:t>
      </w:r>
      <w:r>
        <w:t xml:space="preserve"> </w:t>
      </w:r>
      <w:hyperlink w:anchor="ref-17">
        <w:r>
          <w:rPr>
            <w:rStyle w:val="Hyperlink"/>
          </w:rPr>
          <w:t xml:space="preserve">[17]</w:t>
        </w:r>
      </w:hyperlink>
      <w:r>
        <w:t xml:space="preserve">. Marboe’s analysis of sub-orbital activities establishes that the legal frontier between air law and space law is itself a moving boundary at which new arrangements are being negotiated and treats the regulatory architecture as a living instrument rather than as a fixed substrate</w:t>
      </w:r>
      <w:r>
        <w:t xml:space="preserve"> </w:t>
      </w:r>
      <w:hyperlink w:anchor="ref-23">
        <w:r>
          <w:rPr>
            <w:rStyle w:val="Hyperlink"/>
          </w:rPr>
          <w:t xml:space="preserve">[23]</w:t>
        </w:r>
      </w:hyperlink>
      <w:r>
        <w:t xml:space="preserve">. Zhang and Balakrishnan, drawing lessons from the Montreal Protocol for orbital debris, supply a comparative-institutional reference point in which a similarly structured commons problem was successfully addressed by a layered regulatory and operator-level architecture</w:t>
      </w:r>
      <w:r>
        <w:t xml:space="preserve"> </w:t>
      </w:r>
      <w:hyperlink w:anchor="ref-13">
        <w:r>
          <w:rPr>
            <w:rStyle w:val="Hyperlink"/>
          </w:rPr>
          <w:t xml:space="preserve">[13]</w:t>
        </w:r>
      </w:hyperlink>
      <w:r>
        <w:t xml:space="preserve">. The McKinsey and World Economic Forum contribution sets the wider sustainability and development register in which the orbital and spectrum commons sit</w:t>
      </w:r>
      <w:r>
        <w:t xml:space="preserve"> </w:t>
      </w:r>
      <w:hyperlink w:anchor="ref-6">
        <w:r>
          <w:rPr>
            <w:rStyle w:val="Hyperlink"/>
          </w:rPr>
          <w:t xml:space="preserve">[6]</w:t>
        </w:r>
      </w:hyperlink>
      <w:r>
        <w:t xml:space="preserve">.</w:t>
      </w:r>
    </w:p>
    <w:p>
      <w:pPr>
        <w:pStyle w:val="BodyText"/>
        <w:spacing w:line="480" w:lineRule="auto"/>
        <w:ind w:firstLine="720"/>
      </w:pPr>
      <w:r>
        <w:t xml:space="preserve">Weighed cumulatively,</w:t>
      </w:r>
      <w:r>
        <w:t xml:space="preserve"> </w:t>
      </w:r>
      <w:hyperlink w:anchor="ref-13">
        <w:r>
          <w:rPr>
            <w:rStyle w:val="Hyperlink"/>
          </w:rPr>
          <w:t xml:space="preserve">[13]</w:t>
        </w:r>
      </w:hyperlink>
      <w:r>
        <w:t xml:space="preserve">,</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 </w:t>
      </w:r>
      <w:r>
        <w:t xml:space="preserve">and the wider</w:t>
      </w:r>
      <w:r>
        <w:t xml:space="preserve"> </w:t>
      </w:r>
      <w:hyperlink w:anchor="ref-6">
        <w:r>
          <w:rPr>
            <w:rStyle w:val="Hyperlink"/>
          </w:rPr>
          <w:t xml:space="preserve">[6]</w:t>
        </w:r>
      </w:hyperlink>
      <w:r>
        <w:t xml:space="preserve"> </w:t>
      </w:r>
      <w:r>
        <w:t xml:space="preserve">and</w:t>
      </w:r>
      <w:r>
        <w:t xml:space="preserve"> </w:t>
      </w:r>
      <w:hyperlink w:anchor="ref-25">
        <w:r>
          <w:rPr>
            <w:rStyle w:val="Hyperlink"/>
          </w:rPr>
          <w:t xml:space="preserve">[25]</w:t>
        </w:r>
      </w:hyperlink>
      <w:r>
        <w:t xml:space="preserve"> </w:t>
      </w:r>
      <w:r>
        <w:t xml:space="preserve">framing establish that the institutional space in which a polycentric DSS regime would have to operate is not a hostile or static one. The legal architecture admits operator-level coordination</w:t>
      </w:r>
      <w:r>
        <w:t xml:space="preserve"> </w:t>
      </w:r>
      <w:hyperlink w:anchor="ref-2">
        <w:r>
          <w:rPr>
            <w:rStyle w:val="Hyperlink"/>
          </w:rPr>
          <w:t xml:space="preserve">[2]</w:t>
        </w:r>
      </w:hyperlink>
      <w:r>
        <w:t xml:space="preserve">[10], the New Space governance is actively evolving toward operator-layer adaptation</w:t>
      </w:r>
      <w:r>
        <w:t xml:space="preserve"> </w:t>
      </w:r>
      <w:hyperlink w:anchor="ref-17">
        <w:r>
          <w:rPr>
            <w:rStyle w:val="Hyperlink"/>
          </w:rPr>
          <w:t xml:space="preserve">[17]</w:t>
        </w:r>
      </w:hyperlink>
      <w:r>
        <w:t xml:space="preserve">, and a structurally analogous commons problem has previously been addressed by exactly the kind of layered architecture that the polycentric account predicts</w:t>
      </w:r>
      <w:r>
        <w:t xml:space="preserve"> </w:t>
      </w:r>
      <w:hyperlink w:anchor="ref-13">
        <w:r>
          <w:rPr>
            <w:rStyle w:val="Hyperlink"/>
          </w:rPr>
          <w:t xml:space="preserve">[13]</w:t>
        </w:r>
      </w:hyperlink>
      <w:r>
        <w:t xml:space="preserve">. The domain literature, taken together, motivates and frames the polycentric DSS claim and supplies the variables and the institutional vocabulary in which the empirical test must be conducted. What the domain literature does not do is supply the cliometric instrument by which the claim can be falsified.</w:t>
      </w:r>
    </w:p>
    <w:bookmarkEnd w:id="72"/>
    <w:bookmarkEnd w:id="73"/>
    <w:bookmarkStart w:id="79" w:name="X98848de87a2173590a964eb47b449efeacb4d53"/>
    <w:p>
      <w:pPr>
        <w:pStyle w:val="Heading2"/>
        <w:spacing w:line="480" w:lineRule="auto"/>
      </w:pPr>
      <w:r>
        <w:t xml:space="preserve">2.3 The Cliometric and Quasi-Experimental Econometric Methodology Literature</w:t>
      </w:r>
    </w:p>
    <w:bookmarkStart w:id="74" w:name="X61e0c500223742b167c3944aca33b922aa81538"/>
    <w:p>
      <w:pPr>
        <w:pStyle w:val="Heading3"/>
        <w:spacing w:line="480" w:lineRule="auto"/>
      </w:pPr>
      <w:r>
        <w:t xml:space="preserve">2.3.1 The Cliometric Frame for an Institutional Commons Claim</w:t>
      </w:r>
    </w:p>
    <w:p>
      <w:pPr>
        <w:pStyle w:val="FirstParagraph"/>
        <w:spacing w:line="480" w:lineRule="auto"/>
      </w:pPr>
      <w:r>
        <w:t xml:space="preserve">The polycentric DSS claim is, in econometric terms, a claim about the causal effect of an institutional treatment, namely the entry into force of a bilateral DSS coordination agreement, on a continuous engineering outcome, namely the aggregate co-channel interference at the GSO earth station, with a joint constraint on a second engineering outcome, namely NGSO downlink throughput. The cliometric tradition, which applies econometric instruments to institutional and historical-economic claims, is the natural methodological home for such a hypothesis. Within the space-economics strand of that tradition, Weinzierl’s analysis of space as the final economic frontier explicitly identifies the orbital and spectrum commons as a Pigouvian and Coasian problem to which an Ostromian operator-level solution can be a complement rather than a substitute</w:t>
      </w:r>
      <w:r>
        <w:t xml:space="preserve"> </w:t>
      </w:r>
      <w:hyperlink w:anchor="ref-8">
        <w:r>
          <w:rPr>
            <w:rStyle w:val="Hyperlink"/>
          </w:rPr>
          <w:t xml:space="preserve">[8]</w:t>
        </w:r>
      </w:hyperlink>
      <w:r>
        <w:t xml:space="preserve">. The Weinzierl framing matters for the present project in two distinct ways. First, it establishes the economic-theoretic rationale for treating the bilateral DSS agreement as a discrete institutional treatment with a measurable causal effect on a continuous outcome variable, which is the basic precondition for any cliometric test. Second, it implies that the relevant outcome is the joint behaviour of an externality variable (interference) and a use-intensity variable (throughput), which is precisely the joint structure that the parent prospectus and the two empirical companion papers adopt</w:t>
      </w:r>
      <w:r>
        <w:t xml:space="preserve"> </w:t>
      </w:r>
      <w:hyperlink w:anchor="ref-8">
        <w:r>
          <w:rPr>
            <w:rStyle w:val="Hyperlink"/>
          </w:rPr>
          <w:t xml:space="preserve">[8]</w:t>
        </w:r>
      </w:hyperlink>
      <w:r>
        <w:t xml:space="preserve">.</w:t>
      </w:r>
    </w:p>
    <w:bookmarkEnd w:id="74"/>
    <w:bookmarkStart w:id="75" w:name="X4cffe5638b1d4e59c659e6e5247c4c6b530a7d3"/>
    <w:p>
      <w:pPr>
        <w:pStyle w:val="Heading3"/>
        <w:spacing w:line="480" w:lineRule="auto"/>
      </w:pPr>
      <w:r>
        <w:t xml:space="preserve">2.3.2 The Two-Way Fixed-Effects Panel Architecture</w:t>
      </w:r>
    </w:p>
    <w:p>
      <w:pPr>
        <w:pStyle w:val="FirstParagraph"/>
        <w:spacing w:line="480" w:lineRule="auto"/>
      </w:pPr>
      <w:r>
        <w:t xml:space="preserve">The first of the two cliometric instruments on which the dissertation rests is the two-way fixed-effects panel regression with a staggered treatment indicator. The architecture is well established in the cliometric and quasi-experimental econometric tradition for institutional-treatment claims whose treatment timing varies across units and over time. The companion panel paper of this dissertation uses exactly this architecture and obtains a DSS coefficient of 0.9811 dB with a p-value below 0.001, a coordination-agreement-count coefficient of 0.2156 dB per additional notified agreement at p = 0.0052, and an R-squared of 0.955 on thirty-six operator-pair-years, drawing on the WRC-19 legal architecture</w:t>
      </w:r>
      <w:r>
        <w:t xml:space="preserve"> </w:t>
      </w:r>
      <w:hyperlink w:anchor="ref-2">
        <w:r>
          <w:rPr>
            <w:rStyle w:val="Hyperlink"/>
          </w:rPr>
          <w:t xml:space="preserve">[2]</w:t>
        </w:r>
      </w:hyperlink>
      <w:r>
        <w:t xml:space="preserve"> </w:t>
      </w:r>
      <w:r>
        <w:t xml:space="preserve">and on the LEO build-out background</w:t>
      </w:r>
      <w:r>
        <w:t xml:space="preserve"> </w:t>
      </w:r>
      <w:hyperlink w:anchor="ref-1">
        <w:r>
          <w:rPr>
            <w:rStyle w:val="Hyperlink"/>
          </w:rPr>
          <w:t xml:space="preserve">[1]</w:t>
        </w:r>
      </w:hyperlink>
      <w:r>
        <w:t xml:space="preserve"> </w:t>
      </w:r>
      <w:r>
        <w:t xml:space="preserve">to justify the right-hand-side specification. The panel design is the cleanest available test of the polycentric DSS claim because it lets operator-pair fixed effects absorb the time-invariant unobservables that drive selection into coordination, and lets year intercepts absorb the WRC-cycle and ITU-cycle institutional time-shocks.</w:t>
      </w:r>
    </w:p>
    <w:p>
      <w:pPr>
        <w:pStyle w:val="BodyText"/>
        <w:spacing w:line="480" w:lineRule="auto"/>
        <w:ind w:firstLine="720"/>
      </w:pPr>
      <w:r>
        <w:t xml:space="preserve">Three methodological features of the panel architecture deserve emphasis in the context of the present review. First, the staggered timing of the bilateral DSS agreements supplies the within-pair variation that identifies the treatment effect. The same staggered-treatment logic appears throughout the cliometric and quasi-experimental literature, and its application here follows the standard practice in which event-study specifications and placebo tests on announced-but-unconsummated treatments are used to bound selection bias. Second, the constellation-design and orbital-demand literature of</w:t>
      </w:r>
      <w:r>
        <w:t xml:space="preserve"> </w:t>
      </w:r>
      <w:hyperlink w:anchor="ref-16">
        <w:r>
          <w:rPr>
            <w:rStyle w:val="Hyperlink"/>
          </w:rPr>
          <w:t xml:space="preserve">[16]</w:t>
        </w:r>
      </w:hyperlink>
      <w:r>
        <w:t xml:space="preserve"> </w:t>
      </w:r>
      <w:r>
        <w:t xml:space="preserve">and</w:t>
      </w:r>
      <w:r>
        <w:t xml:space="preserve"> </w:t>
      </w:r>
      <w:hyperlink w:anchor="ref-21">
        <w:r>
          <w:rPr>
            <w:rStyle w:val="Hyperlink"/>
          </w:rPr>
          <w:t xml:space="preserve">[21]</w:t>
        </w:r>
      </w:hyperlink>
      <w:r>
        <w:t xml:space="preserve"> </w:t>
      </w:r>
      <w:r>
        <w:t xml:space="preserve">supplies the substantive reason for using operator-pair fixed effects rather than treating constellation size as a clean exogenous regressor. Third, the institutional-coding tradition described in Section 2.3.4 supplies the audit by which the polycentric construct, which appears in the panel regression as a binary treatment indicator, can be made interpretable as a Ostrom-design-principle bundle rather than as an opaque dummy.</w:t>
      </w:r>
    </w:p>
    <w:bookmarkEnd w:id="75"/>
    <w:bookmarkStart w:id="76" w:name="X4c5ed1bf9be2fbcff4808e90447f923f0823d65"/>
    <w:p>
      <w:pPr>
        <w:pStyle w:val="Heading3"/>
        <w:spacing w:line="480" w:lineRule="auto"/>
      </w:pPr>
      <w:r>
        <w:t xml:space="preserve">2.3.3 The Cross-Sectional Conditional-OLS Architecture and the EPFD Floor</w:t>
      </w:r>
    </w:p>
    <w:p>
      <w:pPr>
        <w:pStyle w:val="FirstParagraph"/>
        <w:spacing w:line="480" w:lineRule="auto"/>
      </w:pPr>
      <w:r>
        <w:t xml:space="preserve">The second cliometric instrument is the cross-sectional conditional-OLS test on the operator-pair link budget, in which coordination intensity is asked to do measurable work against the legally binding EPFD margin and the geometric NGSO emitter count. The companion cross-sectional paper of this dissertation runs that test on twenty-eight operator-band pairings and obtains a coefficient on coordination intensity of 0.0148 dB per ordinal step with a p-value of 0.7749, a coefficient on the EPFD margin of -3.0971 dB per dB at p indistinguishable from zero, and an R-squared of 0.9952. The cross-sectional null on coordination intensity, conditional on the EPFD margin, is informative rather than fatal for the polycentric thesis and is interpreted in the companion paper as either a collinearity-by-construction phenomenon, in which operators that coordinate more deeply file tighter EPFD margins, or as a level-mismatch in which the cross-sectional link budget is the wrong layer at which to look for a polycentric effect that manifests in dynamic adaptation rather than in the static filed budget</w:t>
      </w:r>
      <w:r>
        <w:t xml:space="preserve"> </w:t>
      </w:r>
      <w:hyperlink w:anchor="ref-2">
        <w:r>
          <w:rPr>
            <w:rStyle w:val="Hyperlink"/>
          </w:rPr>
          <w:t xml:space="preserve">[2]</w:t>
        </w:r>
      </w:hyperlink>
      <w:r>
        <w:t xml:space="preserve">[3]. The cross-sectional EPFD-margin coefficient confirms the WRC-19 record’s framing of the Article 22 hard limit as the binding instrument</w:t>
      </w:r>
      <w:r>
        <w:t xml:space="preserve"> </w:t>
      </w:r>
      <w:hyperlink w:anchor="ref-2">
        <w:r>
          <w:rPr>
            <w:rStyle w:val="Hyperlink"/>
          </w:rPr>
          <w:t xml:space="preserve">[2]</w:t>
        </w:r>
      </w:hyperlink>
      <w:r>
        <w:t xml:space="preserve">.</w:t>
      </w:r>
    </w:p>
    <w:p>
      <w:pPr>
        <w:pStyle w:val="BodyText"/>
        <w:spacing w:line="480" w:lineRule="auto"/>
        <w:ind w:firstLine="720"/>
      </w:pPr>
      <w:r>
        <w:t xml:space="preserve">The methodological significance of the cross-sectional test is that it is a sharper falsification instrument than the panel test for a particular kind of polycentric failure mode. If the polycentric mechanism were operating purely through the regulatory variable, the cross-section would expose that fact, and the panel would in turn be vulnerable to a treatment-saturation reading. The fact that the panel shows a robust DSS effect while the cross-section shows a null on coordination intensity, conditional on the regulatory floor, is the cliometric pattern that the parent prospectus and Section 2.4 of this chapter argue is consistent with a dynamic, operator-layer mechanism that is not visible in the static link budget but is visible in the time-varying event-study panel.</w:t>
      </w:r>
    </w:p>
    <w:bookmarkEnd w:id="76"/>
    <w:bookmarkStart w:id="77" w:name="X7966fc229cd7e0a0113ce34dde6e4208d087cda"/>
    <w:p>
      <w:pPr>
        <w:pStyle w:val="Heading3"/>
        <w:spacing w:line="480" w:lineRule="auto"/>
      </w:pPr>
      <w:r>
        <w:t xml:space="preserve">2.3.4 Institutional Coding and the Operationalisation of the Polycentric Construct</w:t>
      </w:r>
    </w:p>
    <w:p>
      <w:pPr>
        <w:pStyle w:val="FirstParagraph"/>
        <w:spacing w:line="480" w:lineRule="auto"/>
      </w:pPr>
      <w:r>
        <w:t xml:space="preserve">The cliometric instruments of Sections 2.3.2 and 2.3.3 carry an institutional construct, the polycentric coordination depth, that has to be operationalised without smuggling its theoretical content into its measurement. The orbital-debris polycentric-governance audit of Morin and Couette supplies the explicit Ostrom-design-principle coding instrument</w:t>
      </w:r>
      <w:r>
        <w:t xml:space="preserve"> </w:t>
      </w:r>
      <w:hyperlink w:anchor="ref-3">
        <w:r>
          <w:rPr>
            <w:rStyle w:val="Hyperlink"/>
          </w:rPr>
          <w:t xml:space="preserve">[3]</w:t>
        </w:r>
      </w:hyperlink>
      <w:r>
        <w:t xml:space="preserve">, the orbital-commons scenario architecture of Yap and colleagues supplies the higher-order classification into which the coding maps</w:t>
      </w:r>
      <w:r>
        <w:t xml:space="preserve"> </w:t>
      </w:r>
      <w:hyperlink w:anchor="ref-4">
        <w:r>
          <w:rPr>
            <w:rStyle w:val="Hyperlink"/>
          </w:rPr>
          <w:t xml:space="preserve">[4]</w:t>
        </w:r>
      </w:hyperlink>
      <w:r>
        <w:t xml:space="preserve">, and the discourse-network-analysis of</w:t>
      </w:r>
      <w:r>
        <w:t xml:space="preserve"> </w:t>
      </w:r>
      <w:hyperlink w:anchor="ref-22">
        <w:r>
          <w:rPr>
            <w:rStyle w:val="Hyperlink"/>
          </w:rPr>
          <w:t xml:space="preserve">[22]</w:t>
        </w:r>
      </w:hyperlink>
      <w:r>
        <w:t xml:space="preserve"> </w:t>
      </w:r>
      <w:r>
        <w:t xml:space="preserve">supplies an alternative coding instrument that triangulates the audit-based coding. The cumulative effect is a coding tradition in which the polycentric construct is operationalised as an ordinal index against eight specific design-principle criteria, with auditable intercoder-reliability tests on a held-out subset. The qualitative process-trace of the present dissertation, and the ordinal coordination-intensity index of the cross-sectional companion paper, adopt exactly this coding tradition. The methodological significance of this is that the polycentric variable in the cliometric estimators is not an opaque dummy: it is a documented coding against a published auditable instrument, which preserves the falsifiability of the polycentric claim against the obvious objection that a polycentric construct is too elastic to be falsified.</w:t>
      </w:r>
    </w:p>
    <w:bookmarkEnd w:id="77"/>
    <w:bookmarkStart w:id="78" w:name="Xc3484feab8a8f03a859a439ffe06803609e4e09"/>
    <w:p>
      <w:pPr>
        <w:pStyle w:val="Heading3"/>
        <w:spacing w:line="480" w:lineRule="auto"/>
      </w:pPr>
      <w:r>
        <w:t xml:space="preserve">2.3.5 Bridging Engineering Outcomes and Institutional Treatments</w:t>
      </w:r>
    </w:p>
    <w:p>
      <w:pPr>
        <w:pStyle w:val="FirstParagraph"/>
        <w:spacing w:line="480" w:lineRule="auto"/>
      </w:pPr>
      <w:r>
        <w:t xml:space="preserve">A characteristic feature of the present dissertation is that the outcome variables are engineering quantities (interference power in dBW, throughput in Mbps), and the treatment is an institutional act (the entry into force of a bilateral coordination agreement), with covariates that mix regulatory variables (</w:t>
      </w:r>
      <w:hyperlink w:anchor="ref-2">
        <w:r>
          <w:rPr>
            <w:rStyle w:val="Hyperlink"/>
          </w:rPr>
          <w:t xml:space="preserve">[2]</w:t>
        </w:r>
      </w:hyperlink>
      <w:r>
        <w:t xml:space="preserve">[10]) with engineering variables (</w:t>
      </w:r>
      <w:hyperlink w:anchor="ref-16">
        <w:r>
          <w:rPr>
            <w:rStyle w:val="Hyperlink"/>
          </w:rPr>
          <w:t xml:space="preserve">[16]</w:t>
        </w:r>
      </w:hyperlink>
      <w:r>
        <w:t xml:space="preserve">[21]) and institutional variables (</w:t>
      </w:r>
      <w:hyperlink w:anchor="ref-3">
        <w:r>
          <w:rPr>
            <w:rStyle w:val="Hyperlink"/>
          </w:rPr>
          <w:t xml:space="preserve">[3]</w:t>
        </w:r>
      </w:hyperlink>
      <w:r>
        <w:t xml:space="preserve">[4][11][12][14][15]). The cliometric and quasi-experimental econometric methodology literature is, in general, well equipped to handle this kind of cross-register specification: the dependent variable need only be continuous and the treatment timing need only be plausibly exogenous conditional on the fixed effects and covariates. The methodological work of the review is therefore not to invent the bridge but to identify which existing cliometric instruments are appropriate for the specific case in which a polycentric institutional treatment is asked to predict an engineering link-budget outcome. The two-way fixed-effects panel of Section 2.3.2 and the cross-sectional conditional-OLS test of Section 2.3.3 are the two instruments that survive that screening, which is why they are the two instruments on which the companion papers of this dissertation are built.</w:t>
      </w:r>
    </w:p>
    <w:bookmarkEnd w:id="78"/>
    <w:bookmarkEnd w:id="79"/>
    <w:bookmarkStart w:id="80" w:name="synthesis-and-the-unjoined-seam"/>
    <w:p>
      <w:pPr>
        <w:pStyle w:val="Heading2"/>
        <w:spacing w:line="480" w:lineRule="auto"/>
      </w:pPr>
      <w:r>
        <w:t xml:space="preserve">2.4 Synthesis and the Unjoined Seam</w:t>
      </w:r>
    </w:p>
    <w:p>
      <w:pPr>
        <w:pStyle w:val="FirstParagraph"/>
        <w:spacing w:line="480" w:lineRule="auto"/>
      </w:pPr>
      <w:r>
        <w:t xml:space="preserve">The domain technical literature has done four things. It has documented the LEO broadband build-out and the compression of NGSO-GSO separation</w:t>
      </w:r>
      <w:r>
        <w:t xml:space="preserve"> </w:t>
      </w:r>
      <w:hyperlink w:anchor="ref-1">
        <w:r>
          <w:rPr>
            <w:rStyle w:val="Hyperlink"/>
          </w:rPr>
          <w:t xml:space="preserve">[1]</w:t>
        </w:r>
      </w:hyperlink>
      <w:r>
        <w:t xml:space="preserve">[25], it has fixed the WRC-19 legal architecture and the Article 22 EPFD floor</w:t>
      </w:r>
      <w:r>
        <w:t xml:space="preserve"> </w:t>
      </w:r>
      <w:hyperlink w:anchor="ref-2">
        <w:r>
          <w:rPr>
            <w:rStyle w:val="Hyperlink"/>
          </w:rPr>
          <w:t xml:space="preserve">[2]</w:t>
        </w:r>
      </w:hyperlink>
      <w:r>
        <w:t xml:space="preserve">[10], it has developed the polycentric-commons critique of orbital and spectrum governance through the orbital-debris diagnostic of Morin and Couette</w:t>
      </w:r>
      <w:r>
        <w:t xml:space="preserve"> </w:t>
      </w:r>
      <w:hyperlink w:anchor="ref-3">
        <w:r>
          <w:rPr>
            <w:rStyle w:val="Hyperlink"/>
          </w:rPr>
          <w:t xml:space="preserve">[3]</w:t>
        </w:r>
      </w:hyperlink>
      <w:r>
        <w:t xml:space="preserve">, the orbital-commons scenarios of Yap and colleagues</w:t>
      </w:r>
      <w:r>
        <w:t xml:space="preserve"> </w:t>
      </w:r>
      <w:hyperlink w:anchor="ref-4">
        <w:r>
          <w:rPr>
            <w:rStyle w:val="Hyperlink"/>
          </w:rPr>
          <w:t xml:space="preserve">[4]</w:t>
        </w:r>
      </w:hyperlink>
      <w:r>
        <w:t xml:space="preserve">[22], and the wider sustainability and governance framings of</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w:t>
      </w:r>
      <w:r>
        <w:t xml:space="preserve"> </w:t>
      </w:r>
      <w:hyperlink w:anchor="ref-17">
        <w:r>
          <w:rPr>
            <w:rStyle w:val="Hyperlink"/>
          </w:rPr>
          <w:t xml:space="preserve">[17]</w:t>
        </w:r>
      </w:hyperlink>
      <w:r>
        <w:t xml:space="preserve">,</w:t>
      </w:r>
      <w:r>
        <w:t xml:space="preserve"> </w:t>
      </w:r>
      <w:hyperlink w:anchor="ref-19">
        <w:r>
          <w:rPr>
            <w:rStyle w:val="Hyperlink"/>
          </w:rPr>
          <w:t xml:space="preserve">[19]</w:t>
        </w:r>
      </w:hyperlink>
      <w:r>
        <w:t xml:space="preserve">,</w:t>
      </w:r>
      <w:r>
        <w:t xml:space="preserve"> </w:t>
      </w:r>
      <w:hyperlink w:anchor="ref-23">
        <w:r>
          <w:rPr>
            <w:rStyle w:val="Hyperlink"/>
          </w:rPr>
          <w:t xml:space="preserve">[23]</w:t>
        </w:r>
      </w:hyperlink>
      <w:r>
        <w:t xml:space="preserve"> </w:t>
      </w:r>
      <w:r>
        <w:t xml:space="preserve">and</w:t>
      </w:r>
      <w:r>
        <w:t xml:space="preserve"> </w:t>
      </w:r>
      <w:hyperlink w:anchor="ref-24">
        <w:r>
          <w:rPr>
            <w:rStyle w:val="Hyperlink"/>
          </w:rPr>
          <w:t xml:space="preserve">[24]</w:t>
        </w:r>
      </w:hyperlink>
      <w:r>
        <w:t xml:space="preserve">, and it has translated the polycentric frame to the operator layer through the information-sharing arguments of</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4">
        <w:r>
          <w:rPr>
            <w:rStyle w:val="Hyperlink"/>
          </w:rPr>
          <w:t xml:space="preserve">[14]</w:t>
        </w:r>
      </w:hyperlink>
      <w:r>
        <w:t xml:space="preserve"> </w:t>
      </w:r>
      <w:r>
        <w:t xml:space="preserve">and</w:t>
      </w:r>
      <w:r>
        <w:t xml:space="preserve"> </w:t>
      </w:r>
      <w:hyperlink w:anchor="ref-15">
        <w:r>
          <w:rPr>
            <w:rStyle w:val="Hyperlink"/>
          </w:rPr>
          <w:t xml:space="preserve">[15]</w:t>
        </w:r>
      </w:hyperlink>
      <w:r>
        <w:t xml:space="preserve">, with constellation-design and orbital-capacity background supplied by</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16">
        <w:r>
          <w:rPr>
            <w:rStyle w:val="Hyperlink"/>
          </w:rPr>
          <w:t xml:space="preserve">[16]</w:t>
        </w:r>
      </w:hyperlink>
      <w:r>
        <w:t xml:space="preserve">,</w:t>
      </w:r>
      <w:r>
        <w:t xml:space="preserve"> </w:t>
      </w:r>
      <w:hyperlink w:anchor="ref-18">
        <w:r>
          <w:rPr>
            <w:rStyle w:val="Hyperlink"/>
          </w:rPr>
          <w:t xml:space="preserve">[18]</w:t>
        </w:r>
      </w:hyperlink>
      <w:r>
        <w:t xml:space="preserve">,</w:t>
      </w:r>
      <w:r>
        <w:t xml:space="preserve"> </w:t>
      </w:r>
      <w:hyperlink w:anchor="ref-20">
        <w:r>
          <w:rPr>
            <w:rStyle w:val="Hyperlink"/>
          </w:rPr>
          <w:t xml:space="preserve">[20]</w:t>
        </w:r>
      </w:hyperlink>
      <w:r>
        <w:t xml:space="preserve"> </w:t>
      </w:r>
      <w:r>
        <w:t xml:space="preserve">and</w:t>
      </w:r>
      <w:r>
        <w:t xml:space="preserve"> </w:t>
      </w:r>
      <w:hyperlink w:anchor="ref-21">
        <w:r>
          <w:rPr>
            <w:rStyle w:val="Hyperlink"/>
          </w:rPr>
          <w:t xml:space="preserve">[21]</w:t>
        </w:r>
      </w:hyperlink>
      <w:r>
        <w:t xml:space="preserve">, and the wider whole-of-nation framing supplied by</w:t>
      </w:r>
      <w:r>
        <w:t xml:space="preserve"> </w:t>
      </w:r>
      <w:hyperlink w:anchor="ref-6">
        <w:r>
          <w:rPr>
            <w:rStyle w:val="Hyperlink"/>
          </w:rPr>
          <w:t xml:space="preserve">[6]</w:t>
        </w:r>
      </w:hyperlink>
      <w:r>
        <w:t xml:space="preserve"> </w:t>
      </w:r>
      <w:r>
        <w:t xml:space="preserve">and</w:t>
      </w:r>
      <w:r>
        <w:t xml:space="preserve"> </w:t>
      </w:r>
      <w:hyperlink w:anchor="ref-25">
        <w:r>
          <w:rPr>
            <w:rStyle w:val="Hyperlink"/>
          </w:rPr>
          <w:t xml:space="preserve">[25]</w:t>
        </w:r>
      </w:hyperlink>
      <w:r>
        <w:t xml:space="preserve">. What the domain literature has not done is supply a falsifiable empirical test of the polycentric DSS claim against the static treaty-anchored baseline.</w:t>
      </w:r>
    </w:p>
    <w:p>
      <w:pPr>
        <w:pStyle w:val="BodyText"/>
        <w:spacing w:line="480" w:lineRule="auto"/>
        <w:ind w:firstLine="720"/>
      </w:pPr>
      <w:r>
        <w:t xml:space="preserve">The cliometric and quasi-experimental econometric methodology literature has supplied the two instruments on which such a test must rest. The space-economics framing of the orbital commons by Weinzierl establishes the Pigouvian, Coasian and Ostromian theoretic register in which a polycentric DSS treatment can be theorised as a discrete institutional event with a measurable effect on a continuous engineering outcome</w:t>
      </w:r>
      <w:r>
        <w:t xml:space="preserve"> </w:t>
      </w:r>
      <w:hyperlink w:anchor="ref-8">
        <w:r>
          <w:rPr>
            <w:rStyle w:val="Hyperlink"/>
          </w:rPr>
          <w:t xml:space="preserve">[8]</w:t>
        </w:r>
      </w:hyperlink>
      <w:r>
        <w:t xml:space="preserve">. The two-way fixed-effects panel architecture of Section 2.3.2, paired with the institutional-coding tradition of Section 2.3.4</w:t>
      </w:r>
      <w:r>
        <w:t xml:space="preserve"> </w:t>
      </w:r>
      <w:hyperlink w:anchor="ref-3">
        <w:r>
          <w:rPr>
            <w:rStyle w:val="Hyperlink"/>
          </w:rPr>
          <w:t xml:space="preserve">[3]</w:t>
        </w:r>
      </w:hyperlink>
      <w:r>
        <w:t xml:space="preserve">[4][22], and the cross-sectional conditional-OLS architecture of Section 2.3.3, paired with the WRC-19 regulatory floor</w:t>
      </w:r>
      <w:r>
        <w:t xml:space="preserve"> </w:t>
      </w:r>
      <w:hyperlink w:anchor="ref-2">
        <w:r>
          <w:rPr>
            <w:rStyle w:val="Hyperlink"/>
          </w:rPr>
          <w:t xml:space="preserve">[2]</w:t>
        </w:r>
      </w:hyperlink>
      <w:r>
        <w:t xml:space="preserve">[10], supply the instruments by which the polycentric DSS claim can be tested against the static baseline. What the cliometric literature has not done, in its application to date, is take up the NGSO-GSO Ku- and Ka-band coexistence problem as a substantive case.</w:t>
      </w:r>
    </w:p>
    <w:p>
      <w:pPr>
        <w:pStyle w:val="BodyText"/>
        <w:spacing w:line="480" w:lineRule="auto"/>
        <w:ind w:firstLine="720"/>
      </w:pPr>
      <w:r>
        <w:t xml:space="preserve">The unjoined seam between the two literatures is therefore precise. The domain technical literature names the variables, the mechanism and the institutional vocabulary in which the polycentric DSS claim has to be stated. The cliometric and quasi-experimental econometric methodology literature names the estimator, the identification strategy and the coding instrument by which the claim can be falsified. Neither has, until now, been brought into joint contact with the other on this particular case. The empirical chapters of this dissertation, prefigured by the companion panel paper and the companion cross-sectional paper whose findings are summarised in Section 2.3, occupy precisely this seam: the panel evidence supports the polycentric DSS hypothesis on the interference outcome with a coefficient of approximately one decibel and a p-value below 0.001, and the cross-sectional null on coordination intensity conditional on the EPFD margin disciplines that finding by locating the polycentric mechanism in the dynamic, time-varying layer of the regime rather than in the static link budget. Taken jointly, the two cliometric instruments and the two literatures they bridge produce the falsifiable empirical test that the parent prospectus specifies.</w:t>
      </w:r>
    </w:p>
    <w:bookmarkEnd w:id="80"/>
    <w:bookmarkStart w:id="81" w:name="the-gap-and-the-empirical-strategy"/>
    <w:p>
      <w:pPr>
        <w:pStyle w:val="Heading2"/>
        <w:spacing w:line="480" w:lineRule="auto"/>
      </w:pPr>
      <w:r>
        <w:t xml:space="preserve">2.5 The Gap and the Empirical Strategy</w:t>
      </w:r>
    </w:p>
    <w:p>
      <w:pPr>
        <w:pStyle w:val="FirstParagraph"/>
        <w:spacing w:line="480" w:lineRule="auto"/>
      </w:pPr>
      <w:r>
        <w:t xml:space="preserve">The gap, stated precisely, is the absence in the literature of a principled cliometric joining of the polycentric-commons critique of orbital and spectrum governance, as developed by</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w:t>
      </w:r>
      <w:r>
        <w:t xml:space="preserve">and</w:t>
      </w:r>
      <w:r>
        <w:t xml:space="preserve"> </w:t>
      </w:r>
      <w:hyperlink w:anchor="ref-22">
        <w:r>
          <w:rPr>
            <w:rStyle w:val="Hyperlink"/>
          </w:rPr>
          <w:t xml:space="preserve">[22]</w:t>
        </w:r>
      </w:hyperlink>
      <w:r>
        <w:t xml:space="preserve"> </w:t>
      </w:r>
      <w:r>
        <w:t xml:space="preserve">for the orbital-debris case and by</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4">
        <w:r>
          <w:rPr>
            <w:rStyle w:val="Hyperlink"/>
          </w:rPr>
          <w:t xml:space="preserve">[14]</w:t>
        </w:r>
      </w:hyperlink>
      <w:r>
        <w:t xml:space="preserve"> </w:t>
      </w:r>
      <w:r>
        <w:t xml:space="preserve">and</w:t>
      </w:r>
      <w:r>
        <w:t xml:space="preserve"> </w:t>
      </w:r>
      <w:hyperlink w:anchor="ref-15">
        <w:r>
          <w:rPr>
            <w:rStyle w:val="Hyperlink"/>
          </w:rPr>
          <w:t xml:space="preserve">[15]</w:t>
        </w:r>
      </w:hyperlink>
      <w:r>
        <w:t xml:space="preserve"> </w:t>
      </w:r>
      <w:r>
        <w:t xml:space="preserve">for the operator-layer information-sharing case, with the WRC-19 regulatory architecture</w:t>
      </w:r>
      <w:r>
        <w:t xml:space="preserve"> </w:t>
      </w:r>
      <w:hyperlink w:anchor="ref-2">
        <w:r>
          <w:rPr>
            <w:rStyle w:val="Hyperlink"/>
          </w:rPr>
          <w:t xml:space="preserve">[2]</w:t>
        </w:r>
      </w:hyperlink>
      <w:r>
        <w:t xml:space="preserve">[10] and the LEO-broadband operational background</w:t>
      </w:r>
      <w:r>
        <w:t xml:space="preserve"> </w:t>
      </w:r>
      <w:hyperlink w:anchor="ref-1">
        <w:r>
          <w:rPr>
            <w:rStyle w:val="Hyperlink"/>
          </w:rPr>
          <w:t xml:space="preserve">[1]</w:t>
        </w:r>
      </w:hyperlink>
      <w:r>
        <w:t xml:space="preserve"> </w:t>
      </w:r>
      <w:r>
        <w:t xml:space="preserve">of NGSO-GSO Ku- and Ka-band coexistence, using the two-way fixed-effects panel and conditional-OLS instruments that the cliometric and quasi-experimental econometric methodology literature supplies and that the orbital-commons scenarios of</w:t>
      </w:r>
      <w:r>
        <w:t xml:space="preserve"> </w:t>
      </w:r>
      <w:hyperlink w:anchor="ref-4">
        <w:r>
          <w:rPr>
            <w:rStyle w:val="Hyperlink"/>
          </w:rPr>
          <w:t xml:space="preserve">[4]</w:t>
        </w:r>
      </w:hyperlink>
      <w:r>
        <w:t xml:space="preserve"> </w:t>
      </w:r>
      <w:r>
        <w:t xml:space="preserve">and the space-economics framing of</w:t>
      </w:r>
      <w:r>
        <w:t xml:space="preserve"> </w:t>
      </w:r>
      <w:hyperlink w:anchor="ref-8">
        <w:r>
          <w:rPr>
            <w:rStyle w:val="Hyperlink"/>
          </w:rPr>
          <w:t xml:space="preserve">[8]</w:t>
        </w:r>
      </w:hyperlink>
      <w:r>
        <w:t xml:space="preserve"> </w:t>
      </w:r>
      <w:r>
        <w:t xml:space="preserve">motivate. The dissertation closes that gap by specifying a polycentric DSS regime, coding bilateral coordination agreements against the auditable Ostrom-design-principle instrument of</w:t>
      </w:r>
      <w:r>
        <w:t xml:space="preserve"> </w:t>
      </w:r>
      <w:hyperlink w:anchor="ref-3">
        <w:r>
          <w:rPr>
            <w:rStyle w:val="Hyperlink"/>
          </w:rPr>
          <w:t xml:space="preserve">[3]</w:t>
        </w:r>
      </w:hyperlink>
      <w:r>
        <w:t xml:space="preserve"> </w:t>
      </w:r>
      <w:r>
        <w:t xml:space="preserve">on the higher-order architecture of</w:t>
      </w:r>
      <w:r>
        <w:t xml:space="preserve"> </w:t>
      </w:r>
      <w:hyperlink w:anchor="ref-4">
        <w:r>
          <w:rPr>
            <w:rStyle w:val="Hyperlink"/>
          </w:rPr>
          <w:t xml:space="preserve">[4]</w:t>
        </w:r>
      </w:hyperlink>
      <w:r>
        <w:t xml:space="preserve">, and testing the joint interference-and-throughput hypothesis on the operator-pair panel using the staggered-treatment difference-in-differences and event-study architecture of Section 2.3.2, with the cross-sectional conditional-OLS test of Section 2.3.3 as a complementary falsification instrument that disciplines the panel against treatment-saturation and collinearity-by-construction readings. The constellation-design and orbital-capacity literature of</w:t>
      </w:r>
      <w:r>
        <w:t xml:space="preserve"> </w:t>
      </w:r>
      <w:hyperlink w:anchor="ref-16">
        <w:r>
          <w:rPr>
            <w:rStyle w:val="Hyperlink"/>
          </w:rPr>
          <w:t xml:space="preserve">[16]</w:t>
        </w:r>
      </w:hyperlink>
      <w:r>
        <w:t xml:space="preserve">,</w:t>
      </w:r>
      <w:r>
        <w:t xml:space="preserve"> </w:t>
      </w:r>
      <w:hyperlink w:anchor="ref-18">
        <w:r>
          <w:rPr>
            <w:rStyle w:val="Hyperlink"/>
          </w:rPr>
          <w:t xml:space="preserve">[18]</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w:t>
      </w:r>
      <w:r>
        <w:t xml:space="preserve">and</w:t>
      </w:r>
      <w:r>
        <w:t xml:space="preserve"> </w:t>
      </w:r>
      <w:hyperlink w:anchor="ref-7">
        <w:r>
          <w:rPr>
            <w:rStyle w:val="Hyperlink"/>
          </w:rPr>
          <w:t xml:space="preserve">[7]</w:t>
        </w:r>
      </w:hyperlink>
      <w:r>
        <w:t xml:space="preserve"> </w:t>
      </w:r>
      <w:r>
        <w:t xml:space="preserve">is treated as substantive background that justifies the use of operator-pair fixed effects and the inclusion of constellation size as a control, and the wider governance-evolution and sustainability literature of</w:t>
      </w:r>
      <w:r>
        <w:t xml:space="preserve"> </w:t>
      </w:r>
      <w:hyperlink w:anchor="ref-6">
        <w:r>
          <w:rPr>
            <w:rStyle w:val="Hyperlink"/>
          </w:rPr>
          <w:t xml:space="preserve">[6]</w:t>
        </w:r>
      </w:hyperlink>
      <w:r>
        <w:t xml:space="preserve">,</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w:t>
      </w:r>
      <w:r>
        <w:t xml:space="preserve"> </w:t>
      </w:r>
      <w:hyperlink w:anchor="ref-17">
        <w:r>
          <w:rPr>
            <w:rStyle w:val="Hyperlink"/>
          </w:rPr>
          <w:t xml:space="preserve">[17]</w:t>
        </w:r>
      </w:hyperlink>
      <w:r>
        <w:t xml:space="preserve">,</w:t>
      </w:r>
      <w:r>
        <w:t xml:space="preserve"> </w:t>
      </w:r>
      <w:hyperlink w:anchor="ref-19">
        <w:r>
          <w:rPr>
            <w:rStyle w:val="Hyperlink"/>
          </w:rPr>
          <w:t xml:space="preserve">[19]</w:t>
        </w:r>
      </w:hyperlink>
      <w:r>
        <w:t xml:space="preserve">,</w:t>
      </w:r>
      <w:r>
        <w:t xml:space="preserve"> </w:t>
      </w:r>
      <w:hyperlink w:anchor="ref-23">
        <w:r>
          <w:rPr>
            <w:rStyle w:val="Hyperlink"/>
          </w:rPr>
          <w:t xml:space="preserve">[23]</w:t>
        </w:r>
      </w:hyperlink>
      <w:r>
        <w:t xml:space="preserve">,</w:t>
      </w:r>
      <w:r>
        <w:t xml:space="preserve"> </w:t>
      </w:r>
      <w:hyperlink w:anchor="ref-24">
        <w:r>
          <w:rPr>
            <w:rStyle w:val="Hyperlink"/>
          </w:rPr>
          <w:t xml:space="preserve">[24]</w:t>
        </w:r>
      </w:hyperlink>
      <w:r>
        <w:t xml:space="preserve"> </w:t>
      </w:r>
      <w:r>
        <w:t xml:space="preserve">and</w:t>
      </w:r>
      <w:r>
        <w:t xml:space="preserve"> </w:t>
      </w:r>
      <w:hyperlink w:anchor="ref-25">
        <w:r>
          <w:rPr>
            <w:rStyle w:val="Hyperlink"/>
          </w:rPr>
          <w:t xml:space="preserve">[25]</w:t>
        </w:r>
      </w:hyperlink>
      <w:r>
        <w:t xml:space="preserve"> </w:t>
      </w:r>
      <w:r>
        <w:t xml:space="preserve">is treated as the institutional environment in which the polycentric DSS regime, if found to outperform the static baseline, would have to be sustained.</w:t>
      </w:r>
    </w:p>
    <w:p>
      <w:pPr>
        <w:pStyle w:val="BodyText"/>
        <w:spacing w:line="480" w:lineRule="auto"/>
        <w:ind w:firstLine="720"/>
      </w:pPr>
      <w:r>
        <w:t xml:space="preserve">The remainder of the dissertation pursues this strategy in detail. Chapter 3 specifies the empirical design and the institutional-coding instrument, Chapter 4 reports the panel evidence in its full form, Chapter 5 reports the cross-sectional evidence and the qualitative process-trace, and Chapter 6 returns to the polycentric-commons literature to interpret the joint finding in the institutional register that the domain technical literature, on its own, was not equipped to supply.</w:t>
      </w:r>
    </w:p>
    <w:bookmarkEnd w:id="81"/>
    <w:bookmarkEnd w:id="82"/>
    <w:bookmarkStart w:id="89" w:name="Xcfcc00a3ded59aed0c781c16bfc121f2a509603"/>
    <w:p>
      <w:pPr>
        <w:pStyle w:val="Heading1"/>
        <w:spacing w:line="480" w:lineRule="auto"/>
      </w:pPr>
      <w:r>
        <w:t xml:space="preserve">Chapter 3. Theoretical Framework and Hypotheses</w:t>
      </w:r>
    </w:p>
    <w:bookmarkStart w:id="83" w:name="purpose-and-structure-of-the-chapter"/>
    <w:p>
      <w:pPr>
        <w:pStyle w:val="Heading2"/>
        <w:spacing w:line="480" w:lineRule="auto"/>
      </w:pPr>
      <w:r>
        <w:t xml:space="preserve">3.1 Purpose and Structure of the Chapter</w:t>
      </w:r>
    </w:p>
    <w:p>
      <w:pPr>
        <w:pStyle w:val="FirstParagraph"/>
        <w:spacing w:line="480" w:lineRule="auto"/>
      </w:pPr>
      <w:r>
        <w:t xml:space="preserve">This chapter specifies the theoretical framework within which the dissertation’s single falsifiable claim is to be tested, names the causal mechanism that the framework predicts, and translates that mechanism into the formal hypotheses H0 and H1 that govern the empirical work in the chapters that follow. The framework is polycentric-commons theory as applied to the orbital and spectrum resource system, and the mechanism is the operator-level coordination of dynamic spectrum sharing (DSS) decisions between non-geostationary (NGSO) and geostationary (GSO) satellite operators in the Ku- and Ka-bands. The chapter develops the framework in four moves. It first establishes the resource-theoretic premises that make spectrum in those bands a commons problem rather than a partition problem. It then specifies the polycentric mechanism that the literature predicts will outperform the static, treaty-anchored International Telecommunication Union (ITU) allocation baseline. It next sets out the auxiliary assumptions, scope conditions, and observable implications that must hold for the mechanism to be testable on the dataset specified in the prospectus. It closes by stating H0 and H1 in the form in which they are pre-registered and by deriving the throughput tolerance band and the directional prediction that the chapters on quantitative and qualitative identification will jointly evaluate.</w:t>
      </w:r>
    </w:p>
    <w:bookmarkEnd w:id="83"/>
    <w:bookmarkStart w:id="84" w:name="resource-theoretic-premises"/>
    <w:p>
      <w:pPr>
        <w:pStyle w:val="Heading2"/>
        <w:spacing w:line="480" w:lineRule="auto"/>
      </w:pPr>
      <w:r>
        <w:t xml:space="preserve">3.2 Resource-Theoretic Premises</w:t>
      </w:r>
    </w:p>
    <w:p>
      <w:pPr>
        <w:pStyle w:val="FirstParagraph"/>
        <w:spacing w:line="480" w:lineRule="auto"/>
      </w:pPr>
      <w:r>
        <w:t xml:space="preserve">One premise governs everything that follows. Radiofrequency spectrum in the Ku- and Ka-bands, when shared by NGSO and GSO systems whose footprints overlap, behaves as a common-pool resource rather than as a private good or a pure public good. The defining features of a common-pool resource are non-excludability in practice and subtractability in use. Non-excludability holds because once a frequency assignment is granted, the cost of preventing a neighbouring operator from emitting into the same channel at the same time is bounded only by the legal and technical instruments of coordination, not by any physical exclusion. Subtractability holds because every additional NGSO emitter in the line of sight of a GSO earth station contributes to the aggregate noise floor at that station, and the contribution is monotone in the number of emitters and in their off-axis emission characteristics</w:t>
      </w:r>
      <w:r>
        <w:t xml:space="preserve"> </w:t>
      </w:r>
      <w:hyperlink w:anchor="ref-1">
        <w:r>
          <w:rPr>
            <w:rStyle w:val="Hyperlink"/>
          </w:rPr>
          <w:t xml:space="preserve">[1]</w:t>
        </w:r>
      </w:hyperlink>
      <w:r>
        <w:t xml:space="preserve">[2]. The build-out of mega-LEO broadband systems has transformed the Ku- and Ka-bands from a sparse environment, in which the partition logic of the static ITU allocation was approximately efficient, into a dense environment in which subtractability is the binding feature and the partition logic is no longer obviously efficient</w:t>
      </w:r>
      <w:r>
        <w:t xml:space="preserve"> </w:t>
      </w:r>
      <w:hyperlink w:anchor="ref-1">
        <w:r>
          <w:rPr>
            <w:rStyle w:val="Hyperlink"/>
          </w:rPr>
          <w:t xml:space="preserve">[1]</w:t>
        </w:r>
      </w:hyperlink>
      <w:r>
        <w:t xml:space="preserve">[2][16].</w:t>
      </w:r>
    </w:p>
    <w:p>
      <w:pPr>
        <w:pStyle w:val="BodyText"/>
        <w:spacing w:line="480" w:lineRule="auto"/>
        <w:ind w:firstLine="720"/>
      </w:pPr>
      <w:r>
        <w:t xml:space="preserve">The static, first-come, ITU-coordinated allocation model is the regulatory inheritance of the earlier sparse environment. It treats the spectrum resource as a set of orthogonal partitions to which operators receive priority by date of notification, and it relies on the treaty-layer Article 22 equivalent power flux density (EPFD) hard limits to bound the aggregate exposure that any GSO earth station can be required to tolerate from the aggregate of NGSO emitters</w:t>
      </w:r>
      <w:r>
        <w:t xml:space="preserve"> </w:t>
      </w:r>
      <w:hyperlink w:anchor="ref-2">
        <w:r>
          <w:rPr>
            <w:rStyle w:val="Hyperlink"/>
          </w:rPr>
          <w:t xml:space="preserve">[2]</w:t>
        </w:r>
      </w:hyperlink>
      <w:r>
        <w:t xml:space="preserve">. The model has two analytically important features. The first is that the coordination rule is written at the treaty layer and is renegotiated only at successive World Radiocommunication Conferences, which means its adjustment latency is measured in years. The second is that the model conditions on a notified network footprint rather than on the actual state of the sky in any given minute, which means its enforcement instrument is the filed link budget rather than the realised emission. Both features have been documented as binding constraints in the radio-regulatory literature on LEO and at the WRC-19 record</w:t>
      </w:r>
      <w:r>
        <w:t xml:space="preserve"> </w:t>
      </w:r>
      <w:hyperlink w:anchor="ref-2">
        <w:r>
          <w:rPr>
            <w:rStyle w:val="Hyperlink"/>
          </w:rPr>
          <w:t xml:space="preserve">[2]</w:t>
        </w:r>
      </w:hyperlink>
      <w:r>
        <w:t xml:space="preserve">, and both have been called out in the commons-governance literature as features that the polycentric framework should be able to relax</w:t>
      </w:r>
      <w:r>
        <w:t xml:space="preserve"> </w:t>
      </w:r>
      <w:hyperlink w:anchor="ref-3">
        <w:r>
          <w:rPr>
            <w:rStyle w:val="Hyperlink"/>
          </w:rPr>
          <w:t xml:space="preserve">[3]</w:t>
        </w:r>
      </w:hyperlink>
      <w:r>
        <w:t xml:space="preserve">[4][9][17].</w:t>
      </w:r>
    </w:p>
    <w:p>
      <w:pPr>
        <w:pStyle w:val="BodyText"/>
        <w:spacing w:line="480" w:lineRule="auto"/>
        <w:ind w:firstLine="720"/>
      </w:pPr>
      <w:r>
        <w:t xml:space="preserve">Against that inheritance, the polycentric-commons framework takes the opposite analytical stance. As developed by Ostrom and her successors and applied to orbit by Morin and Couette, by Yap and colleagues, and by the broader orbital-sustainability literature, it reframes the problem. It treats the resource as governed by nested rules at multiple scales, with the operators that actually consume the resource crafting, monitoring, and adapting the operational rules at the scale at which the resource is used, and with the treaty layer providing the constitutional umbrella under which those operational rules are admitted</w:t>
      </w:r>
      <w:r>
        <w:t xml:space="preserve"> </w:t>
      </w:r>
      <w:hyperlink w:anchor="ref-3">
        <w:r>
          <w:rPr>
            <w:rStyle w:val="Hyperlink"/>
          </w:rPr>
          <w:t xml:space="preserve">[3]</w:t>
        </w:r>
      </w:hyperlink>
      <w:r>
        <w:t xml:space="preserve">[4]. The framework predicts that, when the eight Ostromian design principles are present, the aggregate degradation of the resource falls relative to a static partition regime, even when underlying use intensity rises</w:t>
      </w:r>
      <w:r>
        <w:t xml:space="preserve"> </w:t>
      </w:r>
      <w:hyperlink w:anchor="ref-3">
        <w:r>
          <w:rPr>
            <w:rStyle w:val="Hyperlink"/>
          </w:rPr>
          <w:t xml:space="preserve">[3]</w:t>
        </w:r>
      </w:hyperlink>
      <w:r>
        <w:t xml:space="preserve">[4]. Morin and Couette’s audit of the orbital-debris regime is the closest analogue available in the space domain: it codes the existing orbital-debris governance against the eight principles, finds the operational and adaptive principles largely absent, and argues that the absence accounts for the regime’s observed failure to bend the aggregate exposure curve downward</w:t>
      </w:r>
      <w:r>
        <w:t xml:space="preserve"> </w:t>
      </w:r>
      <w:hyperlink w:anchor="ref-3">
        <w:r>
          <w:rPr>
            <w:rStyle w:val="Hyperlink"/>
          </w:rPr>
          <w:t xml:space="preserve">[3]</w:t>
        </w:r>
      </w:hyperlink>
      <w:r>
        <w:t xml:space="preserve">. Yap and colleagues complement that audit by laying out four alternative commons scenarios in space, of which the polycentric scenario is the only one in which the operators themselves are co-authors of the operational rules, and is the only one in which the framework predicts aggregate exposure to fall</w:t>
      </w:r>
      <w:r>
        <w:t xml:space="preserve"> </w:t>
      </w:r>
      <w:hyperlink w:anchor="ref-4">
        <w:r>
          <w:rPr>
            <w:rStyle w:val="Hyperlink"/>
          </w:rPr>
          <w:t xml:space="preserve">[4]</w:t>
        </w:r>
      </w:hyperlink>
      <w:r>
        <w:t xml:space="preserve">. The space-economics literature on orbit treats the Ostromian operator-rule layer as a complement to the Pigouvian fee and the Coasian property right, not as a substitute, and explicitly contemplates that the operator-rule layer is the layer at which dynamic adaptation can occur</w:t>
      </w:r>
      <w:r>
        <w:t xml:space="preserve"> </w:t>
      </w:r>
      <w:hyperlink w:anchor="ref-8">
        <w:r>
          <w:rPr>
            <w:rStyle w:val="Hyperlink"/>
          </w:rPr>
          <w:t xml:space="preserve">[8]</w:t>
        </w:r>
      </w:hyperlink>
      <w:r>
        <w:t xml:space="preserve">[22].</w:t>
      </w:r>
    </w:p>
    <w:p>
      <w:pPr>
        <w:pStyle w:val="BodyText"/>
        <w:spacing w:line="480" w:lineRule="auto"/>
        <w:ind w:firstLine="720"/>
      </w:pPr>
      <w:r>
        <w:t xml:space="preserve">The application of that framework to NGSO-GSO spectrum sharing in the Ku- and Ka-bands is the contribution of this dissertation, and the analytical step on which everything else depends is that bilateral DSS coordination agreements between NGSO and GSO operators are an instance of the operator-rule layer that the polycentric framework identifies as the locus of adaptation. The dynamic exchange of pointing schedules, exclusion zones, traffic-state forecasts, and emission profiles between operator pairs is exactly the kind of layered, monitored, and graduated rule that the polycentric account names. The treaty-layer EPFD limits remain in force as a constitutional ceiling and as a fallback enforcement instrument, but the operational rule that governs the actual emission state of the system in any given minute is the bilateral DSS rule that the operator pair has crafted</w:t>
      </w:r>
      <w:r>
        <w:t xml:space="preserve"> </w:t>
      </w:r>
      <w:hyperlink w:anchor="ref-11">
        <w:r>
          <w:rPr>
            <w:rStyle w:val="Hyperlink"/>
          </w:rPr>
          <w:t xml:space="preserve">[11]</w:t>
        </w:r>
      </w:hyperlink>
      <w:r>
        <w:t xml:space="preserve">[14][15]. This is the polycentric mechanism whose interference and throughput consequences the dissertation tests.</w:t>
      </w:r>
    </w:p>
    <w:bookmarkEnd w:id="84"/>
    <w:bookmarkStart w:id="85" w:name="the-causal-mechanism"/>
    <w:p>
      <w:pPr>
        <w:pStyle w:val="Heading2"/>
        <w:spacing w:line="480" w:lineRule="auto"/>
      </w:pPr>
      <w:r>
        <w:t xml:space="preserve">3.3 The Causal Mechanism</w:t>
      </w:r>
    </w:p>
    <w:p>
      <w:pPr>
        <w:pStyle w:val="FirstParagraph"/>
        <w:spacing w:line="480" w:lineRule="auto"/>
      </w:pPr>
      <w:r>
        <w:t xml:space="preserve">The causal mechanism predicted by the framework can be stated as a chain of four ordered claims, each of which is observable in principle and each of which is required for the directional prediction of H1 to follow.</w:t>
      </w:r>
    </w:p>
    <w:p>
      <w:pPr>
        <w:pStyle w:val="BodyText"/>
        <w:spacing w:line="480" w:lineRule="auto"/>
        <w:ind w:firstLine="720"/>
      </w:pPr>
      <w:r>
        <w:t xml:space="preserve">First, in the static-baseline regime, aggregate co-channel interference at a GSO earth station is the sum of contributions from NGSO emitters in the field of view of that station, where each emitter’s contribution is bounded above by the Article 22 EPFD limit and bounded below by the operator’s filed link budget. Because the rule conditions on the notified network rather than on the realised state of the sky, the realised aggregate is approximately the filed aggregate. In particular, when traffic and geometry are favourable, the realised exposure is far below the filed envelope, but the operator has no incentive or obligation to surface that slack to its GSO counterpart, and the GSO operator therefore plans against the filed envelope and consumes the corresponding margin in its link budget</w:t>
      </w:r>
      <w:r>
        <w:t xml:space="preserve"> </w:t>
      </w:r>
      <w:hyperlink w:anchor="ref-1">
        <w:r>
          <w:rPr>
            <w:rStyle w:val="Hyperlink"/>
          </w:rPr>
          <w:t xml:space="preserve">[1]</w:t>
        </w:r>
      </w:hyperlink>
      <w:r>
        <w:t xml:space="preserve">[2]. This is the inefficiency that the framework predicts can be reduced.</w:t>
      </w:r>
    </w:p>
    <w:p>
      <w:pPr>
        <w:pStyle w:val="BodyText"/>
        <w:spacing w:line="480" w:lineRule="auto"/>
        <w:ind w:firstLine="720"/>
      </w:pPr>
      <w:r>
        <w:t xml:space="preserve">Second, in a DSS regime that implements the polycentric operator-rule layer, the NGSO operator and the GSO operator exchange operational state at a cadence shorter than the rule-adjustment latency of the treaty layer. The exchange can take the form of pointing exclusion zones around the GSO earth station, time-windowed reductions in NGSO emission spectral density in the direction of the station, dynamic reallocation of NGSO traffic away from the affected beams, or beam-hopping schedules that align with the GSO duty cycle. Each of these instruments has the analytical effect of replacing the filed envelope with a realised emission that tracks the geometric and traffic state of the system</w:t>
      </w:r>
      <w:r>
        <w:t xml:space="preserve"> </w:t>
      </w:r>
      <w:hyperlink w:anchor="ref-2">
        <w:r>
          <w:rPr>
            <w:rStyle w:val="Hyperlink"/>
          </w:rPr>
          <w:t xml:space="preserve">[2]</w:t>
        </w:r>
      </w:hyperlink>
      <w:r>
        <w:t xml:space="preserve">[11][14][15]. The framework predicts that, conditional on the same NGSO emitter count and on the same EPFD margin, the realised aggregate interference at the GSO earth station falls under the operational rule relative to the static rule.</w:t>
      </w:r>
    </w:p>
    <w:p>
      <w:pPr>
        <w:pStyle w:val="BodyText"/>
        <w:spacing w:line="480" w:lineRule="auto"/>
        <w:ind w:firstLine="720"/>
      </w:pPr>
      <w:r>
        <w:t xml:space="preserve">Third, the substitution of realised emission for filed envelope is bounded by the throughput cost the NGSO operator is willing to bear. The dynamic instruments named above all impose a throughput penalty on the NGSO side: a pointing exclusion zone forecloses some served terminals, a time-windowed power reduction lowers the served rate during that window, traffic reallocation moves load to less efficient beams, and beam-hopping schedules constrain the achievable spectral efficiency. The framework predicts that the operational rule is adopted only when the throughput penalty it imposes on the NGSO operator is offset by a value the operator captures from the agreement, whether that value is regulatory goodwill, mutual access, reduced coordination friction, or the avoidance of a future treaty-layer intervention that would be costlier. The throughput penalty is therefore bounded, and the framework predicts that observed DSS agreements will sit on the side of the bound at which the penalty is materially smaller than the interference reduction the GSO operator captures.</w:t>
      </w:r>
    </w:p>
    <w:p>
      <w:pPr>
        <w:pStyle w:val="BodyText"/>
        <w:spacing w:line="480" w:lineRule="auto"/>
        <w:ind w:firstLine="720"/>
      </w:pPr>
      <w:r>
        <w:t xml:space="preserve">Fourth, the operational rule is sustained over time only if it satisfies the Ostromian conditions of clear boundaries, congruence between rules and conditions, collective-choice arenas, monitoring, graduated sanctions, conflict-resolution mechanisms, recognition of operator rights to organise, and nested enterprises</w:t>
      </w:r>
      <w:r>
        <w:t xml:space="preserve"> </w:t>
      </w:r>
      <w:hyperlink w:anchor="ref-3">
        <w:r>
          <w:rPr>
            <w:rStyle w:val="Hyperlink"/>
          </w:rPr>
          <w:t xml:space="preserve">[3]</w:t>
        </w:r>
      </w:hyperlink>
      <w:r>
        <w:t xml:space="preserve">[4]. The dissertation’s qualitative process-trace, specified in the prospectus and in Chapter 4, codes each consummated DSS agreement against those eight principles and joins the institutional coding to the panel observation. The framework predicts that the agreements that exhibit more of the design principles will deliver larger interference reductions for any given throughput penalty, and that the agreements that exhibit fewer of the principles will either fail to reduce interference or will collapse</w:t>
      </w:r>
      <w:r>
        <w:t xml:space="preserve"> </w:t>
      </w:r>
      <w:hyperlink w:anchor="ref-3">
        <w:r>
          <w:rPr>
            <w:rStyle w:val="Hyperlink"/>
          </w:rPr>
          <w:t xml:space="preserve">[3]</w:t>
        </w:r>
      </w:hyperlink>
      <w:r>
        <w:t xml:space="preserve">[4][22]. The institutional gradient is what permits the dissertation to distinguish a polycentric effect from a generic bilateral-bargaining effect.</w:t>
      </w:r>
    </w:p>
    <w:p>
      <w:pPr>
        <w:pStyle w:val="BodyText"/>
        <w:spacing w:line="480" w:lineRule="auto"/>
        <w:ind w:firstLine="720"/>
      </w:pPr>
      <w:r>
        <w:t xml:space="preserve">Chained together, these four claims yield a composite prediction. DSS-treated operator pairs exhibit a measurable reduction in aggregate co-channel interference at the GSO earth station relative to the static-baseline control pairs, holding constellation size and EPFD margin constant, and that reduction is achieved with an NGSO throughput penalty that falls within a pre-specified tolerance band. The directional prediction is sharper than either the interference claim alone or the throughput claim alone, and it is the joint nature of the prediction that gives the test its content. A regime that reduced interference at any throughput cost would be uninteresting, because any operator could trivially reduce interference by emitting less. A regime that preserved throughput at any interference cost would be uninteresting, because the static baseline already does so. The polycentric mechanism is interesting only if it delivers both, and the hypothesis is constructed to test both.</w:t>
      </w:r>
    </w:p>
    <w:bookmarkEnd w:id="85"/>
    <w:bookmarkStart w:id="86" w:name="X84cc8cbe4ab3c7a97348b8537a0f29532fc75b3"/>
    <w:p>
      <w:pPr>
        <w:pStyle w:val="Heading2"/>
        <w:spacing w:line="480" w:lineRule="auto"/>
      </w:pPr>
      <w:r>
        <w:t xml:space="preserve">3.4 Auxiliary Assumptions and Scope Conditions</w:t>
      </w:r>
    </w:p>
    <w:p>
      <w:pPr>
        <w:pStyle w:val="FirstParagraph"/>
        <w:spacing w:line="480" w:lineRule="auto"/>
      </w:pPr>
      <w:r>
        <w:t xml:space="preserve">For the mechanism to be testable on the data the prospectus identifies, four auxiliary assumptions must hold and four scope conditions must be respected. The auxiliary assumptions are stated here so that the falsification path is transparent.</w:t>
      </w:r>
    </w:p>
    <w:p>
      <w:pPr>
        <w:pStyle w:val="BodyText"/>
        <w:spacing w:line="480" w:lineRule="auto"/>
        <w:ind w:firstLine="720"/>
      </w:pPr>
      <w:r>
        <w:t xml:space="preserve">The first assumption is that the treatment indicator, the entry into force of a bilateral DSS coordination agreement between an NGSO and a GSO operator in a Ku- or Ka-band assignment, is observable from the ITU Space Network Systems (SNS) Online filings and the U.S. Federal Communications Commission (FCC) International Bureau Filing System (IBFS) Schedule S submissions with negligible misclassification. The prospectus argues this on the basis of the public, machine-retrievable structure of both sources, and the companion papers operationalise it</w:t>
      </w:r>
      <w:r>
        <w:t xml:space="preserve"> </w:t>
      </w:r>
      <w:hyperlink w:anchor="ref-1">
        <w:r>
          <w:rPr>
            <w:rStyle w:val="Hyperlink"/>
          </w:rPr>
          <w:t xml:space="preserve">[1]</w:t>
        </w:r>
      </w:hyperlink>
      <w:r>
        <w:t xml:space="preserve">[2].</w:t>
      </w:r>
    </w:p>
    <w:p>
      <w:pPr>
        <w:pStyle w:val="BodyText"/>
        <w:spacing w:line="480" w:lineRule="auto"/>
        <w:ind w:firstLine="720"/>
      </w:pPr>
      <w:r>
        <w:t xml:space="preserve">The second assumption is that aggregate co-channel interference at the GSO earth station, as reported in the Schedule S link-budget annex and cross-checked against the ITU coordination thresholds in the SNS records, is a faithful proxy for the realised aggregate exposure under both regimes. The known measurement risk, that the static-baseline observations are partially operator-reported and may understate true exposure, is acknowledged in the prospectus and bounds the estimated effect from below rather than from above.</w:t>
      </w:r>
    </w:p>
    <w:p>
      <w:pPr>
        <w:pStyle w:val="BodyText"/>
        <w:spacing w:line="480" w:lineRule="auto"/>
        <w:ind w:firstLine="720"/>
      </w:pPr>
      <w:r>
        <w:t xml:space="preserve">The third assumption is that the NGSO downlink throughput measurement, drawn from operator deployment status filings and from the matched terminal performance reports that accompany the FCC IBFS submissions, is comparable across treated and control pair-years once the terminal class and the measurement window are fixed. The prospectus pre-specifies both. The pre-specification is the instrument that prevents the throughput tolerance band from being chosen ex post.</w:t>
      </w:r>
    </w:p>
    <w:p>
      <w:pPr>
        <w:pStyle w:val="BodyText"/>
        <w:spacing w:line="480" w:lineRule="auto"/>
        <w:ind w:firstLine="720"/>
      </w:pPr>
      <w:r>
        <w:t xml:space="preserve">The fourth assumption is that the parallel-trends condition holds in the absence of treatment. The prospectus tests this with an event-study specification on operator-pair fixed effects and with placebo treatments on operator pairs that announced but did not consummate DSS arrangements. The placebo design is the instrument that bounds the selection-into-treatment threat that the prospectus identifies as the first of four threats to validity.</w:t>
      </w:r>
    </w:p>
    <w:p>
      <w:pPr>
        <w:pStyle w:val="BodyText"/>
        <w:spacing w:line="480" w:lineRule="auto"/>
        <w:ind w:firstLine="720"/>
      </w:pPr>
      <w:r>
        <w:t xml:space="preserve">The scope conditions are equally explicit. The framework is tested only on NGSO-GSO operator pairs in the Ku- and Ka-bands, not in the L-, S-, C-, or V-bands. The framework is tested only on pairs whose footprints overlap to a degree that the Schedule S link budget treats as coordination-triggering, not on pairs whose geometric exposure is below the coordination threshold. The framework is tested only on civilian commercial operators that file in the ITU SNS and the FCC IBFS, not on government or military systems whose filings are not public. The framework is tested only on the operator-pair-year and operator-pair-month panels for which both interference and throughput measurements are available for both treatment and control regimes. Outside those four scope conditions, the framework may still hold, but the dissertation does not test it there.</w:t>
      </w:r>
    </w:p>
    <w:bookmarkEnd w:id="86"/>
    <w:bookmarkStart w:id="87" w:name="formal-hypotheses"/>
    <w:p>
      <w:pPr>
        <w:pStyle w:val="Heading2"/>
        <w:spacing w:line="480" w:lineRule="auto"/>
      </w:pPr>
      <w:r>
        <w:t xml:space="preserve">3.5 Formal Hypotheses</w:t>
      </w:r>
    </w:p>
    <w:p>
      <w:pPr>
        <w:pStyle w:val="FirstParagraph"/>
        <w:spacing w:line="480" w:lineRule="auto"/>
      </w:pPr>
      <w:r>
        <w:t xml:space="preserve">The framework, the mechanism, and the scope conditions together yield the pre-registered hypotheses that the empirical chapters of the dissertation evaluate. The hypotheses are stated in the form already announced in the prospectus and are reproduced here in the canonical pre-registration form so that the empirical chapters can refer to them without ambiguity.</w:t>
      </w:r>
    </w:p>
    <w:p>
      <w:pPr>
        <w:pStyle w:val="BodyText"/>
        <w:spacing w:line="480" w:lineRule="auto"/>
        <w:ind w:firstLine="720"/>
      </w:pPr>
      <w:r>
        <w:rPr>
          <w:b/>
          <w:bCs/>
        </w:rPr>
        <w:t xml:space="preserve">H0.</w:t>
      </w:r>
      <w:r>
        <w:t xml:space="preserve"> </w:t>
      </w:r>
      <w:r>
        <w:t xml:space="preserve">A polycentrically governed DSS regime between NGSO and GSO operators in the Ku- and Ka-bands produces aggregate co-channel interference at GSO earth stations that is statistically indistinguishable from the static-allocation baseline, or produces an NGSO downlink throughput penalty that exceeds a pre-registered tolerance band of ten percent of the static-baseline median.</w:t>
      </w:r>
    </w:p>
    <w:p>
      <w:pPr>
        <w:pStyle w:val="BodyText"/>
        <w:spacing w:line="480" w:lineRule="auto"/>
        <w:ind w:firstLine="720"/>
      </w:pPr>
      <w:r>
        <w:rPr>
          <w:b/>
          <w:bCs/>
        </w:rPr>
        <w:t xml:space="preserve">H1.</w:t>
      </w:r>
      <w:r>
        <w:t xml:space="preserve"> </w:t>
      </w:r>
      <w:r>
        <w:t xml:space="preserve">The polycentric DSS regime produces a statistically significant reduction in aggregate co-channel interference at GSO earth stations relative to the static baseline, and does so within the ten-percent throughput tolerance band.</w:t>
      </w:r>
    </w:p>
    <w:p>
      <w:pPr>
        <w:pStyle w:val="BodyText"/>
        <w:spacing w:line="480" w:lineRule="auto"/>
        <w:ind w:firstLine="720"/>
      </w:pPr>
      <w:r>
        <w:t xml:space="preserve">Three features of the joint statement deserve emphasis. First, H0 is the logical disjunction of two failure conditions: the interference effect is absent, or the throughput cost exceeds the tolerance. Either disjunct, on its own, sustains H0 and rejects the polycentric mechanism as specified. The dissertation cannot claim a positive contribution by satisfying one disjunct and failing the other. Second, the tolerance band of ten percent of the static-baseline median is a pre-registered quantity. It is fixed before estimation and is justified by the order of magnitude at which commercial NGSO operators trade throughput against coordination margin in their link budgets, which the prospectus and the first companion paper document at the decibel scale</w:t>
      </w:r>
      <w:r>
        <w:t xml:space="preserve"> </w:t>
      </w:r>
      <w:hyperlink w:anchor="ref-1">
        <w:r>
          <w:rPr>
            <w:rStyle w:val="Hyperlink"/>
          </w:rPr>
          <w:t xml:space="preserve">[1]</w:t>
        </w:r>
      </w:hyperlink>
      <w:r>
        <w:t xml:space="preserve">[2]. Third, the rejection of H0 in the direction of H1 is a single positive contribution, not two. The polycentric mechanism predicts both effects jointly, and only the joint observation is informative for the framework. A reduction in interference accompanied by a throughput penalty inside the tolerance is consistent with the polycentric mechanism; a reduction in interference accompanied by a throughput penalty outside the tolerance is consistent with a generic emission-reduction story that any rule could deliver, and is not informative about polycentric governance.</w:t>
      </w:r>
    </w:p>
    <w:p>
      <w:pPr>
        <w:pStyle w:val="BodyText"/>
        <w:spacing w:line="480" w:lineRule="auto"/>
        <w:ind w:firstLine="720"/>
      </w:pPr>
      <w:r>
        <w:t xml:space="preserve">The pairing of H0 and H1 is also the pairing on which the qualitative and quantitative components of the mixed design speak to each other. The panel difference-in-differences in the companion paper estimates the interference effect on the coordination-event timeline and yields a positive and statistically significant DSS coefficient on the order of one decibel, conditional on constellation size and on EPFD margin. The cross-sectional ordinary-least-squares specification in the second companion paper does not detect the coordination effect once the EPFD margin is included, which is consistent with the polycentric reading that the static regulatory variable absorbs the operator-rule signal at the cross-sectional link-budget layer. The two findings together imply that the polycentric mechanism is detectable on the dynamic timeline but not in the static link budget, which is the prediction the framework actually makes and which the dissertation’s chapter on identification develops. The qualitative process-trace, coded against the Ostromian design principles following Morin and Couette</w:t>
      </w:r>
      <w:r>
        <w:t xml:space="preserve"> </w:t>
      </w:r>
      <w:hyperlink w:anchor="ref-3">
        <w:r>
          <w:rPr>
            <w:rStyle w:val="Hyperlink"/>
          </w:rPr>
          <w:t xml:space="preserve">[3]</w:t>
        </w:r>
      </w:hyperlink>
      <w:r>
        <w:t xml:space="preserve"> </w:t>
      </w:r>
      <w:r>
        <w:t xml:space="preserve">and the broader commons-in-space literature</w:t>
      </w:r>
      <w:r>
        <w:t xml:space="preserve"> </w:t>
      </w:r>
      <w:hyperlink w:anchor="ref-4">
        <w:r>
          <w:rPr>
            <w:rStyle w:val="Hyperlink"/>
          </w:rPr>
          <w:t xml:space="preserve">[4]</w:t>
        </w:r>
      </w:hyperlink>
      <w:r>
        <w:t xml:space="preserve">[9][22], supplies the institutional gradient against which the panel coefficient is read.</w:t>
      </w:r>
    </w:p>
    <w:bookmarkEnd w:id="87"/>
    <w:bookmarkStart w:id="88" w:name="X7cb263268861338e8ec923fd36508ef76808b59"/>
    <w:p>
      <w:pPr>
        <w:pStyle w:val="Heading2"/>
        <w:spacing w:line="480" w:lineRule="auto"/>
      </w:pPr>
      <w:r>
        <w:t xml:space="preserve">3.6 Falsification Path and Negative-Finding Interpretation</w:t>
      </w:r>
    </w:p>
    <w:p>
      <w:pPr>
        <w:pStyle w:val="FirstParagraph"/>
        <w:spacing w:line="480" w:lineRule="auto"/>
      </w:pPr>
      <w:r>
        <w:t xml:space="preserve">The framework’s value as a doctoral contribution depends on the negative finding being as informative as the positive one. The prospectus is explicit that a failure to reject H0, or a throughput penalty outside the tolerance band, would be a negative finding that is equally informative for regulators considering DSS adoption. The framework supplies the interpretation in each case. A failure to detect an interference reduction would imply either that the polycentric mechanism is absent in the consummated agreements, in which case the institutional codings should show the design principles to be largely absent and the result is consistent with Morin and Couette’s audit of the debris regime</w:t>
      </w:r>
      <w:r>
        <w:t xml:space="preserve"> </w:t>
      </w:r>
      <w:hyperlink w:anchor="ref-3">
        <w:r>
          <w:rPr>
            <w:rStyle w:val="Hyperlink"/>
          </w:rPr>
          <w:t xml:space="preserve">[3]</w:t>
        </w:r>
      </w:hyperlink>
      <w:r>
        <w:t xml:space="preserve">, or that the mechanism is present but the measurement layer is wrong, which the second companion paper has already documented</w:t>
      </w:r>
      <w:r>
        <w:t xml:space="preserve"> </w:t>
      </w:r>
      <w:hyperlink w:anchor="ref-2">
        <w:r>
          <w:rPr>
            <w:rStyle w:val="Hyperlink"/>
          </w:rPr>
          <w:t xml:space="preserve">[2]</w:t>
        </w:r>
      </w:hyperlink>
      <w:r>
        <w:t xml:space="preserve">[3]. A detection of an interference reduction accompanied by a throughput penalty outside the tolerance would imply that the agreements are functioning as a unilateral NGSO concession rather than as a mutual polycentric rule, which would push the framework toward the Coasian-bargaining reading and away from the Ostromian operator-rule reading. The dissertation is therefore organised so that the negative finding is informative for the next research program, not merely null.</w:t>
      </w:r>
    </w:p>
    <w:p>
      <w:pPr>
        <w:pStyle w:val="BodyText"/>
        <w:spacing w:line="480" w:lineRule="auto"/>
        <w:ind w:firstLine="720"/>
      </w:pPr>
      <w:r>
        <w:t xml:space="preserve">The chapter has now established the framework, named the causal mechanism, set out the auxiliary assumptions and scope conditions, and stated H0 and H1 in their pre-registered form. The chapter that follows develops the identification strategy that joins the quantitative panel to the qualitative process-trace, and the empirical chapters then evaluate the hypotheses on the ITU SNS-Online and FCC IBFS data that the prospectus has named.</w:t>
      </w:r>
    </w:p>
    <w:bookmarkEnd w:id="88"/>
    <w:bookmarkEnd w:id="89"/>
    <w:bookmarkStart w:id="99" w:name="chapter-4.-data-and-measurement"/>
    <w:p>
      <w:pPr>
        <w:pStyle w:val="Heading1"/>
        <w:spacing w:line="480" w:lineRule="auto"/>
      </w:pPr>
      <w:r>
        <w:t xml:space="preserve">Chapter 4. Data and Measurement</w:t>
      </w:r>
    </w:p>
    <w:bookmarkStart w:id="90"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materials on which the two papers of the dissertation rest, the authoritative provenance of those materials, the unit of analysis adopted in each paper, and the construction rule by which each variable is derived from primary records. The dissertation tests a single falsifiable claim about whether a polycentrically governed dynamic spectrum sharing (DSS) regime between non-geostationary (NGSO) and geostationary (GSO) satellite operators in the Ku- and Ka-bands reduces aggregate co-channel interference at GSO earth stations without violating a pre-registered NGSO throughput tolerance band. The argument is grounded in the orbital-commons governance critique that has applied Ostrom’s design principles to spectrum and orbit</w:t>
      </w:r>
      <w:r>
        <w:t xml:space="preserve"> </w:t>
      </w:r>
      <w:hyperlink w:anchor="ref-3">
        <w:r>
          <w:rPr>
            <w:rStyle w:val="Hyperlink"/>
          </w:rPr>
          <w:t xml:space="preserve">[3]</w:t>
        </w:r>
      </w:hyperlink>
      <w:r>
        <w:t xml:space="preserve">, in the scenario analysis of commons in space that frames the polycentric alternative</w:t>
      </w:r>
      <w:r>
        <w:t xml:space="preserve"> </w:t>
      </w:r>
      <w:hyperlink w:anchor="ref-4">
        <w:r>
          <w:rPr>
            <w:rStyle w:val="Hyperlink"/>
          </w:rPr>
          <w:t xml:space="preserve">[4]</w:t>
        </w:r>
      </w:hyperlink>
      <w:r>
        <w:t xml:space="preserve">, and in the WRC-19 record on LEO spectrum and on the legal architecture for Ku- and Ka-band coexistence</w:t>
      </w:r>
      <w:r>
        <w:t xml:space="preserve"> </w:t>
      </w:r>
      <w:hyperlink w:anchor="ref-2">
        <w:r>
          <w:rPr>
            <w:rStyle w:val="Hyperlink"/>
          </w:rPr>
          <w:t xml:space="preserve">[2]</w:t>
        </w:r>
      </w:hyperlink>
      <w:r>
        <w:t xml:space="preserve">. The commercial and strategic stakes of the LEO broadband build-out that motivates the question are taken from the AMOS record on the Ku- and Ka-band competition</w:t>
      </w:r>
      <w:r>
        <w:t xml:space="preserve"> </w:t>
      </w:r>
      <w:hyperlink w:anchor="ref-1">
        <w:r>
          <w:rPr>
            <w:rStyle w:val="Hyperlink"/>
          </w:rPr>
          <w:t xml:space="preserve">[1]</w:t>
        </w:r>
      </w:hyperlink>
      <w:r>
        <w:t xml:space="preserve">. The chapter is organized so that a reader who wishes to replicate either paper can reconstruct the dataset from the public filings named here without recourse to proprietary holdings.</w:t>
      </w:r>
    </w:p>
    <w:p>
      <w:pPr>
        <w:pStyle w:val="BodyText"/>
        <w:spacing w:line="480" w:lineRule="auto"/>
        <w:ind w:firstLine="720"/>
      </w:pPr>
      <w:r>
        <w:t xml:space="preserve">Both papers share a common evidentiary base, yet they exercise it at different scales. Paper one is a panel fixed-effects design on the NGSO-GSO operator-pair-year, covering nine pairs across the 2020 through 2023 window and yielding thirty-six observations. Paper two is a cross-sectional ordinary-least-squares design on the NGSO-GSO operator-band pairing, covering twenty-eight pairings drawn from a wider set of NGSO authorizations against the incumbent GSO earth-station coordination filings that share the same nominal frequency assignments. The two designs are therefore complementary in coverage. The panel exercises the dynamic dimension of the polycentric hypothesis by exploiting variation in the timing of bilateral coordination agreements. The cross-section exercises the static dimension by forcing the coordination-intensity variable to do work against the legally binding equivalent power flux density (EPFD) margin and the geometric pressure of the simultaneous emitter count. The two papers are joined in this chapter by a shared catalogue of source systems, by a shared definition of the operator-pair concept that anchors the unit of analysis, and by a shared coding protocol for the institutional variables that travel across both designs.</w:t>
      </w:r>
    </w:p>
    <w:bookmarkEnd w:id="90"/>
    <w:bookmarkStart w:id="91" w:name="authoritative-data-sources"/>
    <w:p>
      <w:pPr>
        <w:pStyle w:val="Heading2"/>
        <w:spacing w:line="480" w:lineRule="auto"/>
      </w:pPr>
      <w:r>
        <w:t xml:space="preserve">4.2 Authoritative Data Sources</w:t>
      </w:r>
    </w:p>
    <w:p>
      <w:pPr>
        <w:pStyle w:val="FirstParagraph"/>
        <w:spacing w:line="480" w:lineRule="auto"/>
      </w:pPr>
      <w:r>
        <w:t xml:space="preserve">Three families of public records constitute the authoritative source set for both papers. The first is the International Telecommunication Union (ITU) Space Network Systems (SNS) database and its associated publications. The SNS-Online interface and the BR-IFIC publication schedule are the canonical registries of notified networks, of frequency assignments, of coordination requests, and of due-diligence status for every NGSO and GSO system filed under the Radio Regulations. The SNS-Online interface is publicly queryable by administration, by satellite network identifier, and by frequency band. The BR-IFIC DVDs are distributed by the Radiocommunication Bureau on a fixed bi-weekly cycle and constitute the formal record of publication that triggers coordination obligations under the Radio Regulations. The legal architecture against which the institutional codings are constructed is the Radio Regulations as updated by the WRC-19 Final Acts, including Article 22 and the EPFD framework that governs NGSO emissions into GSO networks in the Ku- and Ka-bands</w:t>
      </w:r>
      <w:r>
        <w:t xml:space="preserve"> </w:t>
      </w:r>
      <w:hyperlink w:anchor="ref-2">
        <w:r>
          <w:rPr>
            <w:rStyle w:val="Hyperlink"/>
          </w:rPr>
          <w:t xml:space="preserve">[2]</w:t>
        </w:r>
      </w:hyperlink>
      <w:r>
        <w:t xml:space="preserve">.</w:t>
      </w:r>
    </w:p>
    <w:p>
      <w:pPr>
        <w:pStyle w:val="BodyText"/>
        <w:spacing w:line="480" w:lineRule="auto"/>
        <w:ind w:firstLine="720"/>
      </w:pPr>
      <w:r>
        <w:t xml:space="preserve">Second comes the U.S. Federal Communications Commission (FCC) International Bureau Filing System (IBFS). The IBFS is the public docket for space-station and earth-station applications, modifications, and coordination submissions to which the U.S. market access of the operators studied here is anchored. The IBFS makes available the Schedule S submissions filed in support of space-station authorizations and modifications, the earth-station coordination filings of the incumbent GSO operators that share the nominal Ku- and Ka-band assignments, and the deployment status reports that NGSO licensees are required to file at milestone dates. Schedule S submissions include the link-budget annexes that report aggregate interference at the GSO earth station, the operator-reported margins against the Article 22 EPFD limits, and the operator-reported throughput at the matched terminals. Earth-station coordination filings carry the GSO emission spectral density values that are used as a control in the panel.</w:t>
      </w:r>
    </w:p>
    <w:p>
      <w:pPr>
        <w:pStyle w:val="BodyText"/>
        <w:spacing w:line="480" w:lineRule="auto"/>
        <w:ind w:firstLine="720"/>
      </w:pPr>
      <w:r>
        <w:t xml:space="preserve">Third comes operator-level disclosure. NGSO active-satellite counts are reconstructed from FCC deployment status filings cross-checked against the annual reports and quarterly disclosures of the publicly traded operators in the sample. Where an operator is not publicly traded, the deployment status filing is treated as the primary source and the cross-check is performed against the ITU notified-network records, which list each launched and operational satellite by orbit and frequency assignment. The cross-check is documented in the per-row source field of the dataset and is used to discipline the active-satellite count variable that enters paper one. Where the cross-check disagrees, the FCC filing is treated as authoritative for U.S.-market geometry and the discrepancy is flagged.</w:t>
      </w:r>
    </w:p>
    <w:p>
      <w:pPr>
        <w:pStyle w:val="BodyText"/>
        <w:spacing w:line="480" w:lineRule="auto"/>
        <w:ind w:firstLine="720"/>
      </w:pPr>
      <w:r>
        <w:t xml:space="preserve">No proprietary holdings, no export-controlled material, and no operator-confidential records are required by either paper. The full source set is therefore reconstructible by a reader with access to the SNS-Online interface, to the BR-IFIC publication schedule, to the IBFS docket, and to the public filings of the named operators. The institutional codings draw on the same public record, supplemented by the WRC-19 Final Acts and by the orbital-debris polycentric-governance audit that supplies the coding instrument</w:t>
      </w:r>
      <w:r>
        <w:t xml:space="preserve"> </w:t>
      </w:r>
      <w:hyperlink w:anchor="ref-3">
        <w:r>
          <w:rPr>
            <w:rStyle w:val="Hyperlink"/>
          </w:rPr>
          <w:t xml:space="preserve">[3]</w:t>
        </w:r>
      </w:hyperlink>
      <w:r>
        <w:t xml:space="preserve">.</w:t>
      </w:r>
    </w:p>
    <w:bookmarkEnd w:id="91"/>
    <w:bookmarkStart w:id="92" w:name="unit-of-analysis"/>
    <w:p>
      <w:pPr>
        <w:pStyle w:val="Heading2"/>
        <w:spacing w:line="480" w:lineRule="auto"/>
      </w:pPr>
      <w:r>
        <w:t xml:space="preserve">4.3 Unit of Analysis</w:t>
      </w:r>
    </w:p>
    <w:p>
      <w:pPr>
        <w:pStyle w:val="FirstParagraph"/>
        <w:spacing w:line="480" w:lineRule="auto"/>
      </w:pPr>
      <w:r>
        <w:t xml:space="preserve">The dissertation adopts the NGSO-GSO operator pair as the foundational unit and exercises that pair at two distinct grains. In paper one the unit of observation is the operator-pair-year. A pair is formed when an NGSO operator and a GSO operator hold concurrent authorizations in the same Ku- or Ka-band assignment and when at least one earth-station coordination filing on the GSO side names the NGSO operator as a coordination counterparty under the Radio Regulations. The panel runs from 2020 through 2023, which is the window in which the bilateral DSS coordination agreements at the centre of the polycentric hypothesis began to enter into force, and which precedes the WRC-23 outcomes that would otherwise contaminate the post-treatment record. Nine pairs are observed across the four years, yielding thirty-six pair-year observations. The pair-year is the appropriate unit because the treatment variable, the entry into force of a bilateral DSS coordination agreement, is defined at the pair level and varies in time only at the year resolution at which coordination instruments are notified and disclosed.</w:t>
      </w:r>
    </w:p>
    <w:p>
      <w:pPr>
        <w:pStyle w:val="BodyText"/>
        <w:spacing w:line="480" w:lineRule="auto"/>
        <w:ind w:firstLine="720"/>
      </w:pPr>
      <w:r>
        <w:t xml:space="preserve">In paper two the unit of observation is the operator-band pairing, taken at a single cross-sectional snapshot at the most recent Schedule S reference geometry available at the cut-off date. A pairing is formed when an NGSO authorization and a GSO earth-station coordination filing reference the same nominal Ku- or Ka-band sub-assignment and when the GSO earth station appears in the line-of-sight set of the NGSO constellation at the Schedule S reference geometry. The cross-section comprises twenty-eight such pairings drawn from the Ku- and Ka-band authorizations granted to SpaceX Starlink Gen1 and Gen2, OneWeb Phase 1 and Phase 2, Telesat Lightspeed, Amazon Kuiper, SES O3b mPOWER, Hughes JUPITER 3, Iridium NEXT, Kepler Communications, and Planet SkySat, paired with the GSO earth-station coordination filings of Intelsat, SES, Eutelsat, Inmarsat (Viasat), Echostar, Hughes, JSAT, and ABS. The pairing is the appropriate unit because the variables of primary interest, the EPFD margin and the aggregate co-channel interference at the GSO earth station, are reported in the Schedule S link budget at exactly that grain.</w:t>
      </w:r>
    </w:p>
    <w:p>
      <w:pPr>
        <w:pStyle w:val="BodyText"/>
        <w:spacing w:line="480" w:lineRule="auto"/>
        <w:ind w:firstLine="720"/>
      </w:pPr>
      <w:r>
        <w:t xml:space="preserve">The two units are nested. Every operator-pair-year in the panel of paper one corresponds to one or more operator-band pairings in the cross-section of paper two, and the institutional coding that travels across both papers is constructed at the pair level rather than at the pair-year or pairing level so that it can be carried into either design without re-coding. The decision to test the panel at the pair-year and the cross-section at the pairing is driven by the structure of the underlying filings: the bilateral coordination agreements that define treatment in paper one are pair-level instruments that update annually, while the link-budget annexes that define the dependent variable in paper two are pairing-level documents that report a single reference geometry.</w:t>
      </w:r>
    </w:p>
    <w:bookmarkEnd w:id="92"/>
    <w:bookmarkStart w:id="93" w:name="dependent-variables"/>
    <w:p>
      <w:pPr>
        <w:pStyle w:val="Heading2"/>
        <w:spacing w:line="480" w:lineRule="auto"/>
      </w:pPr>
      <w:r>
        <w:t xml:space="preserve">4.4 Dependent Variables</w:t>
      </w:r>
    </w:p>
    <w:p>
      <w:pPr>
        <w:pStyle w:val="FirstParagraph"/>
        <w:spacing w:line="480" w:lineRule="auto"/>
      </w:pPr>
      <w:r>
        <w:t xml:space="preserve">Paper one takes as its dependent variable the GSO interference margin in decibels relative to the ITU coordination threshold at the earth station. The margin is constructed from the Schedule S link-budget annex by subtracting the reported aggregate co-channel interference at the GSO earth station from the coordination threshold that the Radio Regulations specify for the same band and geometry. Higher values indicate more headroom before harmful interference is incurred. The construction follows the convention adopted in the operator filings themselves and in the WRC-19 record on Ku- and Ka-band coexistence</w:t>
      </w:r>
      <w:r>
        <w:t xml:space="preserve"> </w:t>
      </w:r>
      <w:hyperlink w:anchor="ref-2">
        <w:r>
          <w:rPr>
            <w:rStyle w:val="Hyperlink"/>
          </w:rPr>
          <w:t xml:space="preserve">[2]</w:t>
        </w:r>
      </w:hyperlink>
      <w:r>
        <w:t xml:space="preserve">, so that the variable is comparable across the operator pairs in the panel without further normalization. The margin is reported at the year resolution by averaging the Schedule S annex values that bear a reference date within the calendar year and by carrying forward the most recent value when no annex is filed in a given year. The forward-carry rule is documented in the per-row source field and is applied identically to treated and untreated pair-years to avoid introducing a treatment-correlated measurement asymmetry.</w:t>
      </w:r>
    </w:p>
    <w:p>
      <w:pPr>
        <w:pStyle w:val="BodyText"/>
        <w:spacing w:line="480" w:lineRule="auto"/>
        <w:ind w:firstLine="720"/>
      </w:pPr>
      <w:r>
        <w:t xml:space="preserve">Paper two takes as its dependent variable the aggregate co-channel interference at the GSO earth station in dBW, drawn directly from the Schedule S link-budget annex at the reference geometry of the snapshot. The dBW unit is the unit in which the operators file. The construction does not difference the value against the coordination threshold, because the EPFD margin enters the regression as a separate regressor and the cross-section is designed to identify the conditional contribution of coordination intensity once the regulatory floor and the geometric pressure are accounted for. The Schedule S annex is the only acceptable source for the variable and the per-row source field carries the IBFS file identifier and the page reference within the annex from which the value is read.</w:t>
      </w:r>
    </w:p>
    <w:p>
      <w:pPr>
        <w:pStyle w:val="BodyText"/>
        <w:spacing w:line="480" w:lineRule="auto"/>
        <w:ind w:firstLine="720"/>
      </w:pPr>
      <w:r>
        <w:t xml:space="preserve">The two dependent-variable constructions are deliberately not identical. Paper one looks at headroom because the panel design is asking whether treatment moves the operator further from the binding threshold over time. Paper two looks at the absolute interference level because the cross-section is asking whether coordination intensity reduces interference at the link-budget layer once the regulatory and geometric controls are conditioned on. The two specifications give complementary readings on the same underlying physical quantity and the per-row mapping between the two constructions is documented in the shared source catalogue.</w:t>
      </w:r>
    </w:p>
    <w:bookmarkEnd w:id="93"/>
    <w:bookmarkStart w:id="94" w:name="independent-variables"/>
    <w:p>
      <w:pPr>
        <w:pStyle w:val="Heading2"/>
        <w:spacing w:line="480" w:lineRule="auto"/>
      </w:pPr>
      <w:r>
        <w:t xml:space="preserve">4.5 Independent Variables</w:t>
      </w:r>
    </w:p>
    <w:p>
      <w:pPr>
        <w:pStyle w:val="FirstParagraph"/>
        <w:spacing w:line="480" w:lineRule="auto"/>
      </w:pPr>
      <w:r>
        <w:t xml:space="preserve">The DSS treatment indicator in paper one is constructed from the ITU notified-network record and from the FCC IBFS coordination filings jointly. A pair-year is coded as treated if a bilateral coordination instrument that implements a DSS protocol between the NGSO and GSO operator in the pair has entered into force on or before the first day of the calendar year. The entry-into-force date is the date on which the instrument is either notified to the ITU as a coordination agreement under the Radio Regulations or referenced as in force in the IBFS docket. The two sources are required to agree on the date; where they disagree, the later date is used so that the treatment is conservatively timed. The coordination-agreement count in paper one is constructed from the same sources as a count of the formally notified coordination agreements covering the pair, including but not restricted to the agreement that triggers the treatment indicator. The count is updated annually.</w:t>
      </w:r>
    </w:p>
    <w:p>
      <w:pPr>
        <w:pStyle w:val="BodyText"/>
        <w:spacing w:line="480" w:lineRule="auto"/>
        <w:ind w:firstLine="720"/>
      </w:pPr>
      <w:r>
        <w:t xml:space="preserve">The coordination-intensity index in paper two is an ordinal index coded against the Ostrom design principles, following the protocol of the orbital-debris polycentric-governance audit that has applied those principles to the orbital commons</w:t>
      </w:r>
      <w:r>
        <w:t xml:space="preserve"> </w:t>
      </w:r>
      <w:hyperlink w:anchor="ref-3">
        <w:r>
          <w:rPr>
            <w:rStyle w:val="Hyperlink"/>
          </w:rPr>
          <w:t xml:space="preserve">[3]</w:t>
        </w:r>
      </w:hyperlink>
      <w:r>
        <w:t xml:space="preserve"> </w:t>
      </w:r>
      <w:r>
        <w:t xml:space="preserve">and that is consistent with the scenario analyses of commons in space</w:t>
      </w:r>
      <w:r>
        <w:t xml:space="preserve"> </w:t>
      </w:r>
      <w:hyperlink w:anchor="ref-4">
        <w:r>
          <w:rPr>
            <w:rStyle w:val="Hyperlink"/>
          </w:rPr>
          <w:t xml:space="preserve">[4]</w:t>
        </w:r>
      </w:hyperlink>
      <w:r>
        <w:t xml:space="preserve">. The index assigns a score to each pairing on each of the eight design principles, summed to a single ordinal value, on the basis of the documented features of the coordination instrument and the supporting filings. A pairing that operates on the static ITU-coordination baseline alone, with no documented bilateral instrument, receives the lowest score. A pairing that operates under a bilateral instrument that displays clearly defined boundaries, monitored compliance, graduated sanctions, conflict-resolution mechanisms, and nested governance at the regional and global layers receives the highest score. The coding protocol is published with the dataset and intercoder reliability is established on a held-out subset of the pairings as specified in the prospectus.</w:t>
      </w:r>
    </w:p>
    <w:p>
      <w:pPr>
        <w:pStyle w:val="BodyText"/>
        <w:spacing w:line="480" w:lineRule="auto"/>
        <w:ind w:firstLine="720"/>
      </w:pPr>
      <w:r>
        <w:t xml:space="preserve">The NGSO active-satellite count, common to both papers, is constructed from the FCC deployment status filings and cross-checked against the ITU notified-network records and against the public operator disclosures, as set out in section 4.2 above. In paper one the count is taken at the year resolution as the average of the quarterly deployment status reports filed within the calendar year. In paper two the count is taken as the number of satellites of the named operator simultaneously in line of sight of the GSO earth station at the Schedule S reference geometry, derived from the propagation of the orbital elements declared in the Schedule S submission against the earth-station latitude and longitude declared in the earth-station coordination filing. The two constructions are not the same number and are not intended to be: paper one needs an annual constellation-size proxy and paper two needs a snapshot geometric pressure measurement.</w:t>
      </w:r>
    </w:p>
    <w:p>
      <w:pPr>
        <w:pStyle w:val="BodyText"/>
        <w:spacing w:line="480" w:lineRule="auto"/>
        <w:ind w:firstLine="720"/>
      </w:pPr>
      <w:r>
        <w:t xml:space="preserve">The GSO emission spectral density enters paper one as a control and is taken from the incumbent earth-station coordination filings on the GSO side of the pair. The variable captures the emission floor against which the headroom in the dependent variable is measured. The EPFD margin enters paper two as the dominant regressor and is the operator-reported margin against the Article 22 EPFD hard limits at the GSO earth station, drawn from the Schedule S annex. The Article 22 framework is the legally binding instrument adopted under the Radio Regulations and updated at WRC-19</w:t>
      </w:r>
      <w:r>
        <w:t xml:space="preserve"> </w:t>
      </w:r>
      <w:hyperlink w:anchor="ref-2">
        <w:r>
          <w:rPr>
            <w:rStyle w:val="Hyperlink"/>
          </w:rPr>
          <w:t xml:space="preserve">[2]</w:t>
        </w:r>
      </w:hyperlink>
      <w:r>
        <w:t xml:space="preserve"> </w:t>
      </w:r>
      <w:r>
        <w:t xml:space="preserve">and the operator-reported margin is the variable against which the regulatory rule is written.</w:t>
      </w:r>
    </w:p>
    <w:bookmarkEnd w:id="94"/>
    <w:bookmarkStart w:id="95" w:name="Xcab0218472a4b8b2e592a6352cf3e5fafcb4c73"/>
    <w:p>
      <w:pPr>
        <w:pStyle w:val="Heading2"/>
        <w:spacing w:line="480" w:lineRule="auto"/>
      </w:pPr>
      <w:r>
        <w:t xml:space="preserve">4.6 Coding Protocol for the Institutional Variables</w:t>
      </w:r>
    </w:p>
    <w:p>
      <w:pPr>
        <w:pStyle w:val="FirstParagraph"/>
        <w:spacing w:line="480" w:lineRule="auto"/>
      </w:pPr>
      <w:r>
        <w:t xml:space="preserve">The institutional variables that travel across both papers are coded against an instrument that maps each of Ostrom’s eight design principles onto a documentable feature of the coordination arrangement. The instrument is adapted from the orbital-debris polycentric-governance audit</w:t>
      </w:r>
      <w:r>
        <w:t xml:space="preserve"> </w:t>
      </w:r>
      <w:hyperlink w:anchor="ref-3">
        <w:r>
          <w:rPr>
            <w:rStyle w:val="Hyperlink"/>
          </w:rPr>
          <w:t xml:space="preserve">[3]</w:t>
        </w:r>
      </w:hyperlink>
      <w:r>
        <w:t xml:space="preserve">, with the substitution of spectrum-coordination features for debris-mitigation features at each principle, and with the addition of a documentation rule that requires every score to be supported by a citation to a public filing or to the WRC-19 Final Acts</w:t>
      </w:r>
      <w:r>
        <w:t xml:space="preserve"> </w:t>
      </w:r>
      <w:hyperlink w:anchor="ref-2">
        <w:r>
          <w:rPr>
            <w:rStyle w:val="Hyperlink"/>
          </w:rPr>
          <w:t xml:space="preserve">[2]</w:t>
        </w:r>
      </w:hyperlink>
      <w:r>
        <w:t xml:space="preserve">. The eight principles are scored on a four-point ordinal scale and summed to a single index that ranges from zero to twenty-four. The summing rule treats the principles as equally weighted, which is the convention used in the orbital-commons literature</w:t>
      </w:r>
      <w:r>
        <w:t xml:space="preserve"> </w:t>
      </w:r>
      <w:hyperlink w:anchor="ref-3">
        <w:r>
          <w:rPr>
            <w:rStyle w:val="Hyperlink"/>
          </w:rPr>
          <w:t xml:space="preserve">[3]</w:t>
        </w:r>
      </w:hyperlink>
      <w:r>
        <w:t xml:space="preserve">[4] and which avoids introducing a researcher-specified weighting that would interact with the polycentric hypothesis under test. The coding instrument is published with the dataset and is exercised on the full set of pairings in paper two and on the full set of pair-years in paper one.</w:t>
      </w:r>
    </w:p>
    <w:p>
      <w:pPr>
        <w:pStyle w:val="BodyText"/>
        <w:spacing w:line="480" w:lineRule="auto"/>
        <w:ind w:firstLine="720"/>
      </w:pPr>
      <w:r>
        <w:t xml:space="preserve">Intercoder reliability is established on a held-out subset of the pairings and pair-years drawn at random from the full sample. The held-out subset is coded independently by a second coder against the published instrument and the resulting scores are compared against the primary coder. The reliability statistic and the held-out subset are reported with the dataset. Disagreements at the principle level are adjudicated by reference to the underlying filings and the adjudication rule is documented so that a third coder could in principle reproduce the codings without recourse to the primary coder’s interpretation.</w:t>
      </w:r>
    </w:p>
    <w:bookmarkEnd w:id="95"/>
    <w:bookmarkStart w:id="96" w:name="operator-selection-and-coverage"/>
    <w:p>
      <w:pPr>
        <w:pStyle w:val="Heading2"/>
        <w:spacing w:line="480" w:lineRule="auto"/>
      </w:pPr>
      <w:r>
        <w:t xml:space="preserve">4.7 Operator Selection and Coverage</w:t>
      </w:r>
    </w:p>
    <w:p>
      <w:pPr>
        <w:pStyle w:val="FirstParagraph"/>
        <w:spacing w:line="480" w:lineRule="auto"/>
      </w:pPr>
      <w:r>
        <w:t xml:space="preserve">The operator set is constructed to span the Ku- and Ka-band NGSO authorizations of the largest commercial systems and the Ku- and Ka-band GSO earth-station coordination filings of the incumbent operators that share those bands. On the NGSO side the set includes SpaceX Starlink Gen1 and Gen2, OneWeb Phase 1 and Phase 2, Telesat Lightspeed, Amazon Kuiper, SES O3b mPOWER, Hughes JUPITER 3, Iridium NEXT, Kepler Communications, and Planet SkySat. On the GSO side the set includes Intelsat, SES, Eutelsat, Inmarsat (Viasat), Echostar, Hughes, JSAT, and ABS. The operator set captures the operators whose Ku- and Ka-band activity is documented in the AMOS record on the LEO broadband competition</w:t>
      </w:r>
      <w:r>
        <w:t xml:space="preserve"> </w:t>
      </w:r>
      <w:hyperlink w:anchor="ref-1">
        <w:r>
          <w:rPr>
            <w:rStyle w:val="Hyperlink"/>
          </w:rPr>
          <w:t xml:space="preserve">[1]</w:t>
        </w:r>
      </w:hyperlink>
      <w:r>
        <w:t xml:space="preserve"> </w:t>
      </w:r>
      <w:r>
        <w:t xml:space="preserve">and whose coordination filings appear in the IBFS docket at the volume needed to support the panel and the cross-section.</w:t>
      </w:r>
    </w:p>
    <w:p>
      <w:pPr>
        <w:pStyle w:val="BodyText"/>
        <w:spacing w:line="480" w:lineRule="auto"/>
        <w:ind w:firstLine="720"/>
      </w:pPr>
      <w:r>
        <w:t xml:space="preserve">The panel of paper one samples nine pairs from this set on the basis of two restrictions: that at least one earth-station coordination filing on the GSO side names the NGSO operator as a coordination counterparty across the full 2020 through 2023 window, and that the bilateral DSS coordination instruments which would trigger the treatment indicator are documented in either the ITU notified-network record or in the IBFS docket. The cross-section of paper two samples twenty-eight pairings on the looser restriction that the Schedule S link-budget annex on the NGSO side and the earth-station coordination filing on the GSO side share a nominal Ku- or Ka-band sub-assignment at the snapshot date.</w:t>
      </w:r>
    </w:p>
    <w:bookmarkEnd w:id="96"/>
    <w:bookmarkStart w:id="97" w:name="X8b511ba19ae029ccb8e0103216230ffddd07e11"/>
    <w:p>
      <w:pPr>
        <w:pStyle w:val="Heading2"/>
        <w:spacing w:line="480" w:lineRule="auto"/>
      </w:pPr>
      <w:r>
        <w:t xml:space="preserve">4.8 Handling of Illustrative Tags and Missing Values</w:t>
      </w:r>
    </w:p>
    <w:p>
      <w:pPr>
        <w:pStyle w:val="FirstParagraph"/>
        <w:spacing w:line="480" w:lineRule="auto"/>
      </w:pPr>
      <w:r>
        <w:t xml:space="preserve">Both papers carry a small number of illustrative tags on single fields where the underlying public filing is not yet machine-extractable at the granularity required by the analysis. In paper one five of the thirty-six pair-years carry an illustrative tag on a single field, either the coordination-agreement count or the throughput for a sparse pair, where the underlying public filing is not yet machine-extractable at the row granularity. The illustrative share is therefore below the fifteen percent threshold that the dissertation has pre-registered as the upper bound for inclusion. In paper two two of the twenty-eight pairings carry an illustrative tag on a single variable each. The illustrative share in paper two is therefore below ten percent.</w:t>
      </w:r>
    </w:p>
    <w:p>
      <w:pPr>
        <w:pStyle w:val="BodyText"/>
        <w:spacing w:line="480" w:lineRule="auto"/>
        <w:ind w:firstLine="720"/>
      </w:pPr>
      <w:r>
        <w:t xml:space="preserve">The illustrative tag does not relax the source-citation rule. Every illustrative value is bounded by the range observed in the non-illustrative rows of the same operator and band, and the per-row source field records both the bounding rule and the underlying public filing that anchors the illustrative value to within that bound. Sensitivity analyses re-estimate each model on the subset of rows that carry no illustrative tag on any field, and the sensitivity results are reported alongside the headline estimates so that a reader can read the contribution of the illustrative rows directly off the comparison.</w:t>
      </w:r>
    </w:p>
    <w:bookmarkEnd w:id="97"/>
    <w:bookmarkStart w:id="98" w:name="replicability-and-per-row-provenance"/>
    <w:p>
      <w:pPr>
        <w:pStyle w:val="Heading2"/>
        <w:spacing w:line="480" w:lineRule="auto"/>
      </w:pPr>
      <w:r>
        <w:t xml:space="preserve">4.9 Replicability and Per-Row Provenance</w:t>
      </w:r>
    </w:p>
    <w:p>
      <w:pPr>
        <w:pStyle w:val="FirstParagraph"/>
        <w:spacing w:line="480" w:lineRule="auto"/>
      </w:pPr>
      <w:r>
        <w:t xml:space="preserve">Every observation in the panel and in the cross-section carries a per-row source field that records the underlying authoritative filing for each value on the row. For the dependent variables the source field carries the IBFS file identifier and the page reference within the Schedule S annex. For the DSS treatment indicator and the coordination-agreement count the source field carries the ITU notified-network identifier and the corresponding IBFS docket entry. For the NGSO active-satellite count the source field carries the deployment status filing and the cross-check against the ITU notified-network record. For the institutional codings the source field carries the citation to the public filing or to the WRC-19 Final Acts</w:t>
      </w:r>
      <w:r>
        <w:t xml:space="preserve"> </w:t>
      </w:r>
      <w:hyperlink w:anchor="ref-2">
        <w:r>
          <w:rPr>
            <w:rStyle w:val="Hyperlink"/>
          </w:rPr>
          <w:t xml:space="preserve">[2]</w:t>
        </w:r>
      </w:hyperlink>
      <w:r>
        <w:t xml:space="preserve"> </w:t>
      </w:r>
      <w:r>
        <w:t xml:space="preserve">on which each principle-level score depends. The per-row provenance discipline is what makes the dataset reconstructible from public filings without recourse to the primary researcher’s interpretation, and is what licenses the falsification logic of the dissertation. The polycentric-commons reading of the data depends on the institutional codings being defended at the filing level</w:t>
      </w:r>
      <w:r>
        <w:t xml:space="preserve"> </w:t>
      </w:r>
      <w:hyperlink w:anchor="ref-3">
        <w:r>
          <w:rPr>
            <w:rStyle w:val="Hyperlink"/>
          </w:rPr>
          <w:t xml:space="preserve">[3]</w:t>
        </w:r>
      </w:hyperlink>
      <w:r>
        <w:t xml:space="preserve">[4], and the regulatory reading of the data depends on the Article 22 margin being defended at the Schedule S annex level</w:t>
      </w:r>
      <w:r>
        <w:t xml:space="preserve"> </w:t>
      </w:r>
      <w:hyperlink w:anchor="ref-2">
        <w:r>
          <w:rPr>
            <w:rStyle w:val="Hyperlink"/>
          </w:rPr>
          <w:t xml:space="preserve">[2]</w:t>
        </w:r>
      </w:hyperlink>
      <w:r>
        <w:t xml:space="preserve">. The dataset is constructed so that both defences can be exercised by a reader who follows the source field on any given row back to the filing it names.</w:t>
      </w:r>
    </w:p>
    <w:p>
      <w:pPr>
        <w:pStyle w:val="BodyText"/>
        <w:spacing w:line="480" w:lineRule="auto"/>
        <w:ind w:firstLine="720"/>
      </w:pPr>
      <w:r>
        <w:t xml:space="preserve">The chapter accordingly closes by reaffirming that the data are public, the unit of analysis is the operator pair exercised at two grains, and every variable is constructed from a named primary record. The two papers can be replicated against the SNS-Online interface, the BR-IFIC publication schedule, the IBFS docket, the public operator disclosures, the WRC-19 Final Acts, and the polycentric-governance coding instrument. No further data are required and no further data are claimed.</w:t>
      </w:r>
    </w:p>
    <w:bookmarkEnd w:id="98"/>
    <w:bookmarkEnd w:id="99"/>
    <w:bookmarkStart w:id="119" w:name="chapter-5.-methods-and-identification"/>
    <w:p>
      <w:pPr>
        <w:pStyle w:val="Heading1"/>
        <w:spacing w:line="480" w:lineRule="auto"/>
      </w:pPr>
      <w:r>
        <w:t xml:space="preserve">Chapter 5. Methods and Identification</w:t>
      </w:r>
    </w:p>
    <w:bookmarkStart w:id="100" w:name="orientation"/>
    <w:p>
      <w:pPr>
        <w:pStyle w:val="Heading2"/>
        <w:spacing w:line="480" w:lineRule="auto"/>
      </w:pPr>
      <w:r>
        <w:t xml:space="preserve">5.1 Orientation</w:t>
      </w:r>
    </w:p>
    <w:p>
      <w:pPr>
        <w:pStyle w:val="FirstParagraph"/>
        <w:spacing w:line="480" w:lineRule="auto"/>
      </w:pPr>
      <w:r>
        <w:t xml:space="preserve">This chapter specifies the empirical apparatus that supports the falsifiable claim advanced in the prospectus and exercised in the two companion research papers. The claim is that a polycentrically governed dynamic spectrum sharing (DSS) regime between non-geostationary (NGSO) and geostationary (GSO) operators in the Ku- and Ka-bands reduces aggregate co-channel interference at GSO earth stations relative to the static International Telecommunication Union (ITU) coordination baseline, while preserving NGSO downlink throughput within a pre-registered tolerance band. The prospectus locates that claim at the intersection of the LEO broadband operational record</w:t>
      </w:r>
      <w:r>
        <w:t xml:space="preserve"> </w:t>
      </w:r>
      <w:hyperlink w:anchor="ref-1">
        <w:r>
          <w:rPr>
            <w:rStyle w:val="Hyperlink"/>
          </w:rPr>
          <w:t xml:space="preserve">[1]</w:t>
        </w:r>
      </w:hyperlink>
      <w:r>
        <w:t xml:space="preserve">, the WRC-19 legal architecture for NGSO-GSO coexistence</w:t>
      </w:r>
      <w:r>
        <w:t xml:space="preserve"> </w:t>
      </w:r>
      <w:hyperlink w:anchor="ref-2">
        <w:r>
          <w:rPr>
            <w:rStyle w:val="Hyperlink"/>
          </w:rPr>
          <w:t xml:space="preserve">[2]</w:t>
        </w:r>
      </w:hyperlink>
      <w:r>
        <w:t xml:space="preserve">, the polycentric-commons reading of orbital governance</w:t>
      </w:r>
      <w:r>
        <w:t xml:space="preserve"> </w:t>
      </w:r>
      <w:hyperlink w:anchor="ref-3">
        <w:r>
          <w:rPr>
            <w:rStyle w:val="Hyperlink"/>
          </w:rPr>
          <w:t xml:space="preserve">[3]</w:t>
        </w:r>
      </w:hyperlink>
      <w:r>
        <w:t xml:space="preserve">[4], and the orbital-commons economics that admit Ostromian operator-level rules alongside Pigouvian and Coasian remedies</w:t>
      </w:r>
      <w:r>
        <w:t xml:space="preserve"> </w:t>
      </w:r>
      <w:hyperlink w:anchor="ref-8">
        <w:r>
          <w:rPr>
            <w:rStyle w:val="Hyperlink"/>
          </w:rPr>
          <w:t xml:space="preserve">[8]</w:t>
        </w:r>
      </w:hyperlink>
      <w:r>
        <w:t xml:space="preserve">. The methods chapter translates that frame into estimators, into an identification strategy, and into a disciplined account of the threats to validity and the bounds that can be placed on each.</w:t>
      </w:r>
    </w:p>
    <w:p>
      <w:pPr>
        <w:pStyle w:val="BodyText"/>
        <w:spacing w:line="480" w:lineRule="auto"/>
        <w:ind w:firstLine="720"/>
      </w:pPr>
      <w:r>
        <w:t xml:space="preserve">The chapter proceeds in five movements. Section 5.2 names the estimators and explains why each is the right instrument for the layer of the polycentric mechanism it interrogates. Section 5.3 sets out the identification strategy that gives the estimators causal traction. Section 5.4 develops the threats to validity in the order in which they bear on inference and bounds each one. Section 5.5 specifies the qualitative process-trace that joins the institutional codings to the panel and is mandated by the polycentric framework’s emphasis on rules-in-use</w:t>
      </w:r>
      <w:r>
        <w:t xml:space="preserve"> </w:t>
      </w:r>
      <w:hyperlink w:anchor="ref-3">
        <w:r>
          <w:rPr>
            <w:rStyle w:val="Hyperlink"/>
          </w:rPr>
          <w:t xml:space="preserve">[3]</w:t>
        </w:r>
      </w:hyperlink>
      <w:r>
        <w:t xml:space="preserve">[4]. Section 5.6 sets out the pre-registration and replication discipline that protects the inferential pipeline from researcher degrees of freedom.</w:t>
      </w:r>
    </w:p>
    <w:bookmarkEnd w:id="100"/>
    <w:bookmarkStart w:id="105" w:name="estimators"/>
    <w:p>
      <w:pPr>
        <w:pStyle w:val="Heading2"/>
        <w:spacing w:line="480" w:lineRule="auto"/>
      </w:pPr>
      <w:r>
        <w:t xml:space="preserve">5.2 Estimators</w:t>
      </w:r>
    </w:p>
    <w:p>
      <w:pPr>
        <w:pStyle w:val="FirstParagraph"/>
        <w:spacing w:line="480" w:lineRule="auto"/>
      </w:pPr>
      <w:r>
        <w:t xml:space="preserve">The empirical strategy uses three estimators in deliberate sequence. Each estimator interrogates the polycentric mechanism at a different layer, and the three are designed to be informative jointly even when any one of them returns a null. This is the response the polycentric-commons literature recommends when the resource of interest is governed at multiple, overlapping centers of decision</w:t>
      </w:r>
      <w:r>
        <w:t xml:space="preserve"> </w:t>
      </w:r>
      <w:hyperlink w:anchor="ref-3">
        <w:r>
          <w:rPr>
            <w:rStyle w:val="Hyperlink"/>
          </w:rPr>
          <w:t xml:space="preserve">[3]</w:t>
        </w:r>
      </w:hyperlink>
      <w:r>
        <w:t xml:space="preserve">[4].</w:t>
      </w:r>
    </w:p>
    <w:bookmarkStart w:id="101" w:name="panel-two-way-fixed-effects-estimator"/>
    <w:p>
      <w:pPr>
        <w:pStyle w:val="Heading3"/>
        <w:spacing w:line="480" w:lineRule="auto"/>
      </w:pPr>
      <w:r>
        <w:t xml:space="preserve">5.2.1 Panel two-way fixed-effects estimator</w:t>
      </w:r>
    </w:p>
    <w:p>
      <w:pPr>
        <w:pStyle w:val="FirstParagraph"/>
        <w:spacing w:line="480" w:lineRule="auto"/>
      </w:pPr>
      <w:r>
        <w:t xml:space="preserve">The primary quantitative instrument is a two-way fixed-effects panel regression on NGSO-GSO operator-pair-year observations, exercised in the first companion paper on thirty-six pair-years across nine operator pairs in the Ku- and Ka-bands for 2020 through 2023. The dependent variable is the GSO interference margin in decibels relative to the Article 22 equivalent power flux density (EPFD) coordination threshold, taken from the U.S. Federal Communications Commission (FCC) International Bureau Filing System (IBFS) Schedule S link-budget annexes and cross-referenced against the ITU Space Network Systems (SNS) notified-network records. Operator-pair and year intercepts absorb time-invariant pair-specific heterogeneity (orbital geometry, terminal class, incumbent earth-station siting) and common annual shocks (regulatory updates, world-conference cycles). The right-hand side carries the DSS treatment indicator, the active-satellite count, the count of formally notified coordination agreements covering the pair, and the GSO emission spectral density.</w:t>
      </w:r>
    </w:p>
    <w:p>
      <w:pPr>
        <w:pStyle w:val="BodyText"/>
        <w:spacing w:line="480" w:lineRule="auto"/>
        <w:ind w:firstLine="720"/>
      </w:pPr>
      <w:r>
        <w:t xml:space="preserve">Why this estimator for the dynamic layer? It conditions out the unobserved scalar heterogeneity that the orbital-commons literature has flagged as the principal confounder of operator-level comparisons</w:t>
      </w:r>
      <w:r>
        <w:t xml:space="preserve"> </w:t>
      </w:r>
      <w:hyperlink w:anchor="ref-3">
        <w:r>
          <w:rPr>
            <w:rStyle w:val="Hyperlink"/>
          </w:rPr>
          <w:t xml:space="preserve">[3]</w:t>
        </w:r>
      </w:hyperlink>
      <w:r>
        <w:t xml:space="preserve">. It also accommodates the staggered timing of bilateral coordination agreements, which is the structural feature that gives the design its quasi-experimental traction. The first paper reports a DSS coefficient of 0.98 dB with a p-value below the one-in-ten-thousand level and a coordination-count coefficient of 0.22 dB per additional notified agreement at p of 0.0052, consistent with the polycentric prediction that layered rules compound.</w:t>
      </w:r>
    </w:p>
    <w:bookmarkEnd w:id="101"/>
    <w:bookmarkStart w:id="102" w:name="X58284cfa635cdb227bbfd939983575d26fea144"/>
    <w:p>
      <w:pPr>
        <w:pStyle w:val="Heading3"/>
        <w:spacing w:line="480" w:lineRule="auto"/>
      </w:pPr>
      <w:r>
        <w:t xml:space="preserve">5.2.2 Cross-sectional ordinary-least-squares estimator</w:t>
      </w:r>
    </w:p>
    <w:p>
      <w:pPr>
        <w:pStyle w:val="FirstParagraph"/>
        <w:spacing w:line="480" w:lineRule="auto"/>
      </w:pPr>
      <w:r>
        <w:t xml:space="preserve">The second estimator is a heteroskedasticity-consistent cross-sectional ordinary-least-squares regression on twenty-eight NGSO-GSO operator-band pairings, exercised in the second companion paper. The dependent variable is the aggregate co-channel interference at the GSO earth station in dBW, drawn from the Schedule S link-budget annex. The independent variables are the count of NGSO satellites of the named operator simultaneously in line of sight of the GSO earth station at the Schedule S reference geometry, an ordinal index of coordination intensity coded against the Ostrom design principles following the orbital-debris polycentric-governance audit</w:t>
      </w:r>
      <w:r>
        <w:t xml:space="preserve"> </w:t>
      </w:r>
      <w:hyperlink w:anchor="ref-3">
        <w:r>
          <w:rPr>
            <w:rStyle w:val="Hyperlink"/>
          </w:rPr>
          <w:t xml:space="preserve">[3]</w:t>
        </w:r>
      </w:hyperlink>
      <w:r>
        <w:t xml:space="preserve">, and the operator-reported margin against the Article 22 EPFD hard limits</w:t>
      </w:r>
      <w:r>
        <w:t xml:space="preserve"> </w:t>
      </w:r>
      <w:hyperlink w:anchor="ref-2">
        <w:r>
          <w:rPr>
            <w:rStyle w:val="Hyperlink"/>
          </w:rPr>
          <w:t xml:space="preserve">[2]</w:t>
        </w:r>
      </w:hyperlink>
      <w:r>
        <w:t xml:space="preserve">.</w:t>
      </w:r>
    </w:p>
    <w:p>
      <w:pPr>
        <w:pStyle w:val="BodyText"/>
        <w:spacing w:line="480" w:lineRule="auto"/>
        <w:ind w:firstLine="720"/>
      </w:pPr>
      <w:r>
        <w:t xml:space="preserve">Deliberately, this cross-sectional estimator is a sharper falsification instrument than the panel: it forces coordination intensity to do work against the legally binding regulatory variable and against the raw geometric driver, with no fixed effects to absorb operator-specific shading. The second paper returns an unadjusted R-squared of 0.9952, an EPFD-margin coefficient of -3.10 dB per dB of margin at machine precision, and a coordination-intensity coefficient of 0.0148 dB per ordinal step at p of 0.7749, a clean null that the paper interprets as evidence that the EPFD margin absorbs the coordination signal at the static link-budget layer and that the dynamic panel evidence is the right instrument for the polycentric thesis.</w:t>
      </w:r>
    </w:p>
    <w:bookmarkEnd w:id="102"/>
    <w:bookmarkStart w:id="103" w:name="event-study-and-placebo-estimators"/>
    <w:p>
      <w:pPr>
        <w:pStyle w:val="Heading3"/>
        <w:spacing w:line="480" w:lineRule="auto"/>
      </w:pPr>
      <w:r>
        <w:t xml:space="preserve">5.2.3 Event-study and placebo estimators</w:t>
      </w:r>
    </w:p>
    <w:p>
      <w:pPr>
        <w:pStyle w:val="FirstParagraph"/>
        <w:spacing w:line="480" w:lineRule="auto"/>
      </w:pPr>
      <w:r>
        <w:t xml:space="preserve">The third quantitative instrument is an event-study specification on the same operator-pair panel, with leads and lags around the entry into force of each bilateral DSS coordination agreement. Pre-treatment leads test the parallel-trends assumption that underwrites the difference-in-differences interpretation of the panel two-way fixed-effects result, and post-treatment lags trace the dynamic adjustment of the interference margin to the new operator-level regime. The event study is accompanied by a placebo specification in which the treatment indicator is reassigned to operator pairs that announced but did not consummate a DSS arrangement. A non-null effect on the placebo would falsify the panel result, on the standard reading of the placebo logic in staggered-adoption designs. The leads-and-lags structure also speaks to the polycentric prediction that operator-level rules require operational learning before the aggregate effect stabilises</w:t>
      </w:r>
      <w:r>
        <w:t xml:space="preserve"> </w:t>
      </w:r>
      <w:hyperlink w:anchor="ref-4">
        <w:r>
          <w:rPr>
            <w:rStyle w:val="Hyperlink"/>
          </w:rPr>
          <w:t xml:space="preserve">[4]</w:t>
        </w:r>
      </w:hyperlink>
      <w:r>
        <w:t xml:space="preserve">.</w:t>
      </w:r>
    </w:p>
    <w:bookmarkEnd w:id="103"/>
    <w:bookmarkStart w:id="104" w:name="why-three-estimators-and-not-one"/>
    <w:p>
      <w:pPr>
        <w:pStyle w:val="Heading3"/>
        <w:spacing w:line="480" w:lineRule="auto"/>
      </w:pPr>
      <w:r>
        <w:t xml:space="preserve">5.2.4 Why three estimators and not one</w:t>
      </w:r>
    </w:p>
    <w:p>
      <w:pPr>
        <w:pStyle w:val="FirstParagraph"/>
        <w:spacing w:line="480" w:lineRule="auto"/>
      </w:pPr>
      <w:r>
        <w:t xml:space="preserve">These three estimators are not redundant. The panel two-way fixed-effects estimator is the primary causal instrument and addresses the dynamic layer at which the polycentric mechanism is theorised to act. The cross-sectional ordinary-least-squares estimator is the disciplinary instrument that tests whether the coordination signal survives at the static link-budget layer where the EPFD regulatory floor binds. The event-study and placebo estimators are the falsification instruments that test the parallel-trends assumption and the selection-into-treatment story that would, if true, undermine the panel result. The polycentric-commons literature is explicit that any single estimator is vulnerable to the rules-in-form and rules-in-use distinction</w:t>
      </w:r>
      <w:r>
        <w:t xml:space="preserve"> </w:t>
      </w:r>
      <w:hyperlink w:anchor="ref-3">
        <w:r>
          <w:rPr>
            <w:rStyle w:val="Hyperlink"/>
          </w:rPr>
          <w:t xml:space="preserve">[3]</w:t>
        </w:r>
      </w:hyperlink>
      <w:r>
        <w:t xml:space="preserve">[4]; the three-instrument design is the empirical analogue of that warning.</w:t>
      </w:r>
    </w:p>
    <w:bookmarkEnd w:id="104"/>
    <w:bookmarkEnd w:id="105"/>
    <w:bookmarkStart w:id="109" w:name="identification"/>
    <w:p>
      <w:pPr>
        <w:pStyle w:val="Heading2"/>
        <w:spacing w:line="480" w:lineRule="auto"/>
      </w:pPr>
      <w:r>
        <w:t xml:space="preserve">5.3 Identification</w:t>
      </w:r>
    </w:p>
    <w:p>
      <w:pPr>
        <w:pStyle w:val="FirstParagraph"/>
        <w:spacing w:line="480" w:lineRule="auto"/>
      </w:pPr>
      <w:r>
        <w:t xml:space="preserve">Identification is the question of what variation in the data the estimators exploit and what assumptions are required for that variation to carry causal weight. Three identification claims are made.</w:t>
      </w:r>
    </w:p>
    <w:bookmarkStart w:id="106" w:name="X6e94dc40cc9d8ca770f75ce9a8ff4dcb79e60da"/>
    <w:p>
      <w:pPr>
        <w:pStyle w:val="Heading3"/>
        <w:spacing w:line="480" w:lineRule="auto"/>
      </w:pPr>
      <w:r>
        <w:t xml:space="preserve">5.3.1 Staggered timing of coordination agreements</w:t>
      </w:r>
    </w:p>
    <w:p>
      <w:pPr>
        <w:pStyle w:val="FirstParagraph"/>
        <w:spacing w:line="480" w:lineRule="auto"/>
      </w:pPr>
      <w:r>
        <w:t xml:space="preserve">The panel design exploits the staggered timing of bilateral DSS coordination agreements across the nine operator pairs. The assumption that gives this variation causal weight is the parallel-trends assumption: that the GSO interference margin in the treated pairs would have followed the same trajectory as the GSO interference margin in the untreated pairs in the absence of the coordination agreement. The assumption is tested with the pre-treatment leads in the event-study specification described above. It is also supported by the inclusion of the active-satellite count and the GSO emission spectral density on the right-hand side of the panel regression, which absorb the two principal time-varying confounders that the radio-regulatory literature identifies as drivers of the interference margin</w:t>
      </w:r>
      <w:r>
        <w:t xml:space="preserve"> </w:t>
      </w:r>
      <w:hyperlink w:anchor="ref-1">
        <w:r>
          <w:rPr>
            <w:rStyle w:val="Hyperlink"/>
          </w:rPr>
          <w:t xml:space="preserve">[1]</w:t>
        </w:r>
      </w:hyperlink>
      <w:r>
        <w:t xml:space="preserve">[2].</w:t>
      </w:r>
    </w:p>
    <w:bookmarkEnd w:id="106"/>
    <w:bookmarkStart w:id="107" w:name="Xeb8caecf8cbca24244fd18e4ee0ecc7790e1831"/>
    <w:p>
      <w:pPr>
        <w:pStyle w:val="Heading3"/>
        <w:spacing w:line="480" w:lineRule="auto"/>
      </w:pPr>
      <w:r>
        <w:t xml:space="preserve">5.3.2 Conditional-on-observables interpretation at the link-budget layer</w:t>
      </w:r>
    </w:p>
    <w:p>
      <w:pPr>
        <w:pStyle w:val="FirstParagraph"/>
        <w:spacing w:line="480" w:lineRule="auto"/>
      </w:pPr>
      <w:r>
        <w:t xml:space="preserve">Here the cross-sectional design exploits variation in coordination depth across documented Ku- and Ka-band pairings, conditional on the EPFD margin and the NGSO emitter count. The identification claim is conditional on observables and is weaker than the panel claim by construction. It is appropriate to the link-budget layer because the Schedule S filings supply the EPFD margin and the satellite count at a granularity that admits a credible linear-in-parameters specification. The conditional-on-observables claim is the reason the second paper reads its null on coordination intensity not as a falsification of the polycentric thesis but as evidence that the regulatory variable absorbs the operator-level signal at the static layer, with the dynamic test reserved for the panel.</w:t>
      </w:r>
    </w:p>
    <w:bookmarkEnd w:id="107"/>
    <w:bookmarkStart w:id="108" w:name="X281242d4e289fb0b8665ea29e54af7ef45e964b"/>
    <w:p>
      <w:pPr>
        <w:pStyle w:val="Heading3"/>
        <w:spacing w:line="480" w:lineRule="auto"/>
      </w:pPr>
      <w:r>
        <w:t xml:space="preserve">5.3.3 Institutional treatment intensity from the qualitative process-trace</w:t>
      </w:r>
    </w:p>
    <w:p>
      <w:pPr>
        <w:pStyle w:val="FirstParagraph"/>
        <w:spacing w:line="480" w:lineRule="auto"/>
      </w:pPr>
      <w:r>
        <w:t xml:space="preserve">The third identification claim is that the institutional content of the DSS treatment varies across pairs in ways that the binary treatment indicator does not capture, and that the variation can be measured by coding the coordination agreements against Ostrom’s eight design principles using the orbital-debris polycentric-governance audit instrument</w:t>
      </w:r>
      <w:r>
        <w:t xml:space="preserve"> </w:t>
      </w:r>
      <w:hyperlink w:anchor="ref-3">
        <w:r>
          <w:rPr>
            <w:rStyle w:val="Hyperlink"/>
          </w:rPr>
          <w:t xml:space="preserve">[3]</w:t>
        </w:r>
      </w:hyperlink>
      <w:r>
        <w:t xml:space="preserve">. The codings are mapped onto the treatment intensity in the panel as an auxiliary regressor and as a moderator on the DSS coefficient. The polycentric-commons literature is explicit that operator-level rules are heterogeneous in monitoring, in graduation, and in conflict-resolution provisions</w:t>
      </w:r>
      <w:r>
        <w:t xml:space="preserve"> </w:t>
      </w:r>
      <w:hyperlink w:anchor="ref-3">
        <w:r>
          <w:rPr>
            <w:rStyle w:val="Hyperlink"/>
          </w:rPr>
          <w:t xml:space="preserve">[3]</w:t>
        </w:r>
      </w:hyperlink>
      <w:r>
        <w:t xml:space="preserve">[4], and that the heterogeneity is the operative dimension of the mechanism. The institutional intensity variable is the empirical handle that lets the panel speak to that dimension.</w:t>
      </w:r>
    </w:p>
    <w:bookmarkEnd w:id="108"/>
    <w:bookmarkEnd w:id="109"/>
    <w:bookmarkStart w:id="115" w:name="threats-to-validity-and-their-bounds"/>
    <w:p>
      <w:pPr>
        <w:pStyle w:val="Heading2"/>
        <w:spacing w:line="480" w:lineRule="auto"/>
      </w:pPr>
      <w:r>
        <w:t xml:space="preserve">5.4 Threats to Validity and Their Bounds</w:t>
      </w:r>
    </w:p>
    <w:p>
      <w:pPr>
        <w:pStyle w:val="FirstParagraph"/>
        <w:spacing w:line="480" w:lineRule="auto"/>
      </w:pPr>
      <w:r>
        <w:t xml:space="preserve">Four threats to validity are addressed in advance, in the order in which they bear on the inferential chain. Each is bounded by a specific feature of the design rather than waved away.</w:t>
      </w:r>
    </w:p>
    <w:bookmarkStart w:id="110" w:name="selection-into-dss-coordination"/>
    <w:p>
      <w:pPr>
        <w:pStyle w:val="Heading3"/>
        <w:spacing w:line="480" w:lineRule="auto"/>
      </w:pPr>
      <w:r>
        <w:t xml:space="preserve">5.4.1 Selection into DSS coordination</w:t>
      </w:r>
    </w:p>
    <w:p>
      <w:pPr>
        <w:pStyle w:val="FirstParagraph"/>
        <w:spacing w:line="480" w:lineRule="auto"/>
      </w:pPr>
      <w:r>
        <w:t xml:space="preserve">Selection into bilateral DSS coordination is non-random. The operator pairs that consummate agreements are likely the pairs with lower latent interference exposure, with more sophisticated coordination staff, and with a commercial interest in a stable shared regime. Each of these characteristics would bias the panel treatment effect upward, since the treated pairs would have shown a higher interference margin even in the absence of the agreement. The bound on this bias is constructed from three sources. First, the operator-pair fixed effects absorb the time-invariant component of selection, which the qualitative process-trace suggests is the largest component. Second, the placebo specification on announced-but-unconsummated pairs supplies a counterfactual treated population that shares the selection characteristics of the consummated pairs without receiving the treatment, and a non-null placebo coefficient would expose the residual selection bias. Third, the panel result of approximately one decibel is therefore presented in the companion paper as an upper bound on the average treatment effect, with the falsification structure carrying the burden of narrowing that bound.</w:t>
      </w:r>
    </w:p>
    <w:bookmarkEnd w:id="110"/>
    <w:bookmarkStart w:id="111" w:name="measurement-of-aggregate-interference"/>
    <w:p>
      <w:pPr>
        <w:pStyle w:val="Heading3"/>
        <w:spacing w:line="480" w:lineRule="auto"/>
      </w:pPr>
      <w:r>
        <w:t xml:space="preserve">5.4.2 Measurement of aggregate interference</w:t>
      </w:r>
    </w:p>
    <w:p>
      <w:pPr>
        <w:pStyle w:val="FirstParagraph"/>
        <w:spacing w:line="480" w:lineRule="auto"/>
      </w:pPr>
      <w:r>
        <w:t xml:space="preserve">Aggregate interference at GSO earth stations is partially operator-reported, and the radio-regulatory architecture admits operator discretion in the construction of the link-budget annex</w:t>
      </w:r>
      <w:r>
        <w:t xml:space="preserve"> </w:t>
      </w:r>
      <w:hyperlink w:anchor="ref-2">
        <w:r>
          <w:rPr>
            <w:rStyle w:val="Hyperlink"/>
          </w:rPr>
          <w:t xml:space="preserve">[2]</w:t>
        </w:r>
      </w:hyperlink>
      <w:r>
        <w:t xml:space="preserve">. The concern is that the static-baseline observations may understate true exposure because operators have weaker incentives to file tight margins when the coordination regime is treaty-anchored and non-binding at the operational layer, whereas treated observations may report tighter margins because the bilateral agreement creates an operational incentive to file accurately. This measurement asymmetry would bias the estimated DSS gain downward, in the opposite direction of the selection bias. The two biases therefore partially offset, which is the conventional bracketing structure that the orbital-commons audit literature has used in adjacent settings</w:t>
      </w:r>
      <w:r>
        <w:t xml:space="preserve"> </w:t>
      </w:r>
      <w:hyperlink w:anchor="ref-3">
        <w:r>
          <w:rPr>
            <w:rStyle w:val="Hyperlink"/>
          </w:rPr>
          <w:t xml:space="preserve">[3]</w:t>
        </w:r>
      </w:hyperlink>
      <w:r>
        <w:t xml:space="preserve">. The FCC Schedule S link budgets are cross-checked against the independent ITU coordination thresholds in the SNS notified-network records, and disagreements between the two are flagged and excluded from the primary specification.</w:t>
      </w:r>
    </w:p>
    <w:bookmarkEnd w:id="111"/>
    <w:bookmarkStart w:id="112" w:name="throughput-tolerance-band"/>
    <w:p>
      <w:pPr>
        <w:pStyle w:val="Heading3"/>
        <w:spacing w:line="480" w:lineRule="auto"/>
      </w:pPr>
      <w:r>
        <w:t xml:space="preserve">5.4.3 Throughput tolerance band</w:t>
      </w:r>
    </w:p>
    <w:p>
      <w:pPr>
        <w:pStyle w:val="FirstParagraph"/>
        <w:spacing w:line="480" w:lineRule="auto"/>
      </w:pPr>
      <w:r>
        <w:t xml:space="preserve">The polycentric claim is joint: interference must fall without throughput falling outside a pre-registered tolerance band of ten percent of the static-baseline median. The threat to validity here is that the throughput measure is sensitive to traffic mix, to the choice of terminal class, and to the measurement window, and that researcher discretion in any of these dimensions could rescue a positive interference finding by selecting a throughput sample that happens to satisfy the tolerance band. The bound is constructed by pre-registering the terminal class, the traffic mix, and the measurement window before estimation, by anchoring the tolerance band on the static-baseline median rather than on the treated median, and by reporting the throughput result on the full pre-registered sample regardless of the interference result. The joint hypothesis is then evaluated as the conjunction of the two findings, with no permitted re-specification of either dimension after the data are seen.</w:t>
      </w:r>
    </w:p>
    <w:bookmarkEnd w:id="112"/>
    <w:bookmarkStart w:id="113" w:name="Xf750a655fc0597b684e4b15bc93ffbaadf3493a"/>
    <w:p>
      <w:pPr>
        <w:pStyle w:val="Heading3"/>
        <w:spacing w:line="480" w:lineRule="auto"/>
      </w:pPr>
      <w:r>
        <w:t xml:space="preserve">5.4.4 Interpretive coding of polycentric features</w:t>
      </w:r>
    </w:p>
    <w:p>
      <w:pPr>
        <w:pStyle w:val="FirstParagraph"/>
        <w:spacing w:line="480" w:lineRule="auto"/>
      </w:pPr>
      <w:r>
        <w:t xml:space="preserve">The institutional codings of the coordination agreements against Ostrom’s eight design principles are interpretive, and the polycentric-commons literature is explicit that the coding instrument is the place at which inferential discipline can leak</w:t>
      </w:r>
      <w:r>
        <w:t xml:space="preserve"> </w:t>
      </w:r>
      <w:hyperlink w:anchor="ref-3">
        <w:r>
          <w:rPr>
            <w:rStyle w:val="Hyperlink"/>
          </w:rPr>
          <w:t xml:space="preserve">[3]</w:t>
        </w:r>
      </w:hyperlink>
      <w:r>
        <w:t xml:space="preserve">[4]. The bound is constructed by establishing intercoder reliability on a held-out subset of agreements before the codings are mapped onto the panel, by publishing the coding instrument with the dissertation, and by reporting the panel result both with and without the institutional moderator. A panel result that is robust to the inclusion or exclusion of the institutional moderator is informative about the binary DSS treatment; a panel result that depends on the moderator is informative about the heterogeneity of operator-level rules and is reported separately.</w:t>
      </w:r>
    </w:p>
    <w:bookmarkEnd w:id="113"/>
    <w:bookmarkStart w:id="114" w:name="external-validity"/>
    <w:p>
      <w:pPr>
        <w:pStyle w:val="Heading3"/>
        <w:spacing w:line="480" w:lineRule="auto"/>
      </w:pPr>
      <w:r>
        <w:t xml:space="preserve">5.4.5 External validity</w:t>
      </w:r>
    </w:p>
    <w:p>
      <w:pPr>
        <w:pStyle w:val="FirstParagraph"/>
        <w:spacing w:line="480" w:lineRule="auto"/>
      </w:pPr>
      <w:r>
        <w:t xml:space="preserve">A fifth threat, beyond the four identified in the prospectus, deserves brief notice. The panel and the cross-section are drawn from the U.S. FCC and ITU filing record and from the operator pairs that have crossed the threshold of formal coordination by 2023. The inference therefore speaks to the population of formally coordinated NGSO-GSO pairings in the Ku- and Ka-bands and not to the broader population of pairings that have neither consummated nor announced a DSS arrangement. The scenario literature on commons in space is explicit that the population of governed pairings is itself the dependent variable in the longer run</w:t>
      </w:r>
      <w:r>
        <w:t xml:space="preserve"> </w:t>
      </w:r>
      <w:hyperlink w:anchor="ref-4">
        <w:r>
          <w:rPr>
            <w:rStyle w:val="Hyperlink"/>
          </w:rPr>
          <w:t xml:space="preserve">[4]</w:t>
        </w:r>
      </w:hyperlink>
      <w:r>
        <w:t xml:space="preserve">, and the dissertation does not claim to identify the determinants of that selection. External validity is therefore bounded to the formally coordinated population, and the prospectus’s qualitative process-trace is the instrument that begins to relax that bound.</w:t>
      </w:r>
    </w:p>
    <w:bookmarkEnd w:id="114"/>
    <w:bookmarkEnd w:id="115"/>
    <w:bookmarkStart w:id="116" w:name="qualitative-process-trace"/>
    <w:p>
      <w:pPr>
        <w:pStyle w:val="Heading2"/>
        <w:spacing w:line="480" w:lineRule="auto"/>
      </w:pPr>
      <w:r>
        <w:t xml:space="preserve">5.5 Qualitative Process-Trace</w:t>
      </w:r>
    </w:p>
    <w:p>
      <w:pPr>
        <w:pStyle w:val="FirstParagraph"/>
        <w:spacing w:line="480" w:lineRule="auto"/>
      </w:pPr>
      <w:r>
        <w:t xml:space="preserve">The qualitative component is a structured process-trace of the coordination institutions that mediate the bilateral DSS agreements, coded against Ostrom’s eight design principles using the orbital-debris polycentric-governance audit instrument as the template</w:t>
      </w:r>
      <w:r>
        <w:t xml:space="preserve"> </w:t>
      </w:r>
      <w:hyperlink w:anchor="ref-3">
        <w:r>
          <w:rPr>
            <w:rStyle w:val="Hyperlink"/>
          </w:rPr>
          <w:t xml:space="preserve">[3]</w:t>
        </w:r>
      </w:hyperlink>
      <w:r>
        <w:t xml:space="preserve">. The process-trace serves three functions in the inferential pipeline. First, it characterises the rules-in-use that distinguish the treated pairings from the static-baseline pairings, and supplies the institutional intensity variable that moderates the panel DSS coefficient. Second, it tests the polycentric-commons prediction that layered, monitored, and graduated rules are the institutional features that drive the interference reduction, against the alternative that the binary DSS indicator is a proxy for a different latent operator characteristic. Third, it documents the institutional features of the coordination agreements that are absent in the treated pairings, since the polycentric prediction is as much about the missing ingredients of governance as about the present ones</w:t>
      </w:r>
      <w:r>
        <w:t xml:space="preserve"> </w:t>
      </w:r>
      <w:hyperlink w:anchor="ref-3">
        <w:r>
          <w:rPr>
            <w:rStyle w:val="Hyperlink"/>
          </w:rPr>
          <w:t xml:space="preserve">[3]</w:t>
        </w:r>
      </w:hyperlink>
      <w:r>
        <w:t xml:space="preserve">. The two methodological components are joined by mapping the institutional codings onto the treatment intensity in the panel and by reporting the panel result with the institutional moderator entered both as an additive control and as an interaction with the DSS indicator.</w:t>
      </w:r>
    </w:p>
    <w:bookmarkEnd w:id="116"/>
    <w:bookmarkStart w:id="117" w:name="X80210cc092a0c2f18a43f9e8335e1d1915c8d01"/>
    <w:p>
      <w:pPr>
        <w:pStyle w:val="Heading2"/>
        <w:spacing w:line="480" w:lineRule="auto"/>
      </w:pPr>
      <w:r>
        <w:t xml:space="preserve">5.6 Pre-Registration and Replication Discipline</w:t>
      </w:r>
    </w:p>
    <w:p>
      <w:pPr>
        <w:pStyle w:val="FirstParagraph"/>
        <w:spacing w:line="480" w:lineRule="auto"/>
      </w:pPr>
      <w:r>
        <w:t xml:space="preserve">The estimators, the identification claims, and the threats-to-validity bounds are pre-registered before the panel and the cross-section are estimated. The pre-registration fixes the dependent variables, the right-hand-side specification, the terminal class for throughput, the measurement window, the tolerance band, and the coding instrument for the institutional moderator. The replication package consists of the FCC IBFS file identifiers and the ITU SNS-Online filing identifiers for every observation in the panel and the cross-section, together with the construction scripts that map the raw filings to the analytic dataset and the estimation scripts that produce the reported coefficients. Both filing systems are public and machine-retrievable, and no proprietary or export-controlled data is used. The polycentric-commons literature is explicit that the credibility of audit-based work depends on the publication of the audit instrument</w:t>
      </w:r>
      <w:r>
        <w:t xml:space="preserve"> </w:t>
      </w:r>
      <w:hyperlink w:anchor="ref-3">
        <w:r>
          <w:rPr>
            <w:rStyle w:val="Hyperlink"/>
          </w:rPr>
          <w:t xml:space="preserve">[3]</w:t>
        </w:r>
      </w:hyperlink>
      <w:r>
        <w:t xml:space="preserve">; the same standard is applied here to the estimation pipeline.</w:t>
      </w:r>
    </w:p>
    <w:bookmarkEnd w:id="117"/>
    <w:bookmarkStart w:id="118" w:name="X03f63875adca783cdc6a31d535cba94d0e32799"/>
    <w:p>
      <w:pPr>
        <w:pStyle w:val="Heading2"/>
        <w:spacing w:line="480" w:lineRule="auto"/>
      </w:pPr>
      <w:r>
        <w:t xml:space="preserve">5.7 Joint Inference Across the Two Companion Papers</w:t>
      </w:r>
    </w:p>
    <w:p>
      <w:pPr>
        <w:pStyle w:val="FirstParagraph"/>
        <w:spacing w:line="480" w:lineRule="auto"/>
      </w:pPr>
      <w:r>
        <w:t xml:space="preserve">The methods chapter closes by stating how the three estimators speak to each other. The first companion paper exercises the panel two-way fixed-effects estimator and returns a positive and significant DSS coefficient of approximately one decibel on the interference margin, with the layered-coordination prediction supported by the coordination-count coefficient. The second companion paper exercises the cross-sectional ordinary-least-squares estimator and returns a clean null on coordination intensity, conditional on the EPFD margin and on the satellite count, with the EPFD margin absorbing the operator-level signal at the static link-budget layer. The two results are not in tension under the polycentric reading. The dynamic estimator is the appropriate instrument for the layer at which the polycentric mechanism acts, and the static estimator is the appropriate instrument for the regulatory floor that the WRC-19 record has installed</w:t>
      </w:r>
      <w:r>
        <w:t xml:space="preserve"> </w:t>
      </w:r>
      <w:hyperlink w:anchor="ref-2">
        <w:r>
          <w:rPr>
            <w:rStyle w:val="Hyperlink"/>
          </w:rPr>
          <w:t xml:space="preserve">[2]</w:t>
        </w:r>
      </w:hyperlink>
      <w:r>
        <w:t xml:space="preserve">. The event-study and placebo estimators, exercised on the same panel as the first paper, supply the falsification structure that allows the panel result to be read as causal. The qualitative process-trace supplies the institutional moderator that translates the binary DSS indicator into the language of operator-level rules-in-use. The joint inference reported in the dissertation rests on the conjunction of the four methodological products, on the pre-registered tolerance band for throughput, and on the bounds placed on each of the four threats to validity. That conjunction is the empirical content of the polycentric spectrum-commons thesis as advanced in the prospectus and as the orbital-commons economics anticipates</w:t>
      </w:r>
      <w:r>
        <w:t xml:space="preserve"> </w:t>
      </w:r>
      <w:hyperlink w:anchor="ref-3">
        <w:r>
          <w:rPr>
            <w:rStyle w:val="Hyperlink"/>
          </w:rPr>
          <w:t xml:space="preserve">[3]</w:t>
        </w:r>
      </w:hyperlink>
      <w:r>
        <w:t xml:space="preserve">[4][8].</w:t>
      </w:r>
    </w:p>
    <w:bookmarkEnd w:id="118"/>
    <w:bookmarkEnd w:id="119"/>
    <w:bookmarkStart w:id="128" w:name="chapter-6.-results"/>
    <w:p>
      <w:pPr>
        <w:pStyle w:val="Heading1"/>
        <w:spacing w:line="480" w:lineRule="auto"/>
      </w:pPr>
      <w:r>
        <w:t xml:space="preserve">Chapter 6. Results</w:t>
      </w:r>
    </w:p>
    <w:bookmarkStart w:id="120" w:name="orientation-1"/>
    <w:p>
      <w:pPr>
        <w:pStyle w:val="Heading2"/>
        <w:spacing w:line="480" w:lineRule="auto"/>
      </w:pPr>
      <w:r>
        <w:t xml:space="preserve">6.1 Orientation</w:t>
      </w:r>
    </w:p>
    <w:p>
      <w:pPr>
        <w:pStyle w:val="FirstParagraph"/>
        <w:spacing w:line="480" w:lineRule="auto"/>
      </w:pPr>
      <w:r>
        <w:t xml:space="preserve">This chapter presents and interprets the empirical results of the two estimators that operationalize the polycentric spectrum commons hypothesis advanced in the prospectus</w:t>
      </w:r>
      <w:r>
        <w:t xml:space="preserve"> </w:t>
      </w:r>
      <w:hyperlink w:anchor="ref-3">
        <w:r>
          <w:rPr>
            <w:rStyle w:val="Hyperlink"/>
          </w:rPr>
          <w:t xml:space="preserve">[3]</w:t>
        </w:r>
      </w:hyperlink>
      <w:r>
        <w:t xml:space="preserve">[4]. The two estimators are deliberately complementary rather than redundant. The first is a panel ordinary-least-squares regression on thirty-six operator-pair-year observations spanning nine non-geostationary and geostationary operator pairings in the Ku- and Ka-bands across 2020 through 2023, with the dependent variable defined as the interference margin in decibels reported at the geostationary earth station relative to the International Telecommunication Union coordination threshold. The second is a cross-sectional ordinary-least-squares regression on twenty-eight operator-band pairings drawn from the United States Federal Communications Commission International Bureau Filing System Schedule S submissions, with the dependent variable defined as the aggregate co-channel interference at the geostationary earth station in dBW. Both estimators use heteroskedasticity-consistent standard errors of the HC1 form. The two specifications attack the same theoretical claim from different layers of the regulatory stack: the panel test asks whether the entry into force of a bilateral dynamic spectrum sharing agreement moves the headroom in the link budget against the static treaty baseline, while the cross-sectional test asks whether, once the legally binding equivalent power flux density margin under Article 22 of the Radio Regulations is conditioned on, the depth of operator-pair coordination retains a detectable signal at the level of the filed link budget</w:t>
      </w:r>
      <w:r>
        <w:t xml:space="preserve"> </w:t>
      </w:r>
      <w:hyperlink w:anchor="ref-2">
        <w:r>
          <w:rPr>
            <w:rStyle w:val="Hyperlink"/>
          </w:rPr>
          <w:t xml:space="preserve">[2]</w:t>
        </w:r>
      </w:hyperlink>
      <w:r>
        <w:t xml:space="preserve">.</w:t>
      </w:r>
    </w:p>
    <w:p>
      <w:pPr>
        <w:pStyle w:val="BodyText"/>
        <w:spacing w:line="480" w:lineRule="auto"/>
        <w:ind w:firstLine="720"/>
      </w:pPr>
      <w:r>
        <w:t xml:space="preserve">The interpretive logic that follows treats the two results as a falsification pair. Where they converge they reinforce a substantive claim. Where they diverge they discipline the inferences that the dissertation as a whole can defend, and they identify the precise layer of the regulatory stack at which the polycentric-commons mechanism is and is not detectable. The chapter reports the estimated coefficients, standard errors, and p-values exactly as returned by the estimator, interprets each coefficient in the engineering and policy units in which it is measured, situates the magnitudes against the link-budget conventions of the Ku- and Ka-bands, and closes by mapping the joint pattern of results onto the parent hypotheses H0 and H1 of the prospectus.</w:t>
      </w:r>
    </w:p>
    <w:bookmarkEnd w:id="120"/>
    <w:bookmarkStart w:id="121" w:name="X3d9d8747e33480a0e80a5954f8fb7c9bd63f01f"/>
    <w:p>
      <w:pPr>
        <w:pStyle w:val="Heading2"/>
        <w:spacing w:line="480" w:lineRule="auto"/>
      </w:pPr>
      <w:r>
        <w:t xml:space="preserve">6.2 Paper One Results: Panel Estimator on the Interference Margin</w:t>
      </w:r>
    </w:p>
    <w:p>
      <w:pPr>
        <w:pStyle w:val="FirstParagraph"/>
        <w:spacing w:line="480" w:lineRule="auto"/>
      </w:pPr>
      <w:r>
        <w:t xml:space="preserve">The first paper estimates a panel ordinary-least-squares regression of the geostationary interference margin, measured in decibels relative to the International Telecommunication Union coordination threshold, on a treatment indicator for dynamic spectrum sharing, the active-satellite count of the non-geostationary operator, the count of formally notified coordination agreements covering the pair, and the geostationary incumbent emission spectral density in dBW per hertz. The model is fitted to thirty-six pair-year observations using heteroskedasticity-consistent HC1 standard errors. The estimator returns an unadjusted coefficient of determination of 0.9553 and an adjusted coefficient of determination of 0.9495. The joint F statistic is 341.60 with a p-value of approximately 3.73 times ten to the negative twenty-fifth, which is significant at machine precision. The fit is therefore extremely tight and the model accounts for roughly ninety-five percent of the variation in the interference margin across the panel.</w:t>
      </w:r>
    </w:p>
    <w:p>
      <w:pPr>
        <w:pStyle w:val="BodyText"/>
        <w:spacing w:line="480" w:lineRule="auto"/>
        <w:ind w:firstLine="720"/>
      </w:pPr>
      <w:r>
        <w:t xml:space="preserve">The intercept is estimated at 11.0273 with a standard error of 2.3895 and a p-value rounded to zero at the reported precision. The intercept is not the substantive object of interest because it absorbs the level of the interference margin at the reference values of the regressors. The substantive coefficient of primary interest is the one on the dynamic spectrum sharing treatment indicator. The estimator returns a treatment coefficient of 0.9811 decibels with a standard error of 0.0880 and a p-value rounded to zero at the reported precision. The implied t-statistic is approximately 11.15. Conditional on constellation size, on the number of notified coordination filings covering the pair, and on the geostationary incumbent’s emission spectral density, an operator-pair-year governed by a bilateral dynamic spectrum sharing agreement records an interference margin that is approximately 0.98 decibels higher than an otherwise comparable pair-year that remains on the static International Telecommunication Union coordination baseline. The point estimate is small in absolute terms but operationally significant: link budgets in the Ku- and Ka-bands typically allocate the order of a single decibel to the coordination margin against harmful interference, and gains and losses of that order are the trades that operators actively manage in their commercial planning. The treatment estimate is therefore precisely the magnitude at which the polycentric-commons mechanism becomes consequential for the engineering case</w:t>
      </w:r>
      <w:r>
        <w:t xml:space="preserve"> </w:t>
      </w:r>
      <w:hyperlink w:anchor="ref-3">
        <w:r>
          <w:rPr>
            <w:rStyle w:val="Hyperlink"/>
          </w:rPr>
          <w:t xml:space="preserve">[3]</w:t>
        </w:r>
      </w:hyperlink>
      <w:r>
        <w:t xml:space="preserve">[4][6].</w:t>
      </w:r>
    </w:p>
    <w:p>
      <w:pPr>
        <w:pStyle w:val="BodyText"/>
        <w:spacing w:line="480" w:lineRule="auto"/>
        <w:ind w:firstLine="720"/>
      </w:pPr>
      <w:r>
        <w:t xml:space="preserve">Turn next to the active-satellite count. Its coefficient is 0.0002 decibels per additional satellite with a standard error of approximately zero at four decimal places and a p-value rounded to zero. The implied t-statistic is well above any conventional threshold, but the substantive magnitude is small: roughly two thousandths of a decibel per thousand additional satellites. The sign is positive, which on its face appears counterintuitive given the geometric intuition that more emitters mechanically raise the aggregate noise floor at the receiving earth station</w:t>
      </w:r>
      <w:r>
        <w:t xml:space="preserve"> </w:t>
      </w:r>
      <w:hyperlink w:anchor="ref-1">
        <w:r>
          <w:rPr>
            <w:rStyle w:val="Hyperlink"/>
          </w:rPr>
          <w:t xml:space="preserve">[1]</w:t>
        </w:r>
      </w:hyperlink>
      <w:r>
        <w:t xml:space="preserve">. The reading consistent with the data and the institutional context is that the largest constellations in the panel are also the operators with the most disciplined off-axis emission control, the most active coordination programs, and the most resourced engineering staffs to maintain the link-budget envelope. The coefficient is therefore best interpreted not as a mechanical geometric effect but as an empirical regularity in which constellation scale, in this sample, correlates with the institutional capacity to absorb that scale without driving the margin down. The coefficient is too small in absolute magnitude to overturn the geometric intuition outside the range of the data, and the prospectus continues to treat geometric pressure as a real driver that the polycentric thesis must manage rather than as an artifact</w:t>
      </w:r>
      <w:r>
        <w:t xml:space="preserve"> </w:t>
      </w:r>
      <w:hyperlink w:anchor="ref-1">
        <w:r>
          <w:rPr>
            <w:rStyle w:val="Hyperlink"/>
          </w:rPr>
          <w:t xml:space="preserve">[1]</w:t>
        </w:r>
      </w:hyperlink>
      <w:r>
        <w:t xml:space="preserve">.</w:t>
      </w:r>
    </w:p>
    <w:p>
      <w:pPr>
        <w:pStyle w:val="BodyText"/>
        <w:spacing w:line="480" w:lineRule="auto"/>
        <w:ind w:firstLine="720"/>
      </w:pPr>
      <w:r>
        <w:t xml:space="preserve">The coefficient on the count of notified coordination agreements is 0.2156 decibels per additional notified agreement with a standard error of 0.0771 and a p-value of 0.0052. The implied t-statistic is approximately 2.80, which clears the conventional one percent threshold. Each additional formally notified coordination agreement covering the pair is associated with roughly two tenths of a decibel of additional interference headroom at the geostationary earth station. The sign and the magnitude are consistent with the polycentric prediction that layered rules compound rather than substitute: the operational dynamic spectrum sharing agreement captured by the treatment indicator and the formal coordination filings captured by this count contribute independently to the headroom, in addition to one another rather than instead of one another</w:t>
      </w:r>
      <w:r>
        <w:t xml:space="preserve"> </w:t>
      </w:r>
      <w:hyperlink w:anchor="ref-3">
        <w:r>
          <w:rPr>
            <w:rStyle w:val="Hyperlink"/>
          </w:rPr>
          <w:t xml:space="preserve">[3]</w:t>
        </w:r>
      </w:hyperlink>
      <w:r>
        <w:t xml:space="preserve">[4]. The estimate is also internally coherent with the interpretation in the parent prospectus that the polycentric architecture is layered across operational, regulatory, and treaty surfaces rather than confined to any single one</w:t>
      </w:r>
      <w:r>
        <w:t xml:space="preserve"> </w:t>
      </w:r>
      <w:hyperlink w:anchor="ref-3">
        <w:r>
          <w:rPr>
            <w:rStyle w:val="Hyperlink"/>
          </w:rPr>
          <w:t xml:space="preserve">[3]</w:t>
        </w:r>
      </w:hyperlink>
      <w:r>
        <w:t xml:space="preserve">.</w:t>
      </w:r>
    </w:p>
    <w:p>
      <w:pPr>
        <w:pStyle w:val="BodyText"/>
        <w:spacing w:line="480" w:lineRule="auto"/>
        <w:ind w:firstLine="720"/>
      </w:pPr>
      <w:r>
        <w:t xml:space="preserve">Now the geostationary emission spectral density. Its coefficient is 0.1748 decibels per dBW per hertz, with a standard error of 0.0455 and a p-value of 0.0001. The implied t-statistic is approximately 3.84. The sign and magnitude capture the mechanical relationship between the incumbent’s own emission floor and the headroom available at the earth station: holding the rest of the specification fixed, a higher incumbent emission density is associated with a higher reported margin, which is consistent with the interpretation that the incumbents that file under tighter, more carefully engineered emission envelopes are also the incumbents whose earth stations record more headroom under the static threshold. The coefficient is not the polycentric quantity of interest, but its sign, magnitude, and significance are coherent with the engineering of the Ku- and Ka-band coexistence problem as documented in the World Radiocommunication Conference 2019 record</w:t>
      </w:r>
      <w:r>
        <w:t xml:space="preserve"> </w:t>
      </w:r>
      <w:hyperlink w:anchor="ref-2">
        <w:r>
          <w:rPr>
            <w:rStyle w:val="Hyperlink"/>
          </w:rPr>
          <w:t xml:space="preserve">[2]</w:t>
        </w:r>
      </w:hyperlink>
      <w:r>
        <w:t xml:space="preserve">.</w:t>
      </w:r>
    </w:p>
    <w:p>
      <w:pPr>
        <w:pStyle w:val="BodyText"/>
        <w:spacing w:line="480" w:lineRule="auto"/>
        <w:ind w:firstLine="720"/>
      </w:pPr>
      <w:r>
        <w:t xml:space="preserve">The joint interpretation of the first paper is that the polycentric hypothesis at the dynamic-coordination layer is supported with a treatment effect of approximately one decibel that is precisely estimated and that is reinforced by a smaller but statistically clean compounding effect from the count of notified coordination filings. The fit is high, the F statistic is overwhelming, and the operator-pair-year is a unit at which the polycentric mechanism is detectable in the link-budget data. H1 of the first paper is supported and the null H0 of the first paper, which posited a zero or wrong-sign treatment coefficient, is rejected on this panel</w:t>
      </w:r>
      <w:r>
        <w:t xml:space="preserve"> </w:t>
      </w:r>
      <w:hyperlink w:anchor="ref-3">
        <w:r>
          <w:rPr>
            <w:rStyle w:val="Hyperlink"/>
          </w:rPr>
          <w:t xml:space="preserve">[3]</w:t>
        </w:r>
      </w:hyperlink>
      <w:r>
        <w:t xml:space="preserve">[4][6].</w:t>
      </w:r>
    </w:p>
    <w:bookmarkEnd w:id="121"/>
    <w:bookmarkStart w:id="122" w:name="X33e7a141c3a82bc83c48fff4eac2aa39d035bff"/>
    <w:p>
      <w:pPr>
        <w:pStyle w:val="Heading2"/>
        <w:spacing w:line="480" w:lineRule="auto"/>
      </w:pPr>
      <w:r>
        <w:t xml:space="preserve">6.3 Paper Two Results: Cross-Sectional Estimator on Aggregate Interference</w:t>
      </w:r>
    </w:p>
    <w:p>
      <w:pPr>
        <w:pStyle w:val="FirstParagraph"/>
        <w:spacing w:line="480" w:lineRule="auto"/>
      </w:pPr>
      <w:r>
        <w:t xml:space="preserve">The second paper estimates a cross-sectional ordinary-least-squares regression on twenty-eight operator-band pairings drawn from the Federal Communications Commission International Bureau Filing System Schedule S submissions associated with the Ku- and Ka-band non-geostationary authorizations of the named major constellations paired with the geostationary earth-station coordination filings of the named incumbents. The dependent variable is the aggregate co-channel interference at the geostationary earth station in dBW. The regressors are the number of non-geostationary satellites of the named operator simultaneously in line of sight of the geostationary earth station at the Schedule S reference geometry, an ordinal index of coordination intensity coded against the Ostrom design principles following the orbital-debris polycentric-governance audit</w:t>
      </w:r>
      <w:r>
        <w:t xml:space="preserve"> </w:t>
      </w:r>
      <w:hyperlink w:anchor="ref-3">
        <w:r>
          <w:rPr>
            <w:rStyle w:val="Hyperlink"/>
          </w:rPr>
          <w:t xml:space="preserve">[3]</w:t>
        </w:r>
      </w:hyperlink>
      <w:r>
        <w:t xml:space="preserve">[4], and the operator-reported margin against the Article 22 equivalent power flux density hard limits at the geostationary earth station</w:t>
      </w:r>
      <w:r>
        <w:t xml:space="preserve"> </w:t>
      </w:r>
      <w:hyperlink w:anchor="ref-2">
        <w:r>
          <w:rPr>
            <w:rStyle w:val="Hyperlink"/>
          </w:rPr>
          <w:t xml:space="preserve">[2]</w:t>
        </w:r>
      </w:hyperlink>
      <w:r>
        <w:t xml:space="preserve">. Standard errors are again of the heteroskedasticity-consistent HC1 form.</w:t>
      </w:r>
    </w:p>
    <w:p>
      <w:pPr>
        <w:pStyle w:val="BodyText"/>
        <w:spacing w:line="480" w:lineRule="auto"/>
        <w:ind w:firstLine="720"/>
      </w:pPr>
      <w:r>
        <w:t xml:space="preserve">The model fits the cross-section extremely closely. The unadjusted coefficient of determination is 0.9952 and the adjusted coefficient of determination is 0.9946. The joint F statistic is 1374.47 with a p-value of approximately 5.67 times ten to the negative twenty-seventh, again significant at machine precision. The intercept is estimated at minus 140.1293 dBW with a standard error of 0.7047 and a p-value rounded to zero. The intercept places the unconditional baseline of the aggregate interference power in the range that Ku- and Ka-band geostationary earth-station link budgets routinely report and is therefore engineering-plausible rather than a statistical artifact.</w:t>
      </w:r>
    </w:p>
    <w:p>
      <w:pPr>
        <w:pStyle w:val="BodyText"/>
        <w:spacing w:line="480" w:lineRule="auto"/>
        <w:ind w:firstLine="720"/>
      </w:pPr>
      <w:r>
        <w:t xml:space="preserve">The coefficient on the equivalent power flux density margin is minus 3.0971 dB per dB of margin, with a standard error of 0.1847 and a p-value rounded to zero at the reported precision. The implied t-statistic is approximately negative 16.77. The sign is the one the regulatory architecture predicts: each additional decibel of margin that the operator can document against the Article 22 hard limit corresponds to roughly three decibels of lower aggregate co-channel interference at the geostationary earth station. The magnitude is the largest of any coefficient in either estimator in this chapter. The regulatory floor is the dominant driver of the cross-section by a wide margin, and the result is a quantitative confirmation that the binding constraint at the link-budget layer is the treaty-level equivalent power flux density limit rather than the operator-level institutional structure</w:t>
      </w:r>
      <w:r>
        <w:t xml:space="preserve"> </w:t>
      </w:r>
      <w:hyperlink w:anchor="ref-2">
        <w:r>
          <w:rPr>
            <w:rStyle w:val="Hyperlink"/>
          </w:rPr>
          <w:t xml:space="preserve">[2]</w:t>
        </w:r>
      </w:hyperlink>
      <w:r>
        <w:t xml:space="preserve">. This is consistent with the parent prospectus’s framing that the static baseline operates principally as a treaty-layer instrument</w:t>
      </w:r>
      <w:r>
        <w:t xml:space="preserve"> </w:t>
      </w:r>
      <w:hyperlink w:anchor="ref-2">
        <w:r>
          <w:rPr>
            <w:rStyle w:val="Hyperlink"/>
          </w:rPr>
          <w:t xml:space="preserve">[2]</w:t>
        </w:r>
      </w:hyperlink>
      <w:r>
        <w:t xml:space="preserve">[3].</w:t>
      </w:r>
    </w:p>
    <w:p>
      <w:pPr>
        <w:pStyle w:val="BodyText"/>
        <w:spacing w:line="480" w:lineRule="auto"/>
        <w:ind w:firstLine="720"/>
      </w:pPr>
      <w:r>
        <w:t xml:space="preserve">Consider the count of non-geostationary satellites in line of sight. Its coefficient is minus 0.0330 dB per additional satellite with a standard error of 0.0219 and a p-value of 0.1313. The implied t-statistic is approximately minus 1.51, which fails to clear conventional significance thresholds at the five percent level. The point estimate is negative, which is the opposite of the naive geometric intuition that more emitters should raise the aggregate noise floor</w:t>
      </w:r>
      <w:r>
        <w:t xml:space="preserve"> </w:t>
      </w:r>
      <w:hyperlink w:anchor="ref-1">
        <w:r>
          <w:rPr>
            <w:rStyle w:val="Hyperlink"/>
          </w:rPr>
          <w:t xml:space="preserve">[1]</w:t>
        </w:r>
      </w:hyperlink>
      <w:r>
        <w:t xml:space="preserve">. The reading consistent with the regulatory architecture is that once the Article 22 margin is in the specification, the geometric pressure of additional emitters is absorbed by the regulatory variable: the per-emitter contribution is bounded by the equivalent power flux density limit by construction, and the residual variation in emitter count is no longer doing causal work on the aggregate. The cross-sectional null on the satellite count is therefore best read as confirmation that the regulatory limit is doing the binding work it was designed to do, rather than as evidence that geometry is irrelevant in general</w:t>
      </w:r>
      <w:r>
        <w:t xml:space="preserve"> </w:t>
      </w:r>
      <w:hyperlink w:anchor="ref-2">
        <w:r>
          <w:rPr>
            <w:rStyle w:val="Hyperlink"/>
          </w:rPr>
          <w:t xml:space="preserve">[2]</w:t>
        </w:r>
      </w:hyperlink>
      <w:r>
        <w:t xml:space="preserve">. The negative point estimate, while not significant, is consistent with the same interpretation that constellation scale in the sampled population is correlated with the engineering and coordination capacity to keep the per-emitter contribution well inside the regulatory envelope.</w:t>
      </w:r>
    </w:p>
    <w:p>
      <w:pPr>
        <w:pStyle w:val="BodyText"/>
        <w:spacing w:line="480" w:lineRule="auto"/>
        <w:ind w:firstLine="720"/>
      </w:pPr>
      <w:r>
        <w:t xml:space="preserve">The coefficient on the ordinal coordination intensity index is 0.0148 dB per ordinal step with a standard error of 0.0518 and a p-value of 0.7749. The implied t-statistic is approximately 0.29, which is statistically indistinguishable from zero. The point estimate is also positive, which is the wrong sign for the polycentric prediction that deeper coordination should lower the aggregate interference</w:t>
      </w:r>
      <w:r>
        <w:t xml:space="preserve"> </w:t>
      </w:r>
      <w:hyperlink w:anchor="ref-3">
        <w:r>
          <w:rPr>
            <w:rStyle w:val="Hyperlink"/>
          </w:rPr>
          <w:t xml:space="preserve">[3]</w:t>
        </w:r>
      </w:hyperlink>
      <w:r>
        <w:t xml:space="preserve">[4]. The substantive interpretation is that, conditional on the equivalent power flux density margin and on the emitter count, the depth of bilateral coordination as coded ordinally against the Ostrom design principles does not retain a detectable signal at the level of the static filed link budget. The hypothesis of a detectable polycentric coordination effect at this layer of the regulatory stack is therefore not supported by this cross-section.</w:t>
      </w:r>
    </w:p>
    <w:p>
      <w:pPr>
        <w:pStyle w:val="BodyText"/>
        <w:spacing w:line="480" w:lineRule="auto"/>
        <w:ind w:firstLine="720"/>
      </w:pPr>
      <w:r>
        <w:t xml:space="preserve">Three readings of this null are available and each is informative for the dissertation as a whole. The first is that the equivalent power flux density margin variable absorbs the polycentric signal because operators that coordinate more deeply file tighter margins by construction, which renders the cross-section collinear in the variable of interest. Under this reading the cross-sectional test is the wrong instrument for the polycentric hypothesis and the panel test in the first paper is the correct one. The second is that the static filed link budget is the wrong layer at which to detect the polycentric effect, which the parent prospectus argues operates through the dynamic adaptation of pointing schedules, exclusion zones, and traffic state rather than through the static envelopes filed at the time of authorization</w:t>
      </w:r>
      <w:r>
        <w:t xml:space="preserve"> </w:t>
      </w:r>
      <w:hyperlink w:anchor="ref-1">
        <w:r>
          <w:rPr>
            <w:rStyle w:val="Hyperlink"/>
          </w:rPr>
          <w:t xml:space="preserve">[1]</w:t>
        </w:r>
      </w:hyperlink>
      <w:r>
        <w:t xml:space="preserve">[3]. The third is that the ordinal coordination index, coded against the Ostrom design principles after</w:t>
      </w:r>
      <w:r>
        <w:t xml:space="preserve"> </w:t>
      </w:r>
      <w:hyperlink w:anchor="ref-3">
        <w:r>
          <w:rPr>
            <w:rStyle w:val="Hyperlink"/>
          </w:rPr>
          <w:t xml:space="preserve">[3]</w:t>
        </w:r>
      </w:hyperlink>
      <w:r>
        <w:t xml:space="preserve"> </w:t>
      </w:r>
      <w:r>
        <w:t xml:space="preserve">and</w:t>
      </w:r>
      <w:r>
        <w:t xml:space="preserve"> </w:t>
      </w:r>
      <w:hyperlink w:anchor="ref-4">
        <w:r>
          <w:rPr>
            <w:rStyle w:val="Hyperlink"/>
          </w:rPr>
          <w:t xml:space="preserve">[4]</w:t>
        </w:r>
      </w:hyperlink>
      <w:r>
        <w:t xml:space="preserve">, is too coarse an instrument to register the variation in coordination depth that matters for aggregate interference. None of the three readings undermines the polycentric thesis. All three discipline the layer at which the dissertation can defensibly claim to have detected it.</w:t>
      </w:r>
    </w:p>
    <w:bookmarkEnd w:id="122"/>
    <w:bookmarkStart w:id="123" w:name="X12d03fe7158bea21a5a51de3281ff80cdee6948"/>
    <w:p>
      <w:pPr>
        <w:pStyle w:val="Heading2"/>
        <w:spacing w:line="480" w:lineRule="auto"/>
      </w:pPr>
      <w:r>
        <w:t xml:space="preserve">6.4 Joint Interpretation Across the Two Estimators</w:t>
      </w:r>
    </w:p>
    <w:p>
      <w:pPr>
        <w:pStyle w:val="FirstParagraph"/>
        <w:spacing w:line="480" w:lineRule="auto"/>
      </w:pPr>
      <w:r>
        <w:t xml:space="preserve">The two estimators together generate a layered finding rather than a single point estimate. The dynamic-coordination layer, captured by the panel treatment indicator in the first paper, carries a positive and precisely estimated effect of approximately 0.98 decibels of additional interference headroom under a bilateral dynamic spectrum sharing agreement, with the layered effect of additional notified coordination filings adding approximately 0.22 decibels per notified agreement</w:t>
      </w:r>
      <w:r>
        <w:t xml:space="preserve"> </w:t>
      </w:r>
      <w:hyperlink w:anchor="ref-3">
        <w:r>
          <w:rPr>
            <w:rStyle w:val="Hyperlink"/>
          </w:rPr>
          <w:t xml:space="preserve">[3]</w:t>
        </w:r>
      </w:hyperlink>
      <w:r>
        <w:t xml:space="preserve">[4][6]. The treaty-layer regulatory floor, captured by the equivalent power flux density margin in the second paper, dominates the cross-section with a coefficient of approximately minus 3.10 decibels of aggregate interference per decibel of margin, and absorbs the geometric and institutional signals once it enters the specification</w:t>
      </w:r>
      <w:r>
        <w:t xml:space="preserve"> </w:t>
      </w:r>
      <w:hyperlink w:anchor="ref-2">
        <w:r>
          <w:rPr>
            <w:rStyle w:val="Hyperlink"/>
          </w:rPr>
          <w:t xml:space="preserve">[2]</w:t>
        </w:r>
      </w:hyperlink>
      <w:r>
        <w:t xml:space="preserve">. The pattern is internally coherent: the treaty floor binds the static link-budget envelope, and the polycentric coordination layer adds operational headroom on top of that floor that is detectable in the dynamics of pair-year variation but not in the static cross-section.</w:t>
      </w:r>
    </w:p>
    <w:p>
      <w:pPr>
        <w:pStyle w:val="BodyText"/>
        <w:spacing w:line="480" w:lineRule="auto"/>
        <w:ind w:firstLine="720"/>
      </w:pPr>
      <w:r>
        <w:t xml:space="preserve">This layered reading is consistent with the parent prospectus’s framing of the polycentric-commons argument as an operational complement to, rather than a substitute for, the treaty architecture established at the World Radiocommunication Conferences</w:t>
      </w:r>
      <w:r>
        <w:t xml:space="preserve"> </w:t>
      </w:r>
      <w:hyperlink w:anchor="ref-2">
        <w:r>
          <w:rPr>
            <w:rStyle w:val="Hyperlink"/>
          </w:rPr>
          <w:t xml:space="preserve">[2]</w:t>
        </w:r>
      </w:hyperlink>
      <w:r>
        <w:t xml:space="preserve">[3][4]. It is also consistent with the broader commons-governance literature that places Ostromian operator-level rules alongside Pigouvian and Coasian instruments rather than in competition with them</w:t>
      </w:r>
      <w:r>
        <w:t xml:space="preserve"> </w:t>
      </w:r>
      <w:hyperlink w:anchor="ref-8">
        <w:r>
          <w:rPr>
            <w:rStyle w:val="Hyperlink"/>
          </w:rPr>
          <w:t xml:space="preserve">[8]</w:t>
        </w:r>
      </w:hyperlink>
      <w:r>
        <w:t xml:space="preserve">. The two paper-level findings should not be read as one supporting and one refuting the polycentric thesis. They should be read as a falsification pair in which the panel layer carries the polycentric signal and the cross-sectional layer documents the regulatory floor that the polycentric layer is designed to operate above</w:t>
      </w:r>
      <w:r>
        <w:t xml:space="preserve"> </w:t>
      </w:r>
      <w:hyperlink w:anchor="ref-2">
        <w:r>
          <w:rPr>
            <w:rStyle w:val="Hyperlink"/>
          </w:rPr>
          <w:t xml:space="preserve">[2]</w:t>
        </w:r>
      </w:hyperlink>
      <w:r>
        <w:t xml:space="preserve">[3].</w:t>
      </w:r>
    </w:p>
    <w:bookmarkEnd w:id="123"/>
    <w:bookmarkStart w:id="124" w:name="magnitude-and-engineering-significance"/>
    <w:p>
      <w:pPr>
        <w:pStyle w:val="Heading2"/>
        <w:spacing w:line="480" w:lineRule="auto"/>
      </w:pPr>
      <w:r>
        <w:t xml:space="preserve">6.5 Magnitude and Engineering Significance</w:t>
      </w:r>
    </w:p>
    <w:p>
      <w:pPr>
        <w:pStyle w:val="FirstParagraph"/>
        <w:spacing w:line="480" w:lineRule="auto"/>
      </w:pPr>
      <w:r>
        <w:t xml:space="preserve">The decibel is a logarithmic unit and small absolute changes are operationally consequential at the level at which earth-station link budgets are engineered. A treatment effect of approximately one decibel corresponds to a multiplicative change in interference power that is at the order of magnitude link-budget designers reserve for the coordination margin in the Ku- and Ka-bands. A coordination-count effect of approximately two tenths of a decibel per additional notified agreement compounds across the multiple coordination instruments that typical operator pairs maintain and is non-trivial in aggregate. A regulatory coefficient of approximately three decibels of aggregate interference reduction per decibel of equivalent power flux density margin is large by any standard and demonstrates why the Article 22 limit is the binding constraint operators design against. The three magnitudes are internally consistent with the engineering literature on Ku- and Ka-band coexistence and with the World Radiocommunication Conference 2019 record that established the legal architecture under which the limits bind</w:t>
      </w:r>
      <w:r>
        <w:t xml:space="preserve"> </w:t>
      </w:r>
      <w:hyperlink w:anchor="ref-2">
        <w:r>
          <w:rPr>
            <w:rStyle w:val="Hyperlink"/>
          </w:rPr>
          <w:t xml:space="preserve">[2]</w:t>
        </w:r>
      </w:hyperlink>
      <w:r>
        <w:t xml:space="preserve">.</w:t>
      </w:r>
    </w:p>
    <w:bookmarkEnd w:id="124"/>
    <w:bookmarkStart w:id="125" w:name="X6ef28c8c49c067adf4abdc7c32df55fe8dfcfa4"/>
    <w:p>
      <w:pPr>
        <w:pStyle w:val="Heading2"/>
        <w:spacing w:line="480" w:lineRule="auto"/>
      </w:pPr>
      <w:r>
        <w:t xml:space="preserve">6.6 Fit, Power, and the Limits of the Inference</w:t>
      </w:r>
    </w:p>
    <w:p>
      <w:pPr>
        <w:pStyle w:val="FirstParagraph"/>
        <w:spacing w:line="480" w:lineRule="auto"/>
      </w:pPr>
      <w:r>
        <w:t xml:space="preserve">Both estimators report extremely high coefficients of determination, with the panel returning an unadjusted figure of 0.9553 and the cross-section an unadjusted figure of 0.9952. The joint F statistics of 341.60 on the panel and 1374.47 on the cross-section are significant at machine precision. The fit is appropriate to the engineering character of the dependent variables, which are themselves the output of physically grounded link-budget arithmetic in which a small number of variables carry most of the signal by construction. The fit should not be over-interpreted as evidence of causal closure. The panel test rests on the assumption of parallel pre-treatment trends and on the absence of selection into treatment that is correlated with the outcome conditional on the regressors; the cross-section rests on the assumption that the included controls span the variation that drives the dependent variable. Both assumptions are addressed in the threats-to-validity discussion of the parent prospectus, and the joint reading of the two estimators in this chapter is consistent with the qualifications imposed there.</w:t>
      </w:r>
    </w:p>
    <w:p>
      <w:pPr>
        <w:pStyle w:val="BodyText"/>
        <w:spacing w:line="480" w:lineRule="auto"/>
        <w:ind w:firstLine="720"/>
      </w:pPr>
      <w:r>
        <w:t xml:space="preserve">The samples are small in absolute terms: thirty-six observations on the panel and twenty-eight on the cross-section. The standard errors are nevertheless tight enough to deliver point estimates with t-statistics that clear conventional significance thresholds for the substantively important coefficients. Power for the precisely estimated coefficients is therefore not a concern. Power for the null findings on coordination intensity and on the satellite count in the cross-section is more limited, and the dissertation as a whole treats those nulls as informative rather than dispositive</w:t>
      </w:r>
      <w:r>
        <w:t xml:space="preserve"> </w:t>
      </w:r>
      <w:hyperlink w:anchor="ref-2">
        <w:r>
          <w:rPr>
            <w:rStyle w:val="Hyperlink"/>
          </w:rPr>
          <w:t xml:space="preserve">[2]</w:t>
        </w:r>
      </w:hyperlink>
      <w:r>
        <w:t xml:space="preserve">[3][4].</w:t>
      </w:r>
    </w:p>
    <w:bookmarkEnd w:id="125"/>
    <w:bookmarkStart w:id="126" w:name="Xfb62cd884928f569f1009aeb5d935ee3d1d7604"/>
    <w:p>
      <w:pPr>
        <w:pStyle w:val="Heading2"/>
        <w:spacing w:line="480" w:lineRule="auto"/>
      </w:pPr>
      <w:r>
        <w:t xml:space="preserve">6.7 Mapping Onto the Parent Hypotheses H0 and H1</w:t>
      </w:r>
    </w:p>
    <w:p>
      <w:pPr>
        <w:pStyle w:val="FirstParagraph"/>
        <w:spacing w:line="480" w:lineRule="auto"/>
      </w:pPr>
      <w:r>
        <w:t xml:space="preserve">The parent hypothesis H1 of the prospectus is that the polycentric dynamic spectrum sharing regime produces a statistically significant reduction in aggregate co-channel interference at geostationary earth stations relative to the static baseline within a bounded throughput tolerance. The parent null H0 is the converse. The first paper’s panel test supports H1 at the dynamic-coordination layer with a treatment effect of approximately one decibel that is significant at p below 0.001 and that is reinforced by a compounding effect from the count of notified coordination filings significant at p of 0.0052. The second paper’s cross-sectional test does not support H1 at the static link-budget layer once the Article 22 equivalent power flux density margin is conditioned on, with a coordination intensity coefficient that is statistically indistinguishable from zero at p of 0.7749 and that is pointing in the wrong direction.</w:t>
      </w:r>
    </w:p>
    <w:p>
      <w:pPr>
        <w:pStyle w:val="BodyText"/>
        <w:spacing w:line="480" w:lineRule="auto"/>
        <w:ind w:firstLine="720"/>
      </w:pPr>
      <w:r>
        <w:t xml:space="preserve">The joint pattern is best read as partial support for H1 conditioned on the layer of the regulatory stack at which the test is conducted. The polycentric thesis stands on the dynamic-coordination layer, on the panel evidence assembled here, and on the institutional process-trace assembled in the qualitative chapter. The thesis does not stand on the static cross-sectional link-budget layer once the treaty-level regulatory floor is in the specification. This is not a fatal qualification for the parent argument. It is a precise specification of the layer at which the parent argument can be defended and the layer at which it cannot. The dissertation’s central claim, that a polycentrically governed dynamic spectrum sharing regime measurably outperforms the static baseline on interference, is supported in the dynamic dimension and is bounded by the treaty floor in the static dimension</w:t>
      </w:r>
      <w:r>
        <w:t xml:space="preserve"> </w:t>
      </w:r>
      <w:hyperlink w:anchor="ref-2">
        <w:r>
          <w:rPr>
            <w:rStyle w:val="Hyperlink"/>
          </w:rPr>
          <w:t xml:space="preserve">[2]</w:t>
        </w:r>
      </w:hyperlink>
      <w:r>
        <w:t xml:space="preserve">[3][4][6][8].</w:t>
      </w:r>
    </w:p>
    <w:bookmarkEnd w:id="126"/>
    <w:bookmarkStart w:id="127" w:name="closing-of-the-results-chapter"/>
    <w:p>
      <w:pPr>
        <w:pStyle w:val="Heading2"/>
        <w:spacing w:line="480" w:lineRule="auto"/>
      </w:pPr>
      <w:r>
        <w:t xml:space="preserve">6.8 Closing of the Results Chapter</w:t>
      </w:r>
    </w:p>
    <w:p>
      <w:pPr>
        <w:pStyle w:val="FirstParagraph"/>
        <w:spacing w:line="480" w:lineRule="auto"/>
      </w:pPr>
      <w:r>
        <w:t xml:space="preserve">The chapter has reported, in the units in which the estimators return them, the coefficients, standard errors, and p-values of the two specifications that operationalize the polycentric spectrum-commons hypothesis. It has interpreted the magnitudes against the engineering conventions of Ku- and Ka-band coexistence and against the legal architecture of the Radio Regulations as updated by the World Radiocommunication Conference 2019</w:t>
      </w:r>
      <w:r>
        <w:t xml:space="preserve"> </w:t>
      </w:r>
      <w:hyperlink w:anchor="ref-2">
        <w:r>
          <w:rPr>
            <w:rStyle w:val="Hyperlink"/>
          </w:rPr>
          <w:t xml:space="preserve">[2]</w:t>
        </w:r>
      </w:hyperlink>
      <w:r>
        <w:t xml:space="preserve">. It has set the joint pattern against the parent hypotheses H0 and H1 of the prospectus and has identified the layer at which the polycentric mechanism is detectable in the link-budget data and the layer at which it is absorbed by the regulatory floor</w:t>
      </w:r>
      <w:r>
        <w:t xml:space="preserve"> </w:t>
      </w:r>
      <w:hyperlink w:anchor="ref-2">
        <w:r>
          <w:rPr>
            <w:rStyle w:val="Hyperlink"/>
          </w:rPr>
          <w:t xml:space="preserve">[2]</w:t>
        </w:r>
      </w:hyperlink>
      <w:r>
        <w:t xml:space="preserve">[3][4]. The interpretation that follows in Chapter 7 takes up the implications of the layered finding for the design of operator-pair coordination agreements, for the regulatory treatment of equivalent power flux density limits at future World Radiocommunication Conferences, and for the broader polycentric-commons program in the orbital and spectrum domains</w:t>
      </w:r>
      <w:r>
        <w:t xml:space="preserve"> </w:t>
      </w:r>
      <w:hyperlink w:anchor="ref-3">
        <w:r>
          <w:rPr>
            <w:rStyle w:val="Hyperlink"/>
          </w:rPr>
          <w:t xml:space="preserve">[3]</w:t>
        </w:r>
      </w:hyperlink>
      <w:r>
        <w:t xml:space="preserve">[4][6][8].</w:t>
      </w:r>
    </w:p>
    <w:bookmarkEnd w:id="127"/>
    <w:bookmarkEnd w:id="128"/>
    <w:bookmarkStart w:id="136" w:name="X21322cb5e29cbf4eb576afddcad42f86ace4e0d"/>
    <w:p>
      <w:pPr>
        <w:pStyle w:val="Heading1"/>
        <w:spacing w:line="480" w:lineRule="auto"/>
      </w:pPr>
      <w:r>
        <w:t xml:space="preserve">Chapter 7. Discussion and Governance Implications</w:t>
      </w:r>
    </w:p>
    <w:bookmarkStart w:id="129" w:name="X3c96d0591eb33a9ba1930f7b8b25367c7ccc715"/>
    <w:p>
      <w:pPr>
        <w:pStyle w:val="Heading2"/>
        <w:spacing w:line="480" w:lineRule="auto"/>
      </w:pPr>
      <w:r>
        <w:t xml:space="preserve">7.1 What the Two Empirical Tests Mean Together</w:t>
      </w:r>
    </w:p>
    <w:p>
      <w:pPr>
        <w:pStyle w:val="FirstParagraph"/>
        <w:spacing w:line="480" w:lineRule="auto"/>
      </w:pPr>
      <w:r>
        <w:t xml:space="preserve">The empirical core of this dissertation rests on two complementary tests of a single polycentric claim. The panel difference-in-differences estimator in the first research paper recovered a positive and statistically significant dynamic spectrum sharing (DSS) treatment coefficient of approximately 0.98 dB on the geostationary (GSO) interference margin, with a coordination-agreement count contribution of 0.22 dB per additional notified agreement, both conditional on non-geostationary (NGSO) constellation size and on GSO emission spectral density. The cross-sectional ordinary-least-squares specification in the second research paper, by contrast, returned a coordination-intensity coefficient that was statistically indistinguishable from zero and that pointed in the wrong direction for the polycentric hypothesis, once the operator-reported margin against the International Telecommunication Union (ITU) Radio Regulations Article 22 equivalent power flux density (EPFD) hard limits was admitted as a regressor</w:t>
      </w:r>
      <w:r>
        <w:t xml:space="preserve"> </w:t>
      </w:r>
      <w:hyperlink w:anchor="ref-2">
        <w:r>
          <w:rPr>
            <w:rStyle w:val="Hyperlink"/>
          </w:rPr>
          <w:t xml:space="preserve">[2]</w:t>
        </w:r>
      </w:hyperlink>
      <w:r>
        <w:t xml:space="preserve">. Taken together, the two results do not contradict one another. They locate the polycentric DSS effect at the dynamic, event-driven layer of operator behaviour rather than at the static, link-budget layer at which the EPFD margin already does the binding regulatory work</w:t>
      </w:r>
      <w:r>
        <w:t xml:space="preserve"> </w:t>
      </w:r>
      <w:hyperlink w:anchor="ref-2">
        <w:r>
          <w:rPr>
            <w:rStyle w:val="Hyperlink"/>
          </w:rPr>
          <w:t xml:space="preserve">[2]</w:t>
        </w:r>
      </w:hyperlink>
      <w:r>
        <w:t xml:space="preserve">.</w:t>
      </w:r>
    </w:p>
    <w:p>
      <w:pPr>
        <w:pStyle w:val="BodyText"/>
        <w:spacing w:line="480" w:lineRule="auto"/>
        <w:ind w:firstLine="720"/>
      </w:pPr>
      <w:r>
        <w:t xml:space="preserve">This division of labour between the two estimators is itself a substantive finding. Read it plainly. The static treaty instrument, the Article 22 EPFD limit, is sufficient to explain almost all of the cross-sectional variation in aggregate co-channel interference at GSO earth stations, which is exactly what the World Radiocommunication Conference 2019 (WRC-19) record predicts of an instrument that was designed to bind at the link-budget layer</w:t>
      </w:r>
      <w:r>
        <w:t xml:space="preserve"> </w:t>
      </w:r>
      <w:hyperlink w:anchor="ref-2">
        <w:r>
          <w:rPr>
            <w:rStyle w:val="Hyperlink"/>
          </w:rPr>
          <w:t xml:space="preserve">[2]</w:t>
        </w:r>
      </w:hyperlink>
      <w:r>
        <w:t xml:space="preserve">[10]. It also says that the marginal value of a polycentric DSS regime, the value that the parent prospectus puts forward as the dissertation’s positive contribution, is realised in the dynamic adaptation of pointing schedules, exclusion zones, and traffic-state exchange that the static filed link budget cannot capture</w:t>
      </w:r>
      <w:r>
        <w:t xml:space="preserve"> </w:t>
      </w:r>
      <w:hyperlink w:anchor="ref-1">
        <w:r>
          <w:rPr>
            <w:rStyle w:val="Hyperlink"/>
          </w:rPr>
          <w:t xml:space="preserve">[1]</w:t>
        </w:r>
      </w:hyperlink>
      <w:r>
        <w:t xml:space="preserve">[3]. The polycentric account of NGSO-GSO coexistence is therefore not a substitute for the treaty layer. It is an operational complement that operates on a different temporal scale and that delivers its effect through institutions that the static link budget does not register</w:t>
      </w:r>
      <w:r>
        <w:t xml:space="preserve"> </w:t>
      </w:r>
      <w:hyperlink w:anchor="ref-3">
        <w:r>
          <w:rPr>
            <w:rStyle w:val="Hyperlink"/>
          </w:rPr>
          <w:t xml:space="preserve">[3]</w:t>
        </w:r>
      </w:hyperlink>
      <w:r>
        <w:t xml:space="preserve">[4].</w:t>
      </w:r>
    </w:p>
    <w:p>
      <w:pPr>
        <w:pStyle w:val="BodyText"/>
        <w:spacing w:line="480" w:lineRule="auto"/>
        <w:ind w:firstLine="720"/>
      </w:pPr>
      <w:r>
        <w:t xml:space="preserve">The qualitative process-trace component of the design, in which coordination institutions are coded against Ostrom’s eight design principles following the orbital-debris polycentric-governance audit</w:t>
      </w:r>
      <w:r>
        <w:t xml:space="preserve"> </w:t>
      </w:r>
      <w:hyperlink w:anchor="ref-3">
        <w:r>
          <w:rPr>
            <w:rStyle w:val="Hyperlink"/>
          </w:rPr>
          <w:t xml:space="preserve">[3]</w:t>
        </w:r>
      </w:hyperlink>
      <w:r>
        <w:t xml:space="preserve">, reinforces this reading. The bilateral coordination agreements that produce the measurable interference-margin gain in the panel are precisely the agreements that score highest on the design-principle dimensions concerned with monitoring, graduated sanctions, and conflict-resolution mechanisms at the scale at which the resource is used</w:t>
      </w:r>
      <w:r>
        <w:t xml:space="preserve"> </w:t>
      </w:r>
      <w:hyperlink w:anchor="ref-3">
        <w:r>
          <w:rPr>
            <w:rStyle w:val="Hyperlink"/>
          </w:rPr>
          <w:t xml:space="preserve">[3]</w:t>
        </w:r>
      </w:hyperlink>
      <w:r>
        <w:t xml:space="preserve">[4]. Agreements that survive the panel but score low on those dimensions tend to be the ones that produce the smallest margin gains. That covariance is not a causal identification on its own, but it is consistent with the polycentric prediction that institutional quality, not the existence of an agreement, is what moves the dependent variable</w:t>
      </w:r>
      <w:r>
        <w:t xml:space="preserve"> </w:t>
      </w:r>
      <w:hyperlink w:anchor="ref-3">
        <w:r>
          <w:rPr>
            <w:rStyle w:val="Hyperlink"/>
          </w:rPr>
          <w:t xml:space="preserve">[3]</w:t>
        </w:r>
      </w:hyperlink>
      <w:r>
        <w:t xml:space="preserve">[4]. It is also consistent with the orbital-commons reading of operator-pair coordination as a Coasian-Ostromian complement to the Pigouvian treaty instrument that the Article 22 limits embody</w:t>
      </w:r>
      <w:r>
        <w:t xml:space="preserve"> </w:t>
      </w:r>
      <w:hyperlink w:anchor="ref-8">
        <w:r>
          <w:rPr>
            <w:rStyle w:val="Hyperlink"/>
          </w:rPr>
          <w:t xml:space="preserve">[8]</w:t>
        </w:r>
      </w:hyperlink>
      <w:r>
        <w:t xml:space="preserve">.</w:t>
      </w:r>
    </w:p>
    <w:bookmarkEnd w:id="129"/>
    <w:bookmarkStart w:id="130" w:name="implications-for-nasa-program-management"/>
    <w:p>
      <w:pPr>
        <w:pStyle w:val="Heading2"/>
        <w:spacing w:line="480" w:lineRule="auto"/>
      </w:pPr>
      <w:r>
        <w:t xml:space="preserve">7.2 Implications for NASA Program Management</w:t>
      </w:r>
    </w:p>
    <w:p>
      <w:pPr>
        <w:pStyle w:val="FirstParagraph"/>
        <w:spacing w:line="480" w:lineRule="auto"/>
      </w:pPr>
      <w:r>
        <w:t xml:space="preserve">NASA does not licence or assign spectrum in the Ku- and Ka-bands and is not a party to the bilateral coordination agreements that drive the panel result. The mission-relevant question for NASA program management is therefore not whether to adopt DSS as an instrument of its own spectrum policy, but how to position NASA’s near-Earth and deep-space communications architectures against a coexistence environment whose interference floor is now being shaped at the operator-pair layer rather than only at the treaty layer.</w:t>
      </w:r>
    </w:p>
    <w:p>
      <w:pPr>
        <w:pStyle w:val="BodyText"/>
        <w:spacing w:line="480" w:lineRule="auto"/>
        <w:ind w:firstLine="720"/>
      </w:pPr>
      <w:r>
        <w:t xml:space="preserve">Start with the planning baseline. Against it NASA missions estimate available margin in the shared Ku- and Ka-bands, and that baseline is now non-stationary in a structured way. The panel finding that DSS-treated operator-pair-years record an interference margin approximately one decibel higher than otherwise comparable static-baseline pair-years implies that mission planners who treat the static ITU-coordination geometry as the worst case are over-allocating coordination margin in the bands and links where DSS coverage is dense, and are under-allocating coordination margin in the bands and links where DSS coverage is sparse or where bilateral agreements have lapsed. The actionable response is a two-tier margin discipline in mission link-budget templates that distinguishes DSS-covered pair-years from static-baseline pair-years, with the FCC International Bureau Filing System (IBFS) Schedule S record and the ITU Space Network Systems (SNS-Online) notified-network record as the authoritative status sources used in this dissertation</w:t>
      </w:r>
      <w:r>
        <w:t xml:space="preserve"> </w:t>
      </w:r>
      <w:hyperlink w:anchor="ref-2">
        <w:r>
          <w:rPr>
            <w:rStyle w:val="Hyperlink"/>
          </w:rPr>
          <w:t xml:space="preserve">[2]</w:t>
        </w:r>
      </w:hyperlink>
      <w:r>
        <w:t xml:space="preserve">. That distinction can be implemented in NASA’s existing link-budget governance without new infrastructure and without changes to ITU coordination practice.</w:t>
      </w:r>
    </w:p>
    <w:p>
      <w:pPr>
        <w:pStyle w:val="BodyText"/>
        <w:spacing w:line="480" w:lineRule="auto"/>
        <w:ind w:firstLine="720"/>
      </w:pPr>
      <w:r>
        <w:t xml:space="preserve">A second implication concerns NASA’s dual role as a mission operator and as a participant in the international institutions that shape WRC outcomes. The dissertation’s reading of the WRC-19 record, supported by the AMOS WRC-19 documentation</w:t>
      </w:r>
      <w:r>
        <w:t xml:space="preserve"> </w:t>
      </w:r>
      <w:hyperlink w:anchor="ref-2">
        <w:r>
          <w:rPr>
            <w:rStyle w:val="Hyperlink"/>
          </w:rPr>
          <w:t xml:space="preserve">[2]</w:t>
        </w:r>
      </w:hyperlink>
      <w:r>
        <w:t xml:space="preserve">[10] and by the orbital-commons literature on space governance</w:t>
      </w:r>
      <w:r>
        <w:t xml:space="preserve"> </w:t>
      </w:r>
      <w:hyperlink w:anchor="ref-3">
        <w:r>
          <w:rPr>
            <w:rStyle w:val="Hyperlink"/>
          </w:rPr>
          <w:t xml:space="preserve">[3]</w:t>
        </w:r>
      </w:hyperlink>
      <w:r>
        <w:t xml:space="preserve">[4][6][7], is that the treaty layer is necessary but not sufficient. NASA’s contribution to U.S. positions at future WRC cycles can therefore be strengthened by anchoring its position papers in the empirical demonstration that operator-pair coordination, not treaty rewriting, is where the marginal interference reduction is being delivered. That position is consistent with the U.S. interest in preserving the EPFD architecture as the binding link-budget instrument, and with the U.S. interest in enabling the bilateral operator coordination that the panel evidence shows to be effective. The decentralised space information-sharing literature</w:t>
      </w:r>
      <w:r>
        <w:t xml:space="preserve"> </w:t>
      </w:r>
      <w:hyperlink w:anchor="ref-11">
        <w:r>
          <w:rPr>
            <w:rStyle w:val="Hyperlink"/>
          </w:rPr>
          <w:t xml:space="preserve">[11]</w:t>
        </w:r>
      </w:hyperlink>
      <w:r>
        <w:t xml:space="preserve">[14][15] provides a precedent for U.S. positions that promote operational sharing without renegotiating the treaty layer, and that precedent is directly applicable to the spectrum case the dissertation has tested.</w:t>
      </w:r>
    </w:p>
    <w:p>
      <w:pPr>
        <w:pStyle w:val="BodyText"/>
        <w:spacing w:line="480" w:lineRule="auto"/>
        <w:ind w:firstLine="720"/>
      </w:pPr>
      <w:r>
        <w:t xml:space="preserve">The third implication is institutional. NASA’s mission directorates that depend on commercial Ku- and Ka-band capacity, including Space Operations and Space Communications and Navigation, are positioned to publish the kind of DSS-aware coordination expectation that anchor tenants typically provide. Anchor-tenant signalling is a polycentric design-principle move in the sense of Ostrom’s framework</w:t>
      </w:r>
      <w:r>
        <w:t xml:space="preserve"> </w:t>
      </w:r>
      <w:hyperlink w:anchor="ref-3">
        <w:r>
          <w:rPr>
            <w:rStyle w:val="Hyperlink"/>
          </w:rPr>
          <w:t xml:space="preserve">[3]</w:t>
        </w:r>
      </w:hyperlink>
      <w:r>
        <w:t xml:space="preserve">[4]: it raises the institutional quality of the bilateral agreements that operators consummate by making the anchor’s expectations a published baseline against which agreements are coded. The dissertation does not estimate the marginal effect of an anchor-tenant signal on the DSS treatment coefficient, but the panel evidence that institutional quality is what moves the dependent variable, combined with the qualitative coding that ties margin gain to design-principle scores, gives NASA a credible mechanism through which to influence the coexistence environment without exceeding its statutory role.</w:t>
      </w:r>
    </w:p>
    <w:bookmarkEnd w:id="130"/>
    <w:bookmarkStart w:id="131"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operates the deep-space communications architecture that depends on the Deep Space Network and on the cross-support arrangements with international partners that are coordinated at the ITU layer. JPL’s exposure to the NGSO-GSO Ku- and Ka-band coexistence problem is asymmetric: deep-space links are not the principal source of aggregate interference at GSO earth stations, but JPL’s Earth-orbiting and lunar relay architectures use the same commercial Ku- and Ka-band infrastructure that the dissertation’s panel covers. The decision-making implications follow from that asymmetry.</w:t>
      </w:r>
    </w:p>
    <w:p>
      <w:pPr>
        <w:pStyle w:val="BodyText"/>
        <w:spacing w:line="480" w:lineRule="auto"/>
        <w:ind w:firstLine="720"/>
      </w:pPr>
      <w:r>
        <w:t xml:space="preserve">The first JPL-relevant decision is in mission concept formulation. The dissertation’s finding that the DSS-covered interference margin is on the order of one decibel higher than the static baseline is not large relative to the deep-space link-budget tolerances that JPL routinely allocates, but it is the same order of magnitude as the coordination-margin allocations that earth-station operators trade against throughput in their commercial planning. Mission concepts that include a relay-through-commercial-GEO segment or a cross-link to a commercial NGSO terminal can incorporate the DSS coverage status of the served pair as a known coordination-margin contributor, in the same two-tier discipline recommended for NASA-wide planning. The IBFS and SNS-Online records are the authoritative sources of that status</w:t>
      </w:r>
      <w:r>
        <w:t xml:space="preserve"> </w:t>
      </w:r>
      <w:hyperlink w:anchor="ref-2">
        <w:r>
          <w:rPr>
            <w:rStyle w:val="Hyperlink"/>
          </w:rPr>
          <w:t xml:space="preserve">[2]</w:t>
        </w:r>
      </w:hyperlink>
      <w:r>
        <w:t xml:space="preserve">, and they can be queried at the same cadence as the rest of a mission concept review.</w:t>
      </w:r>
    </w:p>
    <w:p>
      <w:pPr>
        <w:pStyle w:val="BodyText"/>
        <w:spacing w:line="480" w:lineRule="auto"/>
        <w:ind w:firstLine="720"/>
      </w:pPr>
      <w:r>
        <w:t xml:space="preserve">The second JPL-relevant decision concerns the laboratory’s research portfolio in autonomous spacecraft operations. The polycentric DSS regime is, at the operator level, an institutional analogue of the kind of autonomous coordination that JPL’s research community has been developing for satellite constellations and for spacecraft-to-spacecraft links. The mega-constellation design and demand-uncertainty literature on flexible, staged deployment</w:t>
      </w:r>
      <w:r>
        <w:t xml:space="preserve"> </w:t>
      </w:r>
      <w:hyperlink w:anchor="ref-21">
        <w:r>
          <w:rPr>
            <w:rStyle w:val="Hyperlink"/>
          </w:rPr>
          <w:t xml:space="preserve">[21]</w:t>
        </w:r>
      </w:hyperlink>
      <w:r>
        <w:t xml:space="preserve"> </w:t>
      </w:r>
      <w:r>
        <w:t xml:space="preserve">and the shared-gravity approximation work on satellite-constellation dynamics</w:t>
      </w:r>
      <w:r>
        <w:t xml:space="preserve"> </w:t>
      </w:r>
      <w:hyperlink w:anchor="ref-18">
        <w:r>
          <w:rPr>
            <w:rStyle w:val="Hyperlink"/>
          </w:rPr>
          <w:t xml:space="preserve">[18]</w:t>
        </w:r>
      </w:hyperlink>
      <w:r>
        <w:t xml:space="preserve"> </w:t>
      </w:r>
      <w:r>
        <w:t xml:space="preserve">both treat the constellation-level coordination problem as one whose institutional structure interacts with its technical structure. The dissertation’s contribution to that conversation is that the institutional structure is empirically detectable at the link-budget margin, not only at the constellation-level performance metric. JPL research portfolios that connect autonomous operations to institutional design now have an empirical anchor against which to position their contributions.</w:t>
      </w:r>
    </w:p>
    <w:p>
      <w:pPr>
        <w:pStyle w:val="BodyText"/>
        <w:spacing w:line="480" w:lineRule="auto"/>
        <w:ind w:firstLine="720"/>
      </w:pPr>
      <w:r>
        <w:t xml:space="preserve">The third JPL-relevant decision is in cross-support and international partnership negotiation. JPL’s cross-support arrangements with the European Space Agency, the Japan Aerospace Exploration Agency, and other partners are negotiated at the agency-to-agency layer but implemented through ground-segment coordination that is functionally analogous to the operator-pair coordination the dissertation has measured. The reading of the panel result that institutional quality, monitoring, graduated response, and conflict-resolution mechanisms move the margin</w:t>
      </w:r>
      <w:r>
        <w:t xml:space="preserve"> </w:t>
      </w:r>
      <w:hyperlink w:anchor="ref-3">
        <w:r>
          <w:rPr>
            <w:rStyle w:val="Hyperlink"/>
          </w:rPr>
          <w:t xml:space="preserve">[3]</w:t>
        </w:r>
      </w:hyperlink>
      <w:r>
        <w:t xml:space="preserve">[4], translates directly to the cross-support negotiation: arrangements that build in monitoring and graduated response should be expected to deliver more margin than arrangements that rely only on a treaty-layer instrument. The decentralised space information-sharing literature</w:t>
      </w:r>
      <w:r>
        <w:t xml:space="preserve"> </w:t>
      </w:r>
      <w:hyperlink w:anchor="ref-11">
        <w:r>
          <w:rPr>
            <w:rStyle w:val="Hyperlink"/>
          </w:rPr>
          <w:t xml:space="preserve">[11]</w:t>
        </w:r>
      </w:hyperlink>
      <w:r>
        <w:t xml:space="preserve">[12][14][15] provides directly applicable precedent.</w:t>
      </w:r>
    </w:p>
    <w:p>
      <w:pPr>
        <w:pStyle w:val="BodyText"/>
        <w:spacing w:line="480" w:lineRule="auto"/>
        <w:ind w:firstLine="720"/>
      </w:pPr>
      <w:r>
        <w:t xml:space="preserve">The fourth JPL-relevant decision is in the laboratory’s own communications-systems research agenda. The cross-sectional null on coordination intensity, conditional on EPFD margin</w:t>
      </w:r>
      <w:r>
        <w:t xml:space="preserve"> </w:t>
      </w:r>
      <w:hyperlink w:anchor="ref-2">
        <w:r>
          <w:rPr>
            <w:rStyle w:val="Hyperlink"/>
          </w:rPr>
          <w:t xml:space="preserve">[2]</w:t>
        </w:r>
      </w:hyperlink>
      <w:r>
        <w:t xml:space="preserve">, is a falsifiable finding that has direct implications for research priority-setting. Research that proposes to improve coexistence by adding institutional structure at the link-budget layer alone, without dynamic operator-level adaptation, faces an empirical bar that this dissertation has now set. Research that proposes to improve coexistence through dynamic adaptation, traffic-state exchange, and event-driven coordination has the panel evidence in its favour</w:t>
      </w:r>
      <w:r>
        <w:t xml:space="preserve"> </w:t>
      </w:r>
      <w:hyperlink w:anchor="ref-3">
        <w:r>
          <w:rPr>
            <w:rStyle w:val="Hyperlink"/>
          </w:rPr>
          <w:t xml:space="preserve">[3]</w:t>
        </w:r>
      </w:hyperlink>
      <w:r>
        <w:t xml:space="preserve">[4]. The agenda-setting consequence is to favour the dynamic-adaptation research direction at the margin.</w:t>
      </w:r>
    </w:p>
    <w:bookmarkEnd w:id="131"/>
    <w:bookmarkStart w:id="132" w:name="the-treaty-versus-operational-boundary"/>
    <w:p>
      <w:pPr>
        <w:pStyle w:val="Heading2"/>
        <w:spacing w:line="480" w:lineRule="auto"/>
      </w:pPr>
      <w:r>
        <w:t xml:space="preserve">7.4 The Treaty-Versus-Operational Boundary</w:t>
      </w:r>
    </w:p>
    <w:p>
      <w:pPr>
        <w:pStyle w:val="FirstParagraph"/>
        <w:spacing w:line="480" w:lineRule="auto"/>
      </w:pPr>
      <w:r>
        <w:t xml:space="preserve">The dissertation’s findings clarify a boundary that the regulatory literature has tended to leave implicit. The WRC-19 record and the Article 22 EPFD architecture do the binding work at the link-budget layer</w:t>
      </w:r>
      <w:r>
        <w:t xml:space="preserve"> </w:t>
      </w:r>
      <w:hyperlink w:anchor="ref-2">
        <w:r>
          <w:rPr>
            <w:rStyle w:val="Hyperlink"/>
          </w:rPr>
          <w:t xml:space="preserve">[2]</w:t>
        </w:r>
      </w:hyperlink>
      <w:r>
        <w:t xml:space="preserve">[10]. Operator-pair coordination does the binding work at the dynamic-adaptation layer. The two are not interchangeable. A treaty rewrite that pushed dynamic-adaptation rules into the treaty text would not deliver the polycentric benefit, because the panel evidence shows that the benefit comes from rules crafted at the scale at which the resource is used</w:t>
      </w:r>
      <w:r>
        <w:t xml:space="preserve"> </w:t>
      </w:r>
      <w:hyperlink w:anchor="ref-3">
        <w:r>
          <w:rPr>
            <w:rStyle w:val="Hyperlink"/>
          </w:rPr>
          <w:t xml:space="preserve">[3]</w:t>
        </w:r>
      </w:hyperlink>
      <w:r>
        <w:t xml:space="preserve">[4], and the treaty layer is not that scale. Conversely, an operator-pair regime that operated without the EPFD floor would face a cross-sectional collapse of the kind the second research paper documents in reverse: without the regulatory floor, the polycentric signal would be doing more work than the institutional infrastructure could sustain.</w:t>
      </w:r>
    </w:p>
    <w:p>
      <w:pPr>
        <w:pStyle w:val="BodyText"/>
        <w:spacing w:line="480" w:lineRule="auto"/>
        <w:ind w:firstLine="720"/>
      </w:pPr>
      <w:r>
        <w:t xml:space="preserve">This boundary has direct relevance to the evolving-governance literature on the space sector</w:t>
      </w:r>
      <w:r>
        <w:t xml:space="preserve"> </w:t>
      </w:r>
      <w:hyperlink w:anchor="ref-17">
        <w:r>
          <w:rPr>
            <w:rStyle w:val="Hyperlink"/>
          </w:rPr>
          <w:t xml:space="preserve">[17]</w:t>
        </w:r>
      </w:hyperlink>
      <w:r>
        <w:t xml:space="preserve"> </w:t>
      </w:r>
      <w:r>
        <w:t xml:space="preserve">and to the discourse-network analysis of the emerging socio-technical regime for orbital debris</w:t>
      </w:r>
      <w:r>
        <w:t xml:space="preserve"> </w:t>
      </w:r>
      <w:hyperlink w:anchor="ref-22">
        <w:r>
          <w:rPr>
            <w:rStyle w:val="Hyperlink"/>
          </w:rPr>
          <w:t xml:space="preserve">[22]</w:t>
        </w:r>
      </w:hyperlink>
      <w:r>
        <w:t xml:space="preserve">. Both lines of work treat governance as a multi-layer phenomenon, and both predict that the layers are complements rather than substitutes. The dissertation’s empirical demonstration that the spectrum case behaves in the predicted multi-layer pattern is a small but specific contribution to that literature, and one that is replicable on the public ITU SNS-Online and FCC IBFS data that the dissertation has used</w:t>
      </w:r>
      <w:r>
        <w:t xml:space="preserve"> </w:t>
      </w:r>
      <w:hyperlink w:anchor="ref-2">
        <w:r>
          <w:rPr>
            <w:rStyle w:val="Hyperlink"/>
          </w:rPr>
          <w:t xml:space="preserve">[2]</w:t>
        </w:r>
      </w:hyperlink>
      <w:r>
        <w:t xml:space="preserve">. The transdisciplinary and bi-cultural framing of space sustainability</w:t>
      </w:r>
      <w:r>
        <w:t xml:space="preserve"> </w:t>
      </w:r>
      <w:hyperlink w:anchor="ref-9">
        <w:r>
          <w:rPr>
            <w:rStyle w:val="Hyperlink"/>
          </w:rPr>
          <w:t xml:space="preserve">[9]</w:t>
        </w:r>
      </w:hyperlink>
      <w:r>
        <w:t xml:space="preserve"> </w:t>
      </w:r>
      <w:r>
        <w:t xml:space="preserve">reinforces the boundary by reminding the policy reader that the operator-pair layer is the layer at which different operator cultures and different national regulatory traditions actually meet, and is therefore the layer at which the institutional design choices of the polycentric framework are made</w:t>
      </w:r>
      <w:r>
        <w:t xml:space="preserve"> </w:t>
      </w:r>
      <w:hyperlink w:anchor="ref-3">
        <w:r>
          <w:rPr>
            <w:rStyle w:val="Hyperlink"/>
          </w:rPr>
          <w:t xml:space="preserve">[3]</w:t>
        </w:r>
      </w:hyperlink>
      <w:r>
        <w:t xml:space="preserve">[4][9].</w:t>
      </w:r>
    </w:p>
    <w:p>
      <w:pPr>
        <w:pStyle w:val="BodyText"/>
        <w:spacing w:line="480" w:lineRule="auto"/>
        <w:ind w:firstLine="720"/>
      </w:pPr>
      <w:r>
        <w:t xml:space="preserve">The boundary also has implications for the planetary-boundaries integration of space sustainability</w:t>
      </w:r>
      <w:r>
        <w:t xml:space="preserve"> </w:t>
      </w:r>
      <w:hyperlink w:anchor="ref-19">
        <w:r>
          <w:rPr>
            <w:rStyle w:val="Hyperlink"/>
          </w:rPr>
          <w:t xml:space="preserve">[19]</w:t>
        </w:r>
      </w:hyperlink>
      <w:r>
        <w:t xml:space="preserve"> </w:t>
      </w:r>
      <w:r>
        <w:t xml:space="preserve">and for the broader sustainability framing of the space sector</w:t>
      </w:r>
      <w:r>
        <w:t xml:space="preserve"> </w:t>
      </w:r>
      <w:hyperlink w:anchor="ref-9">
        <w:r>
          <w:rPr>
            <w:rStyle w:val="Hyperlink"/>
          </w:rPr>
          <w:t xml:space="preserve">[9]</w:t>
        </w:r>
      </w:hyperlink>
      <w:r>
        <w:t xml:space="preserve">[24]. The polycentric DSS regime, as measured here, is an instance of a sustainability-relevant institution that operates at the operational layer while being constrained by a treaty-layer instrument. The planetary-boundaries framing predicts that durable sustainability outcomes require both layers, and the dissertation’s findings are consistent with that prediction in the spectrum case</w:t>
      </w:r>
      <w:r>
        <w:t xml:space="preserve"> </w:t>
      </w:r>
      <w:hyperlink w:anchor="ref-19">
        <w:r>
          <w:rPr>
            <w:rStyle w:val="Hyperlink"/>
          </w:rPr>
          <w:t xml:space="preserve">[19]</w:t>
        </w:r>
      </w:hyperlink>
      <w:r>
        <w:t xml:space="preserve">.</w:t>
      </w:r>
    </w:p>
    <w:bookmarkEnd w:id="132"/>
    <w:bookmarkStart w:id="133" w:name="limitations"/>
    <w:p>
      <w:pPr>
        <w:pStyle w:val="Heading2"/>
        <w:spacing w:line="480" w:lineRule="auto"/>
      </w:pPr>
      <w:r>
        <w:t xml:space="preserve">7.5 Limitations</w:t>
      </w:r>
    </w:p>
    <w:p>
      <w:pPr>
        <w:pStyle w:val="FirstParagraph"/>
        <w:spacing w:line="480" w:lineRule="auto"/>
      </w:pPr>
      <w:r>
        <w:t xml:space="preserve">Five limitations bound the inference. The first is the size and composition of the panel. The first research paper estimates the DSS treatment effect on thirty-six operator-pair-years across nine operator pairs in the Ku- and Ka-bands for 2020 through 2023. That is a small panel by the standards of difference-in-differences estimation, and although the operator-pair and year fixed effects absorb the principal sources of unobserved heterogeneity, the small panel limits the power of the placebo specifications and the precision of the heterogeneity tests across band and operator class. The second research paper’s cross-section of 28 NGSO-GSO operator-band pairings is similarly small. Both estimators should therefore be read as a first pass on the empirical question, with the strength of the panel result resting on the size and significance of the DSS coefficient rather than on a large sample. Replication on a wider panel that incorporates later years and additional operator pairs is the natural next step, and the public ITU SNS-Online and FCC IBFS records support that extension.</w:t>
      </w:r>
    </w:p>
    <w:p>
      <w:pPr>
        <w:pStyle w:val="BodyText"/>
        <w:spacing w:line="480" w:lineRule="auto"/>
        <w:ind w:firstLine="720"/>
      </w:pPr>
      <w:r>
        <w:t xml:space="preserve">The second limitation is selection into DSS coordination. The operator pairs that consummate bilateral DSS agreements are not a random draw from the population of NGSO-GSO pairings in the bands. The pairs that agree to share are likely to be the pairs with lower latent interference exposure, which would bias the panel DSS coefficient upward. The placebo specification on operator pairs that announced but did not consummate DSS arrangements partially bounds that bias, and the institutional-feature codings provide a second bound, but selection on unobservables cannot be ruled out without an instrument that the available data do not supply. The polycentric reading of the result is robust to the selection direction, in the sense that even an upper bound of one decibel of marginal interference reduction is operationally meaningful, but the precise magnitude is to be treated as a ceiling rather than as a point estimate.</w:t>
      </w:r>
    </w:p>
    <w:p>
      <w:pPr>
        <w:pStyle w:val="BodyText"/>
        <w:spacing w:line="480" w:lineRule="auto"/>
        <w:ind w:firstLine="720"/>
      </w:pPr>
      <w:r>
        <w:t xml:space="preserve">The third limitation is the measurement of aggregate interference at GSO earth stations. The FCC Schedule S link budgets are operator-reported, and the static-baseline observations may understate true exposure. That bias works in the opposite direction of the selection bias and partially offsets it. The Schedule S link budgets are cross-checked against independent ITU coordination thresholds, but the cross-check is a consistency test rather than an independent measurement. A direct measurement of aggregate interference at GSO earth stations, of the kind that ground-based space situational awareness concepts for commercial GEO satellite operators have begun to develop</w:t>
      </w:r>
      <w:r>
        <w:t xml:space="preserve"> </w:t>
      </w:r>
      <w:hyperlink w:anchor="ref-5">
        <w:r>
          <w:rPr>
            <w:rStyle w:val="Hyperlink"/>
          </w:rPr>
          <w:t xml:space="preserve">[5]</w:t>
        </w:r>
      </w:hyperlink>
      <w:r>
        <w:t xml:space="preserve">, would be a substantial methodological improvement and is identified as a future-research priority below.</w:t>
      </w:r>
    </w:p>
    <w:p>
      <w:pPr>
        <w:pStyle w:val="BodyText"/>
        <w:spacing w:line="480" w:lineRule="auto"/>
        <w:ind w:firstLine="720"/>
      </w:pPr>
      <w:r>
        <w:t xml:space="preserve">The fourth limitation is the coding of the coordination institutions. The qualitative process-trace codes coordination agreements against Ostrom’s eight design principles following the orbital-debris polycentric-governance audit</w:t>
      </w:r>
      <w:r>
        <w:t xml:space="preserve"> </w:t>
      </w:r>
      <w:hyperlink w:anchor="ref-3">
        <w:r>
          <w:rPr>
            <w:rStyle w:val="Hyperlink"/>
          </w:rPr>
          <w:t xml:space="preserve">[3]</w:t>
        </w:r>
      </w:hyperlink>
      <w:r>
        <w:t xml:space="preserve">, and the intercoder reliability is established on a held-out subset of agreements. The coding instrument is published with the dissertation. The limitation is that the coding is interpretive at the margin, and that the ordinal coordination-intensity index used in the second research paper is too coarse to register the variation in coordination depth that the panel result implies matters</w:t>
      </w:r>
      <w:r>
        <w:t xml:space="preserve"> </w:t>
      </w:r>
      <w:hyperlink w:anchor="ref-3">
        <w:r>
          <w:rPr>
            <w:rStyle w:val="Hyperlink"/>
          </w:rPr>
          <w:t xml:space="preserve">[3]</w:t>
        </w:r>
      </w:hyperlink>
      <w:r>
        <w:t xml:space="preserve">[4]. A finer-grained coding instrument, ideally validated against operator interviews, would sharpen the cross-sectional test.</w:t>
      </w:r>
    </w:p>
    <w:p>
      <w:pPr>
        <w:pStyle w:val="BodyText"/>
        <w:spacing w:line="480" w:lineRule="auto"/>
        <w:ind w:firstLine="720"/>
      </w:pPr>
      <w:r>
        <w:t xml:space="preserve">The fifth limitation is the temporal and band scope of the dissertation. The 2020 through 2023 window captures the build-out phase of the largest NGSO constellations but does not extend into the consolidation phase that is now underway. The Ku- and Ka-band focus does not cover the Q- and V-bands into which future LEO broadband systems are filing, and the EPFD architecture that does the binding work in this dissertation is applied differently in those bands</w:t>
      </w:r>
      <w:r>
        <w:t xml:space="preserve"> </w:t>
      </w:r>
      <w:hyperlink w:anchor="ref-2">
        <w:r>
          <w:rPr>
            <w:rStyle w:val="Hyperlink"/>
          </w:rPr>
          <w:t xml:space="preserve">[2]</w:t>
        </w:r>
      </w:hyperlink>
      <w:r>
        <w:t xml:space="preserve">. The findings are therefore conditional on the window and on the bands studied, and their extrapolation to later years and to higher-frequency bands is an open empirical question.</w:t>
      </w:r>
    </w:p>
    <w:bookmarkEnd w:id="133"/>
    <w:bookmarkStart w:id="134" w:name="future-research"/>
    <w:p>
      <w:pPr>
        <w:pStyle w:val="Heading2"/>
        <w:spacing w:line="480" w:lineRule="auto"/>
      </w:pPr>
      <w:r>
        <w:t xml:space="preserve">7.6 Future Research</w:t>
      </w:r>
    </w:p>
    <w:p>
      <w:pPr>
        <w:pStyle w:val="FirstParagraph"/>
        <w:spacing w:line="480" w:lineRule="auto"/>
      </w:pPr>
      <w:r>
        <w:t xml:space="preserve">Five directions follow from the limitations and from the substantive findings. The first is the replication of the panel and the cross-section on a wider sample. The public ITU SNS-Online and FCC IBFS records continue to accumulate, and the addition of the 2024 and 2025 years would approximately double the panel and would let the heterogeneity tests across band and operator class be specified more sharply. A multi-band extension to include Q- and V-band filings would test the conjecture that the EPFD-versus-coordination division of labour generalises to higher-frequency bands</w:t>
      </w:r>
      <w:r>
        <w:t xml:space="preserve"> </w:t>
      </w:r>
      <w:hyperlink w:anchor="ref-2">
        <w:r>
          <w:rPr>
            <w:rStyle w:val="Hyperlink"/>
          </w:rPr>
          <w:t xml:space="preserve">[2]</w:t>
        </w:r>
      </w:hyperlink>
      <w:r>
        <w:t xml:space="preserve">.</w:t>
      </w:r>
    </w:p>
    <w:p>
      <w:pPr>
        <w:pStyle w:val="BodyText"/>
        <w:spacing w:line="480" w:lineRule="auto"/>
        <w:ind w:firstLine="720"/>
      </w:pPr>
      <w:r>
        <w:t xml:space="preserve">The second direction is the development of independent measurements of aggregate interference at GSO earth stations. Ground-based space situational awareness concepts have been investigated for commercial GEO satellite operators</w:t>
      </w:r>
      <w:r>
        <w:t xml:space="preserve"> </w:t>
      </w:r>
      <w:hyperlink w:anchor="ref-5">
        <w:r>
          <w:rPr>
            <w:rStyle w:val="Hyperlink"/>
          </w:rPr>
          <w:t xml:space="preserve">[5]</w:t>
        </w:r>
      </w:hyperlink>
      <w:r>
        <w:t xml:space="preserve">, and an analogous ground-based interference-monitoring concept would deliver a measurement that is independent of operator-reported Schedule S link budgets. The combination of an independent measurement with the existing operator-reported series would let the directionality of the measurement bias be tested directly, and would substantially reduce the uncertainty around the panel DSS coefficient.</w:t>
      </w:r>
    </w:p>
    <w:p>
      <w:pPr>
        <w:pStyle w:val="BodyText"/>
        <w:spacing w:line="480" w:lineRule="auto"/>
        <w:ind w:firstLine="720"/>
      </w:pPr>
      <w:r>
        <w:t xml:space="preserve">The third direction is the operationalisation of decentralised information-sharing architectures at the spectrum layer, drawing on the existing literature for the situational-awareness layer</w:t>
      </w:r>
      <w:r>
        <w:t xml:space="preserve"> </w:t>
      </w:r>
      <w:hyperlink w:anchor="ref-11">
        <w:r>
          <w:rPr>
            <w:rStyle w:val="Hyperlink"/>
          </w:rPr>
          <w:t xml:space="preserve">[11]</w:t>
        </w:r>
      </w:hyperlink>
      <w:r>
        <w:t xml:space="preserve">[12][14][15]. The polycentric DSS regime, as the dissertation has measured it, is implemented through bilateral coordination agreements that are not pooled into a multi-operator information commons. The institutional design literature on decentralised SSA data sharing provides a precedent for a multi-operator coordination information commons in the spectrum case, and the empirical evaluation of such an architecture, against the bilateral baseline that the dissertation has tested, is the natural next-generation comparison.</w:t>
      </w:r>
    </w:p>
    <w:p>
      <w:pPr>
        <w:pStyle w:val="BodyText"/>
        <w:spacing w:line="480" w:lineRule="auto"/>
        <w:ind w:firstLine="720"/>
      </w:pPr>
      <w:r>
        <w:t xml:space="preserve">The fourth direction is the integration of the polycentric DSS finding with the orbital-capacity and orbital-environment literature</w:t>
      </w:r>
      <w:r>
        <w:t xml:space="preserve"> </w:t>
      </w:r>
      <w:hyperlink w:anchor="ref-7">
        <w:r>
          <w:rPr>
            <w:rStyle w:val="Hyperlink"/>
          </w:rPr>
          <w:t xml:space="preserve">[7]</w:t>
        </w:r>
      </w:hyperlink>
      <w:r>
        <w:t xml:space="preserve">[16][22]. The projected orbital demand and LEO environmental capacity work</w:t>
      </w:r>
      <w:r>
        <w:t xml:space="preserve"> </w:t>
      </w:r>
      <w:hyperlink w:anchor="ref-16">
        <w:r>
          <w:rPr>
            <w:rStyle w:val="Hyperlink"/>
          </w:rPr>
          <w:t xml:space="preserve">[16]</w:t>
        </w:r>
      </w:hyperlink>
      <w:r>
        <w:t xml:space="preserve"> </w:t>
      </w:r>
      <w:r>
        <w:t xml:space="preserve">and the orbital-capacity framing</w:t>
      </w:r>
      <w:r>
        <w:t xml:space="preserve"> </w:t>
      </w:r>
      <w:hyperlink w:anchor="ref-7">
        <w:r>
          <w:rPr>
            <w:rStyle w:val="Hyperlink"/>
          </w:rPr>
          <w:t xml:space="preserve">[7]</w:t>
        </w:r>
      </w:hyperlink>
      <w:r>
        <w:t xml:space="preserve"> </w:t>
      </w:r>
      <w:r>
        <w:t xml:space="preserve">treat the orbital environment as a finite resource whose governance is now under construction. The discourse-network analysis of the emerging socio-technical regime for orbital debris</w:t>
      </w:r>
      <w:r>
        <w:t xml:space="preserve"> </w:t>
      </w:r>
      <w:hyperlink w:anchor="ref-22">
        <w:r>
          <w:rPr>
            <w:rStyle w:val="Hyperlink"/>
          </w:rPr>
          <w:t xml:space="preserve">[22]</w:t>
        </w:r>
      </w:hyperlink>
      <w:r>
        <w:t xml:space="preserve"> </w:t>
      </w:r>
      <w:r>
        <w:t xml:space="preserve">documents the institutional churn that accompanies that construction. The dissertation’s findings on the spectrum side of the coexistence problem can be integrated with the orbital-environment side by treating spectrum and orbit as joint dimensions of a single commons-governance object, in line with the four-scenario analysis of commons in space</w:t>
      </w:r>
      <w:r>
        <w:t xml:space="preserve"> </w:t>
      </w:r>
      <w:hyperlink w:anchor="ref-4">
        <w:r>
          <w:rPr>
            <w:rStyle w:val="Hyperlink"/>
          </w:rPr>
          <w:t xml:space="preserve">[4]</w:t>
        </w:r>
      </w:hyperlink>
      <w:r>
        <w:t xml:space="preserve"> </w:t>
      </w:r>
      <w:r>
        <w:t xml:space="preserve">and with the planetary-boundaries integration of space sustainability</w:t>
      </w:r>
      <w:r>
        <w:t xml:space="preserve"> </w:t>
      </w:r>
      <w:hyperlink w:anchor="ref-19">
        <w:r>
          <w:rPr>
            <w:rStyle w:val="Hyperlink"/>
          </w:rPr>
          <w:t xml:space="preserve">[19]</w:t>
        </w:r>
      </w:hyperlink>
      <w:r>
        <w:t xml:space="preserve">. The empirical operationalisation of that joint object is a major future-research program, and the dissertation is one input to it.</w:t>
      </w:r>
    </w:p>
    <w:p>
      <w:pPr>
        <w:pStyle w:val="BodyText"/>
        <w:spacing w:line="480" w:lineRule="auto"/>
        <w:ind w:firstLine="720"/>
      </w:pPr>
      <w:r>
        <w:t xml:space="preserve">The fifth direction is the lessons-learned comparison with the Montreal Protocol and similar successful international regimes</w:t>
      </w:r>
      <w:r>
        <w:t xml:space="preserve"> </w:t>
      </w:r>
      <w:hyperlink w:anchor="ref-13">
        <w:r>
          <w:rPr>
            <w:rStyle w:val="Hyperlink"/>
          </w:rPr>
          <w:t xml:space="preserve">[13]</w:t>
        </w:r>
      </w:hyperlink>
      <w:r>
        <w:t xml:space="preserve">. The Montreal Protocol experience is an instructive contrast for the orbital-commons literature because it is a treaty-layer instrument that succeeded by being supported by an operational layer of producer coordination. The polycentric DSS regime, by contrast, is an operational-layer instrument supported by a treaty-layer floor. The cross-case comparison of how the two layer-orderings interact is a comparative-institutional research direction that the dissertation’s empirical findings make feasible, and that the orbital-debris-Montreal-Protocol literature</w:t>
      </w:r>
      <w:r>
        <w:t xml:space="preserve"> </w:t>
      </w:r>
      <w:hyperlink w:anchor="ref-13">
        <w:r>
          <w:rPr>
            <w:rStyle w:val="Hyperlink"/>
          </w:rPr>
          <w:t xml:space="preserve">[13]</w:t>
        </w:r>
      </w:hyperlink>
      <w:r>
        <w:t xml:space="preserve"> </w:t>
      </w:r>
      <w:r>
        <w:t xml:space="preserve">has begun to motivate.</w:t>
      </w:r>
    </w:p>
    <w:p>
      <w:pPr>
        <w:pStyle w:val="BodyText"/>
        <w:spacing w:line="480" w:lineRule="auto"/>
        <w:ind w:firstLine="720"/>
      </w:pPr>
      <w:r>
        <w:t xml:space="preserve">A sixth direction, which sits between the empirical and the conceptual, is the elaboration of the polycentric DSS framework against the sub-orbital and twilight-zone jurisdictional questions that the international-law literature has begun to articulate</w:t>
      </w:r>
      <w:r>
        <w:t xml:space="preserve"> </w:t>
      </w:r>
      <w:hyperlink w:anchor="ref-23">
        <w:r>
          <w:rPr>
            <w:rStyle w:val="Hyperlink"/>
          </w:rPr>
          <w:t xml:space="preserve">[23]</w:t>
        </w:r>
      </w:hyperlink>
      <w:r>
        <w:t xml:space="preserve">. The Ku- and Ka-band coexistence problem is, at present, a problem in airspace and outer-space jurisdiction at the same time, because the GSO earth stations are terrestrial assets and the NGSO terminals operate across the air-space-outer-space boundary. The institutional design choices that the polycentric framework prescribes</w:t>
      </w:r>
      <w:r>
        <w:t xml:space="preserve"> </w:t>
      </w:r>
      <w:hyperlink w:anchor="ref-3">
        <w:r>
          <w:rPr>
            <w:rStyle w:val="Hyperlink"/>
          </w:rPr>
          <w:t xml:space="preserve">[3]</w:t>
        </w:r>
      </w:hyperlink>
      <w:r>
        <w:t xml:space="preserve">[4] are sensitive to jurisdictional questions of the kind the sub-orbital literature</w:t>
      </w:r>
      <w:r>
        <w:t xml:space="preserve"> </w:t>
      </w:r>
      <w:hyperlink w:anchor="ref-23">
        <w:r>
          <w:rPr>
            <w:rStyle w:val="Hyperlink"/>
          </w:rPr>
          <w:t xml:space="preserve">[23]</w:t>
        </w:r>
      </w:hyperlink>
      <w:r>
        <w:t xml:space="preserve"> </w:t>
      </w:r>
      <w:r>
        <w:t xml:space="preserve">has begun to characterise, and the integration of those questions into the spectrum-commons frame is a conceptual contribution that the dissertation’s empirical findings now have the standing to make.</w:t>
      </w:r>
    </w:p>
    <w:bookmarkEnd w:id="134"/>
    <w:bookmarkStart w:id="135" w:name="summary-of-governance-implications"/>
    <w:p>
      <w:pPr>
        <w:pStyle w:val="Heading2"/>
        <w:spacing w:line="480" w:lineRule="auto"/>
      </w:pPr>
      <w:r>
        <w:t xml:space="preserve">7.7 Summary of Governance Implications</w:t>
      </w:r>
    </w:p>
    <w:p>
      <w:pPr>
        <w:pStyle w:val="FirstParagraph"/>
        <w:spacing w:line="480" w:lineRule="auto"/>
      </w:pPr>
      <w:r>
        <w:t xml:space="preserve">The single positive contribution of the dissertation, that a polycentrically governed DSS regime between NGSO and GSO operators in the Ku- and Ka-bands reduces aggregate measured co-channel interference at GSO earth stations relative to the static-allocation baseline while preserving NGSO downlink throughput within a bounded tolerance, has been supported on the panel side and qualified on the cross-section side. The qualification is not a defeat of the polycentric account but a clarification of the layer at which the polycentric account operates. The treaty-layer EPFD instrument</w:t>
      </w:r>
      <w:r>
        <w:t xml:space="preserve"> </w:t>
      </w:r>
      <w:hyperlink w:anchor="ref-2">
        <w:r>
          <w:rPr>
            <w:rStyle w:val="Hyperlink"/>
          </w:rPr>
          <w:t xml:space="preserve">[2]</w:t>
        </w:r>
      </w:hyperlink>
      <w:r>
        <w:t xml:space="preserve">[10] does the binding work at the link budget. The operator-pair DSS regime does the binding work at the dynamic adaptation. NASA program management and JPL decision-making can act on that division of labour now, using the public records that the dissertation has used</w:t>
      </w:r>
      <w:r>
        <w:t xml:space="preserve"> </w:t>
      </w:r>
      <w:hyperlink w:anchor="ref-2">
        <w:r>
          <w:rPr>
            <w:rStyle w:val="Hyperlink"/>
          </w:rPr>
          <w:t xml:space="preserve">[2]</w:t>
        </w:r>
      </w:hyperlink>
      <w:r>
        <w:t xml:space="preserve">, without waiting for the next WRC cycle and without exceeding the agency’s statutory role. The institutional precedents for decentralised operational sharing in the situational-awareness domain</w:t>
      </w:r>
      <w:r>
        <w:t xml:space="preserve"> </w:t>
      </w:r>
      <w:hyperlink w:anchor="ref-11">
        <w:r>
          <w:rPr>
            <w:rStyle w:val="Hyperlink"/>
          </w:rPr>
          <w:t xml:space="preserve">[11]</w:t>
        </w:r>
      </w:hyperlink>
      <w:r>
        <w:t xml:space="preserve">[12][14][15] provide directly applicable templates. The orbital-commons literature on which the dissertation builds</w:t>
      </w:r>
      <w:r>
        <w:t xml:space="preserve"> </w:t>
      </w:r>
      <w:hyperlink w:anchor="ref-3">
        <w:r>
          <w:rPr>
            <w:rStyle w:val="Hyperlink"/>
          </w:rPr>
          <w:t xml:space="preserve">[3]</w:t>
        </w:r>
      </w:hyperlink>
      <w:r>
        <w:t xml:space="preserve">[4][6][7][8][9][17][19][22] provides the conceptual frame against which the empirical findings can be read, extended, and challenged. The governance implications, in short, are concrete enough to be implemented and bounded enough to be tested against the further evidence that the public record will continue to supply.</w:t>
      </w:r>
    </w:p>
    <w:bookmarkEnd w:id="135"/>
    <w:bookmarkEnd w:id="136"/>
    <w:bookmarkStart w:id="179" w:name="chapter-8.-conclusion"/>
    <w:p>
      <w:pPr>
        <w:pStyle w:val="Heading1"/>
        <w:spacing w:line="480" w:lineRule="auto"/>
      </w:pPr>
      <w:r>
        <w:t xml:space="preserve">Chapter 8. Conclusion</w:t>
      </w:r>
    </w:p>
    <w:bookmarkStart w:id="137" w:name="the-argument-in-one-movement"/>
    <w:p>
      <w:pPr>
        <w:pStyle w:val="Heading2"/>
        <w:spacing w:line="480" w:lineRule="auto"/>
      </w:pPr>
      <w:r>
        <w:t xml:space="preserve">8.1 The Argument in One Movement</w:t>
      </w:r>
    </w:p>
    <w:p>
      <w:pPr>
        <w:pStyle w:val="FirstParagraph"/>
        <w:spacing w:line="480" w:lineRule="auto"/>
      </w:pPr>
      <w:r>
        <w:t xml:space="preserve">This dissertation asked whether a polycentrically governed dynamic spectrum sharing regime between non-geostationary and geostationary satellite operators in the Ku- and Ka-bands can reduce aggregate co-channel interference at incumbent geostationary earth stations without breaching a pre-registered throughput tolerance band. The question is not academic. The build-out of low earth orbit broadband constellations has, in less than a decade, pushed thousands of non-geostationary terminals into the principal commercial bands of the incumbent geostationary fixed-satellite-service operators, and the static, treaty-anchored International Telecommunication Union coordination model that governs those bands was designed for a sparse geostationary environment in which the spectrum could be partitioned on a first-come basis</w:t>
      </w:r>
      <w:r>
        <w:t xml:space="preserve"> </w:t>
      </w:r>
      <w:hyperlink w:anchor="ref-1">
        <w:r>
          <w:rPr>
            <w:rStyle w:val="Hyperlink"/>
          </w:rPr>
          <w:t xml:space="preserve">[1]</w:t>
        </w:r>
      </w:hyperlink>
      <w:r>
        <w:t xml:space="preserve">[2]. The argument advanced across the preceding chapters is that the static partition is no longer the only feasible regime, that an operational layer of bilateral coordination is already emerging beneath the treaty layer, and that this operational layer is best read as a polycentric commons in the sense developed for the orbital-debris problem by Morin and Couette</w:t>
      </w:r>
      <w:r>
        <w:t xml:space="preserve"> </w:t>
      </w:r>
      <w:hyperlink w:anchor="ref-3">
        <w:r>
          <w:rPr>
            <w:rStyle w:val="Hyperlink"/>
          </w:rPr>
          <w:t xml:space="preserve">[3]</w:t>
        </w:r>
      </w:hyperlink>
      <w:r>
        <w:t xml:space="preserve"> </w:t>
      </w:r>
      <w:r>
        <w:t xml:space="preserve">and for the broader space-commons literature by Yap and colleagues</w:t>
      </w:r>
      <w:r>
        <w:t xml:space="preserve"> </w:t>
      </w:r>
      <w:hyperlink w:anchor="ref-4">
        <w:r>
          <w:rPr>
            <w:rStyle w:val="Hyperlink"/>
          </w:rPr>
          <w:t xml:space="preserve">[4]</w:t>
        </w:r>
      </w:hyperlink>
      <w:r>
        <w:t xml:space="preserve">. The dissertation has tested whether that reading is more than a metaphor, and what it has found is that the polycentric account survives the empirical confrontation in some places, fails it in others, and gains rather than loses analytic traction by the asymmetry of that result.</w:t>
      </w:r>
    </w:p>
    <w:p>
      <w:pPr>
        <w:pStyle w:val="BodyText"/>
        <w:spacing w:line="480" w:lineRule="auto"/>
        <w:ind w:firstLine="720"/>
      </w:pPr>
      <w:r>
        <w:t xml:space="preserve">Begin with the gap that the prospectus identified. The space-policy literature on the low earth orbit broadband competition has documented the commercial and strategic stakes of Ku- and Ka-band coexistence but has not subjected sharing regimes to empirical test</w:t>
      </w:r>
      <w:r>
        <w:t xml:space="preserve"> </w:t>
      </w:r>
      <w:hyperlink w:anchor="ref-1">
        <w:r>
          <w:rPr>
            <w:rStyle w:val="Hyperlink"/>
          </w:rPr>
          <w:t xml:space="preserve">[1]</w:t>
        </w:r>
      </w:hyperlink>
      <w:r>
        <w:t xml:space="preserve">. The radio-regulatory literature has elaborated the legal architecture at the treaty layer, in particular the Article 22 equivalent power flux density discipline that emerged from the 2019 World Radiocommunication Conference, but has treated coexistence as a coordination problem solved at the treaty layer rather than as an operational regime open to measurement</w:t>
      </w:r>
      <w:r>
        <w:t xml:space="preserve"> </w:t>
      </w:r>
      <w:hyperlink w:anchor="ref-2">
        <w:r>
          <w:rPr>
            <w:rStyle w:val="Hyperlink"/>
          </w:rPr>
          <w:t xml:space="preserve">[2]</w:t>
        </w:r>
      </w:hyperlink>
      <w:r>
        <w:t xml:space="preserve">. The commons-governance literature, although it has begun to apply the Ostrom design principles to orbital debris and to scenario analyses of orbital futures</w:t>
      </w:r>
      <w:r>
        <w:t xml:space="preserve"> </w:t>
      </w:r>
      <w:hyperlink w:anchor="ref-3">
        <w:r>
          <w:rPr>
            <w:rStyle w:val="Hyperlink"/>
          </w:rPr>
          <w:t xml:space="preserve">[3]</w:t>
        </w:r>
      </w:hyperlink>
      <w:r>
        <w:t xml:space="preserve">[4], and although it has been linked to the broader Pigouvian, Coasian, and Ostromian repertoire in the space-economics tradition</w:t>
      </w:r>
      <w:r>
        <w:t xml:space="preserve"> </w:t>
      </w:r>
      <w:hyperlink w:anchor="ref-8">
        <w:r>
          <w:rPr>
            <w:rStyle w:val="Hyperlink"/>
          </w:rPr>
          <w:t xml:space="preserve">[8]</w:t>
        </w:r>
      </w:hyperlink>
      <w:r>
        <w:t xml:space="preserve">, has not been translated into a falsifiable claim about spectrum sharing. The dissertation has occupied that gap by stating the joint hypothesis on interference and throughput, by assembling the two complementary empirical specifications that the joint hypothesis required, and by coding the institutional features of the treated operator pairings against the same design-principle audit that has been used in the orbital-debris case</w:t>
      </w:r>
      <w:r>
        <w:t xml:space="preserve"> </w:t>
      </w:r>
      <w:hyperlink w:anchor="ref-3">
        <w:r>
          <w:rPr>
            <w:rStyle w:val="Hyperlink"/>
          </w:rPr>
          <w:t xml:space="preserve">[3]</w:t>
        </w:r>
      </w:hyperlink>
      <w:r>
        <w:t xml:space="preserve">.</w:t>
      </w:r>
    </w:p>
    <w:bookmarkEnd w:id="137"/>
    <w:bookmarkStart w:id="138" w:name="X8139c37b4085b114afe8ddecf2c7073827bb9c1"/>
    <w:p>
      <w:pPr>
        <w:pStyle w:val="Heading2"/>
        <w:spacing w:line="480" w:lineRule="auto"/>
      </w:pPr>
      <w:r>
        <w:t xml:space="preserve">8.2 What the Two Specifications, Read Together, Established</w:t>
      </w:r>
    </w:p>
    <w:p>
      <w:pPr>
        <w:pStyle w:val="FirstParagraph"/>
        <w:spacing w:line="480" w:lineRule="auto"/>
      </w:pPr>
      <w:r>
        <w:t xml:space="preserve">The panel difference-in-differences specification, reported in the first companion paper, found that operator-pair-years governed by a dynamic spectrum sharing agreement record an interference margin at the geostationary earth station that is on the order of one decibel higher than otherwise comparable pair-years on the static International Telecommunication Union coordination baseline, conditional on constellation size, on the number of formally notified coordination agreements covering the pair, and on the geostationary incumbent emission spectral density. The coordination-agreement count carried a positive and significant coefficient in the same regression, consistent with the polycentric prediction that operational and treaty-layer rules compound rather than substitute, and the geometric pressure measure carried a small positive coefficient that pointed to disciplined off-axis emission control among the largest constellations rather than to a margin collapse. The result is a small but operationally meaningful gain at the order of magnitude that earth-station link budgets allocate to coordination margin in the Ku- and Ka-bands, and at the order of magnitude that operators trade against throughput in their commercial planning.</w:t>
      </w:r>
    </w:p>
    <w:p>
      <w:pPr>
        <w:pStyle w:val="BodyText"/>
        <w:spacing w:line="480" w:lineRule="auto"/>
        <w:ind w:firstLine="720"/>
      </w:pPr>
      <w:r>
        <w:t xml:space="preserve">Its companion, the cross-sectional ordinary-least-squares specification reported in the second paper, found something different and analytically informative. Once the operator-reported margin against the Article 22 equivalent power flux density hard limit is in the regression, the coordination-intensity index, coded ordinally against the Ostrom design principles in the manner of the orbital-debris audit</w:t>
      </w:r>
      <w:r>
        <w:t xml:space="preserve"> </w:t>
      </w:r>
      <w:hyperlink w:anchor="ref-3">
        <w:r>
          <w:rPr>
            <w:rStyle w:val="Hyperlink"/>
          </w:rPr>
          <w:t xml:space="preserve">[3]</w:t>
        </w:r>
      </w:hyperlink>
      <w:r>
        <w:t xml:space="preserve">[4], does not register a statistically significant additional reduction in aggregate co-channel interference at the geostationary earth station. The regulatory floor is the dominant driver in the cross-section, the geometric variable fails to reach significance once the regulatory variable is included, and the coordination-intensity coefficient is statistically indistinguishable from zero. The polycentric signal that the panel detects at the operator-pair-year level is absorbed at the link-budget level by the variable that the treaty discipline is written against.</w:t>
      </w:r>
    </w:p>
    <w:p>
      <w:pPr>
        <w:pStyle w:val="BodyText"/>
        <w:spacing w:line="480" w:lineRule="auto"/>
        <w:ind w:firstLine="720"/>
      </w:pPr>
      <w:r>
        <w:t xml:space="preserve">Read together, the two specifications do not contradict each other. They locate the polycentric effect at a particular layer of the regime. The dynamic adaptation that the prospectus argued the polycentric account should produce is detectable in the temporal variation around the entry into force of a coordination agreement and is not detectable in the static filed link budget once the legally binding Article 22 margin is included</w:t>
      </w:r>
      <w:r>
        <w:t xml:space="preserve"> </w:t>
      </w:r>
      <w:hyperlink w:anchor="ref-2">
        <w:r>
          <w:rPr>
            <w:rStyle w:val="Hyperlink"/>
          </w:rPr>
          <w:t xml:space="preserve">[2]</w:t>
        </w:r>
      </w:hyperlink>
      <w:r>
        <w:t xml:space="preserve">. This is the result that the prospectus framed as a possibility and that the second paper articulated as one of three readings: the link budget is the wrong layer at which to look for the polycentric mechanism, the equivalent power flux density margin is collinear with the coordination behavior that operators report on the same form, and the coordination-intensity index is too coarse to register the variation in coordination depth that matters at the static link-budget cut. The panel evidence carries the joint hypothesis. The cross-section refines what the polycentric thesis is, and is not, claiming.</w:t>
      </w:r>
    </w:p>
    <w:p>
      <w:pPr>
        <w:pStyle w:val="BodyText"/>
        <w:spacing w:line="480" w:lineRule="auto"/>
        <w:ind w:firstLine="720"/>
      </w:pPr>
      <w:r>
        <w:t xml:space="preserve">The interference half of the joint hypothesis is therefore supported on the layer at which the polycentric account predicted the signal would appear, and the throughput tolerance band, examined separately within the panel design and bounded by the pre-registered ten-percent specification of the prospectus, is not breached over the observed treated pair-years. The combined empirical finding is that a polycentrically governed dynamic spectrum sharing regime between non-geostationary and geostationary operators in the Ku- and Ka-bands does reduce aggregate co-channel interference at geostationary earth stations relative to the static-allocation baseline, and does so within the throughput tolerance band, on the panel under study. The null is rejected on the panel evidence; it is not rejected on the cross-section; and the asymmetry is itself a finding about where the polycentric mechanism operates.</w:t>
      </w:r>
    </w:p>
    <w:bookmarkEnd w:id="138"/>
    <w:bookmarkStart w:id="139" w:name="the-institutional-reading"/>
    <w:p>
      <w:pPr>
        <w:pStyle w:val="Heading2"/>
        <w:spacing w:line="480" w:lineRule="auto"/>
      </w:pPr>
      <w:r>
        <w:t xml:space="preserve">8.3 The Institutional Reading</w:t>
      </w:r>
    </w:p>
    <w:p>
      <w:pPr>
        <w:pStyle w:val="FirstParagraph"/>
        <w:spacing w:line="480" w:lineRule="auto"/>
      </w:pPr>
      <w:r>
        <w:t xml:space="preserve">The qualitative process-trace that joins the two quantitative specifications coded the treated operator pairings against the eight Ostrom design principles in the manner of the orbital-debris audit</w:t>
      </w:r>
      <w:r>
        <w:t xml:space="preserve"> </w:t>
      </w:r>
      <w:hyperlink w:anchor="ref-3">
        <w:r>
          <w:rPr>
            <w:rStyle w:val="Hyperlink"/>
          </w:rPr>
          <w:t xml:space="preserve">[3]</w:t>
        </w:r>
      </w:hyperlink>
      <w:r>
        <w:t xml:space="preserve">. Three institutional features were consistently present in the pairings that produced the panel-level interference gain: clear boundaries around the shared resource at the operator-pair-band level, monitoring that the operators themselves and the United States Federal Communications Commission share through the Schedule S filings, and graduated sanctions that travel through the International Telecommunication Union coordination machinery and through the bilateral side agreements that accompany it. Three were partially present: collective-choice arrangements that allow the pairing parties to revise the sharing protocol, conflict-resolution mechanisms that operate below the treaty layer, and recognition of the operators’ right to organize their coordination locally. Two were absent: nested enterprises that would link the operator-pair coordination to higher-tier governance in a structured way and congruence between the sharing rules and the local conditions in which the spectrum is actually used at any given moment. The polycentric account therefore survives the design-principle audit on the dimensions on which the orbital-debris literature has emphasized that it should survive</w:t>
      </w:r>
      <w:r>
        <w:t xml:space="preserve"> </w:t>
      </w:r>
      <w:hyperlink w:anchor="ref-3">
        <w:r>
          <w:rPr>
            <w:rStyle w:val="Hyperlink"/>
          </w:rPr>
          <w:t xml:space="preserve">[3]</w:t>
        </w:r>
      </w:hyperlink>
      <w:r>
        <w:t xml:space="preserve">, and falls short on the dimensions that the same literature has identified as the missing ingredients for a fully polycentric system. The empirical finding and the institutional reading converge: the dynamic spectrum sharing regime in the Ku- and Ka-bands is polycentric enough to register an interference gain and not polycentric enough to be the regime that the orbital-commons literature ultimately calls for</w:t>
      </w:r>
      <w:r>
        <w:t xml:space="preserve"> </w:t>
      </w:r>
      <w:hyperlink w:anchor="ref-3">
        <w:r>
          <w:rPr>
            <w:rStyle w:val="Hyperlink"/>
          </w:rPr>
          <w:t xml:space="preserve">[3]</w:t>
        </w:r>
      </w:hyperlink>
      <w:r>
        <w:t xml:space="preserve">[4][7].</w:t>
      </w:r>
    </w:p>
    <w:bookmarkEnd w:id="139"/>
    <w:bookmarkStart w:id="140" w:name="contribution-to-knowledge"/>
    <w:p>
      <w:pPr>
        <w:pStyle w:val="Heading2"/>
        <w:spacing w:line="480" w:lineRule="auto"/>
      </w:pPr>
      <w:r>
        <w:t xml:space="preserve">8.4 Contribution to Knowledge</w:t>
      </w:r>
    </w:p>
    <w:p>
      <w:pPr>
        <w:pStyle w:val="FirstParagraph"/>
        <w:spacing w:line="480" w:lineRule="auto"/>
      </w:pPr>
      <w:r>
        <w:t xml:space="preserve">The contribution of this dissertation is fourfold. First, it translates a body of commons-governance theory that has, until now, been applied to orbital debris and to scenario analyses of orbital futures</w:t>
      </w:r>
      <w:r>
        <w:t xml:space="preserve"> </w:t>
      </w:r>
      <w:hyperlink w:anchor="ref-3">
        <w:r>
          <w:rPr>
            <w:rStyle w:val="Hyperlink"/>
          </w:rPr>
          <w:t xml:space="preserve">[3]</w:t>
        </w:r>
      </w:hyperlink>
      <w:r>
        <w:t xml:space="preserve">[4] into a measurable hypothesis about spectrum sharing between non-geostationary and geostationary operators, with the dependent variables and the tolerance band specified in advance. The translation is the first of its kind in the empirical literature so far as the prospectus survey could establish, and it gives subsequent work a target to falsify rather than a metaphor to invoke.</w:t>
      </w:r>
    </w:p>
    <w:p>
      <w:pPr>
        <w:pStyle w:val="BodyText"/>
        <w:spacing w:line="480" w:lineRule="auto"/>
        <w:ind w:firstLine="720"/>
      </w:pPr>
      <w:r>
        <w:t xml:space="preserve">Second, the dissertation supplies a layered empirical design that other scholars can re-run. The panel difference-in-differences on operator-pair-year data and the cross-sectional ordinary-least-squares on operator-pair link budgets are not interchangeable, and the dissertation shows why they are not interchangeable. The panel detects the dynamic adaptation that the polycentric account predicts; the cross-section is dominated by the treaty-layer variable that the legal architecture is written against</w:t>
      </w:r>
      <w:r>
        <w:t xml:space="preserve"> </w:t>
      </w:r>
      <w:hyperlink w:anchor="ref-2">
        <w:r>
          <w:rPr>
            <w:rStyle w:val="Hyperlink"/>
          </w:rPr>
          <w:t xml:space="preserve">[2]</w:t>
        </w:r>
      </w:hyperlink>
      <w:r>
        <w:t xml:space="preserve">. Researchers studying analogous coexistence problems in other bands, in other orbital regimes, or in the cislunar communications environment that the orbital-commons literature has begun to anticipate</w:t>
      </w:r>
      <w:r>
        <w:t xml:space="preserve"> </w:t>
      </w:r>
      <w:hyperlink w:anchor="ref-4">
        <w:r>
          <w:rPr>
            <w:rStyle w:val="Hyperlink"/>
          </w:rPr>
          <w:t xml:space="preserve">[4]</w:t>
        </w:r>
      </w:hyperlink>
      <w:r>
        <w:t xml:space="preserve">[7][19] can carry the layered design to those settings with the layer assignment already worked out.</w:t>
      </w:r>
    </w:p>
    <w:p>
      <w:pPr>
        <w:pStyle w:val="BodyText"/>
        <w:spacing w:line="480" w:lineRule="auto"/>
        <w:ind w:firstLine="720"/>
      </w:pPr>
      <w:r>
        <w:t xml:space="preserve">Third, the dissertation contributes a coding instrument that operationalizes the eight Ostrom design principles for an operator-pair spectrum-sharing arrangement, calibrated against the orbital-debris audit instrument of Morin and Couette</w:t>
      </w:r>
      <w:r>
        <w:t xml:space="preserve"> </w:t>
      </w:r>
      <w:hyperlink w:anchor="ref-3">
        <w:r>
          <w:rPr>
            <w:rStyle w:val="Hyperlink"/>
          </w:rPr>
          <w:t xml:space="preserve">[3]</w:t>
        </w:r>
      </w:hyperlink>
      <w:r>
        <w:t xml:space="preserve">, and validated with intercoder reliability on a held-out subset of the agreements as the prospectus committed. The instrument is published with the dissertation and is portable to any future regime in which operator-level coordination layers beneath a treaty-layer discipline.</w:t>
      </w:r>
    </w:p>
    <w:p>
      <w:pPr>
        <w:pStyle w:val="BodyText"/>
        <w:spacing w:line="480" w:lineRule="auto"/>
        <w:ind w:firstLine="720"/>
      </w:pPr>
      <w:r>
        <w:t xml:space="preserve">Fourth, the dissertation contributes a regulatory finding that is independent of the polycentric thesis. The Article 22 equivalent power flux density margin is the binding constraint at the link-budget layer, and the coefficient on that variable in the cross-section is large, stable, and signed in the direction that the legal architecture intends</w:t>
      </w:r>
      <w:r>
        <w:t xml:space="preserve"> </w:t>
      </w:r>
      <w:hyperlink w:anchor="ref-2">
        <w:r>
          <w:rPr>
            <w:rStyle w:val="Hyperlink"/>
          </w:rPr>
          <w:t xml:space="preserve">[2]</w:t>
        </w:r>
      </w:hyperlink>
      <w:r>
        <w:t xml:space="preserve">. This is not a polycentric finding, but it is a finding that the polycentric literature on space has not had occasion to produce because that literature has not generally engaged with the radio-regulatory record at the empirical level</w:t>
      </w:r>
      <w:r>
        <w:t xml:space="preserve"> </w:t>
      </w:r>
      <w:hyperlink w:anchor="ref-3">
        <w:r>
          <w:rPr>
            <w:rStyle w:val="Hyperlink"/>
          </w:rPr>
          <w:t xml:space="preserve">[3]</w:t>
        </w:r>
      </w:hyperlink>
      <w:r>
        <w:t xml:space="preserve">[4]. It locates the limit at which the polycentric account adds explanatory power and the limit at which the treaty-layer instrument has already done the work the polycentric account would otherwise be asked to do. The two contributions together give regulators a defensible reading of which layer of the regime to leave to operator coordination and which layer to retain at the World Radiocommunication Conference cycle.</w:t>
      </w:r>
    </w:p>
    <w:p>
      <w:pPr>
        <w:pStyle w:val="BodyText"/>
        <w:spacing w:line="480" w:lineRule="auto"/>
        <w:ind w:firstLine="720"/>
      </w:pPr>
      <w:r>
        <w:t xml:space="preserve">The dissertation also speaks, indirectly, to the broader orbital-commons argument that the literature has developed alongside the polycentric one. The McKinsey and World Economic Forum framing of space sustainability as a developmental and security problem</w:t>
      </w:r>
      <w:r>
        <w:t xml:space="preserve"> </w:t>
      </w:r>
      <w:hyperlink w:anchor="ref-6">
        <w:r>
          <w:rPr>
            <w:rStyle w:val="Hyperlink"/>
          </w:rPr>
          <w:t xml:space="preserve">[6]</w:t>
        </w:r>
      </w:hyperlink>
      <w:r>
        <w:t xml:space="preserve">, the Stilwell account of orbital capacity</w:t>
      </w:r>
      <w:r>
        <w:t xml:space="preserve"> </w:t>
      </w:r>
      <w:hyperlink w:anchor="ref-7">
        <w:r>
          <w:rPr>
            <w:rStyle w:val="Hyperlink"/>
          </w:rPr>
          <w:t xml:space="preserve">[7]</w:t>
        </w:r>
      </w:hyperlink>
      <w:r>
        <w:t xml:space="preserve">, the Weinzierl economic-frontier reading that locates Pigouvian, Coasian, and Ostromian remedies on a continuous policy menu</w:t>
      </w:r>
      <w:r>
        <w:t xml:space="preserve"> </w:t>
      </w:r>
      <w:hyperlink w:anchor="ref-8">
        <w:r>
          <w:rPr>
            <w:rStyle w:val="Hyperlink"/>
          </w:rPr>
          <w:t xml:space="preserve">[8]</w:t>
        </w:r>
      </w:hyperlink>
      <w:r>
        <w:t xml:space="preserve">, and the discourse-network analysis of the emerging socio-technical regime for tackling space debris</w:t>
      </w:r>
      <w:r>
        <w:t xml:space="preserve"> </w:t>
      </w:r>
      <w:hyperlink w:anchor="ref-22">
        <w:r>
          <w:rPr>
            <w:rStyle w:val="Hyperlink"/>
          </w:rPr>
          <w:t xml:space="preserve">[22]</w:t>
        </w:r>
      </w:hyperlink>
      <w:r>
        <w:t xml:space="preserve"> </w:t>
      </w:r>
      <w:r>
        <w:t xml:space="preserve">all converge on the claim that operator-level governance is doing work that treaty-level governance cannot do on its own. The dissertation provides an empirical instance of that claim at the spectrum layer and constrains where the claim should and should not be made.</w:t>
      </w:r>
    </w:p>
    <w:bookmarkEnd w:id="140"/>
    <w:bookmarkStart w:id="141" w:name="limits-and-the-work-that-follows"/>
    <w:p>
      <w:pPr>
        <w:pStyle w:val="Heading2"/>
        <w:spacing w:line="480" w:lineRule="auto"/>
      </w:pPr>
      <w:r>
        <w:t xml:space="preserve">8.5 Limits and the Work That Follows</w:t>
      </w:r>
    </w:p>
    <w:p>
      <w:pPr>
        <w:pStyle w:val="FirstParagraph"/>
        <w:spacing w:line="480" w:lineRule="auto"/>
      </w:pPr>
      <w:r>
        <w:t xml:space="preserve">Three limits constrain the contribution. First, the panel covers thirty-six operator-pair-years across nine pairings in 2020 through 2023, and the result is an upper bound on the average treatment effect because selection into dynamic spectrum sharing coordination is not random and the pairings that consummate agreements may be the pairings with lower latent interference exposure. The companion paper carries that caveat explicitly and bounds the bias with the event-study specification and the placebo on announced-but-unconsummated pairs that the prospectus committed to. Second, the cross-section is twenty-eight operator-band pairings, and the null on coordination intensity is partially attributable to the collinearity of the coordination behavior with the equivalent power flux density margin that operators file on the same form. A future cross-section that decomposes the coordination index into its operational components, in the manner that the design-principle audit suggests, may yet recover the polycentric signal at the link-budget layer. Third, the throughput tolerance band is sensitive to traffic mix and to terminal class, and although the pre-registered specification fixed both before estimation, the band is the empirical instrument that future work in other bands and other geometries will have to recalibrate.</w:t>
      </w:r>
    </w:p>
    <w:p>
      <w:pPr>
        <w:pStyle w:val="BodyText"/>
        <w:spacing w:line="480" w:lineRule="auto"/>
        <w:ind w:firstLine="720"/>
      </w:pPr>
      <w:r>
        <w:t xml:space="preserve">The work that follows from this dissertation has three branches. The first is replication in the V-band and in the inter-satellite-link spectrum that the next World Radiocommunication Conference cycle is poised to take up, which would test whether the layer assignment recovered here generalizes across bands. The second is extension to the cislunar communications environment that the orbital-commons literature has begun to anticipate</w:t>
      </w:r>
      <w:r>
        <w:t xml:space="preserve"> </w:t>
      </w:r>
      <w:hyperlink w:anchor="ref-4">
        <w:r>
          <w:rPr>
            <w:rStyle w:val="Hyperlink"/>
          </w:rPr>
          <w:t xml:space="preserve">[4]</w:t>
        </w:r>
      </w:hyperlink>
      <w:r>
        <w:t xml:space="preserve">[7][19], where the geometric assumptions of the present design break down and where the polycentric account will have to do work without the equivalent power flux density discipline that the geocentric environment supplies. The third is the institutional-design branch, in which the design-principle audit instrument is used to advise operators and regulators on which of the missing ingredients</w:t>
      </w:r>
      <w:r>
        <w:t xml:space="preserve"> </w:t>
      </w:r>
      <w:hyperlink w:anchor="ref-3">
        <w:r>
          <w:rPr>
            <w:rStyle w:val="Hyperlink"/>
          </w:rPr>
          <w:t xml:space="preserve">[3]</w:t>
        </w:r>
      </w:hyperlink>
      <w:r>
        <w:t xml:space="preserve"> </w:t>
      </w:r>
      <w:r>
        <w:t xml:space="preserve">can be supplied without revisiting the treaty layer and which cannot. The orbital-commons literature has consistently held that the latter category exists and that nested enterprises are likely to fall into it</w:t>
      </w:r>
      <w:r>
        <w:t xml:space="preserve"> </w:t>
      </w:r>
      <w:hyperlink w:anchor="ref-3">
        <w:r>
          <w:rPr>
            <w:rStyle w:val="Hyperlink"/>
          </w:rPr>
          <w:t xml:space="preserve">[3]</w:t>
        </w:r>
      </w:hyperlink>
      <w:r>
        <w:t xml:space="preserve">[4]. The empirical finding here is consistent with that prediction.</w:t>
      </w:r>
    </w:p>
    <w:bookmarkEnd w:id="141"/>
    <w:bookmarkStart w:id="142" w:name="closing-statement"/>
    <w:p>
      <w:pPr>
        <w:pStyle w:val="Heading2"/>
        <w:spacing w:line="480" w:lineRule="auto"/>
      </w:pPr>
      <w:r>
        <w:t xml:space="preserve">8.6 Closing Statement</w:t>
      </w:r>
    </w:p>
    <w:p>
      <w:pPr>
        <w:pStyle w:val="FirstParagraph"/>
        <w:spacing w:line="480" w:lineRule="auto"/>
      </w:pPr>
      <w:r>
        <w:t xml:space="preserve">The polycentric spectrum commons is neither a metaphor nor a finished regime. It is an operational layer that has emerged beneath the treaty layer of the International Telecommunication Union Radio Regulations</w:t>
      </w:r>
      <w:r>
        <w:t xml:space="preserve"> </w:t>
      </w:r>
      <w:hyperlink w:anchor="ref-2">
        <w:r>
          <w:rPr>
            <w:rStyle w:val="Hyperlink"/>
          </w:rPr>
          <w:t xml:space="preserve">[2]</w:t>
        </w:r>
      </w:hyperlink>
      <w:r>
        <w:t xml:space="preserve">, that produces a measurable interference gain at the geostationary earth station when it is allowed to operate, that respects the throughput tolerance within which the non-geostationary build-out can be commercially sustained, and that falls short of the polycentric ideal on the institutional dimensions that the orbital-commons literature has identified as the most difficult to supply</w:t>
      </w:r>
      <w:r>
        <w:t xml:space="preserve"> </w:t>
      </w:r>
      <w:hyperlink w:anchor="ref-3">
        <w:r>
          <w:rPr>
            <w:rStyle w:val="Hyperlink"/>
          </w:rPr>
          <w:t xml:space="preserve">[3]</w:t>
        </w:r>
      </w:hyperlink>
      <w:r>
        <w:t xml:space="preserve">[4]. The contribution of this dissertation is to have stated the joint hypothesis precisely, tested it with the layered design that the joint hypothesis required, and reported a result whose asymmetry across the layers of the regime is itself an account of where the polycentric mechanism is doing work and where the treaty-layer discipline has already done the work that the polycentric mechanism would otherwise be asked to do. The static partition was the right regime for a sparse geostationary environment. It is no longer the only feasible regime, and the empirical record of the operator-level coordination that has begun to layer beneath it suggests that a polycentric reading of the spectrum commons is, on the evidence assembled here, a usable basis for the next cycle of regulatory and operational design</w:t>
      </w:r>
      <w:r>
        <w:t xml:space="preserve"> </w:t>
      </w:r>
      <w:hyperlink w:anchor="ref-3">
        <w:r>
          <w:rPr>
            <w:rStyle w:val="Hyperlink"/>
          </w:rPr>
          <w:t xml:space="preserve">[3]</w:t>
        </w:r>
      </w:hyperlink>
      <w:r>
        <w:t xml:space="preserve">[4][7][8].</w:t>
      </w:r>
    </w:p>
    <w:bookmarkEnd w:id="142"/>
    <w:bookmarkStart w:id="178" w:name="references"/>
    <w:p>
      <w:pPr>
        <w:pStyle w:val="Heading2"/>
        <w:spacing w:line="480" w:lineRule="auto"/>
      </w:pPr>
      <w:r>
        <w:t xml:space="preserve">References</w:t>
      </w:r>
    </w:p>
    <w:p>
      <w:pPr>
        <w:pStyle w:val="FirstParagraph"/>
        <w:spacing w:line="480" w:lineRule="auto"/>
      </w:pPr>
      <w:bookmarkStart w:id="143" w:name="ref-1"/>
      <w:bookmarkEnd w:id="143"/>
      <w:r>
        <w:t xml:space="preserve">1. M. Young and A. Thadani,</w:t>
      </w:r>
      <w:r>
        <w:t xml:space="preserve"> </w:t>
      </w:r>
      <w:r>
        <w:t xml:space="preserve">“Low-Orbit, High Stakes: Winning the LEO Broadband Competition,”</w:t>
      </w:r>
      <w:r>
        <w:t xml:space="preserve"> </w:t>
      </w:r>
      <w:r>
        <w:t xml:space="preserve">Proc. Advanced Maui Optical and Space Surveillance Technologies (AMOS) Conference, 2022. https://amostech.space/year/2022/low-orbit-high-stakes-winning-the-leo-broadband-competition/</w:t>
      </w:r>
    </w:p>
    <w:p>
      <w:pPr>
        <w:pStyle w:val="BodyText"/>
        <w:spacing w:line="480" w:lineRule="auto"/>
        <w:ind w:firstLine="720"/>
      </w:pPr>
      <w:bookmarkStart w:id="144" w:name="ref-2"/>
      <w:bookmarkEnd w:id="144"/>
      <w:r>
        <w:t xml:space="preserve">2. A. Allison,</w:t>
      </w:r>
      <w:r>
        <w:t xml:space="preserve"> </w:t>
      </w:r>
      <w:r>
        <w:t xml:space="preserve">“WRC-19: New Space Law Enabling the Sustainability of LEO,”</w:t>
      </w:r>
      <w:r>
        <w:t xml:space="preserve"> </w:t>
      </w:r>
      <w:r>
        <w:t xml:space="preserve">Proc. Advanced Maui Optical and Space Surveillance Technologies (AMOS) Conference, 2020. https://amostech.space/year/2020/wrc-19-new-space-law-enabling-the-sustainability-of-leo/</w:t>
      </w:r>
    </w:p>
    <w:p>
      <w:pPr>
        <w:pStyle w:val="BodyText"/>
        <w:spacing w:line="480" w:lineRule="auto"/>
        <w:ind w:firstLine="720"/>
      </w:pPr>
      <w:bookmarkStart w:id="145" w:name="ref-3"/>
      <w:bookmarkEnd w:id="145"/>
      <w:r>
        <w:t xml:space="preserve">3. J.-F. Morin and C. Couette,</w:t>
      </w:r>
      <w:r>
        <w:t xml:space="preserve"> </w:t>
      </w:r>
      <w:r>
        <w:t xml:space="preserve">“The Missing Ingredients for a Polycentric Governance System of Orbital Debris,”</w:t>
      </w:r>
      <w:r>
        <w:t xml:space="preserve"> </w:t>
      </w:r>
      <w:r>
        <w:t xml:space="preserve">Global Environmental Politics, 2025. doi: https://doi.org/10.1162/glep_a_00775</w:t>
      </w:r>
    </w:p>
    <w:p>
      <w:pPr>
        <w:pStyle w:val="BodyText"/>
        <w:spacing w:line="480" w:lineRule="auto"/>
        <w:ind w:firstLine="720"/>
      </w:pPr>
      <w:bookmarkStart w:id="146" w:name="ref-4"/>
      <w:bookmarkEnd w:id="146"/>
      <w:r>
        <w:t xml:space="preserve">4. X.-S. Yap, M. A. Janssen, T. Aganaba, and R. Tutton,</w:t>
      </w:r>
      <w:r>
        <w:t xml:space="preserve"> </w:t>
      </w:r>
      <w:r>
        <w:t xml:space="preserve">“Four Alternative Scenarios of Commons in Space: Prospects and Challenges,”</w:t>
      </w:r>
      <w:r>
        <w:t xml:space="preserve"> </w:t>
      </w:r>
      <w:r>
        <w:t xml:space="preserve">International Journal of the Commons, 2023. doi: https://doi.org/10.5334/ijc.1272</w:t>
      </w:r>
    </w:p>
    <w:p>
      <w:pPr>
        <w:pStyle w:val="BodyText"/>
        <w:spacing w:line="480" w:lineRule="auto"/>
        <w:ind w:firstLine="720"/>
      </w:pPr>
      <w:bookmarkStart w:id="147" w:name="ref-5"/>
      <w:bookmarkEnd w:id="147"/>
      <w:r>
        <w:t xml:space="preserve">5. M. A. Skinner, T. M. Kelecy, S. A. Gregory, J. P. Toth, D. Liang, D. Yamanaka, S. Kent, R. Tjoelker, D. Margineantu, A. L. Allison, and C. Heiberg,</w:t>
      </w:r>
      <w:r>
        <w:t xml:space="preserve"> </w:t>
      </w:r>
      <w:r>
        <w:t xml:space="preserve">“Commercial Space Situational Awareness: An Investigation of Ground-Based SSA Concepts to Support Commercial GEO Satellite Operators,”</w:t>
      </w:r>
      <w:r>
        <w:t xml:space="preserve"> </w:t>
      </w:r>
      <w:r>
        <w:t xml:space="preserve">Proc. Advanced Maui Optical and Space Surveillance Technologies (AMOS) Conference, 2013. https://amostech.space/year/2013/commercial-space-situational-awareness-an-investigation-of-ground-based-ssa-concepts-to-support-commercial-geo-satellite-operators/</w:t>
      </w:r>
    </w:p>
    <w:p>
      <w:pPr>
        <w:pStyle w:val="BodyText"/>
        <w:spacing w:line="480" w:lineRule="auto"/>
        <w:ind w:firstLine="720"/>
      </w:pPr>
      <w:bookmarkStart w:id="148" w:name="ref-6"/>
      <w:bookmarkEnd w:id="148"/>
      <w:r>
        <w:t xml:space="preserve">6. McKinsey and World Economic Forum,</w:t>
      </w:r>
      <w:r>
        <w:t xml:space="preserve"> </w:t>
      </w:r>
      <w:r>
        <w:t xml:space="preserve">“The Role of Space in Driving Sustainability, Security, and Development,”</w:t>
      </w:r>
      <w:r>
        <w:t xml:space="preserve"> </w:t>
      </w:r>
      <w:r>
        <w:t xml:space="preserve">2022. (Space Economy Papers corpus, SD13.)</w:t>
      </w:r>
    </w:p>
    <w:p>
      <w:pPr>
        <w:pStyle w:val="BodyText"/>
        <w:spacing w:line="480" w:lineRule="auto"/>
        <w:ind w:firstLine="720"/>
      </w:pPr>
      <w:bookmarkStart w:id="149" w:name="ref-7"/>
      <w:bookmarkEnd w:id="149"/>
      <w:r>
        <w:t xml:space="preserve">7. D. Stilwell et al.,</w:t>
      </w:r>
      <w:r>
        <w:t xml:space="preserve"> </w:t>
      </w:r>
      <w:r>
        <w:t xml:space="preserve">“Orbital Capacity,”</w:t>
      </w:r>
      <w:r>
        <w:t xml:space="preserve"> </w:t>
      </w:r>
      <w:r>
        <w:t xml:space="preserve">Proc. International Astronautical Congress, 2024. (Space Economy Papers corpus, SD01.)</w:t>
      </w:r>
    </w:p>
    <w:p>
      <w:pPr>
        <w:pStyle w:val="BodyText"/>
        <w:spacing w:line="480" w:lineRule="auto"/>
        <w:ind w:firstLine="720"/>
      </w:pPr>
      <w:bookmarkStart w:id="150" w:name="ref-8"/>
      <w:bookmarkEnd w:id="150"/>
      <w:r>
        <w:t xml:space="preserve">8. M. Weinzierl,</w:t>
      </w:r>
      <w:r>
        <w:t xml:space="preserve"> </w:t>
      </w:r>
      <w:r>
        <w:t xml:space="preserve">“Space, the Final Economic Frontier,”</w:t>
      </w:r>
      <w:r>
        <w:t xml:space="preserve"> </w:t>
      </w:r>
      <w:r>
        <w:t xml:space="preserve">Journal of Economic Perspectives, 2018. (Space Economy Papers corpus, SD18.)</w:t>
      </w:r>
    </w:p>
    <w:p>
      <w:pPr>
        <w:pStyle w:val="BodyText"/>
        <w:spacing w:line="480" w:lineRule="auto"/>
        <w:ind w:firstLine="720"/>
      </w:pPr>
      <w:bookmarkStart w:id="151" w:name="ref-9"/>
      <w:bookmarkEnd w:id="151"/>
      <w:r>
        <w:t xml:space="preserve">9. C. Varughese, L. Henry, A. B. Morris, S. Bickerton, N. J. Rattenbury, C. Mankelow, A. Gorman, S. Katavich-Barton, and P. Dhopade, The intersection of space and sustainability: The need for a transdisciplinary and bi-cultural approach, Acta Astronautica, 2023. doi:</w:t>
      </w:r>
      <w:r>
        <w:t xml:space="preserve"> </w:t>
      </w:r>
      <w:hyperlink r:id="rId152">
        <w:r>
          <w:rPr>
            <w:rStyle w:val="Hyperlink"/>
          </w:rPr>
          <w:t xml:space="preserve">10.1016/j.actaastro.2023.07.009</w:t>
        </w:r>
      </w:hyperlink>
    </w:p>
    <w:p>
      <w:pPr>
        <w:pStyle w:val="BodyText"/>
        <w:spacing w:line="480" w:lineRule="auto"/>
        <w:ind w:firstLine="720"/>
      </w:pPr>
      <w:bookmarkStart w:id="153" w:name="ref-10"/>
      <w:bookmarkEnd w:id="153"/>
      <w:r>
        <w:t xml:space="preserve">10. Audrey Allison, Boeing. WRC-19: New Space Law Enabling the Sustainability of LEO (2020).</w:t>
      </w:r>
    </w:p>
    <w:p>
      <w:pPr>
        <w:pStyle w:val="BodyText"/>
        <w:spacing w:line="480" w:lineRule="auto"/>
        <w:ind w:firstLine="720"/>
      </w:pPr>
      <w:bookmarkStart w:id="154" w:name="ref-11"/>
      <w:bookmarkEnd w:id="154"/>
      <w:r>
        <w:t xml:space="preserve">11. Harvey Reed, MITRE; Nathaniel Dailey, MITRE; Ruth Stilwell, Aerospace Policy Solutions, LLC; Brian Weeden, Secure World Foundation. Decentralized Space Information Sharing as a Key Enabler of Trust and the Preservation of Space (2021).</w:t>
      </w:r>
    </w:p>
    <w:p>
      <w:pPr>
        <w:pStyle w:val="BodyText"/>
        <w:spacing w:line="480" w:lineRule="auto"/>
        <w:ind w:firstLine="720"/>
      </w:pPr>
      <w:bookmarkStart w:id="155" w:name="ref-12"/>
      <w:bookmarkEnd w:id="155"/>
      <w:r>
        <w:t xml:space="preserve">12. Artem Mokhnatkin, Keldysh Institute of Applied Mathematics. Possible Ways Forward for the ISON Initiative and Similar Projects. A Consortium for Decentralized Sharing of SSA Data (2023). doi:</w:t>
      </w:r>
      <w:r>
        <w:t xml:space="preserve"> </w:t>
      </w:r>
      <w:hyperlink r:id="rId156">
        <w:r>
          <w:rPr>
            <w:rStyle w:val="Hyperlink"/>
          </w:rPr>
          <w:t xml:space="preserve">10.64861/DDNM3393</w:t>
        </w:r>
      </w:hyperlink>
    </w:p>
    <w:p>
      <w:pPr>
        <w:pStyle w:val="BodyText"/>
        <w:spacing w:line="480" w:lineRule="auto"/>
        <w:ind w:firstLine="720"/>
      </w:pPr>
      <w:bookmarkStart w:id="157" w:name="ref-13"/>
      <w:bookmarkEnd w:id="157"/>
      <w:r>
        <w:t xml:space="preserve">13. Rina Zhang, Science and Technology Policy Institute; Asha Balakrishnan, Science and Technology Policy Institute. From Ozone Depletion to Orbital Debris: Lessons Learned from the Montreal Protocol (2022).</w:t>
      </w:r>
    </w:p>
    <w:p>
      <w:pPr>
        <w:pStyle w:val="BodyText"/>
        <w:spacing w:line="480" w:lineRule="auto"/>
        <w:ind w:firstLine="720"/>
      </w:pPr>
      <w:bookmarkStart w:id="158" w:name="ref-14"/>
      <w:bookmarkEnd w:id="158"/>
      <w:r>
        <w:t xml:space="preserve">14. Nathaniel Dailey, The MITRE Corporation; Kevin Toner, The MITRE Corporation; Dennis Murphy, Georgia Institute of Technology, Sam Nunn School of International Affairs. Employing a Shared Space Information Sharing Ecosystem as a Mechanism for Promoting Constructive U.S. China Space Relations (2022).</w:t>
      </w:r>
    </w:p>
    <w:p>
      <w:pPr>
        <w:pStyle w:val="BodyText"/>
        <w:spacing w:line="480" w:lineRule="auto"/>
        <w:ind w:firstLine="720"/>
      </w:pPr>
      <w:bookmarkStart w:id="159" w:name="ref-15"/>
      <w:bookmarkEnd w:id="159"/>
      <w:r>
        <w:t xml:space="preserve">15. Harvey Reed, The MITRE Corporation; Ruth Stilwell, Aerospace Policy Solutions, LLC; Brian Weeden, Secure World Foundation; Nathaniel Dailey, The MITRE Corporation; Nick Tsamis, The MITRE Corporation. Sharing Operational Risk Information in the Space Domain to Facilitate Norms Development and Compliance Monitoring (2022).</w:t>
      </w:r>
    </w:p>
    <w:p>
      <w:pPr>
        <w:pStyle w:val="BodyText"/>
        <w:spacing w:line="480" w:lineRule="auto"/>
        <w:ind w:firstLine="720"/>
      </w:pPr>
      <w:bookmarkStart w:id="160" w:name="ref-16"/>
      <w:bookmarkEnd w:id="160"/>
      <w:r>
        <w:t xml:space="preserve">16.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w:t>
      </w:r>
    </w:p>
    <w:p>
      <w:pPr>
        <w:pStyle w:val="BodyText"/>
        <w:spacing w:line="480" w:lineRule="auto"/>
        <w:ind w:firstLine="720"/>
      </w:pPr>
      <w:bookmarkStart w:id="161" w:name="ref-17"/>
      <w:bookmarkEnd w:id="161"/>
      <w:r>
        <w:t xml:space="preserve">17. Valentina Zancan; Alessandro Paravano; Giorgio Locatelli; Paolo Trucco. Evolving governance in the space sector: From Legacy Space to New Space models (2024). doi:</w:t>
      </w:r>
      <w:r>
        <w:t xml:space="preserve"> </w:t>
      </w:r>
      <w:hyperlink r:id="rId162">
        <w:r>
          <w:rPr>
            <w:rStyle w:val="Hyperlink"/>
          </w:rPr>
          <w:t xml:space="preserve">10.1016/j.actaastro.2024.09.005</w:t>
        </w:r>
      </w:hyperlink>
    </w:p>
    <w:p>
      <w:pPr>
        <w:pStyle w:val="BodyText"/>
        <w:spacing w:line="480" w:lineRule="auto"/>
        <w:ind w:firstLine="720"/>
      </w:pPr>
      <w:bookmarkStart w:id="163" w:name="ref-18"/>
      <w:bookmarkEnd w:id="163"/>
      <w:r>
        <w:t xml:space="preserve">18. D Stanley; Robyn Woollands. Shared gravity approximations for satellite constellations (2025). doi:</w:t>
      </w:r>
      <w:r>
        <w:t xml:space="preserve"> </w:t>
      </w:r>
      <w:hyperlink r:id="rId164">
        <w:r>
          <w:rPr>
            <w:rStyle w:val="Hyperlink"/>
          </w:rPr>
          <w:t xml:space="preserve">10.1016/j.actaastro.2025.12.034</w:t>
        </w:r>
      </w:hyperlink>
    </w:p>
    <w:p>
      <w:pPr>
        <w:pStyle w:val="BodyText"/>
        <w:spacing w:line="480" w:lineRule="auto"/>
        <w:ind w:firstLine="720"/>
      </w:pPr>
      <w:bookmarkStart w:id="165" w:name="ref-19"/>
      <w:bookmarkEnd w:id="165"/>
      <w:r>
        <w:t xml:space="preserve">19. Elena Cirkovic; Danielle Wood. “Integrating planetary boundaries into sustainable space exploration: An earth-outer space system design framework” (2024). doi:</w:t>
      </w:r>
      <w:r>
        <w:t xml:space="preserve"> </w:t>
      </w:r>
      <w:hyperlink r:id="rId166">
        <w:r>
          <w:rPr>
            <w:rStyle w:val="Hyperlink"/>
          </w:rPr>
          <w:t xml:space="preserve">10.1016/j.actaastro.2024.12.037</w:t>
        </w:r>
      </w:hyperlink>
    </w:p>
    <w:p>
      <w:pPr>
        <w:pStyle w:val="BodyText"/>
        <w:spacing w:line="480" w:lineRule="auto"/>
        <w:ind w:firstLine="720"/>
      </w:pPr>
      <w:bookmarkStart w:id="167" w:name="ref-20"/>
      <w:bookmarkEnd w:id="167"/>
      <w:r>
        <w:t xml:space="preserve">20. Claudio Campana; Francesco Topputo. Ephemeris refinement of low-energy Earth–Moon transfers via an astrodynamic model chain (2025). doi:</w:t>
      </w:r>
      <w:r>
        <w:t xml:space="preserve"> </w:t>
      </w:r>
      <w:hyperlink r:id="rId168">
        <w:r>
          <w:rPr>
            <w:rStyle w:val="Hyperlink"/>
          </w:rPr>
          <w:t xml:space="preserve">10.1016/j.actaastro.2025.03.010</w:t>
        </w:r>
      </w:hyperlink>
    </w:p>
    <w:p>
      <w:pPr>
        <w:pStyle w:val="BodyText"/>
        <w:spacing w:line="480" w:lineRule="auto"/>
        <w:ind w:firstLine="720"/>
      </w:pPr>
      <w:bookmarkStart w:id="169" w:name="ref-21"/>
      <w:bookmarkEnd w:id="169"/>
      <w:r>
        <w:t xml:space="preserve">21. Joshua F. Anderson; Michel‐Alexandre Cardin; Paul T. Grogan. Design and analysis of flexible multi-layer staged deployment for satellite mega-constellations under demand uncertainty (2022). doi:</w:t>
      </w:r>
      <w:r>
        <w:t xml:space="preserve"> </w:t>
      </w:r>
      <w:hyperlink r:id="rId170">
        <w:r>
          <w:rPr>
            <w:rStyle w:val="Hyperlink"/>
          </w:rPr>
          <w:t xml:space="preserve">10.1016/j.actaastro.2022.05.022</w:t>
        </w:r>
      </w:hyperlink>
    </w:p>
    <w:p>
      <w:pPr>
        <w:pStyle w:val="BodyText"/>
        <w:spacing w:line="480" w:lineRule="auto"/>
        <w:ind w:firstLine="720"/>
      </w:pPr>
      <w:bookmarkStart w:id="171" w:name="ref-22"/>
      <w:bookmarkEnd w:id="171"/>
      <w:r>
        <w:t xml:space="preserve">22. Xiao-Shan Yap; Jonas Heiberg; Bernhard Truffer. The emerging global socio-technical regime for tackling space debris: A discourse network analysis (2023). doi:</w:t>
      </w:r>
      <w:r>
        <w:t xml:space="preserve"> </w:t>
      </w:r>
      <w:hyperlink r:id="rId172">
        <w:r>
          <w:rPr>
            <w:rStyle w:val="Hyperlink"/>
          </w:rPr>
          <w:t xml:space="preserve">10.1016/j.actaastro.2023.01.016</w:t>
        </w:r>
      </w:hyperlink>
    </w:p>
    <w:p>
      <w:pPr>
        <w:pStyle w:val="BodyText"/>
        <w:spacing w:line="480" w:lineRule="auto"/>
        <w:ind w:firstLine="720"/>
      </w:pPr>
      <w:bookmarkStart w:id="173" w:name="ref-23"/>
      <w:bookmarkEnd w:id="173"/>
      <w:r>
        <w:t xml:space="preserve">23. Irmgard Marboe. ‘Sub-orbital activities’ – the application of ‘international law’ in the twilight between air and space law (2025). doi:</w:t>
      </w:r>
      <w:r>
        <w:t xml:space="preserve"> </w:t>
      </w:r>
      <w:hyperlink r:id="rId174">
        <w:r>
          <w:rPr>
            <w:rStyle w:val="Hyperlink"/>
          </w:rPr>
          <w:t xml:space="preserve">10.1016/j.actaastro.2025.05.037</w:t>
        </w:r>
      </w:hyperlink>
    </w:p>
    <w:p>
      <w:pPr>
        <w:pStyle w:val="BodyText"/>
        <w:spacing w:line="480" w:lineRule="auto"/>
        <w:ind w:firstLine="720"/>
      </w:pPr>
      <w:bookmarkStart w:id="175" w:name="ref-24"/>
      <w:bookmarkEnd w:id="175"/>
      <w:r>
        <w:t xml:space="preserve">24. George Profitiliotis. Enrichment of the driving metanarratives shared between SETI and space sustainability through a multispecies lens (2025). doi:</w:t>
      </w:r>
      <w:r>
        <w:t xml:space="preserve"> </w:t>
      </w:r>
      <w:hyperlink r:id="rId176">
        <w:r>
          <w:rPr>
            <w:rStyle w:val="Hyperlink"/>
          </w:rPr>
          <w:t xml:space="preserve">10.1016/j.actaastro.2025.11.069</w:t>
        </w:r>
      </w:hyperlink>
    </w:p>
    <w:p>
      <w:pPr>
        <w:pStyle w:val="BodyText"/>
        <w:spacing w:line="480" w:lineRule="auto"/>
        <w:ind w:firstLine="720"/>
      </w:pPr>
      <w:bookmarkStart w:id="177" w:name="ref-25"/>
      <w:bookmarkEnd w:id="177"/>
      <w:r>
        <w:t xml:space="preserve">25. n.a.. The Space Imperative (Whole-of-Nation) (n.d.).</w:t>
      </w:r>
    </w:p>
    <w:bookmarkEnd w:id="178"/>
    <w:bookmarkEnd w:id="179"/>
    <w:bookmarkStart w:id="19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7" w:name="Xbad0c49a24caaf035f00c178318ee34ef18de7f"/>
    <w:p>
      <w:pPr>
        <w:pStyle w:val="Heading2"/>
        <w:spacing w:line="480" w:lineRule="auto"/>
      </w:pPr>
      <w:r>
        <w:t xml:space="preserve">A.1 Dynamic Spectrum Sharing and the GSO Interference Margin: Panel Fixed-Effects Evidence from NGSO-GSO Operator Pairs in Ku- and Ka-Bands, 2020-2023</w:t>
      </w:r>
    </w:p>
    <w:p>
      <w:pPr>
        <w:pStyle w:val="FirstParagraph"/>
        <w:spacing w:line="480" w:lineRule="auto"/>
      </w:pPr>
      <m:oMathPara>
        <m:oMathParaPr>
          <m:jc m:val="center"/>
        </m:oMathParaPr>
        <m:oMath>
          <m:sSub>
            <m:e>
              <m:r>
                <m:t>M</m:t>
              </m:r>
            </m:e>
            <m:sub>
              <m:r>
                <m:t>i</m:t>
              </m:r>
              <m:r>
                <m:t>t</m:t>
              </m:r>
            </m:sub>
          </m:sSub>
          <m:r>
            <m:rPr>
              <m:sty m:val="p"/>
            </m:rPr>
            <m:t>=</m:t>
          </m:r>
          <m:sSub>
            <m:e>
              <m:r>
                <m:t>β</m:t>
              </m:r>
            </m:e>
            <m:sub>
              <m:r>
                <m:t>0</m:t>
              </m:r>
            </m:sub>
          </m:sSub>
          <m:r>
            <m:rPr>
              <m:sty m:val="p"/>
            </m:rPr>
            <m:t>+</m:t>
          </m:r>
          <m:sSub>
            <m:e>
              <m:r>
                <m:t>β</m:t>
              </m:r>
            </m:e>
            <m:sub>
              <m:r>
                <m:t>1</m:t>
              </m:r>
            </m:sub>
          </m:sSub>
          <m:r>
            <m:t>D</m:t>
          </m:r>
          <m:r>
            <m:t>S</m:t>
          </m:r>
          <m:sSub>
            <m:e>
              <m:r>
                <m:t>S</m:t>
              </m:r>
            </m:e>
            <m:sub>
              <m:r>
                <m:t>i</m:t>
              </m:r>
              <m:r>
                <m:t>t</m:t>
              </m:r>
            </m:sub>
          </m:sSub>
          <m:r>
            <m:rPr>
              <m:sty m:val="p"/>
            </m:rPr>
            <m:t>+</m:t>
          </m:r>
          <m:sSub>
            <m:e>
              <m:r>
                <m:t>β</m:t>
              </m:r>
            </m:e>
            <m:sub>
              <m:r>
                <m:t>2</m:t>
              </m:r>
            </m:sub>
          </m:sSub>
          <m:r>
            <m:rPr>
              <m:sty m:val="p"/>
            </m:rPr>
            <m:t>log</m:t>
          </m:r>
          <m:r>
            <m:rPr>
              <m:sty m:val="p"/>
            </m:rPr>
            <m:t>(</m:t>
          </m:r>
          <m:sSub>
            <m:e>
              <m:r>
                <m:t>N</m:t>
              </m:r>
            </m:e>
            <m:sub>
              <m:r>
                <m:t>i</m:t>
              </m:r>
              <m:r>
                <m:t>t</m:t>
              </m:r>
            </m:sub>
          </m:sSub>
          <m:r>
            <m:rPr>
              <m:sty m:val="p"/>
            </m:rPr>
            <m:t>+</m:t>
          </m:r>
          <m:r>
            <m:t>1</m:t>
          </m:r>
          <m:r>
            <m:rPr>
              <m:sty m:val="p"/>
            </m:rPr>
            <m:t>)</m:t>
          </m:r>
          <m:r>
            <m:rPr>
              <m:sty m:val="p"/>
            </m:rPr>
            <m:t>+</m:t>
          </m:r>
          <m:sSub>
            <m:e>
              <m:r>
                <m:t>β</m:t>
              </m:r>
            </m:e>
            <m:sub>
              <m:r>
                <m:t>3</m:t>
              </m:r>
            </m:sub>
          </m:sSub>
          <m:sSub>
            <m:e>
              <m:r>
                <m:t>C</m:t>
              </m:r>
            </m:e>
            <m:sub>
              <m:r>
                <m:t>i</m:t>
              </m:r>
              <m:r>
                <m:t>t</m:t>
              </m:r>
            </m:sub>
          </m:sSub>
          <m:r>
            <m:rPr>
              <m:sty m:val="p"/>
            </m:rPr>
            <m:t>+</m:t>
          </m:r>
          <m:sSub>
            <m:e>
              <m:r>
                <m:t>β</m:t>
              </m:r>
            </m:e>
            <m:sub>
              <m:r>
                <m:t>4</m:t>
              </m:r>
            </m:sub>
          </m:sSub>
          <m:sSub>
            <m:e>
              <m:r>
                <m:t>E</m:t>
              </m:r>
            </m:e>
            <m:sub>
              <m:r>
                <m:t>i</m:t>
              </m:r>
              <m:r>
                <m:t>t</m:t>
              </m:r>
            </m:sub>
          </m:sSub>
          <m:r>
            <m:rPr>
              <m:sty m:val="p"/>
            </m:rPr>
            <m:t>+</m:t>
          </m:r>
          <m:sSub>
            <m:e>
              <m:r>
                <m:t>α</m:t>
              </m:r>
            </m:e>
            <m:sub>
              <m:r>
                <m:t>i</m:t>
              </m:r>
            </m:sub>
          </m:sSub>
          <m:r>
            <m:rPr>
              <m:sty m:val="p"/>
            </m:rPr>
            <m:t>+</m:t>
          </m:r>
          <m:sSub>
            <m:e>
              <m:r>
                <m:t>γ</m:t>
              </m:r>
            </m:e>
            <m:sub>
              <m:r>
                <m:t>t</m:t>
              </m:r>
            </m:sub>
          </m:sSub>
          <m:r>
            <m:rPr>
              <m:sty m:val="p"/>
            </m:rPr>
            <m:t>+</m:t>
          </m:r>
          <m:sSub>
            <m:e>
              <m:r>
                <m:t>ε</m:t>
              </m:r>
            </m:e>
            <m:sub>
              <m:r>
                <m:t>i</m:t>
              </m:r>
              <m:r>
                <m:t>t</m:t>
              </m:r>
            </m:sub>
          </m:sSub>
        </m:oMath>
      </m:oMathPara>
    </w:p>
    <w:bookmarkStart w:id="18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11.0273</w:t>
            </w:r>
          </w:p>
        </w:tc>
        <w:tc>
          <w:tcPr>
            <w:tcW w:w="0" w:type="auto"/>
          </w:tcPr>
          <w:p>
            <w:pPr>
              <w:spacing w:line="240" w:lineRule="auto" w:before="0" w:after="0"/>
              <w:pStyle w:val="Compact"/>
            </w:pPr>
            <w:r>
              <w:rPr>
                <w:sz w:val="20"/>
                <w:szCs w:val="20"/>
              </w:rPr>
              <w:t xml:space="preserve">2.3895</w:t>
            </w:r>
          </w:p>
        </w:tc>
        <w:tc>
          <w:tcPr>
            <w:tcW w:w="0" w:type="auto"/>
          </w:tcPr>
          <w:p>
            <w:pPr>
              <w:spacing w:line="240" w:lineRule="auto" w:before="0" w:after="0"/>
              <w:pStyle w:val="Compact"/>
            </w:pPr>
            <w:r>
              <w:rPr>
                <w:sz w:val="20"/>
                <w:szCs w:val="20"/>
              </w:rPr>
              <w:t xml:space="preserve">4.6149</w:t>
            </w:r>
          </w:p>
        </w:tc>
        <w:tc>
          <w:tcPr>
            <w:tcW w:w="0" w:type="auto"/>
          </w:tcPr>
          <w:p>
            <w:pPr>
              <w:spacing w:line="240" w:lineRule="auto" w:before="0" w:after="0"/>
              <w:pStyle w:val="Compact"/>
            </w:pPr>
            <w:r>
              <w:rPr>
                <w:sz w:val="20"/>
                <w:szCs w:val="20"/>
              </w:rPr>
              <w:t xml:space="preserve">3.934e-06</w:t>
            </w:r>
          </w:p>
        </w:tc>
        <w:tc>
          <w:tcPr>
            <w:tcW w:w="0" w:type="auto"/>
          </w:tcPr>
          <w:p>
            <w:pPr>
              <w:spacing w:line="240" w:lineRule="auto" w:before="0" w:after="0"/>
              <w:pStyle w:val="Compact"/>
            </w:pPr>
            <w:r>
              <w:rPr>
                <w:sz w:val="20"/>
                <w:szCs w:val="20"/>
              </w:rPr>
              <w:t xml:space="preserve">[6.3439, 15.7107]</w:t>
            </w:r>
          </w:p>
        </w:tc>
      </w:tr>
      <w:tr>
        <w:tc>
          <w:tcPr>
            <w:tcW w:w="0" w:type="auto"/>
          </w:tcPr>
          <w:p>
            <w:pPr>
              <w:spacing w:line="240" w:lineRule="auto" w:before="0" w:after="0"/>
              <w:pStyle w:val="Compact"/>
            </w:pPr>
            <w:r>
              <w:rPr>
                <w:sz w:val="20"/>
                <w:szCs w:val="20"/>
              </w:rPr>
              <w:t xml:space="preserve">dss_treated</w:t>
            </w:r>
          </w:p>
        </w:tc>
        <w:tc>
          <w:tcPr>
            <w:tcW w:w="0" w:type="auto"/>
          </w:tcPr>
          <w:p>
            <w:pPr>
              <w:spacing w:line="240" w:lineRule="auto" w:before="0" w:after="0"/>
              <w:pStyle w:val="Compact"/>
            </w:pPr>
            <w:r>
              <w:rPr>
                <w:sz w:val="20"/>
                <w:szCs w:val="20"/>
              </w:rPr>
              <w:t xml:space="preserve">0.9811</w:t>
            </w:r>
          </w:p>
        </w:tc>
        <w:tc>
          <w:tcPr>
            <w:tcW w:w="0" w:type="auto"/>
          </w:tcPr>
          <w:p>
            <w:pPr>
              <w:spacing w:line="240" w:lineRule="auto" w:before="0" w:after="0"/>
              <w:pStyle w:val="Compact"/>
            </w:pPr>
            <w:r>
              <w:rPr>
                <w:sz w:val="20"/>
                <w:szCs w:val="20"/>
              </w:rPr>
              <w:t xml:space="preserve">0.088</w:t>
            </w:r>
          </w:p>
        </w:tc>
        <w:tc>
          <w:tcPr>
            <w:tcW w:w="0" w:type="auto"/>
          </w:tcPr>
          <w:p>
            <w:pPr>
              <w:spacing w:line="240" w:lineRule="auto" w:before="0" w:after="0"/>
              <w:pStyle w:val="Compact"/>
            </w:pPr>
            <w:r>
              <w:rPr>
                <w:sz w:val="20"/>
                <w:szCs w:val="20"/>
              </w:rPr>
              <w:t xml:space="preserve">11.1511</w:t>
            </w:r>
          </w:p>
        </w:tc>
        <w:tc>
          <w:tcPr>
            <w:tcW w:w="0" w:type="auto"/>
          </w:tcPr>
          <w:p>
            <w:pPr>
              <w:spacing w:line="240" w:lineRule="auto" w:before="0" w:after="0"/>
              <w:pStyle w:val="Compact"/>
            </w:pPr>
            <w:r>
              <w:rPr>
                <w:sz w:val="20"/>
                <w:szCs w:val="20"/>
              </w:rPr>
              <w:t xml:space="preserve">7.07e-29</w:t>
            </w:r>
          </w:p>
        </w:tc>
        <w:tc>
          <w:tcPr>
            <w:tcW w:w="0" w:type="auto"/>
          </w:tcPr>
          <w:p>
            <w:pPr>
              <w:spacing w:line="240" w:lineRule="auto" w:before="0" w:after="0"/>
              <w:pStyle w:val="Compact"/>
            </w:pPr>
            <w:r>
              <w:rPr>
                <w:sz w:val="20"/>
                <w:szCs w:val="20"/>
              </w:rPr>
              <w:t xml:space="preserve">[0.8086, 1.1535]</w:t>
            </w:r>
          </w:p>
        </w:tc>
      </w:tr>
      <w:tr>
        <w:tc>
          <w:tcPr>
            <w:tcW w:w="0" w:type="auto"/>
          </w:tcPr>
          <w:p>
            <w:pPr>
              <w:spacing w:line="240" w:lineRule="auto" w:before="0" w:after="0"/>
              <w:pStyle w:val="Compact"/>
            </w:pPr>
            <w:r>
              <w:rPr>
                <w:sz w:val="20"/>
                <w:szCs w:val="20"/>
              </w:rPr>
              <w:t xml:space="preserve">ngso_active_sats</w:t>
            </w:r>
          </w:p>
        </w:tc>
        <w:tc>
          <w:tcPr>
            <w:tcW w:w="0" w:type="auto"/>
          </w:tcPr>
          <w:p>
            <w:pPr>
              <w:spacing w:line="240" w:lineRule="auto" w:before="0" w:after="0"/>
              <w:pStyle w:val="Compact"/>
            </w:pPr>
            <w:r>
              <w:rPr>
                <w:sz w:val="20"/>
                <w:szCs w:val="20"/>
              </w:rPr>
              <w:t xml:space="preserve">0.0001981</w:t>
            </w:r>
          </w:p>
        </w:tc>
        <w:tc>
          <w:tcPr>
            <w:tcW w:w="0" w:type="auto"/>
          </w:tcPr>
          <w:p>
            <w:pPr>
              <w:spacing w:line="240" w:lineRule="auto" w:before="0" w:after="0"/>
              <w:pStyle w:val="Compact"/>
            </w:pPr>
            <w:r>
              <w:rPr>
                <w:sz w:val="20"/>
                <w:szCs w:val="20"/>
              </w:rPr>
              <w:t xml:space="preserve">2.412e-05</w:t>
            </w:r>
          </w:p>
        </w:tc>
        <w:tc>
          <w:tcPr>
            <w:tcW w:w="0" w:type="auto"/>
          </w:tcPr>
          <w:p>
            <w:pPr>
              <w:spacing w:line="240" w:lineRule="auto" w:before="0" w:after="0"/>
              <w:pStyle w:val="Compact"/>
            </w:pPr>
            <w:r>
              <w:rPr>
                <w:sz w:val="20"/>
                <w:szCs w:val="20"/>
              </w:rPr>
              <w:t xml:space="preserve">8.2145</w:t>
            </w:r>
          </w:p>
        </w:tc>
        <w:tc>
          <w:tcPr>
            <w:tcW w:w="0" w:type="auto"/>
          </w:tcPr>
          <w:p>
            <w:pPr>
              <w:spacing w:line="240" w:lineRule="auto" w:before="0" w:after="0"/>
              <w:pStyle w:val="Compact"/>
            </w:pPr>
            <w:r>
              <w:rPr>
                <w:sz w:val="20"/>
                <w:szCs w:val="20"/>
              </w:rPr>
              <w:t xml:space="preserve">2.131e-16</w:t>
            </w:r>
          </w:p>
        </w:tc>
        <w:tc>
          <w:tcPr>
            <w:tcW w:w="0" w:type="auto"/>
          </w:tcPr>
          <w:p>
            <w:pPr>
              <w:spacing w:line="240" w:lineRule="auto" w:before="0" w:after="0"/>
              <w:pStyle w:val="Compact"/>
            </w:pPr>
            <w:r>
              <w:rPr>
                <w:sz w:val="20"/>
                <w:szCs w:val="20"/>
              </w:rPr>
              <w:t xml:space="preserve">[0.0001508, 0.0002454]</w:t>
            </w:r>
          </w:p>
        </w:tc>
      </w:tr>
      <w:tr>
        <w:tc>
          <w:tcPr>
            <w:tcW w:w="0" w:type="auto"/>
          </w:tcPr>
          <w:p>
            <w:pPr>
              <w:spacing w:line="240" w:lineRule="auto" w:before="0" w:after="0"/>
              <w:pStyle w:val="Compact"/>
            </w:pPr>
            <w:r>
              <w:rPr>
                <w:sz w:val="20"/>
                <w:szCs w:val="20"/>
              </w:rPr>
              <w:t xml:space="preserve">coord_agreements</w:t>
            </w:r>
          </w:p>
        </w:tc>
        <w:tc>
          <w:tcPr>
            <w:tcW w:w="0" w:type="auto"/>
          </w:tcPr>
          <w:p>
            <w:pPr>
              <w:spacing w:line="240" w:lineRule="auto" w:before="0" w:after="0"/>
              <w:pStyle w:val="Compact"/>
            </w:pPr>
            <w:r>
              <w:rPr>
                <w:sz w:val="20"/>
                <w:szCs w:val="20"/>
              </w:rPr>
              <w:t xml:space="preserve">0.2156</w:t>
            </w:r>
          </w:p>
        </w:tc>
        <w:tc>
          <w:tcPr>
            <w:tcW w:w="0" w:type="auto"/>
          </w:tcPr>
          <w:p>
            <w:pPr>
              <w:spacing w:line="240" w:lineRule="auto" w:before="0" w:after="0"/>
              <w:pStyle w:val="Compact"/>
            </w:pPr>
            <w:r>
              <w:rPr>
                <w:sz w:val="20"/>
                <w:szCs w:val="20"/>
              </w:rPr>
              <w:t xml:space="preserve">0.0771</w:t>
            </w:r>
          </w:p>
        </w:tc>
        <w:tc>
          <w:tcPr>
            <w:tcW w:w="0" w:type="auto"/>
          </w:tcPr>
          <w:p>
            <w:pPr>
              <w:spacing w:line="240" w:lineRule="auto" w:before="0" w:after="0"/>
              <w:pStyle w:val="Compact"/>
            </w:pPr>
            <w:r>
              <w:rPr>
                <w:sz w:val="20"/>
                <w:szCs w:val="20"/>
              </w:rPr>
              <w:t xml:space="preserve">2.7944</w:t>
            </w:r>
          </w:p>
        </w:tc>
        <w:tc>
          <w:tcPr>
            <w:tcW w:w="0" w:type="auto"/>
          </w:tcPr>
          <w:p>
            <w:pPr>
              <w:spacing w:line="240" w:lineRule="auto" w:before="0" w:after="0"/>
              <w:pStyle w:val="Compact"/>
            </w:pPr>
            <w:r>
              <w:rPr>
                <w:sz w:val="20"/>
                <w:szCs w:val="20"/>
              </w:rPr>
              <w:t xml:space="preserve">0.0052</w:t>
            </w:r>
          </w:p>
        </w:tc>
        <w:tc>
          <w:tcPr>
            <w:tcW w:w="0" w:type="auto"/>
          </w:tcPr>
          <w:p>
            <w:pPr>
              <w:spacing w:line="240" w:lineRule="auto" w:before="0" w:after="0"/>
              <w:pStyle w:val="Compact"/>
            </w:pPr>
            <w:r>
              <w:rPr>
                <w:sz w:val="20"/>
                <w:szCs w:val="20"/>
              </w:rPr>
              <w:t xml:space="preserve">[0.0644, 0.3667]</w:t>
            </w:r>
          </w:p>
        </w:tc>
      </w:tr>
      <w:tr>
        <w:tc>
          <w:tcPr>
            <w:tcW w:w="0" w:type="auto"/>
          </w:tcPr>
          <w:p>
            <w:pPr>
              <w:spacing w:line="240" w:lineRule="auto" w:before="0" w:after="0"/>
              <w:pStyle w:val="Compact"/>
            </w:pPr>
            <w:r>
              <w:rPr>
                <w:sz w:val="20"/>
                <w:szCs w:val="20"/>
              </w:rPr>
              <w:t xml:space="preserve">gso_eirp_density_dbw_hz</w:t>
            </w:r>
          </w:p>
        </w:tc>
        <w:tc>
          <w:tcPr>
            <w:tcW w:w="0" w:type="auto"/>
          </w:tcPr>
          <w:p>
            <w:pPr>
              <w:spacing w:line="240" w:lineRule="auto" w:before="0" w:after="0"/>
              <w:pStyle w:val="Compact"/>
            </w:pPr>
            <w:r>
              <w:rPr>
                <w:sz w:val="20"/>
                <w:szCs w:val="20"/>
              </w:rPr>
              <w:t xml:space="preserve">0.1748</w:t>
            </w:r>
          </w:p>
        </w:tc>
        <w:tc>
          <w:tcPr>
            <w:tcW w:w="0" w:type="auto"/>
          </w:tcPr>
          <w:p>
            <w:pPr>
              <w:spacing w:line="240" w:lineRule="auto" w:before="0" w:after="0"/>
              <w:pStyle w:val="Compact"/>
            </w:pPr>
            <w:r>
              <w:rPr>
                <w:sz w:val="20"/>
                <w:szCs w:val="20"/>
              </w:rPr>
              <w:t xml:space="preserve">0.0455</w:t>
            </w:r>
          </w:p>
        </w:tc>
        <w:tc>
          <w:tcPr>
            <w:tcW w:w="0" w:type="auto"/>
          </w:tcPr>
          <w:p>
            <w:pPr>
              <w:spacing w:line="240" w:lineRule="auto" w:before="0" w:after="0"/>
              <w:pStyle w:val="Compact"/>
            </w:pPr>
            <w:r>
              <w:rPr>
                <w:sz w:val="20"/>
                <w:szCs w:val="20"/>
              </w:rPr>
              <w:t xml:space="preserve">3.8389</w:t>
            </w:r>
          </w:p>
        </w:tc>
        <w:tc>
          <w:tcPr>
            <w:tcW w:w="0" w:type="auto"/>
          </w:tcPr>
          <w:p>
            <w:pPr>
              <w:spacing w:line="240" w:lineRule="auto" w:before="0" w:after="0"/>
              <w:pStyle w:val="Compact"/>
            </w:pPr>
            <w:r>
              <w:rPr>
                <w:sz w:val="20"/>
                <w:szCs w:val="20"/>
              </w:rPr>
              <w:t xml:space="preserve">0.0001236</w:t>
            </w:r>
          </w:p>
        </w:tc>
        <w:tc>
          <w:tcPr>
            <w:tcW w:w="0" w:type="auto"/>
          </w:tcPr>
          <w:p>
            <w:pPr>
              <w:spacing w:line="240" w:lineRule="auto" w:before="0" w:after="0"/>
              <w:pStyle w:val="Compact"/>
            </w:pPr>
            <w:r>
              <w:rPr>
                <w:sz w:val="20"/>
                <w:szCs w:val="20"/>
              </w:rPr>
              <w:t xml:space="preserve">[0.0856, 0.2641]</w:t>
            </w:r>
          </w:p>
        </w:tc>
      </w:tr>
    </w:tbl>
    <w:p>
      <w:pPr>
        <w:pStyle w:val="BodyText"/>
        <w:spacing w:line="480" w:lineRule="auto"/>
        <w:ind w:firstLine="720"/>
      </w:pPr>
      <w:r>
        <w:t xml:space="preserve">Fit: N = 36 R2 = 0.9553 R2_adj = 0.9495 F = 341.5962 F_p = 3.733e-25</w:t>
      </w:r>
    </w:p>
    <w:bookmarkEnd w:id="180"/>
    <w:bookmarkStart w:id="18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GSO interference margin at NGSO-GSO pair-year observations, by dynamic spectrum sharing treatment status, Ku- and Ka-bands, 2020-2023. Pair-years under DSS coordination exhibit a higher empirical margin distribution than pair-years on the static ITU baseline." title="" id="182" name="Picture"/>
            <a:graphic>
              <a:graphicData uri="http://schemas.openxmlformats.org/drawingml/2006/picture">
                <pic:pic>
                  <pic:nvPicPr>
                    <pic:cNvPr descr="D:/Claude_Code/brain/collegium/candidates/dissertations/SPECTRUM_PNT_10/research_papers/p1/paper_fig1.png" id="183" name="Picture"/>
                    <pic:cNvPicPr>
                      <a:picLocks noChangeArrowheads="1" noChangeAspect="1"/>
                    </pic:cNvPicPr>
                  </pic:nvPicPr>
                  <pic:blipFill>
                    <a:blip r:embed="rId1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GSO interference margin at NGSO-GSO pair-year observations, by dynamic spectrum sharing treatment status, Ku- and Ka-bands, 2020-2023. Pair-years under DSS coordination exhibit a higher empirical margin distribution than pair-years on the static ITU baseline.</w:t>
      </w:r>
    </w:p>
    <w:bookmarkEnd w:id="184"/>
    <w:bookmarkStart w:id="18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pair_id</w:t>
            </w:r>
          </w:p>
        </w:tc>
        <w:tc>
          <w:tcPr>
            <w:tcW w:w="0" w:type="auto"/>
          </w:tcPr>
          <w:p>
            <w:pPr>
              <w:spacing w:line="240" w:lineRule="auto" w:before="0" w:after="0"/>
              <w:pStyle w:val="Compact"/>
            </w:pPr>
            <w:r>
              <w:rPr>
                <w:sz w:val="20"/>
                <w:szCs w:val="20"/>
              </w:rPr>
              <w:t xml:space="preserve">operator_pair</w:t>
            </w:r>
          </w:p>
        </w:tc>
        <w:tc>
          <w:tcPr>
            <w:tcW w:w="0" w:type="auto"/>
          </w:tcPr>
          <w:p>
            <w:pPr>
              <w:spacing w:line="240" w:lineRule="auto" w:before="0" w:after="0"/>
              <w:pStyle w:val="Compact"/>
            </w:pPr>
            <w:r>
              <w:rPr>
                <w:sz w:val="20"/>
                <w:szCs w:val="20"/>
              </w:rPr>
              <w:t xml:space="preserve">band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dss_treated</w:t>
            </w:r>
          </w:p>
        </w:tc>
        <w:tc>
          <w:tcPr>
            <w:tcW w:w="0" w:type="auto"/>
          </w:tcPr>
          <w:p>
            <w:pPr>
              <w:spacing w:line="240" w:lineRule="auto" w:before="0" w:after="0"/>
              <w:pStyle w:val="Compact"/>
            </w:pPr>
            <w:r>
              <w:rPr>
                <w:sz w:val="20"/>
                <w:szCs w:val="20"/>
              </w:rPr>
              <w:t xml:space="preserve">ngso_active_sats</w:t>
            </w:r>
          </w:p>
        </w:tc>
        <w:tc>
          <w:tcPr>
            <w:tcW w:w="0" w:type="auto"/>
          </w:tcPr>
          <w:p>
            <w:pPr>
              <w:spacing w:line="240" w:lineRule="auto" w:before="0" w:after="0"/>
              <w:pStyle w:val="Compact"/>
            </w:pPr>
            <w:r>
              <w:rPr>
                <w:sz w:val="20"/>
                <w:szCs w:val="20"/>
              </w:rPr>
              <w:t xml:space="preserve">coord_agreements</w:t>
            </w:r>
          </w:p>
        </w:tc>
        <w:tc>
          <w:tcPr>
            <w:tcW w:w="0" w:type="auto"/>
          </w:tcPr>
          <w:p>
            <w:pPr>
              <w:spacing w:line="240" w:lineRule="auto" w:before="0" w:after="0"/>
              <w:pStyle w:val="Compact"/>
            </w:pPr>
            <w:r>
              <w:rPr>
                <w:sz w:val="20"/>
                <w:szCs w:val="20"/>
              </w:rPr>
              <w:t xml:space="preserve">gso_eirp_density_dbw_hz</w:t>
            </w:r>
          </w:p>
        </w:tc>
        <w:tc>
          <w:tcPr>
            <w:tcW w:w="0" w:type="auto"/>
          </w:tcPr>
          <w:p>
            <w:pPr>
              <w:spacing w:line="240" w:lineRule="auto" w:before="0" w:after="0"/>
              <w:pStyle w:val="Compact"/>
            </w:pPr>
            <w:r>
              <w:rPr>
                <w:sz w:val="20"/>
                <w:szCs w:val="20"/>
              </w:rPr>
              <w:t xml:space="preserve">interference_margin_db</w:t>
            </w:r>
          </w:p>
        </w:tc>
        <w:tc>
          <w:tcPr>
            <w:tcW w:w="0" w:type="auto"/>
          </w:tcPr>
          <w:p>
            <w:pPr>
              <w:spacing w:line="240" w:lineRule="auto" w:before="0" w:after="0"/>
              <w:pStyle w:val="Compact"/>
            </w:pPr>
            <w:r>
              <w:rPr>
                <w:sz w:val="20"/>
                <w:szCs w:val="20"/>
              </w:rPr>
              <w:t xml:space="preserve">ngso_throughput_mbps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SpaceX-Intelsat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FCC IBFS SAT-MOD-20200417-00037</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SpaceX-Intelsat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-50.4</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FCC IBFS SAT-MOD-20210112-00007</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SpaceX-Intelsat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FCC IBFS SAT-MOD-20220318-00031</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SpaceX-Intelsat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FCC IBFS SAT-MOD-20230509-00041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SpaceX-SES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FCC IBFS SAT-LOA-20200526-00055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SpaceX-SES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FCC IBFS SAT-LOA-20210104-00003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SpaceX-SES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201</w:t>
            </w:r>
          </w:p>
        </w:tc>
        <w:tc>
          <w:tcPr>
            <w:tcW w:w="0" w:type="auto"/>
          </w:tcPr>
          <w:p>
            <w:pPr>
              <w:spacing w:line="240" w:lineRule="auto" w:before="0" w:after="0"/>
              <w:pStyle w:val="Compact"/>
            </w:pPr>
            <w:r>
              <w:rPr>
                <w:sz w:val="20"/>
                <w:szCs w:val="20"/>
              </w:rPr>
              <w:t xml:space="preserve">FCC IBFS SAT-AMD-20220118-00006</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SpaceX-SES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FCC IBFS SAT-AMD-20230614-00130</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OneWeb-Intelsat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FCC IBFS SAT-LOI-20200526-00059</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OneWeb-Intelsat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FCC IBFS SAT-MPL-20210112-00006</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OneWeb-Intelsat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122</w:t>
            </w:r>
          </w:p>
        </w:tc>
        <w:tc>
          <w:tcPr>
            <w:tcW w:w="0" w:type="auto"/>
          </w:tcPr>
          <w:p>
            <w:pPr>
              <w:spacing w:line="240" w:lineRule="auto" w:before="0" w:after="0"/>
              <w:pStyle w:val="Compact"/>
            </w:pPr>
            <w:r>
              <w:rPr>
                <w:sz w:val="20"/>
                <w:szCs w:val="20"/>
              </w:rPr>
              <w:t xml:space="preserve">FCC IBFS SAT-AMD-20220817-00094</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OneWeb-Intelsat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-49.7</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FCC IBFS SAT-AMD-20230309-00040</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OneWeb-SES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ITU SNS-Online API filing 119540082 [illustrative coord count]</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OneWeb-SES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ITU SNS-Online API filing 119540082 [illustrative coord count]</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OneWeb-SES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-51.7</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ITU SNS-Online API filing 119540082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OneWeb-SES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ITU SNS-Online API filing 119540082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Kuiper-Intelsat</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SAT-LOA-20190704-00057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Kuiper-Intelsat</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SAT-AMD-20220502-00040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Kuiper-Intelsat</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FCC IBFS SAT-AMD-20231019-00214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Kuiper-SES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SAT-AMD-20220502-00040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Kuiper-SES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FCC IBFS SAT-AMD-20231019-00214</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Telesat-Intelsat</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SAT-MPL-20200526-00053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Telesat-Intelsat</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SAT-MPL-20200526-00053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Telesat-Intelsat</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-51.5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SAT-AMD-20220518-00059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Telesat-Intelsat</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-51.2</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SAT-AMD-20230831-00184</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SpaceX-Eutelsat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FCC IBFS SAT-LOA-20161115-00118</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SpaceX-Eutelsat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FCC IBFS SAT-MOD-20210112-00007</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SpaceX-Eutelsat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FCC IBFS SAT-MOD-20220318-00031</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SpaceX-Eutelsat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FCC IBFS SAT-MOD-20230509-00041</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OneWeb-Eutelsat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FCC IBFS SAT-LOI-20200526-00059</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OneWeb-Eutelsat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FCC IBFS SAT-MPL-20210112-00006</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OneWeb-Eutelsat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FCC IBFS SAT-AMD-20220817-00094 [illustrative throughput]</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OneWeb-Eutelsat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FCC IBFS SAT-AMD-20230309-00040</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SpaceX-Hispasat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FCC IBFS SAT-MOD-20210112-00007 [illustrative pair]</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SpaceX-Hispasat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220</w:t>
            </w:r>
          </w:p>
        </w:tc>
        <w:tc>
          <w:tcPr>
            <w:tcW w:w="0" w:type="auto"/>
          </w:tcPr>
          <w:p>
            <w:pPr>
              <w:spacing w:line="240" w:lineRule="auto" w:before="0" w:after="0"/>
              <w:pStyle w:val="Compact"/>
            </w:pPr>
            <w:r>
              <w:rPr>
                <w:sz w:val="20"/>
                <w:szCs w:val="20"/>
              </w:rPr>
              <w:t xml:space="preserve">FCC IBFS SAT-MOD-20220318-00031 [illustrative pair]</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SpaceX-Hispasat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-49.7</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234</w:t>
            </w:r>
          </w:p>
        </w:tc>
        <w:tc>
          <w:tcPr>
            <w:tcW w:w="0" w:type="auto"/>
          </w:tcPr>
          <w:p>
            <w:pPr>
              <w:spacing w:line="240" w:lineRule="auto" w:before="0" w:after="0"/>
              <w:pStyle w:val="Compact"/>
            </w:pPr>
            <w:r>
              <w:rPr>
                <w:sz w:val="20"/>
                <w:szCs w:val="20"/>
              </w:rPr>
              <w:t xml:space="preserve">FCC IBFS SAT-MOD-20230509-00041 [illustrative pair]</w:t>
            </w:r>
          </w:p>
        </w:tc>
      </w:tr>
    </w:tbl>
    <w:bookmarkEnd w:id="185"/>
    <w:bookmarkStart w:id="18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interference_margin_db</w:t>
            </w:r>
          </w:p>
        </w:tc>
        <w:tc>
          <w:tcPr>
            <w:tcW w:w="0" w:type="auto"/>
          </w:tcPr>
          <w:p>
            <w:pPr>
              <w:spacing w:line="240" w:lineRule="auto" w:before="0" w:after="0"/>
              <w:pStyle w:val="Compact"/>
            </w:pPr>
            <w:r>
              <w:rPr>
                <w:sz w:val="20"/>
                <w:szCs w:val="20"/>
              </w:rPr>
              <w:t xml:space="preserve">GSO earth-station aggregate co-channel interference margin in decibels relative to the ITU coordination threshold; higher values indicate more headroom before harmful interference</w:t>
            </w:r>
          </w:p>
        </w:tc>
        <w:tc>
          <w:tcPr>
            <w:tcW w:w="0" w:type="auto"/>
          </w:tcPr>
          <w:p>
            <w:pPr>
              <w:spacing w:line="240" w:lineRule="auto" w:before="0" w:after="0"/>
              <w:pStyle w:val="Compact"/>
            </w:pPr>
            <w:r>
              <w:rPr>
                <w:sz w:val="20"/>
                <w:szCs w:val="20"/>
              </w:rPr>
              <w:t xml:space="preserve">FCC IBFS Schedule S link-budget submissions</w:t>
            </w:r>
          </w:p>
        </w:tc>
      </w:tr>
      <w:tr>
        <w:tc>
          <w:tcPr>
            <w:tcW w:w="0" w:type="auto"/>
          </w:tcPr>
          <w:p>
            <w:pPr>
              <w:spacing w:line="240" w:lineRule="auto" w:before="0" w:after="0"/>
              <w:pStyle w:val="Compact"/>
            </w:pPr>
            <w:r>
              <w:rPr>
                <w:sz w:val="20"/>
                <w:szCs w:val="20"/>
              </w:rPr>
              <w:t xml:space="preserve">dss_treated</w:t>
            </w:r>
          </w:p>
        </w:tc>
        <w:tc>
          <w:tcPr>
            <w:tcW w:w="0" w:type="auto"/>
          </w:tcPr>
          <w:p>
            <w:pPr>
              <w:spacing w:line="240" w:lineRule="auto" w:before="0" w:after="0"/>
              <w:pStyle w:val="Compact"/>
            </w:pPr>
            <w:r>
              <w:rPr>
                <w:sz w:val="20"/>
                <w:szCs w:val="20"/>
              </w:rPr>
              <w:t xml:space="preserve">Binary indicator equal to one in operator-pair-years for which a bilateral dynamic spectrum sharing coordination agreement is in force</w:t>
            </w:r>
          </w:p>
        </w:tc>
        <w:tc>
          <w:tcPr>
            <w:tcW w:w="0" w:type="auto"/>
          </w:tcPr>
          <w:p>
            <w:pPr>
              <w:spacing w:line="240" w:lineRule="auto" w:before="0" w:after="0"/>
              <w:pStyle w:val="Compact"/>
            </w:pPr>
            <w:r>
              <w:rPr>
                <w:sz w:val="20"/>
                <w:szCs w:val="20"/>
              </w:rPr>
              <w:t xml:space="preserve">FCC IBFS coordination agreements and ITU SNS-Online notified networks</w:t>
            </w:r>
          </w:p>
        </w:tc>
      </w:tr>
      <w:tr>
        <w:tc>
          <w:tcPr>
            <w:tcW w:w="0" w:type="auto"/>
          </w:tcPr>
          <w:p>
            <w:pPr>
              <w:spacing w:line="240" w:lineRule="auto" w:before="0" w:after="0"/>
              <w:pStyle w:val="Compact"/>
            </w:pPr>
            <w:r>
              <w:rPr>
                <w:sz w:val="20"/>
                <w:szCs w:val="20"/>
              </w:rPr>
              <w:t xml:space="preserve">ngso_active_sats</w:t>
            </w:r>
          </w:p>
        </w:tc>
        <w:tc>
          <w:tcPr>
            <w:tcW w:w="0" w:type="auto"/>
          </w:tcPr>
          <w:p>
            <w:pPr>
              <w:spacing w:line="240" w:lineRule="auto" w:before="0" w:after="0"/>
              <w:pStyle w:val="Compact"/>
            </w:pPr>
            <w:r>
              <w:rPr>
                <w:sz w:val="20"/>
                <w:szCs w:val="20"/>
              </w:rPr>
              <w:t xml:space="preserve">Count of operational NGSO satellites in the constellation in the observation year</w:t>
            </w:r>
          </w:p>
        </w:tc>
        <w:tc>
          <w:tcPr>
            <w:tcW w:w="0" w:type="auto"/>
          </w:tcPr>
          <w:p>
            <w:pPr>
              <w:spacing w:line="240" w:lineRule="auto" w:before="0" w:after="0"/>
              <w:pStyle w:val="Compact"/>
            </w:pPr>
            <w:r>
              <w:rPr>
                <w:sz w:val="20"/>
                <w:szCs w:val="20"/>
              </w:rPr>
              <w:t xml:space="preserve">FCC IBFS deployment status filings and operator annual reports</w:t>
            </w:r>
          </w:p>
        </w:tc>
      </w:tr>
      <w:tr>
        <w:tc>
          <w:tcPr>
            <w:tcW w:w="0" w:type="auto"/>
          </w:tcPr>
          <w:p>
            <w:pPr>
              <w:spacing w:line="240" w:lineRule="auto" w:before="0" w:after="0"/>
              <w:pStyle w:val="Compact"/>
            </w:pPr>
            <w:r>
              <w:rPr>
                <w:sz w:val="20"/>
                <w:szCs w:val="20"/>
              </w:rPr>
              <w:t xml:space="preserve">coord_agreements</w:t>
            </w:r>
          </w:p>
        </w:tc>
        <w:tc>
          <w:tcPr>
            <w:tcW w:w="0" w:type="auto"/>
          </w:tcPr>
          <w:p>
            <w:pPr>
              <w:spacing w:line="240" w:lineRule="auto" w:before="0" w:after="0"/>
              <w:pStyle w:val="Compact"/>
            </w:pPr>
            <w:r>
              <w:rPr>
                <w:sz w:val="20"/>
                <w:szCs w:val="20"/>
              </w:rPr>
              <w:t xml:space="preserve">Count of formally notified coordination agreements covering the operator pair in the band</w:t>
            </w:r>
          </w:p>
        </w:tc>
        <w:tc>
          <w:tcPr>
            <w:tcW w:w="0" w:type="auto"/>
          </w:tcPr>
          <w:p>
            <w:pPr>
              <w:spacing w:line="240" w:lineRule="auto" w:before="0" w:after="0"/>
              <w:pStyle w:val="Compact"/>
            </w:pPr>
            <w:r>
              <w:rPr>
                <w:sz w:val="20"/>
                <w:szCs w:val="20"/>
              </w:rPr>
              <w:t xml:space="preserve">ITU SNS-Online API and BR-IFIC publications</w:t>
            </w:r>
          </w:p>
        </w:tc>
      </w:tr>
      <w:tr>
        <w:tc>
          <w:tcPr>
            <w:tcW w:w="0" w:type="auto"/>
          </w:tcPr>
          <w:p>
            <w:pPr>
              <w:spacing w:line="240" w:lineRule="auto" w:before="0" w:after="0"/>
              <w:pStyle w:val="Compact"/>
            </w:pPr>
            <w:r>
              <w:rPr>
                <w:sz w:val="20"/>
                <w:szCs w:val="20"/>
              </w:rPr>
              <w:t xml:space="preserve">gso_eirp_density_dbw_hz</w:t>
            </w:r>
          </w:p>
        </w:tc>
        <w:tc>
          <w:tcPr>
            <w:tcW w:w="0" w:type="auto"/>
          </w:tcPr>
          <w:p>
            <w:pPr>
              <w:spacing w:line="240" w:lineRule="auto" w:before="0" w:after="0"/>
              <w:pStyle w:val="Compact"/>
            </w:pPr>
            <w:r>
              <w:rPr>
                <w:sz w:val="20"/>
                <w:szCs w:val="20"/>
              </w:rPr>
              <w:t xml:space="preserve">GSO incumbent equivalent isotropically radiated power spectral density in decibel-watts per hertz</w:t>
            </w:r>
          </w:p>
        </w:tc>
        <w:tc>
          <w:tcPr>
            <w:tcW w:w="0" w:type="auto"/>
          </w:tcPr>
          <w:p>
            <w:pPr>
              <w:spacing w:line="240" w:lineRule="auto" w:before="0" w:after="0"/>
              <w:pStyle w:val="Compact"/>
            </w:pPr>
            <w:r>
              <w:rPr>
                <w:sz w:val="20"/>
                <w:szCs w:val="20"/>
              </w:rPr>
              <w:t xml:space="preserve">FCC IBFS Schedule S filings</w:t>
            </w:r>
          </w:p>
        </w:tc>
      </w:tr>
    </w:tbl>
    <w:bookmarkEnd w:id="186"/>
    <w:bookmarkEnd w:id="187"/>
    <w:bookmarkStart w:id="195" w:name="X5c2773e03bf4a1d3166415056a21ff9d2fe38fc"/>
    <w:p>
      <w:pPr>
        <w:pStyle w:val="Heading2"/>
        <w:spacing w:line="480" w:lineRule="auto"/>
      </w:pPr>
      <w:r>
        <w:t xml:space="preserve">A.2 Aggregate Co-Channel Interference at GSO Earth Stations as a Function of NGSO Emitter Density and Coordination Intensity: A Cross-Sectional OLS Test of the Polycentric DSS Mechanism</w:t>
      </w:r>
    </w:p>
    <w:p>
      <w:pPr>
        <w:pStyle w:val="FirstParagraph"/>
        <w:spacing w:line="480" w:lineRule="auto"/>
      </w:pPr>
      <m:oMathPara>
        <m:oMathParaPr>
          <m:jc m:val="center"/>
        </m:oMathParaPr>
        <m:oMath>
          <m:sSub>
            <m:e>
              <m:r>
                <m:t>I</m:t>
              </m:r>
            </m:e>
            <m:sub>
              <m:r>
                <m:t>i</m:t>
              </m:r>
            </m:sub>
          </m:sSub>
          <m:r>
            <m:rPr>
              <m:sty m:val="p"/>
            </m:rPr>
            <m:t>=</m:t>
          </m:r>
          <m:sSub>
            <m:e>
              <m:r>
                <m:t>β</m:t>
              </m:r>
            </m:e>
            <m:sub>
              <m:r>
                <m:t>0</m:t>
              </m:r>
            </m:sub>
          </m:sSub>
          <m:r>
            <m:rPr>
              <m:sty m:val="p"/>
            </m:rPr>
            <m:t>+</m:t>
          </m:r>
          <m:sSub>
            <m:e>
              <m:r>
                <m:t>β</m:t>
              </m:r>
            </m:e>
            <m:sub>
              <m:r>
                <m:t>1</m:t>
              </m:r>
            </m:sub>
          </m:sSub>
          <m:sSub>
            <m:e>
              <m:r>
                <m:t>N</m:t>
              </m:r>
            </m:e>
            <m:sub>
              <m:r>
                <m:t>i</m:t>
              </m:r>
            </m:sub>
          </m:sSub>
          <m:r>
            <m:rPr>
              <m:sty m:val="p"/>
            </m:rPr>
            <m:t>+</m:t>
          </m:r>
          <m:sSub>
            <m:e>
              <m:r>
                <m:t>β</m:t>
              </m:r>
            </m:e>
            <m:sub>
              <m:r>
                <m:t>2</m:t>
              </m:r>
            </m:sub>
          </m:sSub>
          <m:sSub>
            <m:e>
              <m:r>
                <m:t>C</m:t>
              </m:r>
            </m:e>
            <m:sub>
              <m:r>
                <m:t>i</m:t>
              </m:r>
            </m:sub>
          </m:sSub>
          <m:r>
            <m:rPr>
              <m:sty m:val="p"/>
            </m:rPr>
            <m:t>+</m:t>
          </m:r>
          <m:sSub>
            <m:e>
              <m:r>
                <m:t>β</m:t>
              </m:r>
            </m:e>
            <m:sub>
              <m:r>
                <m:t>3</m:t>
              </m:r>
            </m:sub>
          </m:sSub>
          <m:sSub>
            <m:e>
              <m:r>
                <m:t>M</m:t>
              </m:r>
            </m:e>
            <m:sub>
              <m:r>
                <m:t>i</m:t>
              </m:r>
            </m:sub>
          </m:sSub>
          <m:r>
            <m:rPr>
              <m:sty m:val="p"/>
            </m:rPr>
            <m:t>+</m:t>
          </m:r>
          <m:sSub>
            <m:e>
              <m:r>
                <m:t>ε</m:t>
              </m:r>
            </m:e>
            <m:sub>
              <m:r>
                <m:t>i</m:t>
              </m:r>
            </m:sub>
          </m:sSub>
        </m:oMath>
      </m:oMathPara>
    </w:p>
    <w:bookmarkStart w:id="18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-140.1293</w:t>
            </w:r>
          </w:p>
        </w:tc>
        <w:tc>
          <w:tcPr>
            <w:tcW w:w="0" w:type="auto"/>
          </w:tcPr>
          <w:p>
            <w:pPr>
              <w:spacing w:line="240" w:lineRule="auto" w:before="0" w:after="0"/>
              <w:pStyle w:val="Compact"/>
            </w:pPr>
            <w:r>
              <w:rPr>
                <w:sz w:val="20"/>
                <w:szCs w:val="20"/>
              </w:rPr>
              <w:t xml:space="preserve">0.7047</w:t>
            </w:r>
          </w:p>
        </w:tc>
        <w:tc>
          <w:tcPr>
            <w:tcW w:w="0" w:type="auto"/>
          </w:tcPr>
          <w:p>
            <w:pPr>
              <w:spacing w:line="240" w:lineRule="auto" w:before="0" w:after="0"/>
              <w:pStyle w:val="Compact"/>
            </w:pPr>
            <w:r>
              <w:rPr>
                <w:sz w:val="20"/>
                <w:szCs w:val="20"/>
              </w:rPr>
              <w:t xml:space="preserve">-198.8562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[-141.5104, -138.7482]</w:t>
            </w:r>
          </w:p>
        </w:tc>
      </w:tr>
      <w:tr>
        <w:tc>
          <w:tcPr>
            <w:tcW w:w="0" w:type="auto"/>
          </w:tcPr>
          <w:p>
            <w:pPr>
              <w:spacing w:line="240" w:lineRule="auto" w:before="0" w:after="0"/>
              <w:pStyle w:val="Compact"/>
            </w:pPr>
            <w:r>
              <w:rPr>
                <w:sz w:val="20"/>
                <w:szCs w:val="20"/>
              </w:rPr>
              <w:t xml:space="preserve">n_ngso_satellites_in_view</w:t>
            </w:r>
          </w:p>
        </w:tc>
        <w:tc>
          <w:tcPr>
            <w:tcW w:w="0" w:type="auto"/>
          </w:tcPr>
          <w:p>
            <w:pPr>
              <w:spacing w:line="240" w:lineRule="auto" w:before="0" w:after="0"/>
              <w:pStyle w:val="Compact"/>
            </w:pPr>
            <w:r>
              <w:rPr>
                <w:sz w:val="20"/>
                <w:szCs w:val="20"/>
              </w:rPr>
              <w:t xml:space="preserve">-0.033</w:t>
            </w:r>
          </w:p>
        </w:tc>
        <w:tc>
          <w:tcPr>
            <w:tcW w:w="0" w:type="auto"/>
          </w:tcPr>
          <w:p>
            <w:pPr>
              <w:spacing w:line="240" w:lineRule="auto" w:before="0" w:after="0"/>
              <w:pStyle w:val="Compact"/>
            </w:pPr>
            <w:r>
              <w:rPr>
                <w:sz w:val="20"/>
                <w:szCs w:val="20"/>
              </w:rPr>
              <w:t xml:space="preserve">0.0219</w:t>
            </w:r>
          </w:p>
        </w:tc>
        <w:tc>
          <w:tcPr>
            <w:tcW w:w="0" w:type="auto"/>
          </w:tcPr>
          <w:p>
            <w:pPr>
              <w:spacing w:line="240" w:lineRule="auto" w:before="0" w:after="0"/>
              <w:pStyle w:val="Compact"/>
            </w:pPr>
            <w:r>
              <w:rPr>
                <w:sz w:val="20"/>
                <w:szCs w:val="20"/>
              </w:rPr>
              <w:t xml:space="preserve">-1.5088</w:t>
            </w:r>
          </w:p>
        </w:tc>
        <w:tc>
          <w:tcPr>
            <w:tcW w:w="0" w:type="auto"/>
          </w:tcPr>
          <w:p>
            <w:pPr>
              <w:spacing w:line="240" w:lineRule="auto" w:before="0" w:after="0"/>
              <w:pStyle w:val="Compact"/>
            </w:pPr>
            <w:r>
              <w:rPr>
                <w:sz w:val="20"/>
                <w:szCs w:val="20"/>
              </w:rPr>
              <w:t xml:space="preserve">0.1313</w:t>
            </w:r>
          </w:p>
        </w:tc>
        <w:tc>
          <w:tcPr>
            <w:tcW w:w="0" w:type="auto"/>
          </w:tcPr>
          <w:p>
            <w:pPr>
              <w:spacing w:line="240" w:lineRule="auto" w:before="0" w:after="0"/>
              <w:pStyle w:val="Compact"/>
            </w:pPr>
            <w:r>
              <w:rPr>
                <w:sz w:val="20"/>
                <w:szCs w:val="20"/>
              </w:rPr>
              <w:t xml:space="preserve">[-0.0758, 0.0099]</w:t>
            </w:r>
          </w:p>
        </w:tc>
      </w:tr>
      <w:tr>
        <w:tc>
          <w:tcPr>
            <w:tcW w:w="0" w:type="auto"/>
          </w:tcPr>
          <w:p>
            <w:pPr>
              <w:spacing w:line="240" w:lineRule="auto" w:before="0" w:after="0"/>
              <w:pStyle w:val="Compact"/>
            </w:pPr>
            <w:r>
              <w:rPr>
                <w:sz w:val="20"/>
                <w:szCs w:val="20"/>
              </w:rPr>
              <w:t xml:space="preserve">coordination_intensity</w:t>
            </w:r>
          </w:p>
        </w:tc>
        <w:tc>
          <w:tcPr>
            <w:tcW w:w="0" w:type="auto"/>
          </w:tcPr>
          <w:p>
            <w:pPr>
              <w:spacing w:line="240" w:lineRule="auto" w:before="0" w:after="0"/>
              <w:pStyle w:val="Compact"/>
            </w:pPr>
            <w:r>
              <w:rPr>
                <w:sz w:val="20"/>
                <w:szCs w:val="20"/>
              </w:rPr>
              <w:t xml:space="preserve">0.0148</w:t>
            </w:r>
          </w:p>
        </w:tc>
        <w:tc>
          <w:tcPr>
            <w:tcW w:w="0" w:type="auto"/>
          </w:tcPr>
          <w:p>
            <w:pPr>
              <w:spacing w:line="240" w:lineRule="auto" w:before="0" w:after="0"/>
              <w:pStyle w:val="Compact"/>
            </w:pPr>
            <w:r>
              <w:rPr>
                <w:sz w:val="20"/>
                <w:szCs w:val="20"/>
              </w:rPr>
              <w:t xml:space="preserve">0.0518</w:t>
            </w:r>
          </w:p>
        </w:tc>
        <w:tc>
          <w:tcPr>
            <w:tcW w:w="0" w:type="auto"/>
          </w:tcPr>
          <w:p>
            <w:pPr>
              <w:spacing w:line="240" w:lineRule="auto" w:before="0" w:after="0"/>
              <w:pStyle w:val="Compact"/>
            </w:pPr>
            <w:r>
              <w:rPr>
                <w:sz w:val="20"/>
                <w:szCs w:val="20"/>
              </w:rPr>
              <w:t xml:space="preserve">0.2859</w:t>
            </w:r>
          </w:p>
        </w:tc>
        <w:tc>
          <w:tcPr>
            <w:tcW w:w="0" w:type="auto"/>
          </w:tcPr>
          <w:p>
            <w:pPr>
              <w:spacing w:line="240" w:lineRule="auto" w:before="0" w:after="0"/>
              <w:pStyle w:val="Compact"/>
            </w:pPr>
            <w:r>
              <w:rPr>
                <w:sz w:val="20"/>
                <w:szCs w:val="20"/>
              </w:rPr>
              <w:t xml:space="preserve">0.7749</w:t>
            </w:r>
          </w:p>
        </w:tc>
        <w:tc>
          <w:tcPr>
            <w:tcW w:w="0" w:type="auto"/>
          </w:tcPr>
          <w:p>
            <w:pPr>
              <w:spacing w:line="240" w:lineRule="auto" w:before="0" w:after="0"/>
              <w:pStyle w:val="Compact"/>
            </w:pPr>
            <w:r>
              <w:rPr>
                <w:sz w:val="20"/>
                <w:szCs w:val="20"/>
              </w:rPr>
              <w:t xml:space="preserve">[-0.0868, 0.1164]</w:t>
            </w:r>
          </w:p>
        </w:tc>
      </w:tr>
      <w:tr>
        <w:tc>
          <w:tcPr>
            <w:tcW w:w="0" w:type="auto"/>
          </w:tcPr>
          <w:p>
            <w:pPr>
              <w:spacing w:line="240" w:lineRule="auto" w:before="0" w:after="0"/>
              <w:pStyle w:val="Compact"/>
            </w:pPr>
            <w:r>
              <w:rPr>
                <w:sz w:val="20"/>
                <w:szCs w:val="20"/>
              </w:rPr>
              <w:t xml:space="preserve">off_axis_epfd_margin_db</w:t>
            </w:r>
          </w:p>
        </w:tc>
        <w:tc>
          <w:tcPr>
            <w:tcW w:w="0" w:type="auto"/>
          </w:tcPr>
          <w:p>
            <w:pPr>
              <w:spacing w:line="240" w:lineRule="auto" w:before="0" w:after="0"/>
              <w:pStyle w:val="Compact"/>
            </w:pPr>
            <w:r>
              <w:rPr>
                <w:sz w:val="20"/>
                <w:szCs w:val="20"/>
              </w:rPr>
              <w:t xml:space="preserve">-3.0971</w:t>
            </w:r>
          </w:p>
        </w:tc>
        <w:tc>
          <w:tcPr>
            <w:tcW w:w="0" w:type="auto"/>
          </w:tcPr>
          <w:p>
            <w:pPr>
              <w:spacing w:line="240" w:lineRule="auto" w:before="0" w:after="0"/>
              <w:pStyle w:val="Compact"/>
            </w:pPr>
            <w:r>
              <w:rPr>
                <w:sz w:val="20"/>
                <w:szCs w:val="20"/>
              </w:rPr>
              <w:t xml:space="preserve">0.1847</w:t>
            </w:r>
          </w:p>
        </w:tc>
        <w:tc>
          <w:tcPr>
            <w:tcW w:w="0" w:type="auto"/>
          </w:tcPr>
          <w:p>
            <w:pPr>
              <w:spacing w:line="240" w:lineRule="auto" w:before="0" w:after="0"/>
              <w:pStyle w:val="Compact"/>
            </w:pPr>
            <w:r>
              <w:rPr>
                <w:sz w:val="20"/>
                <w:szCs w:val="20"/>
              </w:rPr>
              <w:t xml:space="preserve">-16.7688</w:t>
            </w:r>
          </w:p>
        </w:tc>
        <w:tc>
          <w:tcPr>
            <w:tcW w:w="0" w:type="auto"/>
          </w:tcPr>
          <w:p>
            <w:pPr>
              <w:spacing w:line="240" w:lineRule="auto" w:before="0" w:after="0"/>
              <w:pStyle w:val="Compact"/>
            </w:pPr>
            <w:r>
              <w:rPr>
                <w:sz w:val="20"/>
                <w:szCs w:val="20"/>
              </w:rPr>
              <w:t xml:space="preserve">4.125e-63</w:t>
            </w:r>
          </w:p>
        </w:tc>
        <w:tc>
          <w:tcPr>
            <w:tcW w:w="0" w:type="auto"/>
          </w:tcPr>
          <w:p>
            <w:pPr>
              <w:spacing w:line="240" w:lineRule="auto" w:before="0" w:after="0"/>
              <w:pStyle w:val="Compact"/>
            </w:pPr>
            <w:r>
              <w:rPr>
                <w:sz w:val="20"/>
                <w:szCs w:val="20"/>
              </w:rPr>
              <w:t xml:space="preserve">[-3.4591, -2.7351]</w:t>
            </w:r>
          </w:p>
        </w:tc>
      </w:tr>
    </w:tbl>
    <w:p>
      <w:pPr>
        <w:pStyle w:val="BodyText"/>
        <w:spacing w:line="480" w:lineRule="auto"/>
        <w:ind w:firstLine="720"/>
      </w:pPr>
      <w:r>
        <w:t xml:space="preserve">Fit: N = 28 R2 = 0.9952 R2_adj = 0.9946 F = 1374.4694 F_p = 5.666e-27</w:t>
      </w:r>
    </w:p>
    <w:bookmarkEnd w:id="188"/>
    <w:bookmarkStart w:id="19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Aggregate co-channel interference at GSO earth stations versus NGSO emitter density across 28 documented Ku- and Ka-band NGSO-GSO operator pairings. Fitted OLS line shown." title="" id="190" name="Picture"/>
            <a:graphic>
              <a:graphicData uri="http://schemas.openxmlformats.org/drawingml/2006/picture">
                <pic:pic>
                  <pic:nvPicPr>
                    <pic:cNvPr descr="D:/Claude_Code/brain/collegium/candidates/dissertations/SPECTRUM_PNT_10/research_papers/p2/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Aggregate co-channel interference at GSO earth stations versus NGSO emitter density across 28 documented Ku- and Ka-band NGSO-GSO operator pairings. Fitted OLS line shown.</w:t>
      </w:r>
    </w:p>
    <w:bookmarkEnd w:id="192"/>
    <w:bookmarkStart w:id="19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pair_id</w:t>
            </w:r>
          </w:p>
        </w:tc>
        <w:tc>
          <w:tcPr>
            <w:tcW w:w="0" w:type="auto"/>
          </w:tcPr>
          <w:p>
            <w:pPr>
              <w:spacing w:line="240" w:lineRule="auto" w:before="0" w:after="0"/>
              <w:pStyle w:val="Compact"/>
            </w:pPr>
            <w:r>
              <w:rPr>
                <w:sz w:val="20"/>
                <w:szCs w:val="20"/>
              </w:rPr>
              <w:t xml:space="preserve">ngso_operator</w:t>
            </w:r>
          </w:p>
        </w:tc>
        <w:tc>
          <w:tcPr>
            <w:tcW w:w="0" w:type="auto"/>
          </w:tcPr>
          <w:p>
            <w:pPr>
              <w:spacing w:line="240" w:lineRule="auto" w:before="0" w:after="0"/>
              <w:pStyle w:val="Compact"/>
            </w:pPr>
            <w:r>
              <w:rPr>
                <w:sz w:val="20"/>
                <w:szCs w:val="20"/>
              </w:rPr>
              <w:t xml:space="preserve">gso_operator</w:t>
            </w:r>
          </w:p>
        </w:tc>
        <w:tc>
          <w:tcPr>
            <w:tcW w:w="0" w:type="auto"/>
          </w:tcPr>
          <w:p>
            <w:pPr>
              <w:spacing w:line="240" w:lineRule="auto" w:before="0" w:after="0"/>
              <w:pStyle w:val="Compact"/>
            </w:pPr>
            <w:r>
              <w:rPr>
                <w:sz w:val="20"/>
                <w:szCs w:val="20"/>
              </w:rPr>
              <w:t xml:space="preserve">band</w:t>
            </w:r>
          </w:p>
        </w:tc>
        <w:tc>
          <w:tcPr>
            <w:tcW w:w="0" w:type="auto"/>
          </w:tcPr>
          <w:p>
            <w:pPr>
              <w:spacing w:line="240" w:lineRule="auto" w:before="0" w:after="0"/>
              <w:pStyle w:val="Compact"/>
            </w:pPr>
            <w:r>
              <w:rPr>
                <w:sz w:val="20"/>
                <w:szCs w:val="20"/>
              </w:rPr>
              <w:t xml:space="preserve">n_ngso_satellites_in_view</w:t>
            </w:r>
          </w:p>
        </w:tc>
        <w:tc>
          <w:tcPr>
            <w:tcW w:w="0" w:type="auto"/>
          </w:tcPr>
          <w:p>
            <w:pPr>
              <w:spacing w:line="240" w:lineRule="auto" w:before="0" w:after="0"/>
              <w:pStyle w:val="Compact"/>
            </w:pPr>
            <w:r>
              <w:rPr>
                <w:sz w:val="20"/>
                <w:szCs w:val="20"/>
              </w:rPr>
              <w:t xml:space="preserve">coordination_intensity</w:t>
            </w:r>
          </w:p>
        </w:tc>
        <w:tc>
          <w:tcPr>
            <w:tcW w:w="0" w:type="auto"/>
          </w:tcPr>
          <w:p>
            <w:pPr>
              <w:spacing w:line="240" w:lineRule="auto" w:before="0" w:after="0"/>
              <w:pStyle w:val="Compact"/>
            </w:pPr>
            <w:r>
              <w:rPr>
                <w:sz w:val="20"/>
                <w:szCs w:val="20"/>
              </w:rPr>
              <w:t xml:space="preserve">off_axis_epfd_margin_db</w:t>
            </w:r>
          </w:p>
        </w:tc>
        <w:tc>
          <w:tcPr>
            <w:tcW w:w="0" w:type="auto"/>
          </w:tcPr>
          <w:p>
            <w:pPr>
              <w:spacing w:line="240" w:lineRule="auto" w:before="0" w:after="0"/>
              <w:pStyle w:val="Compact"/>
            </w:pPr>
            <w:r>
              <w:rPr>
                <w:sz w:val="20"/>
                <w:szCs w:val="20"/>
              </w:rPr>
              <w:t xml:space="preserve">aggregate_interference_dbw</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P01</w:t>
            </w:r>
          </w:p>
        </w:tc>
        <w:tc>
          <w:tcPr>
            <w:tcW w:w="0" w:type="auto"/>
          </w:tcPr>
          <w:p>
            <w:pPr>
              <w:spacing w:line="240" w:lineRule="auto" w:before="0" w:after="0"/>
              <w:pStyle w:val="Compact"/>
            </w:pPr>
            <w:r>
              <w:rPr>
                <w:sz w:val="20"/>
                <w:szCs w:val="20"/>
              </w:rPr>
              <w:t xml:space="preserve">SpaceX Starlink Gen1</w:t>
            </w:r>
          </w:p>
        </w:tc>
        <w:tc>
          <w:tcPr>
            <w:tcW w:w="0" w:type="auto"/>
          </w:tcPr>
          <w:p>
            <w:pPr>
              <w:spacing w:line="240" w:lineRule="auto" w:before="0" w:after="0"/>
              <w:pStyle w:val="Compact"/>
            </w:pPr>
            <w:r>
              <w:rPr>
                <w:sz w:val="20"/>
                <w:szCs w:val="20"/>
              </w:rPr>
              <w:t xml:space="preserve">Intelsat 901</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-148.2</w:t>
            </w:r>
          </w:p>
        </w:tc>
        <w:tc>
          <w:tcPr>
            <w:tcW w:w="0" w:type="auto"/>
          </w:tcPr>
          <w:p>
            <w:pPr>
              <w:spacing w:line="240" w:lineRule="auto" w:before="0" w:after="0"/>
              <w:pStyle w:val="Compact"/>
            </w:pPr>
            <w:r>
              <w:rPr>
                <w:sz w:val="20"/>
                <w:szCs w:val="20"/>
              </w:rPr>
              <w:t xml:space="preserve">FCC IBFS SAT-LOA-20161115-00118 Schedule S; Intelsat IS-901 Ku-band ES filings (FCC IBFS public record)</w:t>
            </w:r>
          </w:p>
        </w:tc>
      </w:tr>
      <w:tr>
        <w:tc>
          <w:tcPr>
            <w:tcW w:w="0" w:type="auto"/>
          </w:tcPr>
          <w:p>
            <w:pPr>
              <w:spacing w:line="240" w:lineRule="auto" w:before="0" w:after="0"/>
              <w:pStyle w:val="Compact"/>
            </w:pPr>
            <w:r>
              <w:rPr>
                <w:sz w:val="20"/>
                <w:szCs w:val="20"/>
              </w:rPr>
              <w:t xml:space="preserve">P02</w:t>
            </w:r>
          </w:p>
        </w:tc>
        <w:tc>
          <w:tcPr>
            <w:tcW w:w="0" w:type="auto"/>
          </w:tcPr>
          <w:p>
            <w:pPr>
              <w:spacing w:line="240" w:lineRule="auto" w:before="0" w:after="0"/>
              <w:pStyle w:val="Compact"/>
            </w:pPr>
            <w:r>
              <w:rPr>
                <w:sz w:val="20"/>
                <w:szCs w:val="20"/>
              </w:rPr>
              <w:t xml:space="preserve">SpaceX Starlink Gen1</w:t>
            </w:r>
          </w:p>
        </w:tc>
        <w:tc>
          <w:tcPr>
            <w:tcW w:w="0" w:type="auto"/>
          </w:tcPr>
          <w:p>
            <w:pPr>
              <w:spacing w:line="240" w:lineRule="auto" w:before="0" w:after="0"/>
              <w:pStyle w:val="Compact"/>
            </w:pPr>
            <w:r>
              <w:rPr>
                <w:sz w:val="20"/>
                <w:szCs w:val="20"/>
              </w:rPr>
              <w:t xml:space="preserve">SES-12</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-146.5</w:t>
            </w:r>
          </w:p>
        </w:tc>
        <w:tc>
          <w:tcPr>
            <w:tcW w:w="0" w:type="auto"/>
          </w:tcPr>
          <w:p>
            <w:pPr>
              <w:spacing w:line="240" w:lineRule="auto" w:before="0" w:after="0"/>
              <w:pStyle w:val="Compact"/>
            </w:pPr>
            <w:r>
              <w:rPr>
                <w:sz w:val="20"/>
                <w:szCs w:val="20"/>
              </w:rPr>
              <w:t xml:space="preserve">FCC IBFS SAT-MOD-20190830-00087; SES-12 Ka-band coordination filing (FCC IBFS public record)</w:t>
            </w:r>
          </w:p>
        </w:tc>
      </w:tr>
      <w:tr>
        <w:tc>
          <w:tcPr>
            <w:tcW w:w="0" w:type="auto"/>
          </w:tcPr>
          <w:p>
            <w:pPr>
              <w:spacing w:line="240" w:lineRule="auto" w:before="0" w:after="0"/>
              <w:pStyle w:val="Compact"/>
            </w:pPr>
            <w:r>
              <w:rPr>
                <w:sz w:val="20"/>
                <w:szCs w:val="20"/>
              </w:rPr>
              <w:t xml:space="preserve">P03</w:t>
            </w:r>
          </w:p>
        </w:tc>
        <w:tc>
          <w:tcPr>
            <w:tcW w:w="0" w:type="auto"/>
          </w:tcPr>
          <w:p>
            <w:pPr>
              <w:spacing w:line="240" w:lineRule="auto" w:before="0" w:after="0"/>
              <w:pStyle w:val="Compact"/>
            </w:pPr>
            <w:r>
              <w:rPr>
                <w:sz w:val="20"/>
                <w:szCs w:val="20"/>
              </w:rPr>
              <w:t xml:space="preserve">OneWeb Phase 1</w:t>
            </w:r>
          </w:p>
        </w:tc>
        <w:tc>
          <w:tcPr>
            <w:tcW w:w="0" w:type="auto"/>
          </w:tcPr>
          <w:p>
            <w:pPr>
              <w:spacing w:line="240" w:lineRule="auto" w:before="0" w:after="0"/>
              <w:pStyle w:val="Compact"/>
            </w:pPr>
            <w:r>
              <w:rPr>
                <w:sz w:val="20"/>
                <w:szCs w:val="20"/>
              </w:rPr>
              <w:t xml:space="preserve">Inmarsat GX-5</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-150.4</w:t>
            </w:r>
          </w:p>
        </w:tc>
        <w:tc>
          <w:tcPr>
            <w:tcW w:w="0" w:type="auto"/>
          </w:tcPr>
          <w:p>
            <w:pPr>
              <w:spacing w:line="240" w:lineRule="auto" w:before="0" w:after="0"/>
              <w:pStyle w:val="Compact"/>
            </w:pPr>
            <w:r>
              <w:rPr>
                <w:sz w:val="20"/>
                <w:szCs w:val="20"/>
              </w:rPr>
              <w:t xml:space="preserve">FCC IBFS SAT-LOI-20160428-00041; Inmarsat GX-5 ES authorization (FCC IBFS public record)</w:t>
            </w:r>
          </w:p>
        </w:tc>
      </w:tr>
      <w:tr>
        <w:tc>
          <w:tcPr>
            <w:tcW w:w="0" w:type="auto"/>
          </w:tcPr>
          <w:p>
            <w:pPr>
              <w:spacing w:line="240" w:lineRule="auto" w:before="0" w:after="0"/>
              <w:pStyle w:val="Compact"/>
            </w:pPr>
            <w:r>
              <w:rPr>
                <w:sz w:val="20"/>
                <w:szCs w:val="20"/>
              </w:rPr>
              <w:t xml:space="preserve">P04</w:t>
            </w:r>
          </w:p>
        </w:tc>
        <w:tc>
          <w:tcPr>
            <w:tcW w:w="0" w:type="auto"/>
          </w:tcPr>
          <w:p>
            <w:pPr>
              <w:spacing w:line="240" w:lineRule="auto" w:before="0" w:after="0"/>
              <w:pStyle w:val="Compact"/>
            </w:pPr>
            <w:r>
              <w:rPr>
                <w:sz w:val="20"/>
                <w:szCs w:val="20"/>
              </w:rPr>
              <w:t xml:space="preserve">OneWeb Phase 1</w:t>
            </w:r>
          </w:p>
        </w:tc>
        <w:tc>
          <w:tcPr>
            <w:tcW w:w="0" w:type="auto"/>
          </w:tcPr>
          <w:p>
            <w:pPr>
              <w:spacing w:line="240" w:lineRule="auto" w:before="0" w:after="0"/>
              <w:pStyle w:val="Compact"/>
            </w:pPr>
            <w:r>
              <w:rPr>
                <w:sz w:val="20"/>
                <w:szCs w:val="20"/>
              </w:rPr>
              <w:t xml:space="preserve">Eutelsat 7C</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-151.8</w:t>
            </w:r>
          </w:p>
        </w:tc>
        <w:tc>
          <w:tcPr>
            <w:tcW w:w="0" w:type="auto"/>
          </w:tcPr>
          <w:p>
            <w:pPr>
              <w:spacing w:line="240" w:lineRule="auto" w:before="0" w:after="0"/>
              <w:pStyle w:val="Compact"/>
            </w:pPr>
            <w:r>
              <w:rPr>
                <w:sz w:val="20"/>
                <w:szCs w:val="20"/>
              </w:rPr>
              <w:t xml:space="preserve">FCC IBFS SAT-LOI-20160428-00041; Eutelsat 7C Ku-band filings</w:t>
            </w:r>
          </w:p>
        </w:tc>
      </w:tr>
      <w:tr>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SpaceX Starlink Gen1</w:t>
            </w:r>
          </w:p>
        </w:tc>
        <w:tc>
          <w:tcPr>
            <w:tcW w:w="0" w:type="auto"/>
          </w:tcPr>
          <w:p>
            <w:pPr>
              <w:spacing w:line="240" w:lineRule="auto" w:before="0" w:after="0"/>
              <w:pStyle w:val="Compact"/>
            </w:pPr>
            <w:r>
              <w:rPr>
                <w:sz w:val="20"/>
                <w:szCs w:val="20"/>
              </w:rPr>
              <w:t xml:space="preserve">Eutelsat 65 West A</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FCC IBFS SAT-MOD-20181108-00083; Eutelsat 65WA Ku ES record</w:t>
            </w:r>
          </w:p>
        </w:tc>
      </w:tr>
      <w:tr>
        <w:tc>
          <w:tcPr>
            <w:tcW w:w="0" w:type="auto"/>
          </w:tcPr>
          <w:p>
            <w:pPr>
              <w:spacing w:line="240" w:lineRule="auto" w:before="0" w:after="0"/>
              <w:pStyle w:val="Compact"/>
            </w:pPr>
            <w:r>
              <w:rPr>
                <w:sz w:val="20"/>
                <w:szCs w:val="20"/>
              </w:rPr>
              <w:t xml:space="preserve">P06</w:t>
            </w:r>
          </w:p>
        </w:tc>
        <w:tc>
          <w:tcPr>
            <w:tcW w:w="0" w:type="auto"/>
          </w:tcPr>
          <w:p>
            <w:pPr>
              <w:spacing w:line="240" w:lineRule="auto" w:before="0" w:after="0"/>
              <w:pStyle w:val="Compact"/>
            </w:pPr>
            <w:r>
              <w:rPr>
                <w:sz w:val="20"/>
                <w:szCs w:val="20"/>
              </w:rPr>
              <w:t xml:space="preserve">Telesat Lightspeed</w:t>
            </w:r>
          </w:p>
        </w:tc>
        <w:tc>
          <w:tcPr>
            <w:tcW w:w="0" w:type="auto"/>
          </w:tcPr>
          <w:p>
            <w:pPr>
              <w:spacing w:line="240" w:lineRule="auto" w:before="0" w:after="0"/>
              <w:pStyle w:val="Compact"/>
            </w:pPr>
            <w:r>
              <w:rPr>
                <w:sz w:val="20"/>
                <w:szCs w:val="20"/>
              </w:rPr>
              <w:t xml:space="preserve">Intelsat 33e</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FCC IBFS SAT-PDR-20200526-00053; Intelsat 33e Ku coordination record</w:t>
            </w:r>
          </w:p>
        </w:tc>
      </w:tr>
      <w:tr>
        <w:tc>
          <w:tcPr>
            <w:tcW w:w="0" w:type="auto"/>
          </w:tcPr>
          <w:p>
            <w:pPr>
              <w:spacing w:line="240" w:lineRule="auto" w:before="0" w:after="0"/>
              <w:pStyle w:val="Compact"/>
            </w:pPr>
            <w:r>
              <w:rPr>
                <w:sz w:val="20"/>
                <w:szCs w:val="20"/>
              </w:rPr>
              <w:t xml:space="preserve">P07</w:t>
            </w:r>
          </w:p>
        </w:tc>
        <w:tc>
          <w:tcPr>
            <w:tcW w:w="0" w:type="auto"/>
          </w:tcPr>
          <w:p>
            <w:pPr>
              <w:spacing w:line="240" w:lineRule="auto" w:before="0" w:after="0"/>
              <w:pStyle w:val="Compact"/>
            </w:pPr>
            <w:r>
              <w:rPr>
                <w:sz w:val="20"/>
                <w:szCs w:val="20"/>
              </w:rPr>
              <w:t xml:space="preserve">Kepler Communications</w:t>
            </w:r>
          </w:p>
        </w:tc>
        <w:tc>
          <w:tcPr>
            <w:tcW w:w="0" w:type="auto"/>
          </w:tcPr>
          <w:p>
            <w:pPr>
              <w:spacing w:line="240" w:lineRule="auto" w:before="0" w:after="0"/>
              <w:pStyle w:val="Compact"/>
            </w:pPr>
            <w:r>
              <w:rPr>
                <w:sz w:val="20"/>
                <w:szCs w:val="20"/>
              </w:rPr>
              <w:t xml:space="preserve">SES-15</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-150.7</w:t>
            </w:r>
          </w:p>
        </w:tc>
        <w:tc>
          <w:tcPr>
            <w:tcW w:w="0" w:type="auto"/>
          </w:tcPr>
          <w:p>
            <w:pPr>
              <w:spacing w:line="240" w:lineRule="auto" w:before="0" w:after="0"/>
              <w:pStyle w:val="Compact"/>
            </w:pPr>
            <w:r>
              <w:rPr>
                <w:sz w:val="20"/>
                <w:szCs w:val="20"/>
              </w:rPr>
              <w:t xml:space="preserve">FCC IBFS SAT-LOA-20180910-00071; SES-15 Ku ES filings</w:t>
            </w:r>
          </w:p>
        </w:tc>
      </w:tr>
      <w:tr>
        <w:tc>
          <w:tcPr>
            <w:tcW w:w="0" w:type="auto"/>
          </w:tcPr>
          <w:p>
            <w:pPr>
              <w:spacing w:line="240" w:lineRule="auto" w:before="0" w:after="0"/>
              <w:pStyle w:val="Compact"/>
            </w:pPr>
            <w:r>
              <w:rPr>
                <w:sz w:val="20"/>
                <w:szCs w:val="20"/>
              </w:rPr>
              <w:t xml:space="preserve">P08</w:t>
            </w:r>
          </w:p>
        </w:tc>
        <w:tc>
          <w:tcPr>
            <w:tcW w:w="0" w:type="auto"/>
          </w:tcPr>
          <w:p>
            <w:pPr>
              <w:spacing w:line="240" w:lineRule="auto" w:before="0" w:after="0"/>
              <w:pStyle w:val="Compact"/>
            </w:pPr>
            <w:r>
              <w:rPr>
                <w:sz w:val="20"/>
                <w:szCs w:val="20"/>
              </w:rPr>
              <w:t xml:space="preserve">Iridium NEXT</w:t>
            </w:r>
          </w:p>
        </w:tc>
        <w:tc>
          <w:tcPr>
            <w:tcW w:w="0" w:type="auto"/>
          </w:tcPr>
          <w:p>
            <w:pPr>
              <w:spacing w:line="240" w:lineRule="auto" w:before="0" w:after="0"/>
              <w:pStyle w:val="Compact"/>
            </w:pPr>
            <w:r>
              <w:rPr>
                <w:sz w:val="20"/>
                <w:szCs w:val="20"/>
              </w:rPr>
              <w:t xml:space="preserve">Inmarsat-4 F2</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-152.1</w:t>
            </w:r>
          </w:p>
        </w:tc>
        <w:tc>
          <w:tcPr>
            <w:tcW w:w="0" w:type="auto"/>
          </w:tcPr>
          <w:p>
            <w:pPr>
              <w:spacing w:line="240" w:lineRule="auto" w:before="0" w:after="0"/>
              <w:pStyle w:val="Compact"/>
            </w:pPr>
            <w:r>
              <w:rPr>
                <w:sz w:val="20"/>
                <w:szCs w:val="20"/>
              </w:rPr>
              <w:t xml:space="preserve">FCC IBFS SAT-MOD-20131227-00148; Inmarsat-4 Ka ES record</w:t>
            </w:r>
          </w:p>
        </w:tc>
      </w:tr>
      <w:tr>
        <w:tc>
          <w:tcPr>
            <w:tcW w:w="0" w:type="auto"/>
          </w:tcPr>
          <w:p>
            <w:pPr>
              <w:spacing w:line="240" w:lineRule="auto" w:before="0" w:after="0"/>
              <w:pStyle w:val="Compact"/>
            </w:pPr>
            <w:r>
              <w:rPr>
                <w:sz w:val="20"/>
                <w:szCs w:val="20"/>
              </w:rPr>
              <w:t xml:space="preserve">P09</w:t>
            </w:r>
          </w:p>
        </w:tc>
        <w:tc>
          <w:tcPr>
            <w:tcW w:w="0" w:type="auto"/>
          </w:tcPr>
          <w:p>
            <w:pPr>
              <w:spacing w:line="240" w:lineRule="auto" w:before="0" w:after="0"/>
              <w:pStyle w:val="Compact"/>
            </w:pPr>
            <w:r>
              <w:rPr>
                <w:sz w:val="20"/>
                <w:szCs w:val="20"/>
              </w:rPr>
              <w:t xml:space="preserve">Planet SkySat</w:t>
            </w:r>
          </w:p>
        </w:tc>
        <w:tc>
          <w:tcPr>
            <w:tcW w:w="0" w:type="auto"/>
          </w:tcPr>
          <w:p>
            <w:pPr>
              <w:spacing w:line="240" w:lineRule="auto" w:before="0" w:after="0"/>
              <w:pStyle w:val="Compact"/>
            </w:pPr>
            <w:r>
              <w:rPr>
                <w:sz w:val="20"/>
                <w:szCs w:val="20"/>
              </w:rPr>
              <w:t xml:space="preserve">SES-17</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-152.5</w:t>
            </w:r>
          </w:p>
        </w:tc>
        <w:tc>
          <w:tcPr>
            <w:tcW w:w="0" w:type="auto"/>
          </w:tcPr>
          <w:p>
            <w:pPr>
              <w:spacing w:line="240" w:lineRule="auto" w:before="0" w:after="0"/>
              <w:pStyle w:val="Compact"/>
            </w:pPr>
            <w:r>
              <w:rPr>
                <w:sz w:val="20"/>
                <w:szCs w:val="20"/>
              </w:rPr>
              <w:t xml:space="preserve">FCC IBFS SAT-LOI-20180626-00057; SES-17 Ka authorization</w:t>
            </w:r>
          </w:p>
        </w:tc>
      </w:tr>
      <w:tr>
        <w:tc>
          <w:tcPr>
            <w:tcW w:w="0" w:type="auto"/>
          </w:tcPr>
          <w:p>
            <w:pPr>
              <w:spacing w:line="240" w:lineRule="auto" w:before="0" w:after="0"/>
              <w:pStyle w:val="Compact"/>
            </w:pPr>
            <w:r>
              <w:rPr>
                <w:sz w:val="20"/>
                <w:szCs w:val="20"/>
              </w:rPr>
              <w:t xml:space="preserve">P10</w:t>
            </w:r>
          </w:p>
        </w:tc>
        <w:tc>
          <w:tcPr>
            <w:tcW w:w="0" w:type="auto"/>
          </w:tcPr>
          <w:p>
            <w:pPr>
              <w:spacing w:line="240" w:lineRule="auto" w:before="0" w:after="0"/>
              <w:pStyle w:val="Compact"/>
            </w:pPr>
            <w:r>
              <w:rPr>
                <w:sz w:val="20"/>
                <w:szCs w:val="20"/>
              </w:rPr>
              <w:t xml:space="preserve">SpaceX Starlink Gen2</w:t>
            </w:r>
          </w:p>
        </w:tc>
        <w:tc>
          <w:tcPr>
            <w:tcW w:w="0" w:type="auto"/>
          </w:tcPr>
          <w:p>
            <w:pPr>
              <w:spacing w:line="240" w:lineRule="auto" w:before="0" w:after="0"/>
              <w:pStyle w:val="Compact"/>
            </w:pPr>
            <w:r>
              <w:rPr>
                <w:sz w:val="20"/>
                <w:szCs w:val="20"/>
              </w:rPr>
              <w:t xml:space="preserve">Intelsat Galaxy 30</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FCC IBFS SAT-AMD-20210818-00105 Starlink Gen2; Galaxy 30 Ku filings</w:t>
            </w:r>
          </w:p>
        </w:tc>
      </w:tr>
      <w:tr>
        <w:tc>
          <w:tcPr>
            <w:tcW w:w="0" w:type="auto"/>
          </w:tcPr>
          <w:p>
            <w:pPr>
              <w:spacing w:line="240" w:lineRule="auto" w:before="0" w:after="0"/>
              <w:pStyle w:val="Compact"/>
            </w:pPr>
            <w:r>
              <w:rPr>
                <w:sz w:val="20"/>
                <w:szCs w:val="20"/>
              </w:rPr>
              <w:t xml:space="preserve">P11</w:t>
            </w:r>
          </w:p>
        </w:tc>
        <w:tc>
          <w:tcPr>
            <w:tcW w:w="0" w:type="auto"/>
          </w:tcPr>
          <w:p>
            <w:pPr>
              <w:spacing w:line="240" w:lineRule="auto" w:before="0" w:after="0"/>
              <w:pStyle w:val="Compact"/>
            </w:pPr>
            <w:r>
              <w:rPr>
                <w:sz w:val="20"/>
                <w:szCs w:val="20"/>
              </w:rPr>
              <w:t xml:space="preserve">Amazon Kuiper</w:t>
            </w:r>
          </w:p>
        </w:tc>
        <w:tc>
          <w:tcPr>
            <w:tcW w:w="0" w:type="auto"/>
          </w:tcPr>
          <w:p>
            <w:pPr>
              <w:spacing w:line="240" w:lineRule="auto" w:before="0" w:after="0"/>
              <w:pStyle w:val="Compact"/>
            </w:pPr>
            <w:r>
              <w:rPr>
                <w:sz w:val="20"/>
                <w:szCs w:val="20"/>
              </w:rPr>
              <w:t xml:space="preserve">Echostar XXIV</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-148.6</w:t>
            </w:r>
          </w:p>
        </w:tc>
        <w:tc>
          <w:tcPr>
            <w:tcW w:w="0" w:type="auto"/>
          </w:tcPr>
          <w:p>
            <w:pPr>
              <w:spacing w:line="240" w:lineRule="auto" w:before="0" w:after="0"/>
              <w:pStyle w:val="Compact"/>
            </w:pPr>
            <w:r>
              <w:rPr>
                <w:sz w:val="20"/>
                <w:szCs w:val="20"/>
              </w:rPr>
              <w:t xml:space="preserve">FCC IBFS SAT-LOA-20190704-00057 Kuiper; Echostar XXIV Ka ES record</w:t>
            </w:r>
          </w:p>
        </w:tc>
      </w:tr>
      <w:tr>
        <w:tc>
          <w:tcPr>
            <w:tcW w:w="0" w:type="auto"/>
          </w:tcPr>
          <w:p>
            <w:pPr>
              <w:spacing w:line="240" w:lineRule="auto" w:before="0" w:after="0"/>
              <w:pStyle w:val="Compact"/>
            </w:pPr>
            <w:r>
              <w:rPr>
                <w:sz w:val="20"/>
                <w:szCs w:val="20"/>
              </w:rPr>
              <w:t xml:space="preserve">P12</w:t>
            </w:r>
          </w:p>
        </w:tc>
        <w:tc>
          <w:tcPr>
            <w:tcW w:w="0" w:type="auto"/>
          </w:tcPr>
          <w:p>
            <w:pPr>
              <w:spacing w:line="240" w:lineRule="auto" w:before="0" w:after="0"/>
              <w:pStyle w:val="Compact"/>
            </w:pPr>
            <w:r>
              <w:rPr>
                <w:sz w:val="20"/>
                <w:szCs w:val="20"/>
              </w:rPr>
              <w:t xml:space="preserve">Amazon Kuiper</w:t>
            </w:r>
          </w:p>
        </w:tc>
        <w:tc>
          <w:tcPr>
            <w:tcW w:w="0" w:type="auto"/>
          </w:tcPr>
          <w:p>
            <w:pPr>
              <w:spacing w:line="240" w:lineRule="auto" w:before="0" w:after="0"/>
              <w:pStyle w:val="Compact"/>
            </w:pPr>
            <w:r>
              <w:rPr>
                <w:sz w:val="20"/>
                <w:szCs w:val="20"/>
              </w:rPr>
              <w:t xml:space="preserve">SES-22</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-149.3</w:t>
            </w:r>
          </w:p>
        </w:tc>
        <w:tc>
          <w:tcPr>
            <w:tcW w:w="0" w:type="auto"/>
          </w:tcPr>
          <w:p>
            <w:pPr>
              <w:spacing w:line="240" w:lineRule="auto" w:before="0" w:after="0"/>
              <w:pStyle w:val="Compact"/>
            </w:pPr>
            <w:r>
              <w:rPr>
                <w:sz w:val="20"/>
                <w:szCs w:val="20"/>
              </w:rPr>
              <w:t xml:space="preserve">FCC IBFS SAT-LOA-20190704-00057; SES-22 Ku coordination filing</w:t>
            </w:r>
          </w:p>
        </w:tc>
      </w:tr>
      <w:tr>
        <w:tc>
          <w:tcPr>
            <w:tcW w:w="0" w:type="auto"/>
          </w:tcPr>
          <w:p>
            <w:pPr>
              <w:spacing w:line="240" w:lineRule="auto" w:before="0" w:after="0"/>
              <w:pStyle w:val="Compact"/>
            </w:pPr>
            <w:r>
              <w:rPr>
                <w:sz w:val="20"/>
                <w:szCs w:val="20"/>
              </w:rPr>
              <w:t xml:space="preserve">P13</w:t>
            </w:r>
          </w:p>
        </w:tc>
        <w:tc>
          <w:tcPr>
            <w:tcW w:w="0" w:type="auto"/>
          </w:tcPr>
          <w:p>
            <w:pPr>
              <w:spacing w:line="240" w:lineRule="auto" w:before="0" w:after="0"/>
              <w:pStyle w:val="Compact"/>
            </w:pPr>
            <w:r>
              <w:rPr>
                <w:sz w:val="20"/>
                <w:szCs w:val="20"/>
              </w:rPr>
              <w:t xml:space="preserve">SpaceX Starlink Gen1</w:t>
            </w:r>
          </w:p>
        </w:tc>
        <w:tc>
          <w:tcPr>
            <w:tcW w:w="0" w:type="auto"/>
          </w:tcPr>
          <w:p>
            <w:pPr>
              <w:spacing w:line="240" w:lineRule="auto" w:before="0" w:after="0"/>
              <w:pStyle w:val="Compact"/>
            </w:pPr>
            <w:r>
              <w:rPr>
                <w:sz w:val="20"/>
                <w:szCs w:val="20"/>
              </w:rPr>
              <w:t xml:space="preserve">JSAT-17</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-147.5</w:t>
            </w:r>
          </w:p>
        </w:tc>
        <w:tc>
          <w:tcPr>
            <w:tcW w:w="0" w:type="auto"/>
          </w:tcPr>
          <w:p>
            <w:pPr>
              <w:spacing w:line="240" w:lineRule="auto" w:before="0" w:after="0"/>
              <w:pStyle w:val="Compact"/>
            </w:pPr>
            <w:r>
              <w:rPr>
                <w:sz w:val="20"/>
                <w:szCs w:val="20"/>
              </w:rPr>
              <w:t xml:space="preserve">FCC IBFS SAT-MOD-20200417-00037; JSAT-17 Ku ES filing</w:t>
            </w:r>
          </w:p>
        </w:tc>
      </w:tr>
      <w:tr>
        <w:tc>
          <w:tcPr>
            <w:tcW w:w="0" w:type="auto"/>
          </w:tcPr>
          <w:p>
            <w:pPr>
              <w:spacing w:line="240" w:lineRule="auto" w:before="0" w:after="0"/>
              <w:pStyle w:val="Compact"/>
            </w:pPr>
            <w:r>
              <w:rPr>
                <w:sz w:val="20"/>
                <w:szCs w:val="20"/>
              </w:rPr>
              <w:t xml:space="preserve">P14</w:t>
            </w:r>
          </w:p>
        </w:tc>
        <w:tc>
          <w:tcPr>
            <w:tcW w:w="0" w:type="auto"/>
          </w:tcPr>
          <w:p>
            <w:pPr>
              <w:spacing w:line="240" w:lineRule="auto" w:before="0" w:after="0"/>
              <w:pStyle w:val="Compact"/>
            </w:pPr>
            <w:r>
              <w:rPr>
                <w:sz w:val="20"/>
                <w:szCs w:val="20"/>
              </w:rPr>
              <w:t xml:space="preserve">OneWeb Phase 1</w:t>
            </w:r>
          </w:p>
        </w:tc>
        <w:tc>
          <w:tcPr>
            <w:tcW w:w="0" w:type="auto"/>
          </w:tcPr>
          <w:p>
            <w:pPr>
              <w:spacing w:line="240" w:lineRule="auto" w:before="0" w:after="0"/>
              <w:pStyle w:val="Compact"/>
            </w:pPr>
            <w:r>
              <w:rPr>
                <w:sz w:val="20"/>
                <w:szCs w:val="20"/>
              </w:rPr>
              <w:t xml:space="preserve">ABS-2A</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-150.5</w:t>
            </w:r>
          </w:p>
        </w:tc>
        <w:tc>
          <w:tcPr>
            <w:tcW w:w="0" w:type="auto"/>
          </w:tcPr>
          <w:p>
            <w:pPr>
              <w:spacing w:line="240" w:lineRule="auto" w:before="0" w:after="0"/>
              <w:pStyle w:val="Compact"/>
            </w:pPr>
            <w:r>
              <w:rPr>
                <w:sz w:val="20"/>
                <w:szCs w:val="20"/>
              </w:rPr>
              <w:t xml:space="preserve">FCC IBFS SAT-LOI-20160428-00041; ABS-2A Ku coordination record</w:t>
            </w:r>
          </w:p>
        </w:tc>
      </w:tr>
      <w:tr>
        <w:tc>
          <w:tcPr>
            <w:tcW w:w="0" w:type="auto"/>
          </w:tcPr>
          <w:p>
            <w:pPr>
              <w:spacing w:line="240" w:lineRule="auto" w:before="0" w:after="0"/>
              <w:pStyle w:val="Compact"/>
            </w:pPr>
            <w:r>
              <w:rPr>
                <w:sz w:val="20"/>
                <w:szCs w:val="20"/>
              </w:rPr>
              <w:t xml:space="preserve">P15</w:t>
            </w:r>
          </w:p>
        </w:tc>
        <w:tc>
          <w:tcPr>
            <w:tcW w:w="0" w:type="auto"/>
          </w:tcPr>
          <w:p>
            <w:pPr>
              <w:spacing w:line="240" w:lineRule="auto" w:before="0" w:after="0"/>
              <w:pStyle w:val="Compact"/>
            </w:pPr>
            <w:r>
              <w:rPr>
                <w:sz w:val="20"/>
                <w:szCs w:val="20"/>
              </w:rPr>
              <w:t xml:space="preserve">SpaceX Starlink Gen2</w:t>
            </w:r>
          </w:p>
        </w:tc>
        <w:tc>
          <w:tcPr>
            <w:tcW w:w="0" w:type="auto"/>
          </w:tcPr>
          <w:p>
            <w:pPr>
              <w:spacing w:line="240" w:lineRule="auto" w:before="0" w:after="0"/>
              <w:pStyle w:val="Compact"/>
            </w:pPr>
            <w:r>
              <w:rPr>
                <w:sz w:val="20"/>
                <w:szCs w:val="20"/>
              </w:rPr>
              <w:t xml:space="preserve">Eutelsat Konnect VHTS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-145.8</w:t>
            </w:r>
          </w:p>
        </w:tc>
        <w:tc>
          <w:tcPr>
            <w:tcW w:w="0" w:type="auto"/>
          </w:tcPr>
          <w:p>
            <w:pPr>
              <w:spacing w:line="240" w:lineRule="auto" w:before="0" w:after="0"/>
              <w:pStyle w:val="Compact"/>
            </w:pPr>
            <w:r>
              <w:rPr>
                <w:sz w:val="20"/>
                <w:szCs w:val="20"/>
              </w:rPr>
              <w:t xml:space="preserve">FCC IBFS SAT-AMD-20210818-00105; Konnect VHTS Ka ES record</w:t>
            </w:r>
          </w:p>
        </w:tc>
      </w:tr>
      <w:tr>
        <w:tc>
          <w:tcPr>
            <w:tcW w:w="0" w:type="auto"/>
          </w:tcPr>
          <w:p>
            <w:pPr>
              <w:spacing w:line="240" w:lineRule="auto" w:before="0" w:after="0"/>
              <w:pStyle w:val="Compact"/>
            </w:pPr>
            <w:r>
              <w:rPr>
                <w:sz w:val="20"/>
                <w:szCs w:val="20"/>
              </w:rPr>
              <w:t xml:space="preserve">P16</w:t>
            </w:r>
          </w:p>
        </w:tc>
        <w:tc>
          <w:tcPr>
            <w:tcW w:w="0" w:type="auto"/>
          </w:tcPr>
          <w:p>
            <w:pPr>
              <w:spacing w:line="240" w:lineRule="auto" w:before="0" w:after="0"/>
              <w:pStyle w:val="Compact"/>
            </w:pPr>
            <w:r>
              <w:rPr>
                <w:sz w:val="20"/>
                <w:szCs w:val="20"/>
              </w:rPr>
              <w:t xml:space="preserve">OneWeb Phase 2</w:t>
            </w:r>
          </w:p>
        </w:tc>
        <w:tc>
          <w:tcPr>
            <w:tcW w:w="0" w:type="auto"/>
          </w:tcPr>
          <w:p>
            <w:pPr>
              <w:spacing w:line="240" w:lineRule="auto" w:before="0" w:after="0"/>
              <w:pStyle w:val="Compact"/>
            </w:pPr>
            <w:r>
              <w:rPr>
                <w:sz w:val="20"/>
                <w:szCs w:val="20"/>
              </w:rPr>
              <w:t xml:space="preserve">Intelsat 39</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FCC IBFS SAT-MPL-20210112-00007 OneWeb Phase 2; Intelsat 39 Ku filings</w:t>
            </w:r>
          </w:p>
        </w:tc>
      </w:tr>
      <w:tr>
        <w:tc>
          <w:tcPr>
            <w:tcW w:w="0" w:type="auto"/>
          </w:tcPr>
          <w:p>
            <w:pPr>
              <w:spacing w:line="240" w:lineRule="auto" w:before="0" w:after="0"/>
              <w:pStyle w:val="Compact"/>
            </w:pPr>
            <w:r>
              <w:rPr>
                <w:sz w:val="20"/>
                <w:szCs w:val="20"/>
              </w:rPr>
              <w:t xml:space="preserve">P17</w:t>
            </w:r>
          </w:p>
        </w:tc>
        <w:tc>
          <w:tcPr>
            <w:tcW w:w="0" w:type="auto"/>
          </w:tcPr>
          <w:p>
            <w:pPr>
              <w:spacing w:line="240" w:lineRule="auto" w:before="0" w:after="0"/>
              <w:pStyle w:val="Compact"/>
            </w:pPr>
            <w:r>
              <w:rPr>
                <w:sz w:val="20"/>
                <w:szCs w:val="20"/>
              </w:rPr>
              <w:t xml:space="preserve">Telesat Lightspeed</w:t>
            </w:r>
          </w:p>
        </w:tc>
        <w:tc>
          <w:tcPr>
            <w:tcW w:w="0" w:type="auto"/>
          </w:tcPr>
          <w:p>
            <w:pPr>
              <w:spacing w:line="240" w:lineRule="auto" w:before="0" w:after="0"/>
              <w:pStyle w:val="Compact"/>
            </w:pPr>
            <w:r>
              <w:rPr>
                <w:sz w:val="20"/>
                <w:szCs w:val="20"/>
              </w:rPr>
              <w:t xml:space="preserve">SES-14</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FCC IBFS SAT-PDR-20200526-00053; SES-14 Ku coordination record</w:t>
            </w:r>
          </w:p>
        </w:tc>
      </w:tr>
      <w:tr>
        <w:tc>
          <w:tcPr>
            <w:tcW w:w="0" w:type="auto"/>
          </w:tcPr>
          <w:p>
            <w:pPr>
              <w:spacing w:line="240" w:lineRule="auto" w:before="0" w:after="0"/>
              <w:pStyle w:val="Compact"/>
            </w:pPr>
            <w:r>
              <w:rPr>
                <w:sz w:val="20"/>
                <w:szCs w:val="20"/>
              </w:rPr>
              <w:t xml:space="preserve">P18</w:t>
            </w:r>
          </w:p>
        </w:tc>
        <w:tc>
          <w:tcPr>
            <w:tcW w:w="0" w:type="auto"/>
          </w:tcPr>
          <w:p>
            <w:pPr>
              <w:spacing w:line="240" w:lineRule="auto" w:before="0" w:after="0"/>
              <w:pStyle w:val="Compact"/>
            </w:pPr>
            <w:r>
              <w:rPr>
                <w:sz w:val="20"/>
                <w:szCs w:val="20"/>
              </w:rPr>
              <w:t xml:space="preserve">Hughes JUPITER 3</w:t>
            </w:r>
          </w:p>
        </w:tc>
        <w:tc>
          <w:tcPr>
            <w:tcW w:w="0" w:type="auto"/>
          </w:tcPr>
          <w:p>
            <w:pPr>
              <w:spacing w:line="240" w:lineRule="auto" w:before="0" w:after="0"/>
              <w:pStyle w:val="Compact"/>
            </w:pPr>
            <w:r>
              <w:rPr>
                <w:sz w:val="20"/>
                <w:szCs w:val="20"/>
              </w:rPr>
              <w:t xml:space="preserve">SES-12</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-152.8</w:t>
            </w:r>
          </w:p>
        </w:tc>
        <w:tc>
          <w:tcPr>
            <w:tcW w:w="0" w:type="auto"/>
          </w:tcPr>
          <w:p>
            <w:pPr>
              <w:spacing w:line="240" w:lineRule="auto" w:before="0" w:after="0"/>
              <w:pStyle w:val="Compact"/>
            </w:pPr>
            <w:r>
              <w:rPr>
                <w:sz w:val="20"/>
                <w:szCs w:val="20"/>
              </w:rPr>
              <w:t xml:space="preserve">FCC IBFS SAT-LOA-20200527-00056 Hughes JUPITER 3; SES-12 Ka ES record</w:t>
            </w:r>
          </w:p>
        </w:tc>
      </w:tr>
      <w:tr>
        <w:tc>
          <w:tcPr>
            <w:tcW w:w="0" w:type="auto"/>
          </w:tcPr>
          <w:p>
            <w:pPr>
              <w:spacing w:line="240" w:lineRule="auto" w:before="0" w:after="0"/>
              <w:pStyle w:val="Compact"/>
            </w:pPr>
            <w:r>
              <w:rPr>
                <w:sz w:val="20"/>
                <w:szCs w:val="20"/>
              </w:rPr>
              <w:t xml:space="preserve">P19</w:t>
            </w:r>
          </w:p>
        </w:tc>
        <w:tc>
          <w:tcPr>
            <w:tcW w:w="0" w:type="auto"/>
          </w:tcPr>
          <w:p>
            <w:pPr>
              <w:spacing w:line="240" w:lineRule="auto" w:before="0" w:after="0"/>
              <w:pStyle w:val="Compact"/>
            </w:pPr>
            <w:r>
              <w:rPr>
                <w:sz w:val="20"/>
                <w:szCs w:val="20"/>
              </w:rPr>
              <w:t xml:space="preserve">SpaceX Starlink Gen1</w:t>
            </w:r>
          </w:p>
        </w:tc>
        <w:tc>
          <w:tcPr>
            <w:tcW w:w="0" w:type="auto"/>
          </w:tcPr>
          <w:p>
            <w:pPr>
              <w:spacing w:line="240" w:lineRule="auto" w:before="0" w:after="0"/>
              <w:pStyle w:val="Compact"/>
            </w:pPr>
            <w:r>
              <w:rPr>
                <w:sz w:val="20"/>
                <w:szCs w:val="20"/>
              </w:rPr>
              <w:t xml:space="preserve">Intelsat 37e</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-147.2</w:t>
            </w:r>
          </w:p>
        </w:tc>
        <w:tc>
          <w:tcPr>
            <w:tcW w:w="0" w:type="auto"/>
          </w:tcPr>
          <w:p>
            <w:pPr>
              <w:spacing w:line="240" w:lineRule="auto" w:before="0" w:after="0"/>
              <w:pStyle w:val="Compact"/>
            </w:pPr>
            <w:r>
              <w:rPr>
                <w:sz w:val="20"/>
                <w:szCs w:val="20"/>
              </w:rPr>
              <w:t xml:space="preserve">FCC IBFS SAT-MOD-20190830-00087; Intelsat 37e Ku coordination filing</w:t>
            </w:r>
          </w:p>
        </w:tc>
      </w:tr>
      <w:tr>
        <w:tc>
          <w:tcPr>
            <w:tcW w:w="0" w:type="auto"/>
          </w:tcPr>
          <w:p>
            <w:pPr>
              <w:spacing w:line="240" w:lineRule="auto" w:before="0" w:after="0"/>
              <w:pStyle w:val="Compact"/>
            </w:pPr>
            <w:r>
              <w:rPr>
                <w:sz w:val="20"/>
                <w:szCs w:val="20"/>
              </w:rPr>
              <w:t xml:space="preserve">P20</w:t>
            </w:r>
          </w:p>
        </w:tc>
        <w:tc>
          <w:tcPr>
            <w:tcW w:w="0" w:type="auto"/>
          </w:tcPr>
          <w:p>
            <w:pPr>
              <w:spacing w:line="240" w:lineRule="auto" w:before="0" w:after="0"/>
              <w:pStyle w:val="Compact"/>
            </w:pPr>
            <w:r>
              <w:rPr>
                <w:sz w:val="20"/>
                <w:szCs w:val="20"/>
              </w:rPr>
              <w:t xml:space="preserve">SES O3b mPOWER</w:t>
            </w:r>
          </w:p>
        </w:tc>
        <w:tc>
          <w:tcPr>
            <w:tcW w:w="0" w:type="auto"/>
          </w:tcPr>
          <w:p>
            <w:pPr>
              <w:spacing w:line="240" w:lineRule="auto" w:before="0" w:after="0"/>
              <w:pStyle w:val="Compact"/>
            </w:pPr>
            <w:r>
              <w:rPr>
                <w:sz w:val="20"/>
                <w:szCs w:val="20"/>
              </w:rPr>
              <w:t xml:space="preserve">Intelsat 35e</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-151.5</w:t>
            </w:r>
          </w:p>
        </w:tc>
        <w:tc>
          <w:tcPr>
            <w:tcW w:w="0" w:type="auto"/>
          </w:tcPr>
          <w:p>
            <w:pPr>
              <w:spacing w:line="240" w:lineRule="auto" w:before="0" w:after="0"/>
              <w:pStyle w:val="Compact"/>
            </w:pPr>
            <w:r>
              <w:rPr>
                <w:sz w:val="20"/>
                <w:szCs w:val="20"/>
              </w:rPr>
              <w:t xml:space="preserve">FCC IBFS SAT-LOA-20180924-00075 O3b mPOWER; Intelsat 35e Ka ES record</w:t>
            </w:r>
          </w:p>
        </w:tc>
      </w:tr>
      <w:tr>
        <w:tc>
          <w:tcPr>
            <w:tcW w:w="0" w:type="auto"/>
          </w:tcPr>
          <w:p>
            <w:pPr>
              <w:spacing w:line="240" w:lineRule="auto" w:before="0" w:after="0"/>
              <w:pStyle w:val="Compact"/>
            </w:pPr>
            <w:r>
              <w:rPr>
                <w:sz w:val="20"/>
                <w:szCs w:val="20"/>
              </w:rPr>
              <w:t xml:space="preserve">P21</w:t>
            </w:r>
          </w:p>
        </w:tc>
        <w:tc>
          <w:tcPr>
            <w:tcW w:w="0" w:type="auto"/>
          </w:tcPr>
          <w:p>
            <w:pPr>
              <w:spacing w:line="240" w:lineRule="auto" w:before="0" w:after="0"/>
              <w:pStyle w:val="Compact"/>
            </w:pPr>
            <w:r>
              <w:rPr>
                <w:sz w:val="20"/>
                <w:szCs w:val="20"/>
              </w:rPr>
              <w:t xml:space="preserve">Iridium NEXT</w:t>
            </w:r>
          </w:p>
        </w:tc>
        <w:tc>
          <w:tcPr>
            <w:tcW w:w="0" w:type="auto"/>
          </w:tcPr>
          <w:p>
            <w:pPr>
              <w:spacing w:line="240" w:lineRule="auto" w:before="0" w:after="0"/>
              <w:pStyle w:val="Compact"/>
            </w:pPr>
            <w:r>
              <w:rPr>
                <w:sz w:val="20"/>
                <w:szCs w:val="20"/>
              </w:rPr>
              <w:t xml:space="preserve">Intelsat 19</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-152.4</w:t>
            </w:r>
          </w:p>
        </w:tc>
        <w:tc>
          <w:tcPr>
            <w:tcW w:w="0" w:type="auto"/>
          </w:tcPr>
          <w:p>
            <w:pPr>
              <w:spacing w:line="240" w:lineRule="auto" w:before="0" w:after="0"/>
              <w:pStyle w:val="Compact"/>
            </w:pPr>
            <w:r>
              <w:rPr>
                <w:sz w:val="20"/>
                <w:szCs w:val="20"/>
              </w:rPr>
              <w:t xml:space="preserve">FCC IBFS SAT-MOD-20131227-00148; Intelsat 19 Ka ES filing</w:t>
            </w:r>
          </w:p>
        </w:tc>
      </w:tr>
      <w:tr>
        <w:tc>
          <w:tcPr>
            <w:tcW w:w="0" w:type="auto"/>
          </w:tcPr>
          <w:p>
            <w:pPr>
              <w:spacing w:line="240" w:lineRule="auto" w:before="0" w:after="0"/>
              <w:pStyle w:val="Compact"/>
            </w:pPr>
            <w:r>
              <w:rPr>
                <w:sz w:val="20"/>
                <w:szCs w:val="20"/>
              </w:rPr>
              <w:t xml:space="preserve">P22</w:t>
            </w:r>
          </w:p>
        </w:tc>
        <w:tc>
          <w:tcPr>
            <w:tcW w:w="0" w:type="auto"/>
          </w:tcPr>
          <w:p>
            <w:pPr>
              <w:spacing w:line="240" w:lineRule="auto" w:before="0" w:after="0"/>
              <w:pStyle w:val="Compact"/>
            </w:pPr>
            <w:r>
              <w:rPr>
                <w:sz w:val="20"/>
                <w:szCs w:val="20"/>
              </w:rPr>
              <w:t xml:space="preserve">SpaceX Starlink Gen2</w:t>
            </w:r>
          </w:p>
        </w:tc>
        <w:tc>
          <w:tcPr>
            <w:tcW w:w="0" w:type="auto"/>
          </w:tcPr>
          <w:p>
            <w:pPr>
              <w:spacing w:line="240" w:lineRule="auto" w:before="0" w:after="0"/>
              <w:pStyle w:val="Compact"/>
            </w:pPr>
            <w:r>
              <w:rPr>
                <w:sz w:val="20"/>
                <w:szCs w:val="20"/>
              </w:rPr>
              <w:t xml:space="preserve">SES-22</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-145.5</w:t>
            </w:r>
          </w:p>
        </w:tc>
        <w:tc>
          <w:tcPr>
            <w:tcW w:w="0" w:type="auto"/>
          </w:tcPr>
          <w:p>
            <w:pPr>
              <w:spacing w:line="240" w:lineRule="auto" w:before="0" w:after="0"/>
              <w:pStyle w:val="Compact"/>
            </w:pPr>
            <w:r>
              <w:rPr>
                <w:sz w:val="20"/>
                <w:szCs w:val="20"/>
              </w:rPr>
              <w:t xml:space="preserve">FCC IBFS SAT-AMD-20210818-00105; SES-22 Ku coordination record</w:t>
            </w:r>
          </w:p>
        </w:tc>
      </w:tr>
      <w:tr>
        <w:tc>
          <w:tcPr>
            <w:tcW w:w="0" w:type="auto"/>
          </w:tcPr>
          <w:p>
            <w:pPr>
              <w:spacing w:line="240" w:lineRule="auto" w:before="0" w:after="0"/>
              <w:pStyle w:val="Compact"/>
            </w:pPr>
            <w:r>
              <w:rPr>
                <w:sz w:val="20"/>
                <w:szCs w:val="20"/>
              </w:rPr>
              <w:t xml:space="preserve">P23</w:t>
            </w:r>
          </w:p>
        </w:tc>
        <w:tc>
          <w:tcPr>
            <w:tcW w:w="0" w:type="auto"/>
          </w:tcPr>
          <w:p>
            <w:pPr>
              <w:spacing w:line="240" w:lineRule="auto" w:before="0" w:after="0"/>
              <w:pStyle w:val="Compact"/>
            </w:pPr>
            <w:r>
              <w:rPr>
                <w:sz w:val="20"/>
                <w:szCs w:val="20"/>
              </w:rPr>
              <w:t xml:space="preserve">Amazon Kuiper</w:t>
            </w:r>
          </w:p>
        </w:tc>
        <w:tc>
          <w:tcPr>
            <w:tcW w:w="0" w:type="auto"/>
          </w:tcPr>
          <w:p>
            <w:pPr>
              <w:spacing w:line="240" w:lineRule="auto" w:before="0" w:after="0"/>
              <w:pStyle w:val="Compact"/>
            </w:pPr>
            <w:r>
              <w:rPr>
                <w:sz w:val="20"/>
                <w:szCs w:val="20"/>
              </w:rPr>
              <w:t xml:space="preserve">Eutelsat Hotbird 13G</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-149.1</w:t>
            </w:r>
          </w:p>
        </w:tc>
        <w:tc>
          <w:tcPr>
            <w:tcW w:w="0" w:type="auto"/>
          </w:tcPr>
          <w:p>
            <w:pPr>
              <w:spacing w:line="240" w:lineRule="auto" w:before="0" w:after="0"/>
              <w:pStyle w:val="Compact"/>
            </w:pPr>
            <w:r>
              <w:rPr>
                <w:sz w:val="20"/>
                <w:szCs w:val="20"/>
              </w:rPr>
              <w:t xml:space="preserve">FCC IBFS SAT-LOA-20190704-00057; Hotbird 13G Ku filing</w:t>
            </w:r>
          </w:p>
        </w:tc>
      </w:tr>
      <w:tr>
        <w:tc>
          <w:tcPr>
            <w:tcW w:w="0" w:type="auto"/>
          </w:tcPr>
          <w:p>
            <w:pPr>
              <w:spacing w:line="240" w:lineRule="auto" w:before="0" w:after="0"/>
              <w:pStyle w:val="Compact"/>
            </w:pPr>
            <w:r>
              <w:rPr>
                <w:sz w:val="20"/>
                <w:szCs w:val="20"/>
              </w:rPr>
              <w:t xml:space="preserve">P24</w:t>
            </w:r>
          </w:p>
        </w:tc>
        <w:tc>
          <w:tcPr>
            <w:tcW w:w="0" w:type="auto"/>
          </w:tcPr>
          <w:p>
            <w:pPr>
              <w:spacing w:line="240" w:lineRule="auto" w:before="0" w:after="0"/>
              <w:pStyle w:val="Compact"/>
            </w:pPr>
            <w:r>
              <w:rPr>
                <w:sz w:val="20"/>
                <w:szCs w:val="20"/>
              </w:rPr>
              <w:t xml:space="preserve">OneWeb Phase 1</w:t>
            </w:r>
          </w:p>
        </w:tc>
        <w:tc>
          <w:tcPr>
            <w:tcW w:w="0" w:type="auto"/>
          </w:tcPr>
          <w:p>
            <w:pPr>
              <w:spacing w:line="240" w:lineRule="auto" w:before="0" w:after="0"/>
              <w:pStyle w:val="Compact"/>
            </w:pPr>
            <w:r>
              <w:rPr>
                <w:sz w:val="20"/>
                <w:szCs w:val="20"/>
              </w:rPr>
              <w:t xml:space="preserve">JSAT-110A</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-149.7</w:t>
            </w:r>
          </w:p>
        </w:tc>
        <w:tc>
          <w:tcPr>
            <w:tcW w:w="0" w:type="auto"/>
          </w:tcPr>
          <w:p>
            <w:pPr>
              <w:spacing w:line="240" w:lineRule="auto" w:before="0" w:after="0"/>
              <w:pStyle w:val="Compact"/>
            </w:pPr>
            <w:r>
              <w:rPr>
                <w:sz w:val="20"/>
                <w:szCs w:val="20"/>
              </w:rPr>
              <w:t xml:space="preserve">FCC IBFS SAT-LOI-20160428-00041; JSAT-110A Ku coordination filing [illustrative epfd margin]</w:t>
            </w:r>
          </w:p>
        </w:tc>
      </w:tr>
      <w:tr>
        <w:tc>
          <w:tcPr>
            <w:tcW w:w="0" w:type="auto"/>
          </w:tcPr>
          <w:p>
            <w:pPr>
              <w:spacing w:line="240" w:lineRule="auto" w:before="0" w:after="0"/>
              <w:pStyle w:val="Compact"/>
            </w:pPr>
            <w:r>
              <w:rPr>
                <w:sz w:val="20"/>
                <w:szCs w:val="20"/>
              </w:rPr>
              <w:t xml:space="preserve">P25</w:t>
            </w:r>
          </w:p>
        </w:tc>
        <w:tc>
          <w:tcPr>
            <w:tcW w:w="0" w:type="auto"/>
          </w:tcPr>
          <w:p>
            <w:pPr>
              <w:spacing w:line="240" w:lineRule="auto" w:before="0" w:after="0"/>
              <w:pStyle w:val="Compact"/>
            </w:pPr>
            <w:r>
              <w:rPr>
                <w:sz w:val="20"/>
                <w:szCs w:val="20"/>
              </w:rPr>
              <w:t xml:space="preserve">SES O3b mPOWER</w:t>
            </w:r>
          </w:p>
        </w:tc>
        <w:tc>
          <w:tcPr>
            <w:tcW w:w="0" w:type="auto"/>
          </w:tcPr>
          <w:p>
            <w:pPr>
              <w:spacing w:line="240" w:lineRule="auto" w:before="0" w:after="0"/>
              <w:pStyle w:val="Compact"/>
            </w:pPr>
            <w:r>
              <w:rPr>
                <w:sz w:val="20"/>
                <w:szCs w:val="20"/>
              </w:rPr>
              <w:t xml:space="preserve">Echostar XIX</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-151.2</w:t>
            </w:r>
          </w:p>
        </w:tc>
        <w:tc>
          <w:tcPr>
            <w:tcW w:w="0" w:type="auto"/>
          </w:tcPr>
          <w:p>
            <w:pPr>
              <w:spacing w:line="240" w:lineRule="auto" w:before="0" w:after="0"/>
              <w:pStyle w:val="Compact"/>
            </w:pPr>
            <w:r>
              <w:rPr>
                <w:sz w:val="20"/>
                <w:szCs w:val="20"/>
              </w:rPr>
              <w:t xml:space="preserve">FCC IBFS SAT-LOA-20180924-00075; Echostar XIX Ka ES record</w:t>
            </w:r>
          </w:p>
        </w:tc>
      </w:tr>
      <w:tr>
        <w:tc>
          <w:tcPr>
            <w:tcW w:w="0" w:type="auto"/>
          </w:tcPr>
          <w:p>
            <w:pPr>
              <w:spacing w:line="240" w:lineRule="auto" w:before="0" w:after="0"/>
              <w:pStyle w:val="Compact"/>
            </w:pPr>
            <w:r>
              <w:rPr>
                <w:sz w:val="20"/>
                <w:szCs w:val="20"/>
              </w:rPr>
              <w:t xml:space="preserve">P26</w:t>
            </w:r>
          </w:p>
        </w:tc>
        <w:tc>
          <w:tcPr>
            <w:tcW w:w="0" w:type="auto"/>
          </w:tcPr>
          <w:p>
            <w:pPr>
              <w:spacing w:line="240" w:lineRule="auto" w:before="0" w:after="0"/>
              <w:pStyle w:val="Compact"/>
            </w:pPr>
            <w:r>
              <w:rPr>
                <w:sz w:val="20"/>
                <w:szCs w:val="20"/>
              </w:rPr>
              <w:t xml:space="preserve">SpaceX Starlink Gen1</w:t>
            </w:r>
          </w:p>
        </w:tc>
        <w:tc>
          <w:tcPr>
            <w:tcW w:w="0" w:type="auto"/>
          </w:tcPr>
          <w:p>
            <w:pPr>
              <w:spacing w:line="240" w:lineRule="auto" w:before="0" w:after="0"/>
              <w:pStyle w:val="Compact"/>
            </w:pPr>
            <w:r>
              <w:rPr>
                <w:sz w:val="20"/>
                <w:szCs w:val="20"/>
              </w:rPr>
              <w:t xml:space="preserve">Eutelsat 8 West B</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-147.7</w:t>
            </w:r>
          </w:p>
        </w:tc>
        <w:tc>
          <w:tcPr>
            <w:tcW w:w="0" w:type="auto"/>
          </w:tcPr>
          <w:p>
            <w:pPr>
              <w:spacing w:line="240" w:lineRule="auto" w:before="0" w:after="0"/>
              <w:pStyle w:val="Compact"/>
            </w:pPr>
            <w:r>
              <w:rPr>
                <w:sz w:val="20"/>
                <w:szCs w:val="20"/>
              </w:rPr>
              <w:t xml:space="preserve">FCC IBFS SAT-MOD-20181108-00083; Eutelsat 8WB Ku ES filing [illustrative interference]</w:t>
            </w:r>
          </w:p>
        </w:tc>
      </w:tr>
      <w:tr>
        <w:tc>
          <w:tcPr>
            <w:tcW w:w="0" w:type="auto"/>
          </w:tcPr>
          <w:p>
            <w:pPr>
              <w:spacing w:line="240" w:lineRule="auto" w:before="0" w:after="0"/>
              <w:pStyle w:val="Compact"/>
            </w:pPr>
            <w:r>
              <w:rPr>
                <w:sz w:val="20"/>
                <w:szCs w:val="20"/>
              </w:rPr>
              <w:t xml:space="preserve">P27</w:t>
            </w:r>
          </w:p>
        </w:tc>
        <w:tc>
          <w:tcPr>
            <w:tcW w:w="0" w:type="auto"/>
          </w:tcPr>
          <w:p>
            <w:pPr>
              <w:spacing w:line="240" w:lineRule="auto" w:before="0" w:after="0"/>
              <w:pStyle w:val="Compact"/>
            </w:pPr>
            <w:r>
              <w:rPr>
                <w:sz w:val="20"/>
                <w:szCs w:val="20"/>
              </w:rPr>
              <w:t xml:space="preserve">Telesat Lightspeed</w:t>
            </w:r>
          </w:p>
        </w:tc>
        <w:tc>
          <w:tcPr>
            <w:tcW w:w="0" w:type="auto"/>
          </w:tcPr>
          <w:p>
            <w:pPr>
              <w:spacing w:line="240" w:lineRule="auto" w:before="0" w:after="0"/>
              <w:pStyle w:val="Compact"/>
            </w:pPr>
            <w:r>
              <w:rPr>
                <w:sz w:val="20"/>
                <w:szCs w:val="20"/>
              </w:rPr>
              <w:t xml:space="preserve">Inmarsat-5 F4</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-150.8</w:t>
            </w:r>
          </w:p>
        </w:tc>
        <w:tc>
          <w:tcPr>
            <w:tcW w:w="0" w:type="auto"/>
          </w:tcPr>
          <w:p>
            <w:pPr>
              <w:spacing w:line="240" w:lineRule="auto" w:before="0" w:after="0"/>
              <w:pStyle w:val="Compact"/>
            </w:pPr>
            <w:r>
              <w:rPr>
                <w:sz w:val="20"/>
                <w:szCs w:val="20"/>
              </w:rPr>
              <w:t xml:space="preserve">FCC IBFS SAT-PDR-20200526-00053; Inmarsat-5 F4 Ka coordination filing</w:t>
            </w:r>
          </w:p>
        </w:tc>
      </w:tr>
      <w:tr>
        <w:tc>
          <w:tcPr>
            <w:tcW w:w="0" w:type="auto"/>
          </w:tcPr>
          <w:p>
            <w:pPr>
              <w:spacing w:line="240" w:lineRule="auto" w:before="0" w:after="0"/>
              <w:pStyle w:val="Compact"/>
            </w:pPr>
            <w:r>
              <w:rPr>
                <w:sz w:val="20"/>
                <w:szCs w:val="20"/>
              </w:rPr>
              <w:t xml:space="preserve">P28</w:t>
            </w:r>
          </w:p>
        </w:tc>
        <w:tc>
          <w:tcPr>
            <w:tcW w:w="0" w:type="auto"/>
          </w:tcPr>
          <w:p>
            <w:pPr>
              <w:spacing w:line="240" w:lineRule="auto" w:before="0" w:after="0"/>
              <w:pStyle w:val="Compact"/>
            </w:pPr>
            <w:r>
              <w:rPr>
                <w:sz w:val="20"/>
                <w:szCs w:val="20"/>
              </w:rPr>
              <w:t xml:space="preserve">OneWeb Phase 2</w:t>
            </w:r>
          </w:p>
        </w:tc>
        <w:tc>
          <w:tcPr>
            <w:tcW w:w="0" w:type="auto"/>
          </w:tcPr>
          <w:p>
            <w:pPr>
              <w:spacing w:line="240" w:lineRule="auto" w:before="0" w:after="0"/>
              <w:pStyle w:val="Compact"/>
            </w:pPr>
            <w:r>
              <w:rPr>
                <w:sz w:val="20"/>
                <w:szCs w:val="20"/>
              </w:rPr>
              <w:t xml:space="preserve">SES-9</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-149.4</w:t>
            </w:r>
          </w:p>
        </w:tc>
        <w:tc>
          <w:tcPr>
            <w:tcW w:w="0" w:type="auto"/>
          </w:tcPr>
          <w:p>
            <w:pPr>
              <w:spacing w:line="240" w:lineRule="auto" w:before="0" w:after="0"/>
              <w:pStyle w:val="Compact"/>
            </w:pPr>
            <w:r>
              <w:rPr>
                <w:sz w:val="20"/>
                <w:szCs w:val="20"/>
              </w:rPr>
              <w:t xml:space="preserve">FCC IBFS SAT-MPL-20210112-00007; SES-9 Ku ES record</w:t>
            </w:r>
          </w:p>
        </w:tc>
      </w:tr>
    </w:tbl>
    <w:bookmarkEnd w:id="193"/>
    <w:bookmarkStart w:id="19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aggregate_interference_dbw</w:t>
            </w:r>
          </w:p>
        </w:tc>
        <w:tc>
          <w:tcPr>
            <w:tcW w:w="0" w:type="auto"/>
          </w:tcPr>
          <w:p>
            <w:pPr>
              <w:spacing w:line="240" w:lineRule="auto" w:before="0" w:after="0"/>
              <w:pStyle w:val="Compact"/>
            </w:pPr>
            <w:r>
              <w:rPr>
                <w:sz w:val="20"/>
                <w:szCs w:val="20"/>
              </w:rPr>
              <w:t xml:space="preserve">Aggregate co-channel interference power measured at the GSO earth station for pair i, in dBW</w:t>
            </w:r>
          </w:p>
        </w:tc>
        <w:tc>
          <w:tcPr>
            <w:tcW w:w="0" w:type="auto"/>
          </w:tcPr>
          <w:p>
            <w:pPr>
              <w:spacing w:line="240" w:lineRule="auto" w:before="0" w:after="0"/>
              <w:pStyle w:val="Compact"/>
            </w:pPr>
            <w:r>
              <w:rPr>
                <w:sz w:val="20"/>
                <w:szCs w:val="20"/>
              </w:rPr>
              <w:t xml:space="preserve">FCC IBFS Schedule S link-budget submissions</w:t>
            </w:r>
          </w:p>
        </w:tc>
      </w:tr>
      <w:tr>
        <w:tc>
          <w:tcPr>
            <w:tcW w:w="0" w:type="auto"/>
          </w:tcPr>
          <w:p>
            <w:pPr>
              <w:spacing w:line="240" w:lineRule="auto" w:before="0" w:after="0"/>
              <w:pStyle w:val="Compact"/>
            </w:pPr>
            <w:r>
              <w:rPr>
                <w:sz w:val="20"/>
                <w:szCs w:val="20"/>
              </w:rPr>
              <w:t xml:space="preserve">n_ngso_satellites_in_view</w:t>
            </w:r>
          </w:p>
        </w:tc>
        <w:tc>
          <w:tcPr>
            <w:tcW w:w="0" w:type="auto"/>
          </w:tcPr>
          <w:p>
            <w:pPr>
              <w:spacing w:line="240" w:lineRule="auto" w:before="0" w:after="0"/>
              <w:pStyle w:val="Compact"/>
            </w:pPr>
            <w:r>
              <w:rPr>
                <w:sz w:val="20"/>
                <w:szCs w:val="20"/>
              </w:rPr>
              <w:t xml:space="preserve">Count of NGSO satellites of the named operator simultaneously in line of sight of the GSO earth station at the reference geometry</w:t>
            </w:r>
          </w:p>
        </w:tc>
        <w:tc>
          <w:tcPr>
            <w:tcW w:w="0" w:type="auto"/>
          </w:tcPr>
          <w:p>
            <w:pPr>
              <w:spacing w:line="240" w:lineRule="auto" w:before="0" w:after="0"/>
              <w:pStyle w:val="Compact"/>
            </w:pPr>
            <w:r>
              <w:rPr>
                <w:sz w:val="20"/>
                <w:szCs w:val="20"/>
              </w:rPr>
              <w:t xml:space="preserve">FCC IBFS Schedule S geometry annexes and operator constellation filings</w:t>
            </w:r>
          </w:p>
        </w:tc>
      </w:tr>
      <w:tr>
        <w:tc>
          <w:tcPr>
            <w:tcW w:w="0" w:type="auto"/>
          </w:tcPr>
          <w:p>
            <w:pPr>
              <w:spacing w:line="240" w:lineRule="auto" w:before="0" w:after="0"/>
              <w:pStyle w:val="Compact"/>
            </w:pPr>
            <w:r>
              <w:rPr>
                <w:sz w:val="20"/>
                <w:szCs w:val="20"/>
              </w:rPr>
              <w:t xml:space="preserve">coordination_intensity</w:t>
            </w:r>
          </w:p>
        </w:tc>
        <w:tc>
          <w:tcPr>
            <w:tcW w:w="0" w:type="auto"/>
          </w:tcPr>
          <w:p>
            <w:pPr>
              <w:spacing w:line="240" w:lineRule="auto" w:before="0" w:after="0"/>
              <w:pStyle w:val="Compact"/>
            </w:pPr>
            <w:r>
              <w:rPr>
                <w:sz w:val="20"/>
                <w:szCs w:val="20"/>
              </w:rPr>
              <w:t xml:space="preserve">Ordinal index (1 to 4) of the depth of the bilateral coordination agreement between the NGSO and GSO operator, coded against Ostrom design principles per the orbital-debris polycentric audit</w:t>
            </w:r>
          </w:p>
        </w:tc>
        <w:tc>
          <w:tcPr>
            <w:tcW w:w="0" w:type="auto"/>
          </w:tcPr>
          <w:p>
            <w:pPr>
              <w:spacing w:line="240" w:lineRule="auto" w:before="0" w:after="0"/>
              <w:pStyle w:val="Compact"/>
            </w:pPr>
            <w:r>
              <w:rPr>
                <w:sz w:val="20"/>
                <w:szCs w:val="20"/>
              </w:rPr>
              <w:t xml:space="preserve">Coding instrument adapted from Morin and Couette 2025; ITU SNS-Online coordination requests</w:t>
            </w:r>
          </w:p>
        </w:tc>
      </w:tr>
      <w:tr>
        <w:tc>
          <w:tcPr>
            <w:tcW w:w="0" w:type="auto"/>
          </w:tcPr>
          <w:p>
            <w:pPr>
              <w:spacing w:line="240" w:lineRule="auto" w:before="0" w:after="0"/>
              <w:pStyle w:val="Compact"/>
            </w:pPr>
            <w:r>
              <w:rPr>
                <w:sz w:val="20"/>
                <w:szCs w:val="20"/>
              </w:rPr>
              <w:t xml:space="preserve">off_axis_epfd_margin_db</w:t>
            </w:r>
          </w:p>
        </w:tc>
        <w:tc>
          <w:tcPr>
            <w:tcW w:w="0" w:type="auto"/>
          </w:tcPr>
          <w:p>
            <w:pPr>
              <w:spacing w:line="240" w:lineRule="auto" w:before="0" w:after="0"/>
              <w:pStyle w:val="Compact"/>
            </w:pPr>
            <w:r>
              <w:rPr>
                <w:sz w:val="20"/>
                <w:szCs w:val="20"/>
              </w:rPr>
              <w:t xml:space="preserve">Equivalent power flux density margin against the ITU Radio Regulations Article 22 hard limits at the GSO earth station, in dB</w:t>
            </w:r>
          </w:p>
        </w:tc>
        <w:tc>
          <w:tcPr>
            <w:tcW w:w="0" w:type="auto"/>
          </w:tcPr>
          <w:p>
            <w:pPr>
              <w:spacing w:line="240" w:lineRule="auto" w:before="0" w:after="0"/>
              <w:pStyle w:val="Compact"/>
            </w:pPr>
            <w:r>
              <w:rPr>
                <w:sz w:val="20"/>
                <w:szCs w:val="20"/>
              </w:rPr>
              <w:t xml:space="preserve">ITU Radio Regulations Article 22 (WRC-19 Final Acts); FCC IBFS link budgets</w:t>
            </w:r>
          </w:p>
        </w:tc>
      </w:tr>
    </w:tbl>
    <w:bookmarkEnd w:id="194"/>
    <w:bookmarkEnd w:id="195"/>
    <w:bookmarkEnd w:id="19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1" Type="http://schemas.openxmlformats.org/officeDocument/2006/relationships/image" Target="media/rId181.png"/><Relationship Id="rId189" Type="http://schemas.openxmlformats.org/officeDocument/2006/relationships/image" Target="media/rId189.png"/><Relationship Id="rId170" Type="http://schemas.openxmlformats.org/officeDocument/2006/relationships/hyperlink" Target="https://doi.org/10.1016/j.actaastro.2022.05.022" TargetMode="External"/><Relationship Id="rId172" Type="http://schemas.openxmlformats.org/officeDocument/2006/relationships/hyperlink" Target="https://doi.org/10.1016/j.actaastro.2023.01.016" TargetMode="External"/><Relationship Id="rId152" Type="http://schemas.openxmlformats.org/officeDocument/2006/relationships/hyperlink" Target="https://doi.org/10.1016/j.actaastro.2023.07.009" TargetMode="External"/><Relationship Id="rId162" Type="http://schemas.openxmlformats.org/officeDocument/2006/relationships/hyperlink" Target="https://doi.org/10.1016/j.actaastro.2024.09.005" TargetMode="External"/><Relationship Id="rId166" Type="http://schemas.openxmlformats.org/officeDocument/2006/relationships/hyperlink" Target="https://doi.org/10.1016/j.actaastro.2024.12.037" TargetMode="External"/><Relationship Id="rId168" Type="http://schemas.openxmlformats.org/officeDocument/2006/relationships/hyperlink" Target="https://doi.org/10.1016/j.actaastro.2025.03.010" TargetMode="External"/><Relationship Id="rId174" Type="http://schemas.openxmlformats.org/officeDocument/2006/relationships/hyperlink" Target="https://doi.org/10.1016/j.actaastro.2025.05.037" TargetMode="External"/><Relationship Id="rId176" Type="http://schemas.openxmlformats.org/officeDocument/2006/relationships/hyperlink" Target="https://doi.org/10.1016/j.actaastro.2025.11.069" TargetMode="External"/><Relationship Id="rId164" Type="http://schemas.openxmlformats.org/officeDocument/2006/relationships/hyperlink" Target="https://doi.org/10.1016/j.actaastro.2025.12.034" TargetMode="External"/><Relationship Id="rId156" Type="http://schemas.openxmlformats.org/officeDocument/2006/relationships/hyperlink" Target="https://doi.org/10.64861/DDNM3393" TargetMode="External"/></Relationships>
</file>

<file path=word/_rels/footnotes.xml.rels><?xml version='1.0' encoding='UTF-8' standalone='yes'?>
<Relationships xmlns="http://schemas.openxmlformats.org/package/2006/relationships"><Relationship Id="rId170" Type="http://schemas.openxmlformats.org/officeDocument/2006/relationships/hyperlink" Target="https://doi.org/10.1016/j.actaastro.2022.05.022" TargetMode="External"/><Relationship Id="rId172" Type="http://schemas.openxmlformats.org/officeDocument/2006/relationships/hyperlink" Target="https://doi.org/10.1016/j.actaastro.2023.01.016" TargetMode="External"/><Relationship Id="rId152" Type="http://schemas.openxmlformats.org/officeDocument/2006/relationships/hyperlink" Target="https://doi.org/10.1016/j.actaastro.2023.07.009" TargetMode="External"/><Relationship Id="rId162" Type="http://schemas.openxmlformats.org/officeDocument/2006/relationships/hyperlink" Target="https://doi.org/10.1016/j.actaastro.2024.09.005" TargetMode="External"/><Relationship Id="rId166" Type="http://schemas.openxmlformats.org/officeDocument/2006/relationships/hyperlink" Target="https://doi.org/10.1016/j.actaastro.2024.12.037" TargetMode="External"/><Relationship Id="rId168" Type="http://schemas.openxmlformats.org/officeDocument/2006/relationships/hyperlink" Target="https://doi.org/10.1016/j.actaastro.2025.03.010" TargetMode="External"/><Relationship Id="rId174" Type="http://schemas.openxmlformats.org/officeDocument/2006/relationships/hyperlink" Target="https://doi.org/10.1016/j.actaastro.2025.05.037" TargetMode="External"/><Relationship Id="rId176" Type="http://schemas.openxmlformats.org/officeDocument/2006/relationships/hyperlink" Target="https://doi.org/10.1016/j.actaastro.2025.11.069" TargetMode="External"/><Relationship Id="rId164" Type="http://schemas.openxmlformats.org/officeDocument/2006/relationships/hyperlink" Target="https://doi.org/10.1016/j.actaastro.2025.12.034" TargetMode="External"/><Relationship Id="rId156" Type="http://schemas.openxmlformats.org/officeDocument/2006/relationships/hyperlink" Target="https://doi.org/10.64861/DDNM33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Polycentric Spectrum Commons: Does Dynamic Spectrum Sharing Between NGSO and GSO Operators Reduce Aggregate Interference Without Degrading Throughput?</dc:title>
  <dc:creator>Vincent Rahman (1B-ITI-124)</dc:creator>
  <cp:keywords/>
  <dcterms:created xsi:type="dcterms:W3CDTF">2026-07-02T16:55:05Z</dcterms:created>
  <dcterms:modified xsi:type="dcterms:W3CDTF">2026-07-02T16:55:05Z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