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624afd46cdfa9f0f090528080bbc07c08f7c12b"/>
    <w:p>
      <w:pPr>
        <w:pStyle w:val="Heading1"/>
      </w:pPr>
      <w:r>
        <w:t xml:space="preserve">Spectrum Versus Photons: An OLS Cost Model of Space Communications Terminals Controlling for Throughput, Mass, and Power</w:t>
      </w:r>
    </w:p>
    <w:bookmarkStart w:id="61" w:name="introduction"/>
    <w:p>
      <w:pPr>
        <w:pStyle w:val="Heading2"/>
      </w:pPr>
      <w:r>
        <w:t xml:space="preserve">1. Introduction</w:t>
      </w:r>
    </w:p>
    <w:p>
      <w:pPr>
        <w:pStyle w:val="FirstParagraph"/>
      </w:pPr>
      <w:r>
        <w:t xml:space="preserve">Space communications planners are asked, with rising frequency, whether free-space optical terminals deliver capacity at a lower recurring cost than the radio-frequency terminals they have flown for sixty years. The companion paper to this one fits a single bivariate log-log curve through a pooled sample of terminals and reads a cost-capacity elasticity off the slope. That specification is informative but undercontrolled: terminals differ in mass and power as well as in throughput and modality, and the cost engineer who signs a budget exhibit knows that mass and power often drive recurring cost more than peak data rate does. This paper therefore re-asks the same question with a multivariate ordinary least squares (OLS) model that conditions on terminal mass and power and uses a modality dummy to test whether the photon channel sits on a structurally lower cost surface once the engineering envelope is held fixed. The contribution is a partial coefficient on the optical indicator that the bivariate curve cannot recover.</w:t>
      </w:r>
    </w:p>
    <w:bookmarkEnd w:id="61"/>
    <w:bookmarkStart w:id="62" w:name="theory-and-hypotheses"/>
    <w:p>
      <w:pPr>
        <w:pStyle w:val="Heading2"/>
      </w:pPr>
      <w:r>
        <w:t xml:space="preserve">2. Theory and Hypotheses</w:t>
      </w:r>
    </w:p>
    <w:p>
      <w:pPr>
        <w:pStyle w:val="FirstParagraph"/>
      </w:pPr>
      <w:r>
        <w:t xml:space="preserve">The cost-engineering literature on space hardware [1, 2] has long modelled recurring cost as a multiplicative function of mass, power, and a small set of complexity drivers, which justifies an additive log specification. The communications-engineering literature [3, 4] treats throughput as a function of aperture, transmit power, and link geometry, with optical terminals offering a higher Shannon ceiling per kilogram of aperture and per watt of DC input than radio-frequency terminals at comparable mission distance</w:t>
      </w:r>
      <w:r>
        <w:t xml:space="preserve"> </w:t>
      </w:r>
      <w:hyperlink w:anchor="ref-5">
        <m:oMathPara>
          <m:oMathParaPr>
            <m:jc m:val="center"/>
          </m:oMathParaPr>
          <m:oMath>
            <m:r>
              <m:t>5</m:t>
            </m:r>
          </m:oMath>
        </m:oMathPara>
      </w:hyperlink>
      <w:r>
        <w:t xml:space="preserve">. If those engineering claims translate into procurement budgets, then after the model absorbs mass, power, and throughput, the residual modality indicator should carry a negative sign: optical wins on the same engineering envelope. The space-economics literature [6, 7] is less settled and admits the rival hypothesis that optical terminals carry a non-recurring engineering and qualification premium that persists in unit price into the early operational decade.</w:t>
      </w:r>
    </w:p>
    <w:p>
      <w:pPr>
        <w:pStyle w:val="FirstParagraph"/>
      </w:pPr>
      <w:r>
        <w:t xml:space="preserve">H1 (throughput sub-linearity). Conditional on mass and power, the elasticity of unit cost with respect to peak data rate is positive but less than unity, so doubling throughput raises unit cost by less than a factor of two.</w:t>
      </w:r>
    </w:p>
    <w:p>
      <w:pPr>
        <w:pStyle w:val="BodyText"/>
      </w:pPr>
      <w:r>
        <w:t xml:space="preserve">H2 (modality discount). After conditioning on the throughput, mass, and power of a terminal, the coefficient on the optical indicator is negative and statistically distinguishable from zero.</w:t>
      </w:r>
    </w:p>
    <w:bookmarkEnd w:id="62"/>
    <w:bookmarkStart w:id="63" w:name="data"/>
    <w:p>
      <w:pPr>
        <w:pStyle w:val="Heading2"/>
      </w:pPr>
      <w:r>
        <w:t xml:space="preserve">3. Data</w:t>
      </w:r>
    </w:p>
    <w:p>
      <w:pPr>
        <w:pStyle w:val="FirstParagraph"/>
      </w:pPr>
      <w:r>
        <w:t xml:space="preserve">The sample is a cross-section of thirty-two space-communications terminals flown or contracted between 1995 and 2024, covering NASA, ESA, USSF, USAF, and commercial missions and spanning fourteen optical and eighteen radio-frequency systems. Each row records peak data rate in gigabits per second, terminal dry mass in kilograms, payload steady-state DC power in watts, and recurring unit cost in 2024 USD millions, together with a citation field identifying the primary source. Cost figures originate from GAO Major-Project Assessments (GAO-15-274, GAO-15-342, GAO-19-417, GAO-20-439, GAO-22-105212, GAO-22-105230), NASA Office of Inspector General audits, Department of the Air Force FY24 budget exhibits, SEC 10-K filings of Maxar, Inmarsat, Viasat, SES, Iridium, and Telesat, and contractor disclosures from Boeing, Thales Alenia, MDA, Mynaric, and Tesat. Throughput figures originate from NASA NTRS technical papers (including LCRD, TBIRD, LLCD, OPALS, ILLUMA-T, and DSOC reports), FCC International Bureau filings (SAT-MOD-20200417 for Starlink optical inter-satellite links), ESA EDRS programme documentation, Acta Astronautica refereed papers on NICT HICALI and CubeLCT, and vendor data sheets for the Tesat CONDOR and Mynaric CONDOR Mk3 lines. A small number of cost-share allocations are flagged in the source field as illustrative where the prime contractor reports only a programme-level figure and not a comms-subsystem subtotal; these comprise fewer than fifteen percent of rows.</w:t>
      </w:r>
    </w:p>
    <w:bookmarkEnd w:id="63"/>
    <w:bookmarkStart w:id="64" w:name="method"/>
    <w:p>
      <w:pPr>
        <w:pStyle w:val="Heading2"/>
      </w:pPr>
      <w:r>
        <w:t xml:space="preserve">4. Method</w:t>
      </w:r>
    </w:p>
    <w:p>
      <w:pPr>
        <w:pStyle w:val="FirstParagraph"/>
      </w:pPr>
      <w:r>
        <w:t xml:space="preserve">The estimator is ordinary least squares with HC1 heteroskedasticity-consistent standard errors on a log-log specification of unit cost as a function of peak data rate, terminal mass, payload power, and an optical modality indicator. The log transform on the continuous regressors lets the coefficients on data rate, mass, and power be read as constant elasticities. The optical dummy absorbs the average difference in log unit cost between an optical and a radio-frequency terminal of the same throughput, mass, and power. Robust standard errors are used because the sample mixes deep-space, geostationary, and low-Earth-orbit terminals at very different scales, which makes homoskedasticity implausible.</w:t>
      </w:r>
    </w:p>
    <w:bookmarkEnd w:id="64"/>
    <w:bookmarkStart w:id="65" w:name="findings"/>
    <w:p>
      <w:pPr>
        <w:pStyle w:val="Heading2"/>
      </w:pPr>
      <w:r>
        <w:t xml:space="preserve">5. Findings</w:t>
      </w:r>
    </w:p>
    <w:p>
      <w:pPr>
        <w:pStyle w:val="FirstParagraph"/>
      </w:pPr>
      <w:r>
        <w:t xml:space="preserve">The model fits the data well by cross-sectional standards. Across thirty-two terminals the equation explains seventy-seven percent of the variance in the log of recurring unit cost (R-squared 0.7697, adjusted R-squared 0.7356) and is jointly significant at conventional levels (F equals 31.98, F p-value below 10 to the minus nine). The dominant partial coefficient is on the log of terminal mass, at 1.5349 with a robust standard error of 0.3327 and a p-value below 0.0005, so a one-percent increase in terminal mass is associated with roughly a 1.53 percent increase in unit cost once throughput, power, and modality are held fixed. The elasticity of unit cost with respect to peak data rate is positive but small, at 0.1676 with a robust standard error of 0.1605 and a p-value of 0.2962, which is consistent with H1’s sign prediction of sub-linear scaling but not statistically distinguishable from zero in this sample. The coefficient on the log of payload power is negative at minus 0.6096, with a robust standard error of 0.5169 and a p-value of 0.2383, which is not significant and is best read as collinearity with mass rather than as a substantive finding. The coefficient on the optical dummy is 1.9836 with a robust standard error of 1.192 and a p-value of 0.0961. The sign is opposite the H2 prediction. In words, after the model absorbs mass, power, and throughput, an optical terminal in this sample is associated with a higher log unit cost than a radio-frequency terminal of the same engineering envelope, and the gap is borderline significant at the ten-percent level. H2 is therefore rejected on this sample. The most plausible interpretation is that the optical sample is still dominated by first-flight demonstration terminals such as LCRD, LLCD, OPALS, ILLUMA-T, DSOC, and EDRS whose programme accounting includes substantial non-recurring engineering, while the radio-frequency sample includes mature commercial Ka-band buses whose recurring unit cost has been amortised over volume production.</w:t>
      </w:r>
    </w:p>
    <w:bookmarkEnd w:id="65"/>
    <w:bookmarkStart w:id="66" w:name="discussion"/>
    <w:p>
      <w:pPr>
        <w:pStyle w:val="Heading2"/>
      </w:pPr>
      <w:r>
        <w:t xml:space="preserve">6. Discussion</w:t>
      </w:r>
    </w:p>
    <w:p>
      <w:pPr>
        <w:pStyle w:val="FirstParagraph"/>
      </w:pPr>
      <w:r>
        <w:t xml:space="preserve">Two implications follow for procurement strategy. First, the throughput-only cost curve that the companion paper estimates is not, by itself, a sound basis for downselect between modalities; conditioning on the engineering envelope reverses the sign of the modality effect in the current cross-section. Second, the strong mass elasticity and the absence of a significant power elasticity together suggest that the binding cost driver for the next decade of space-communications terminals is structural mass, not DC power draw. A planner who wants cheaper bits per delivered kilobit per second should specify smaller terminals before specifying optical ones. The result is sample-bounded; as proliferated low-Earth-orbit optical inter-satellite link products move into mature serial production after 2024, the modality coefficient is likely to flip back toward H2’s predicted sign, and the model should be re-estimated annually as new GAO and contractor disclosures land.</w:t>
      </w:r>
    </w:p>
    <w:bookmarkEnd w:id="66"/>
    <w:bookmarkStart w:id="77" w:name="references"/>
    <w:p>
      <w:pPr>
        <w:pStyle w:val="Heading2"/>
      </w:pPr>
      <w:r>
        <w:t xml:space="preserve">References</w:t>
      </w:r>
    </w:p>
    <w:p>
      <w:pPr>
        <w:pStyle w:val="FirstParagraph"/>
      </w:pPr>
      <w:bookmarkStart w:id="67" w:name="ref-1"/>
      <w:bookmarkEnd w:id="67"/>
      <w:r>
        <w:t xml:space="preserve">1. U.S. Government Accountability Office, NASA Assessments of Major Projects, GAO-22-105212 (Washington, DC: GAO, 2022).</w:t>
      </w:r>
    </w:p>
    <w:p>
      <w:pPr>
        <w:pStyle w:val="BodyText"/>
      </w:pPr>
      <w:bookmarkStart w:id="68" w:name="ref-2"/>
      <w:bookmarkEnd w:id="68"/>
      <w:r>
        <w:t xml:space="preserve">2. U.S. Government Accountability Office, Space Acquisitions: DOD Continues to Face Challenges of Delayed Delivery of Critical Space Capabilities and Fragmented Leadership, GAO-22-105230 (Washington, DC: GAO, 2022).</w:t>
      </w:r>
    </w:p>
    <w:p>
      <w:pPr>
        <w:pStyle w:val="BodyText"/>
      </w:pPr>
      <w:bookmarkStart w:id="69" w:name="ref-3"/>
      <w:bookmarkEnd w:id="69"/>
      <w:r>
        <w:t xml:space="preserve">3. B. L. Edwards, B. Robinson, A. Biswas, and J. Hamkins,</w:t>
      </w:r>
      <w:r>
        <w:t xml:space="preserve"> </w:t>
      </w:r>
      <w:r>
        <w:t xml:space="preserve">“An overview of NASA’s optical communications program,”</w:t>
      </w:r>
      <w:r>
        <w:t xml:space="preserve"> </w:t>
      </w:r>
      <w:r>
        <w:t xml:space="preserve">Proceedings of SPIE, vol. 9354 (2015).</w:t>
      </w:r>
    </w:p>
    <w:p>
      <w:pPr>
        <w:pStyle w:val="BodyText"/>
      </w:pPr>
      <w:bookmarkStart w:id="70" w:name="ref-4"/>
      <w:bookmarkEnd w:id="70"/>
      <w:r>
        <w:t xml:space="preserve">4. D. M. Boroson et al.,</w:t>
      </w:r>
      <w:r>
        <w:t xml:space="preserve"> </w:t>
      </w:r>
      <w:r>
        <w:t xml:space="preserve">“Overview and results of the Lunar Laser Communication Demonstration,”</w:t>
      </w:r>
      <w:r>
        <w:t xml:space="preserve"> </w:t>
      </w:r>
      <w:r>
        <w:t xml:space="preserve">Proceedings of SPIE, vol. 8971 (2014), NTRS 20150003089.</w:t>
      </w:r>
    </w:p>
    <w:p>
      <w:pPr>
        <w:pStyle w:val="BodyText"/>
      </w:pPr>
      <w:bookmarkStart w:id="71" w:name="ref-5"/>
      <w:bookmarkEnd w:id="71"/>
      <w:r>
        <w:t xml:space="preserve">5. A. Carrasco-Casado, M. Toyoshima, et al.,</w:t>
      </w:r>
      <w:r>
        <w:t xml:space="preserve"> </w:t>
      </w:r>
      <w:r>
        <w:t xml:space="preserve">“Free-space optical communications utilizing the laser communication terminal HICALI,”</w:t>
      </w:r>
      <w:r>
        <w:t xml:space="preserve"> </w:t>
      </w:r>
      <w:r>
        <w:t xml:space="preserve">Acta Astronautica, vol. 197 (2022), https://doi.org/10.1016/j.actaastro.2022.05.011.</w:t>
      </w:r>
    </w:p>
    <w:p>
      <w:pPr>
        <w:pStyle w:val="BodyText"/>
      </w:pPr>
      <w:bookmarkStart w:id="72" w:name="ref-6"/>
      <w:bookmarkEnd w:id="72"/>
      <w:r>
        <w:t xml:space="preserve">6. M. Weinzierl,</w:t>
      </w:r>
      <w:r>
        <w:t xml:space="preserve"> </w:t>
      </w:r>
      <w:r>
        <w:t xml:space="preserve">“Space, the final economic frontier,”</w:t>
      </w:r>
      <w:r>
        <w:t xml:space="preserve"> </w:t>
      </w:r>
      <w:r>
        <w:t xml:space="preserve">Journal of Economic Perspectives, vol. 32, no. 2 (2018), pp. 173-192.</w:t>
      </w:r>
    </w:p>
    <w:p>
      <w:pPr>
        <w:pStyle w:val="BodyText"/>
      </w:pPr>
      <w:bookmarkStart w:id="73" w:name="ref-7"/>
      <w:bookmarkEnd w:id="73"/>
      <w:r>
        <w:t xml:space="preserve">7. OECD, The Space Economy in Figures: Responding to Global Challenges (Paris: OECD Publishing, 2023).</w:t>
      </w:r>
    </w:p>
    <w:p>
      <w:pPr>
        <w:pStyle w:val="BodyText"/>
      </w:pPr>
      <w:bookmarkStart w:id="74" w:name="ref-8"/>
      <w:bookmarkEnd w:id="74"/>
      <w:r>
        <w:t xml:space="preserve">8. NASA Office of Inspector General, NASA’s Laser Communications: Progress and Risks, IG-22-005 (Washington, DC: NASA OIG, 2022).</w:t>
      </w:r>
    </w:p>
    <w:p>
      <w:pPr>
        <w:pStyle w:val="BodyText"/>
      </w:pPr>
      <w:bookmarkStart w:id="75" w:name="ref-9"/>
      <w:bookmarkEnd w:id="75"/>
      <w:r>
        <w:t xml:space="preserve">9. NASA Office of Inspector General, NASA’s Plans for Deep Space Optical Communications, IG-23-009 (Washington, DC: NASA OIG, 2023).</w:t>
      </w:r>
    </w:p>
    <w:p>
      <w:pPr>
        <w:pStyle w:val="BodyText"/>
      </w:pPr>
      <w:bookmarkStart w:id="76" w:name="ref-10"/>
      <w:bookmarkEnd w:id="76"/>
      <w:r>
        <w:t xml:space="preserve">10. Federal Communications Commission, International Bureau Filing System, SpaceX Starlink modification SAT-MOD-20200417-00037, 2020.</w:t>
      </w:r>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UnitCost</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rPr>
                  <m:nor/>
                  <m:sty m:val="p"/>
                </m:rPr>
                <m:t>DataRate</m:t>
              </m:r>
            </m:e>
            <m:sub>
              <m:r>
                <m:t>i</m:t>
              </m:r>
            </m:sub>
          </m:sSub>
          <m:r>
            <m:rPr>
              <m:sty m:val="p"/>
            </m:rPr>
            <m:t>)</m:t>
          </m:r>
          <m:r>
            <m:rPr>
              <m:sty m:val="p"/>
            </m:rPr>
            <m:t>+</m:t>
          </m:r>
          <m:sSub>
            <m:e>
              <m:r>
                <m:t>β</m:t>
              </m:r>
            </m:e>
            <m:sub>
              <m:r>
                <m:t>2</m:t>
              </m:r>
            </m:sub>
          </m:sSub>
          <m:r>
            <m:rPr>
              <m:sty m:val="p"/>
            </m:rPr>
            <m:t>ln</m:t>
          </m:r>
          <m:r>
            <m:rPr>
              <m:sty m:val="p"/>
            </m:rPr>
            <m:t>(</m:t>
          </m:r>
          <m:sSub>
            <m:e>
              <m:r>
                <m:rPr>
                  <m:nor/>
                  <m:sty m:val="p"/>
                </m:rPr>
                <m:t>Mass</m:t>
              </m:r>
            </m:e>
            <m:sub>
              <m:r>
                <m:t>i</m:t>
              </m:r>
            </m:sub>
          </m:sSub>
          <m:r>
            <m:rPr>
              <m:sty m:val="p"/>
            </m:rPr>
            <m:t>)</m:t>
          </m:r>
          <m:r>
            <m:rPr>
              <m:sty m:val="p"/>
            </m:rPr>
            <m:t>+</m:t>
          </m:r>
          <m:sSub>
            <m:e>
              <m:r>
                <m:t>β</m:t>
              </m:r>
            </m:e>
            <m:sub>
              <m:r>
                <m:t>3</m:t>
              </m:r>
            </m:sub>
          </m:sSub>
          <m:r>
            <m:rPr>
              <m:sty m:val="p"/>
            </m:rPr>
            <m:t>ln</m:t>
          </m:r>
          <m:r>
            <m:rPr>
              <m:sty m:val="p"/>
            </m:rPr>
            <m:t>(</m:t>
          </m:r>
          <m:sSub>
            <m:e>
              <m:r>
                <m:rPr>
                  <m:nor/>
                  <m:sty m:val="p"/>
                </m:rPr>
                <m:t>Power</m:t>
              </m:r>
            </m:e>
            <m:sub>
              <m:r>
                <m:t>i</m:t>
              </m:r>
            </m:sub>
          </m:sSub>
          <m:r>
            <m:rPr>
              <m:sty m:val="p"/>
            </m:rPr>
            <m:t>)</m:t>
          </m:r>
          <m:r>
            <m:rPr>
              <m:sty m:val="p"/>
            </m:rPr>
            <m:t>+</m:t>
          </m:r>
          <m:sSub>
            <m:e>
              <m:r>
                <m:t>β</m:t>
              </m:r>
            </m:e>
            <m:sub>
              <m:r>
                <m:t>4</m:t>
              </m:r>
            </m:sub>
          </m:sSub>
          <m:sSub>
            <m:e>
              <m:r>
                <m:rPr>
                  <m:nor/>
                  <m:sty m:val="p"/>
                </m:rPr>
                <m:t>Optical</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-1.3899</w:t>
            </w:r>
          </w:p>
        </w:tc>
        <w:tc>
          <w:tcPr>
            <w:tcW w:w="0" w:type="auto"/>
          </w:tcPr>
          <w:p>
            <w:pPr>
              <w:spacing w:line="240" w:lineRule="auto" w:before="0" w:after="0"/>
              <w:pStyle w:val="Compact"/>
            </w:pPr>
            <w:r>
              <w:rPr>
                <w:sz w:val="20"/>
                <w:szCs w:val="20"/>
              </w:rPr>
              <w:t xml:space="preserve">2.3241</w:t>
            </w:r>
          </w:p>
        </w:tc>
        <w:tc>
          <w:tcPr>
            <w:tcW w:w="0" w:type="auto"/>
          </w:tcPr>
          <w:p>
            <w:pPr>
              <w:spacing w:line="240" w:lineRule="auto" w:before="0" w:after="0"/>
              <w:pStyle w:val="Compact"/>
            </w:pPr>
            <w:r>
              <w:rPr>
                <w:sz w:val="20"/>
                <w:szCs w:val="20"/>
              </w:rPr>
              <w:t xml:space="preserve">-0.598</w:t>
            </w:r>
          </w:p>
        </w:tc>
        <w:tc>
          <w:tcPr>
            <w:tcW w:w="0" w:type="auto"/>
          </w:tcPr>
          <w:p>
            <w:pPr>
              <w:spacing w:line="240" w:lineRule="auto" w:before="0" w:after="0"/>
              <w:pStyle w:val="Compact"/>
            </w:pPr>
            <w:r>
              <w:rPr>
                <w:sz w:val="20"/>
                <w:szCs w:val="20"/>
              </w:rPr>
              <w:t xml:space="preserve">0.5498</w:t>
            </w:r>
          </w:p>
        </w:tc>
        <w:tc>
          <w:tcPr>
            <w:tcW w:w="0" w:type="auto"/>
          </w:tcPr>
          <w:p>
            <w:pPr>
              <w:spacing w:line="240" w:lineRule="auto" w:before="0" w:after="0"/>
              <w:pStyle w:val="Compact"/>
            </w:pPr>
            <w:r>
              <w:rPr>
                <w:sz w:val="20"/>
                <w:szCs w:val="20"/>
              </w:rPr>
              <w:t xml:space="preserve">[-5.945, 3.1652]</w:t>
            </w:r>
          </w:p>
        </w:tc>
      </w:tr>
      <w:tr>
        <w:tc>
          <w:tcPr>
            <w:tcW w:w="0" w:type="auto"/>
          </w:tcPr>
          <w:p>
            <w:pPr>
              <w:spacing w:line="240" w:lineRule="auto" w:before="0" w:after="0"/>
              <w:pStyle w:val="Compact"/>
            </w:pPr>
            <w:r>
              <w:rPr>
                <w:sz w:val="20"/>
                <w:szCs w:val="20"/>
              </w:rPr>
              <w:t xml:space="preserve">ln_data_rate</w:t>
            </w:r>
          </w:p>
        </w:tc>
        <w:tc>
          <w:tcPr>
            <w:tcW w:w="0" w:type="auto"/>
          </w:tcPr>
          <w:p>
            <w:pPr>
              <w:spacing w:line="240" w:lineRule="auto" w:before="0" w:after="0"/>
              <w:pStyle w:val="Compact"/>
            </w:pPr>
            <w:r>
              <w:rPr>
                <w:sz w:val="20"/>
                <w:szCs w:val="20"/>
              </w:rPr>
              <w:t xml:space="preserve">0.1676</w:t>
            </w:r>
          </w:p>
        </w:tc>
        <w:tc>
          <w:tcPr>
            <w:tcW w:w="0" w:type="auto"/>
          </w:tcPr>
          <w:p>
            <w:pPr>
              <w:spacing w:line="240" w:lineRule="auto" w:before="0" w:after="0"/>
              <w:pStyle w:val="Compact"/>
            </w:pPr>
            <w:r>
              <w:rPr>
                <w:sz w:val="20"/>
                <w:szCs w:val="20"/>
              </w:rPr>
              <w:t xml:space="preserve">0.1605</w:t>
            </w:r>
          </w:p>
        </w:tc>
        <w:tc>
          <w:tcPr>
            <w:tcW w:w="0" w:type="auto"/>
          </w:tcPr>
          <w:p>
            <w:pPr>
              <w:spacing w:line="240" w:lineRule="auto" w:before="0" w:after="0"/>
              <w:pStyle w:val="Compact"/>
            </w:pPr>
            <w:r>
              <w:rPr>
                <w:sz w:val="20"/>
                <w:szCs w:val="20"/>
              </w:rPr>
              <w:t xml:space="preserve">1.0446</w:t>
            </w:r>
          </w:p>
        </w:tc>
        <w:tc>
          <w:tcPr>
            <w:tcW w:w="0" w:type="auto"/>
          </w:tcPr>
          <w:p>
            <w:pPr>
              <w:spacing w:line="240" w:lineRule="auto" w:before="0" w:after="0"/>
              <w:pStyle w:val="Compact"/>
            </w:pPr>
            <w:r>
              <w:rPr>
                <w:sz w:val="20"/>
                <w:szCs w:val="20"/>
              </w:rPr>
              <w:t xml:space="preserve">0.2962</w:t>
            </w:r>
          </w:p>
        </w:tc>
        <w:tc>
          <w:tcPr>
            <w:tcW w:w="0" w:type="auto"/>
          </w:tcPr>
          <w:p>
            <w:pPr>
              <w:spacing w:line="240" w:lineRule="auto" w:before="0" w:after="0"/>
              <w:pStyle w:val="Compact"/>
            </w:pPr>
            <w:r>
              <w:rPr>
                <w:sz w:val="20"/>
                <w:szCs w:val="20"/>
              </w:rPr>
              <w:t xml:space="preserve">[-0.1469, 0.4822]</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1.5349</w:t>
            </w:r>
          </w:p>
        </w:tc>
        <w:tc>
          <w:tcPr>
            <w:tcW w:w="0" w:type="auto"/>
          </w:tcPr>
          <w:p>
            <w:pPr>
              <w:spacing w:line="240" w:lineRule="auto" w:before="0" w:after="0"/>
              <w:pStyle w:val="Compact"/>
            </w:pPr>
            <w:r>
              <w:rPr>
                <w:sz w:val="20"/>
                <w:szCs w:val="20"/>
              </w:rPr>
              <w:t xml:space="preserve">0.3327</w:t>
            </w:r>
          </w:p>
        </w:tc>
        <w:tc>
          <w:tcPr>
            <w:tcW w:w="0" w:type="auto"/>
          </w:tcPr>
          <w:p>
            <w:pPr>
              <w:spacing w:line="240" w:lineRule="auto" w:before="0" w:after="0"/>
              <w:pStyle w:val="Compact"/>
            </w:pPr>
            <w:r>
              <w:rPr>
                <w:sz w:val="20"/>
                <w:szCs w:val="20"/>
              </w:rPr>
              <w:t xml:space="preserve">4.613</w:t>
            </w:r>
          </w:p>
        </w:tc>
        <w:tc>
          <w:tcPr>
            <w:tcW w:w="0" w:type="auto"/>
          </w:tcPr>
          <w:p>
            <w:pPr>
              <w:spacing w:line="240" w:lineRule="auto" w:before="0" w:after="0"/>
              <w:pStyle w:val="Compact"/>
            </w:pPr>
            <w:r>
              <w:rPr>
                <w:sz w:val="20"/>
                <w:szCs w:val="20"/>
              </w:rPr>
              <w:t xml:space="preserve">3.969e-06</w:t>
            </w:r>
          </w:p>
        </w:tc>
        <w:tc>
          <w:tcPr>
            <w:tcW w:w="0" w:type="auto"/>
          </w:tcPr>
          <w:p>
            <w:pPr>
              <w:spacing w:line="240" w:lineRule="auto" w:before="0" w:after="0"/>
              <w:pStyle w:val="Compact"/>
            </w:pPr>
            <w:r>
              <w:rPr>
                <w:sz w:val="20"/>
                <w:szCs w:val="20"/>
              </w:rPr>
              <w:t xml:space="preserve">[0.8828, 2.187]</w:t>
            </w:r>
          </w:p>
        </w:tc>
      </w:tr>
      <w:tr>
        <w:tc>
          <w:tcPr>
            <w:tcW w:w="0" w:type="auto"/>
          </w:tcPr>
          <w:p>
            <w:pPr>
              <w:spacing w:line="240" w:lineRule="auto" w:before="0" w:after="0"/>
              <w:pStyle w:val="Compact"/>
            </w:pPr>
            <w:r>
              <w:rPr>
                <w:sz w:val="20"/>
                <w:szCs w:val="20"/>
              </w:rPr>
              <w:t xml:space="preserve">ln_power</w:t>
            </w:r>
          </w:p>
        </w:tc>
        <w:tc>
          <w:tcPr>
            <w:tcW w:w="0" w:type="auto"/>
          </w:tcPr>
          <w:p>
            <w:pPr>
              <w:spacing w:line="240" w:lineRule="auto" w:before="0" w:after="0"/>
              <w:pStyle w:val="Compact"/>
            </w:pPr>
            <w:r>
              <w:rPr>
                <w:sz w:val="20"/>
                <w:szCs w:val="20"/>
              </w:rPr>
              <w:t xml:space="preserve">-0.6096</w:t>
            </w:r>
          </w:p>
        </w:tc>
        <w:tc>
          <w:tcPr>
            <w:tcW w:w="0" w:type="auto"/>
          </w:tcPr>
          <w:p>
            <w:pPr>
              <w:spacing w:line="240" w:lineRule="auto" w:before="0" w:after="0"/>
              <w:pStyle w:val="Compact"/>
            </w:pPr>
            <w:r>
              <w:rPr>
                <w:sz w:val="20"/>
                <w:szCs w:val="20"/>
              </w:rPr>
              <w:t xml:space="preserve">0.5169</w:t>
            </w:r>
          </w:p>
        </w:tc>
        <w:tc>
          <w:tcPr>
            <w:tcW w:w="0" w:type="auto"/>
          </w:tcPr>
          <w:p>
            <w:pPr>
              <w:spacing w:line="240" w:lineRule="auto" w:before="0" w:after="0"/>
              <w:pStyle w:val="Compact"/>
            </w:pPr>
            <w:r>
              <w:rPr>
                <w:sz w:val="20"/>
                <w:szCs w:val="20"/>
              </w:rPr>
              <w:t xml:space="preserve">-1.1792</w:t>
            </w:r>
          </w:p>
        </w:tc>
        <w:tc>
          <w:tcPr>
            <w:tcW w:w="0" w:type="auto"/>
          </w:tcPr>
          <w:p>
            <w:pPr>
              <w:spacing w:line="240" w:lineRule="auto" w:before="0" w:after="0"/>
              <w:pStyle w:val="Compact"/>
            </w:pPr>
            <w:r>
              <w:rPr>
                <w:sz w:val="20"/>
                <w:szCs w:val="20"/>
              </w:rPr>
              <w:t xml:space="preserve">0.2383</w:t>
            </w:r>
          </w:p>
        </w:tc>
        <w:tc>
          <w:tcPr>
            <w:tcW w:w="0" w:type="auto"/>
          </w:tcPr>
          <w:p>
            <w:pPr>
              <w:spacing w:line="240" w:lineRule="auto" w:before="0" w:after="0"/>
              <w:pStyle w:val="Compact"/>
            </w:pPr>
            <w:r>
              <w:rPr>
                <w:sz w:val="20"/>
                <w:szCs w:val="20"/>
              </w:rPr>
              <w:t xml:space="preserve">[-1.6228, 0.4036]</w:t>
            </w:r>
          </w:p>
        </w:tc>
      </w:tr>
      <w:tr>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1.9836</w:t>
            </w:r>
          </w:p>
        </w:tc>
        <w:tc>
          <w:tcPr>
            <w:tcW w:w="0" w:type="auto"/>
          </w:tcPr>
          <w:p>
            <w:pPr>
              <w:spacing w:line="240" w:lineRule="auto" w:before="0" w:after="0"/>
              <w:pStyle w:val="Compact"/>
            </w:pPr>
            <w:r>
              <w:rPr>
                <w:sz w:val="20"/>
                <w:szCs w:val="20"/>
              </w:rPr>
              <w:t xml:space="preserve">1.192</w:t>
            </w:r>
          </w:p>
        </w:tc>
        <w:tc>
          <w:tcPr>
            <w:tcW w:w="0" w:type="auto"/>
          </w:tcPr>
          <w:p>
            <w:pPr>
              <w:spacing w:line="240" w:lineRule="auto" w:before="0" w:after="0"/>
              <w:pStyle w:val="Compact"/>
            </w:pPr>
            <w:r>
              <w:rPr>
                <w:sz w:val="20"/>
                <w:szCs w:val="20"/>
              </w:rPr>
              <w:t xml:space="preserve">1.6641</w:t>
            </w:r>
          </w:p>
        </w:tc>
        <w:tc>
          <w:tcPr>
            <w:tcW w:w="0" w:type="auto"/>
          </w:tcPr>
          <w:p>
            <w:pPr>
              <w:spacing w:line="240" w:lineRule="auto" w:before="0" w:after="0"/>
              <w:pStyle w:val="Compact"/>
            </w:pPr>
            <w:r>
              <w:rPr>
                <w:sz w:val="20"/>
                <w:szCs w:val="20"/>
              </w:rPr>
              <w:t xml:space="preserve">0.0961</w:t>
            </w:r>
          </w:p>
        </w:tc>
        <w:tc>
          <w:tcPr>
            <w:tcW w:w="0" w:type="auto"/>
          </w:tcPr>
          <w:p>
            <w:pPr>
              <w:spacing w:line="240" w:lineRule="auto" w:before="0" w:after="0"/>
              <w:pStyle w:val="Compact"/>
            </w:pPr>
            <w:r>
              <w:rPr>
                <w:sz w:val="20"/>
                <w:szCs w:val="20"/>
              </w:rPr>
              <w:t xml:space="preserve">[-0.3527, 4.32]</w:t>
            </w:r>
          </w:p>
        </w:tc>
      </w:tr>
    </w:tbl>
    <w:p>
      <w:pPr>
        <w:pStyle w:val="BodyText"/>
      </w:pPr>
      <w:r>
        <w:t xml:space="preserve">Fit: N = 32 R2 = 0.7697 R2_adj = 0.7356 F = 31.9834 F_p = 6.933e-10</w:t>
      </w:r>
    </w:p>
    <w:p>
      <w:pPr>
        <w:pStyle w:val="CaptionedFigure"/>
      </w:pPr>
      <w:r>
        <w:drawing>
          <wp:inline>
            <wp:extent cx="5669280" cy="3657600"/>
            <wp:effectExtent b="0" l="0" r="0" t="0"/>
            <wp:docPr descr="Figure 1. Recurring unit cost versus peak data rate across thirty-two radio-frequency and free-space optical space-communication terminals flown or contracted between 1995 and 2024." title="" id="80" name="Picture"/>
            <a:graphic>
              <a:graphicData uri="http://schemas.openxmlformats.org/drawingml/2006/picture">
                <pic:pic>
                  <pic:nvPicPr>
                    <pic:cNvPr descr="D:\Claude_Code\brain\collegium\candidates\dissertations\SPECTRUM_PNT_09\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Recurring unit cost versus peak data rate across thirty-two radio-frequency and free-space optical space-communication terminals flown or contracted between 1995 and 2024.</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565"/>
        <w:gridCol w:w="565"/>
        <w:gridCol w:w="565"/>
        <w:gridCol w:w="565"/>
        <w:gridCol w:w="565"/>
        <w:gridCol w:w="565"/>
        <w:gridCol w:w="565"/>
        <w:gridCol w:w="565"/>
        <w:gridCol w:w="565"/>
        <w:gridCol w:w="565"/>
        <w:gridCol w:w="565"/>
        <w:gridCol w:w="565"/>
        <w:gridCol w:w="565"/>
        <w:gridCol w:w="565"/>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link_type</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data_rate_gbps</w:t>
            </w:r>
          </w:p>
        </w:tc>
        <w:tc>
          <w:tcPr>
            <w:tcW w:w="0" w:type="auto"/>
          </w:tcPr>
          <w:p>
            <w:pPr>
              <w:spacing w:line="240" w:lineRule="auto" w:before="0" w:after="0"/>
              <w:pStyle w:val="Compact"/>
            </w:pPr>
            <w:r>
              <w:rPr>
                <w:sz w:val="20"/>
                <w:szCs w:val="20"/>
              </w:rPr>
              <w:t xml:space="preserve">terminal_mass_kg</w:t>
            </w:r>
          </w:p>
        </w:tc>
        <w:tc>
          <w:tcPr>
            <w:tcW w:w="0" w:type="auto"/>
          </w:tcPr>
          <w:p>
            <w:pPr>
              <w:spacing w:line="240" w:lineRule="auto" w:before="0" w:after="0"/>
              <w:pStyle w:val="Compact"/>
            </w:pPr>
            <w:r>
              <w:rPr>
                <w:sz w:val="20"/>
                <w:szCs w:val="20"/>
              </w:rPr>
              <w:t xml:space="preserve">terminal_power_w</w:t>
            </w:r>
          </w:p>
        </w:tc>
        <w:tc>
          <w:tcPr>
            <w:tcW w:w="0" w:type="auto"/>
          </w:tcPr>
          <w:p>
            <w:pPr>
              <w:spacing w:line="240" w:lineRule="auto" w:before="0" w:after="0"/>
              <w:pStyle w:val="Compact"/>
            </w:pPr>
            <w:r>
              <w:rPr>
                <w:sz w:val="20"/>
                <w:szCs w:val="20"/>
              </w:rPr>
              <w:t xml:space="preserve">unit_cost_musd2024</w:t>
            </w:r>
          </w:p>
        </w:tc>
        <w:tc>
          <w:tcPr>
            <w:tcW w:w="0" w:type="auto"/>
          </w:tcPr>
          <w:p>
            <w:pPr>
              <w:spacing w:line="240" w:lineRule="auto" w:before="0" w:after="0"/>
              <w:pStyle w:val="Compact"/>
            </w:pPr>
            <w:r>
              <w:rPr>
                <w:sz w:val="20"/>
                <w:szCs w:val="20"/>
              </w:rPr>
              <w:t xml:space="preserve">cost_per_gbps_musd</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ln_unit_cost</w:t>
            </w:r>
          </w:p>
        </w:tc>
        <w:tc>
          <w:tcPr>
            <w:tcW w:w="0" w:type="auto"/>
          </w:tcPr>
          <w:p>
            <w:pPr>
              <w:spacing w:line="240" w:lineRule="auto" w:before="0" w:after="0"/>
              <w:pStyle w:val="Compact"/>
            </w:pPr>
            <w:r>
              <w:rPr>
                <w:sz w:val="20"/>
                <w:szCs w:val="20"/>
              </w:rPr>
              <w:t xml:space="preserve">ln_data_rate</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ln_power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LCRD</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1.244</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257.23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5.7683</w:t>
            </w:r>
          </w:p>
        </w:tc>
        <w:tc>
          <w:tcPr>
            <w:tcW w:w="0" w:type="auto"/>
          </w:tcPr>
          <w:p>
            <w:pPr>
              <w:spacing w:line="240" w:lineRule="auto" w:before="0" w:after="0"/>
              <w:pStyle w:val="Compact"/>
            </w:pPr>
            <w:r>
              <w:rPr>
                <w:sz w:val="20"/>
                <w:szCs w:val="20"/>
              </w:rPr>
              <w:t xml:space="preserve">0.2183</w:t>
            </w:r>
          </w:p>
        </w:tc>
        <w:tc>
          <w:tcPr>
            <w:tcW w:w="0" w:type="auto"/>
          </w:tcPr>
          <w:p>
            <w:pPr>
              <w:spacing w:line="240" w:lineRule="auto" w:before="0" w:after="0"/>
              <w:pStyle w:val="Compact"/>
            </w:pPr>
            <w:r>
              <w:rPr>
                <w:sz w:val="20"/>
                <w:szCs w:val="20"/>
              </w:rPr>
              <w:t xml:space="preserve">5.1648</w:t>
            </w:r>
          </w:p>
        </w:tc>
        <w:tc>
          <w:tcPr>
            <w:tcW w:w="0" w:type="auto"/>
          </w:tcPr>
          <w:p>
            <w:pPr>
              <w:spacing w:line="240" w:lineRule="auto" w:before="0" w:after="0"/>
              <w:pStyle w:val="Compact"/>
            </w:pPr>
            <w:r>
              <w:rPr>
                <w:sz w:val="20"/>
                <w:szCs w:val="20"/>
              </w:rPr>
              <w:t xml:space="preserve">4.8675</w:t>
            </w:r>
          </w:p>
        </w:tc>
        <w:tc>
          <w:tcPr>
            <w:tcW w:w="0" w:type="auto"/>
          </w:tcPr>
          <w:p>
            <w:pPr>
              <w:spacing w:line="240" w:lineRule="auto" w:before="0" w:after="0"/>
              <w:pStyle w:val="Compact"/>
            </w:pPr>
            <w:r>
              <w:rPr>
                <w:sz w:val="20"/>
                <w:szCs w:val="20"/>
              </w:rPr>
              <w:t xml:space="preserve">NASA LCRD mission page ntrs.nasa.gov/20210024889; GAO-22-105212</w:t>
            </w:r>
          </w:p>
        </w:tc>
      </w:tr>
      <w:tr>
        <w:tc>
          <w:tcPr>
            <w:tcW w:w="0" w:type="auto"/>
          </w:tcPr>
          <w:p>
            <w:pPr>
              <w:spacing w:line="240" w:lineRule="auto" w:before="0" w:after="0"/>
              <w:pStyle w:val="Compact"/>
            </w:pPr>
            <w:r>
              <w:rPr>
                <w:sz w:val="20"/>
                <w:szCs w:val="20"/>
              </w:rPr>
              <w:t xml:space="preserve">TBIRD</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0.7885</w:t>
            </w:r>
          </w:p>
        </w:tc>
        <w:tc>
          <w:tcPr>
            <w:tcW w:w="0" w:type="auto"/>
          </w:tcPr>
          <w:p>
            <w:pPr>
              <w:spacing w:line="240" w:lineRule="auto" w:before="0" w:after="0"/>
              <w:pStyle w:val="Compact"/>
            </w:pPr>
            <w:r>
              <w:rPr>
                <w:sz w:val="20"/>
                <w:szCs w:val="20"/>
              </w:rPr>
              <w:t xml:space="preserve">4.3175</w:t>
            </w:r>
          </w:p>
        </w:tc>
        <w:tc>
          <w:tcPr>
            <w:tcW w:w="0" w:type="auto"/>
          </w:tcPr>
          <w:p>
            <w:pPr>
              <w:spacing w:line="240" w:lineRule="auto" w:before="0" w:after="0"/>
              <w:pStyle w:val="Compact"/>
            </w:pPr>
            <w:r>
              <w:rPr>
                <w:sz w:val="20"/>
                <w:szCs w:val="20"/>
              </w:rPr>
              <w:t xml:space="preserve">NASA TBIRD press kit; Schieler IEEE Aerospace 2022</w:t>
            </w:r>
          </w:p>
        </w:tc>
      </w:tr>
      <w:tr>
        <w:tc>
          <w:tcPr>
            <w:tcW w:w="0" w:type="auto"/>
          </w:tcPr>
          <w:p>
            <w:pPr>
              <w:spacing w:line="240" w:lineRule="auto" w:before="0" w:after="0"/>
              <w:pStyle w:val="Compact"/>
            </w:pPr>
            <w:r>
              <w:rPr>
                <w:sz w:val="20"/>
                <w:szCs w:val="20"/>
              </w:rPr>
              <w:t xml:space="preserve">LLCD</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0.622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25.72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-0.4748</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NASA LLCD final report ntrs.nasa.gov/20140017581</w:t>
            </w:r>
          </w:p>
        </w:tc>
      </w:tr>
      <w:tr>
        <w:tc>
          <w:tcPr>
            <w:tcW w:w="0" w:type="auto"/>
          </w:tcPr>
          <w:p>
            <w:pPr>
              <w:spacing w:line="240" w:lineRule="auto" w:before="0" w:after="0"/>
              <w:pStyle w:val="Compact"/>
            </w:pPr>
            <w:r>
              <w:rPr>
                <w:sz w:val="20"/>
                <w:szCs w:val="20"/>
              </w:rPr>
              <w:t xml:space="preserve">OPALS</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JPL OPALS post-mission report 2014 [illustrative cost]</w:t>
            </w:r>
          </w:p>
        </w:tc>
      </w:tr>
      <w:tr>
        <w:tc>
          <w:tcPr>
            <w:tcW w:w="0" w:type="auto"/>
          </w:tcPr>
          <w:p>
            <w:pPr>
              <w:spacing w:line="240" w:lineRule="auto" w:before="0" w:after="0"/>
              <w:pStyle w:val="Compact"/>
            </w:pPr>
            <w:r>
              <w:rPr>
                <w:sz w:val="20"/>
                <w:szCs w:val="20"/>
              </w:rPr>
              <w:t xml:space="preserve">EDRS-A</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277.78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0.5878</w:t>
            </w:r>
          </w:p>
        </w:tc>
        <w:tc>
          <w:tcPr>
            <w:tcW w:w="0" w:type="auto"/>
          </w:tcPr>
          <w:p>
            <w:pPr>
              <w:spacing w:line="240" w:lineRule="auto" w:before="0" w:after="0"/>
              <w:pStyle w:val="Compact"/>
            </w:pPr>
            <w:r>
              <w:rPr>
                <w:sz w:val="20"/>
                <w:szCs w:val="20"/>
              </w:rPr>
              <w:t xml:space="preserve">4.0073</w:t>
            </w:r>
          </w:p>
        </w:tc>
        <w:tc>
          <w:tcPr>
            <w:tcW w:w="0" w:type="auto"/>
          </w:tcPr>
          <w:p>
            <w:pPr>
              <w:spacing w:line="240" w:lineRule="auto" w:before="0" w:after="0"/>
              <w:pStyle w:val="Compact"/>
            </w:pPr>
            <w:r>
              <w:rPr>
                <w:sz w:val="20"/>
                <w:szCs w:val="20"/>
              </w:rPr>
              <w:t xml:space="preserve">5.0752</w:t>
            </w:r>
          </w:p>
        </w:tc>
        <w:tc>
          <w:tcPr>
            <w:tcW w:w="0" w:type="auto"/>
          </w:tcPr>
          <w:p>
            <w:pPr>
              <w:spacing w:line="240" w:lineRule="auto" w:before="0" w:after="0"/>
              <w:pStyle w:val="Compact"/>
            </w:pPr>
            <w:r>
              <w:rPr>
                <w:sz w:val="20"/>
                <w:szCs w:val="20"/>
              </w:rPr>
              <w:t xml:space="preserve">ESA EDRS programmatic press release 2016; ESA-GSP cost figure</w:t>
            </w:r>
          </w:p>
        </w:tc>
      </w:tr>
      <w:tr>
        <w:tc>
          <w:tcPr>
            <w:tcW w:w="0" w:type="auto"/>
          </w:tcPr>
          <w:p>
            <w:pPr>
              <w:spacing w:line="240" w:lineRule="auto" w:before="0" w:after="0"/>
              <w:pStyle w:val="Compact"/>
            </w:pPr>
            <w:r>
              <w:rPr>
                <w:sz w:val="20"/>
                <w:szCs w:val="20"/>
              </w:rPr>
              <w:t xml:space="preserve">EDRS-C</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490</w:t>
            </w:r>
          </w:p>
        </w:tc>
        <w:tc>
          <w:tcPr>
            <w:tcW w:w="0" w:type="auto"/>
          </w:tcPr>
          <w:p>
            <w:pPr>
              <w:spacing w:line="240" w:lineRule="auto" w:before="0" w:after="0"/>
              <w:pStyle w:val="Compact"/>
            </w:pPr>
            <w:r>
              <w:rPr>
                <w:sz w:val="20"/>
                <w:szCs w:val="20"/>
              </w:rPr>
              <w:t xml:space="preserve">272.22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6.1944</w:t>
            </w:r>
          </w:p>
        </w:tc>
        <w:tc>
          <w:tcPr>
            <w:tcW w:w="0" w:type="auto"/>
          </w:tcPr>
          <w:p>
            <w:pPr>
              <w:spacing w:line="240" w:lineRule="auto" w:before="0" w:after="0"/>
              <w:pStyle w:val="Compact"/>
            </w:pPr>
            <w:r>
              <w:rPr>
                <w:sz w:val="20"/>
                <w:szCs w:val="20"/>
              </w:rPr>
              <w:t xml:space="preserve">0.5878</w:t>
            </w:r>
          </w:p>
        </w:tc>
        <w:tc>
          <w:tcPr>
            <w:tcW w:w="0" w:type="auto"/>
          </w:tcPr>
          <w:p>
            <w:pPr>
              <w:spacing w:line="240" w:lineRule="auto" w:before="0" w:after="0"/>
              <w:pStyle w:val="Compact"/>
            </w:pPr>
            <w:r>
              <w:rPr>
                <w:sz w:val="20"/>
                <w:szCs w:val="20"/>
              </w:rPr>
              <w:t xml:space="preserve">5.0752</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ESA EDRS-C announcement 2019; ESA budget book</w:t>
            </w:r>
          </w:p>
        </w:tc>
      </w:tr>
      <w:tr>
        <w:tc>
          <w:tcPr>
            <w:tcW w:w="0" w:type="auto"/>
          </w:tcPr>
          <w:p>
            <w:pPr>
              <w:spacing w:line="240" w:lineRule="auto" w:before="0" w:after="0"/>
              <w:pStyle w:val="Compact"/>
            </w:pPr>
            <w:r>
              <w:rPr>
                <w:sz w:val="20"/>
                <w:szCs w:val="20"/>
              </w:rPr>
              <w:t xml:space="preserve">SOCRATES</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0.0102</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294.12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-4.5854</w:t>
            </w:r>
          </w:p>
        </w:tc>
        <w:tc>
          <w:tcPr>
            <w:tcW w:w="0" w:type="auto"/>
          </w:tcPr>
          <w:p>
            <w:pPr>
              <w:spacing w:line="240" w:lineRule="auto" w:before="0" w:after="0"/>
              <w:pStyle w:val="Compact"/>
            </w:pPr>
            <w:r>
              <w:rPr>
                <w:sz w:val="20"/>
                <w:szCs w:val="20"/>
              </w:rPr>
              <w:t xml:space="preserve">1.775</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NICT SOCRATES paper Acta Astronautica 2014</w:t>
            </w:r>
          </w:p>
        </w:tc>
      </w:tr>
      <w:tr>
        <w:tc>
          <w:tcPr>
            <w:tcW w:w="0" w:type="auto"/>
          </w:tcPr>
          <w:p>
            <w:pPr>
              <w:spacing w:line="240" w:lineRule="auto" w:before="0" w:after="0"/>
              <w:pStyle w:val="Compact"/>
            </w:pPr>
            <w:r>
              <w:rPr>
                <w:sz w:val="20"/>
                <w:szCs w:val="20"/>
              </w:rPr>
              <w:t xml:space="preserve">CubeLCT</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-0.9163</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-1.0498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Pimentel Acta Astronautica 211 (2023) 10.1016/j.actaastro.2023.06.026</w:t>
            </w:r>
          </w:p>
        </w:tc>
      </w:tr>
      <w:tr>
        <w:tc>
          <w:tcPr>
            <w:tcW w:w="0" w:type="auto"/>
          </w:tcPr>
          <w:p>
            <w:pPr>
              <w:spacing w:line="240" w:lineRule="auto" w:before="0" w:after="0"/>
              <w:pStyle w:val="Compact"/>
            </w:pPr>
            <w:r>
              <w:rPr>
                <w:sz w:val="20"/>
                <w:szCs w:val="20"/>
              </w:rPr>
              <w:t xml:space="preserve">NICT-HICALI</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Carrasco-Casado Acta Astronautica 197 (2022) 10.1016/j.actaastro.2022.05.011</w:t>
            </w:r>
          </w:p>
        </w:tc>
      </w:tr>
      <w:tr>
        <w:tc>
          <w:tcPr>
            <w:tcW w:w="0" w:type="auto"/>
          </w:tcPr>
          <w:p>
            <w:pPr>
              <w:spacing w:line="240" w:lineRule="auto" w:before="0" w:after="0"/>
              <w:pStyle w:val="Compact"/>
            </w:pPr>
            <w:r>
              <w:rPr>
                <w:sz w:val="20"/>
                <w:szCs w:val="20"/>
              </w:rPr>
              <w:t xml:space="preserve">Starlink-OISL-v1</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4.382</w:t>
            </w:r>
          </w:p>
        </w:tc>
        <w:tc>
          <w:tcPr>
            <w:tcW w:w="0" w:type="auto"/>
          </w:tcPr>
          <w:p>
            <w:pPr>
              <w:spacing w:line="240" w:lineRule="auto" w:before="0" w:after="0"/>
              <w:pStyle w:val="Compact"/>
            </w:pPr>
            <w:r>
              <w:rPr>
                <w:sz w:val="20"/>
                <w:szCs w:val="20"/>
              </w:rPr>
              <w:t xml:space="preserve">SpaceX optical inter-sat link disclosure FCC IBFS SAT-MOD-20200417; Curcio MarketReports2023</w:t>
            </w:r>
          </w:p>
        </w:tc>
      </w:tr>
      <w:tr>
        <w:tc>
          <w:tcPr>
            <w:tcW w:w="0" w:type="auto"/>
          </w:tcPr>
          <w:p>
            <w:pPr>
              <w:spacing w:line="240" w:lineRule="auto" w:before="0" w:after="0"/>
              <w:pStyle w:val="Compact"/>
            </w:pPr>
            <w:r>
              <w:rPr>
                <w:sz w:val="20"/>
                <w:szCs w:val="20"/>
              </w:rPr>
              <w:t xml:space="preserve">TESAT-CONDOR</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1.5041</w:t>
            </w:r>
          </w:p>
        </w:tc>
        <w:tc>
          <w:tcPr>
            <w:tcW w:w="0" w:type="auto"/>
          </w:tcPr>
          <w:p>
            <w:pPr>
              <w:spacing w:line="240" w:lineRule="auto" w:before="0" w:after="0"/>
              <w:pStyle w:val="Compact"/>
            </w:pPr>
            <w:r>
              <w:rPr>
                <w:sz w:val="20"/>
                <w:szCs w:val="20"/>
              </w:rPr>
              <w:t xml:space="preserve">4.382</w:t>
            </w:r>
          </w:p>
        </w:tc>
        <w:tc>
          <w:tcPr>
            <w:tcW w:w="0" w:type="auto"/>
          </w:tcPr>
          <w:p>
            <w:pPr>
              <w:spacing w:line="240" w:lineRule="auto" w:before="0" w:after="0"/>
              <w:pStyle w:val="Compact"/>
            </w:pPr>
            <w:r>
              <w:rPr>
                <w:sz w:val="20"/>
                <w:szCs w:val="20"/>
              </w:rPr>
              <w:t xml:space="preserve">Tesat Spacecom CONDOR datasheet 2024; ESA CONDOR funding award</w:t>
            </w:r>
          </w:p>
        </w:tc>
      </w:tr>
      <w:tr>
        <w:tc>
          <w:tcPr>
            <w:tcW w:w="0" w:type="auto"/>
          </w:tcPr>
          <w:p>
            <w:pPr>
              <w:spacing w:line="240" w:lineRule="auto" w:before="0" w:after="0"/>
              <w:pStyle w:val="Compact"/>
            </w:pPr>
            <w:r>
              <w:rPr>
                <w:sz w:val="20"/>
                <w:szCs w:val="20"/>
              </w:rPr>
              <w:t xml:space="preserve">Mynaric-CONDOR-MK3</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0.095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-0.0513</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0.9163</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Mynaric CONDOR Mk3 product sheet 2024; SDA T1TL contract value</w:t>
            </w:r>
          </w:p>
        </w:tc>
      </w:tr>
      <w:tr>
        <w:tc>
          <w:tcPr>
            <w:tcW w:w="0" w:type="auto"/>
          </w:tcPr>
          <w:p>
            <w:pPr>
              <w:spacing w:line="240" w:lineRule="auto" w:before="0" w:after="0"/>
              <w:pStyle w:val="Compact"/>
            </w:pPr>
            <w:r>
              <w:rPr>
                <w:sz w:val="20"/>
                <w:szCs w:val="20"/>
              </w:rPr>
              <w:t xml:space="preserve">Iridium-NEXT</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61.43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4.4543</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6.7569</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Iridium NEXT annual report 2018; Thales Alenia contract value</w:t>
            </w:r>
          </w:p>
        </w:tc>
      </w:tr>
      <w:tr>
        <w:tc>
          <w:tcPr>
            <w:tcW w:w="0" w:type="auto"/>
          </w:tcPr>
          <w:p>
            <w:pPr>
              <w:spacing w:line="240" w:lineRule="auto" w:before="0" w:after="0"/>
              <w:pStyle w:val="Compact"/>
            </w:pPr>
            <w:r>
              <w:rPr>
                <w:sz w:val="20"/>
                <w:szCs w:val="20"/>
              </w:rPr>
              <w:t xml:space="preserve">Inmarsat-GX5</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16.36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7.6962</w:t>
            </w:r>
          </w:p>
        </w:tc>
        <w:tc>
          <w:tcPr>
            <w:tcW w:w="0" w:type="auto"/>
          </w:tcPr>
          <w:p>
            <w:pPr>
              <w:spacing w:line="240" w:lineRule="auto" w:before="0" w:after="0"/>
              <w:pStyle w:val="Compact"/>
            </w:pPr>
            <w:r>
              <w:rPr>
                <w:sz w:val="20"/>
                <w:szCs w:val="20"/>
              </w:rPr>
              <w:t xml:space="preserve">Inmarsat F-1 filing 2020; Thales contract disclosure</w:t>
            </w:r>
          </w:p>
        </w:tc>
      </w:tr>
      <w:tr>
        <w:tc>
          <w:tcPr>
            <w:tcW w:w="0" w:type="auto"/>
          </w:tcPr>
          <w:p>
            <w:pPr>
              <w:spacing w:line="240" w:lineRule="auto" w:before="0" w:after="0"/>
              <w:pStyle w:val="Compact"/>
            </w:pPr>
            <w:r>
              <w:rPr>
                <w:sz w:val="20"/>
                <w:szCs w:val="20"/>
              </w:rPr>
              <w:t xml:space="preserve">Viasat-3</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6.0403</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8.5172</w:t>
            </w:r>
          </w:p>
        </w:tc>
        <w:tc>
          <w:tcPr>
            <w:tcW w:w="0" w:type="auto"/>
          </w:tcPr>
          <w:p>
            <w:pPr>
              <w:spacing w:line="240" w:lineRule="auto" w:before="0" w:after="0"/>
              <w:pStyle w:val="Compact"/>
            </w:pPr>
            <w:r>
              <w:rPr>
                <w:sz w:val="20"/>
                <w:szCs w:val="20"/>
              </w:rPr>
              <w:t xml:space="preserve">Viasat-3 SEC 10-K 2023; Boeing contract value</w:t>
            </w:r>
          </w:p>
        </w:tc>
      </w:tr>
      <w:tr>
        <w:tc>
          <w:tcPr>
            <w:tcW w:w="0" w:type="auto"/>
          </w:tcPr>
          <w:p>
            <w:pPr>
              <w:spacing w:line="240" w:lineRule="auto" w:before="0" w:after="0"/>
              <w:pStyle w:val="Compact"/>
            </w:pPr>
            <w:r>
              <w:rPr>
                <w:sz w:val="20"/>
                <w:szCs w:val="20"/>
              </w:rPr>
              <w:t xml:space="preserve">Hughes-Jupiter-3</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4500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5.9915</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6.6846</w:t>
            </w:r>
          </w:p>
        </w:tc>
        <w:tc>
          <w:tcPr>
            <w:tcW w:w="0" w:type="auto"/>
          </w:tcPr>
          <w:p>
            <w:pPr>
              <w:spacing w:line="240" w:lineRule="auto" w:before="0" w:after="0"/>
              <w:pStyle w:val="Compact"/>
            </w:pPr>
            <w:r>
              <w:rPr>
                <w:sz w:val="20"/>
                <w:szCs w:val="20"/>
              </w:rPr>
              <w:t xml:space="preserve">8.4118</w:t>
            </w:r>
          </w:p>
        </w:tc>
        <w:tc>
          <w:tcPr>
            <w:tcW w:w="0" w:type="auto"/>
          </w:tcPr>
          <w:p>
            <w:pPr>
              <w:spacing w:line="240" w:lineRule="auto" w:before="0" w:after="0"/>
              <w:pStyle w:val="Compact"/>
            </w:pPr>
            <w:r>
              <w:rPr>
                <w:sz w:val="20"/>
                <w:szCs w:val="20"/>
              </w:rPr>
              <w:t xml:space="preserve">Hughes EchoStar 24 press kit 2023</w:t>
            </w:r>
          </w:p>
        </w:tc>
      </w:tr>
      <w:tr>
        <w:tc>
          <w:tcPr>
            <w:tcW w:w="0" w:type="auto"/>
          </w:tcPr>
          <w:p>
            <w:pPr>
              <w:spacing w:line="240" w:lineRule="auto" w:before="0" w:after="0"/>
              <w:pStyle w:val="Compact"/>
            </w:pPr>
            <w:r>
              <w:rPr>
                <w:sz w:val="20"/>
                <w:szCs w:val="20"/>
              </w:rPr>
              <w:t xml:space="preserve">SES-17</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3800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5.8579</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8.2428</w:t>
            </w:r>
          </w:p>
        </w:tc>
        <w:tc>
          <w:tcPr>
            <w:tcW w:w="0" w:type="auto"/>
          </w:tcPr>
          <w:p>
            <w:pPr>
              <w:spacing w:line="240" w:lineRule="auto" w:before="0" w:after="0"/>
              <w:pStyle w:val="Compact"/>
            </w:pPr>
            <w:r>
              <w:rPr>
                <w:sz w:val="20"/>
                <w:szCs w:val="20"/>
              </w:rPr>
              <w:t xml:space="preserve">SES annual report 2022; Thales Alenia contract</w:t>
            </w:r>
          </w:p>
        </w:tc>
      </w:tr>
      <w:tr>
        <w:tc>
          <w:tcPr>
            <w:tcW w:w="0" w:type="auto"/>
          </w:tcPr>
          <w:p>
            <w:pPr>
              <w:spacing w:line="240" w:lineRule="auto" w:before="0" w:after="0"/>
              <w:pStyle w:val="Compact"/>
            </w:pPr>
            <w:r>
              <w:rPr>
                <w:sz w:val="20"/>
                <w:szCs w:val="20"/>
              </w:rPr>
              <w:t xml:space="preserve">TDRS-M</w:t>
            </w:r>
          </w:p>
        </w:tc>
        <w:tc>
          <w:tcPr>
            <w:tcW w:w="0" w:type="auto"/>
          </w:tcPr>
          <w:p>
            <w:pPr>
              <w:spacing w:line="240" w:lineRule="auto" w:before="0" w:after="0"/>
              <w:pStyle w:val="Compact"/>
            </w:pPr>
            <w:r>
              <w:rPr>
                <w:sz w:val="20"/>
                <w:szCs w:val="20"/>
              </w:rPr>
              <w:t xml:space="preserve">rf_sband_ka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408</w:t>
            </w:r>
          </w:p>
        </w:tc>
        <w:tc>
          <w:tcPr>
            <w:tcW w:w="0" w:type="auto"/>
          </w:tcPr>
          <w:p>
            <w:pPr>
              <w:spacing w:line="240" w:lineRule="auto" w:before="0" w:after="0"/>
              <w:pStyle w:val="Compact"/>
            </w:pPr>
            <w:r>
              <w:rPr>
                <w:sz w:val="20"/>
                <w:szCs w:val="20"/>
              </w:rPr>
              <w:t xml:space="preserve">510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6.0113</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7.5229</w:t>
            </w:r>
          </w:p>
        </w:tc>
        <w:tc>
          <w:tcPr>
            <w:tcW w:w="0" w:type="auto"/>
          </w:tcPr>
          <w:p>
            <w:pPr>
              <w:spacing w:line="240" w:lineRule="auto" w:before="0" w:after="0"/>
              <w:pStyle w:val="Compact"/>
            </w:pPr>
            <w:r>
              <w:rPr>
                <w:sz w:val="20"/>
                <w:szCs w:val="20"/>
              </w:rPr>
              <w:t xml:space="preserve">NASA TDRS-M procurement; GAO-15-274 cost data</w:t>
            </w:r>
          </w:p>
        </w:tc>
      </w:tr>
      <w:tr>
        <w:tc>
          <w:tcPr>
            <w:tcW w:w="0" w:type="auto"/>
          </w:tcPr>
          <w:p>
            <w:pPr>
              <w:spacing w:line="240" w:lineRule="auto" w:before="0" w:after="0"/>
              <w:pStyle w:val="Compact"/>
            </w:pPr>
            <w:r>
              <w:rPr>
                <w:sz w:val="20"/>
                <w:szCs w:val="20"/>
              </w:rPr>
              <w:t xml:space="preserve">WGS-10</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3416</w:t>
            </w:r>
          </w:p>
        </w:tc>
        <w:tc>
          <w:tcPr>
            <w:tcW w:w="0" w:type="auto"/>
          </w:tcPr>
          <w:p>
            <w:pPr>
              <w:spacing w:line="240" w:lineRule="auto" w:before="0" w:after="0"/>
              <w:pStyle w:val="Compact"/>
            </w:pPr>
            <w:r>
              <w:rPr>
                <w:sz w:val="20"/>
                <w:szCs w:val="20"/>
              </w:rPr>
              <w:t xml:space="preserve">12500</w:t>
            </w:r>
          </w:p>
        </w:tc>
        <w:tc>
          <w:tcPr>
            <w:tcW w:w="0" w:type="auto"/>
          </w:tcPr>
          <w:p>
            <w:pPr>
              <w:spacing w:line="240" w:lineRule="auto" w:before="0" w:after="0"/>
              <w:pStyle w:val="Compact"/>
            </w:pPr>
            <w:r>
              <w:rPr>
                <w:sz w:val="20"/>
                <w:szCs w:val="20"/>
              </w:rPr>
              <w:t xml:space="preserve">605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6.4052</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8.1362</w:t>
            </w:r>
          </w:p>
        </w:tc>
        <w:tc>
          <w:tcPr>
            <w:tcW w:w="0" w:type="auto"/>
          </w:tcPr>
          <w:p>
            <w:pPr>
              <w:spacing w:line="240" w:lineRule="auto" w:before="0" w:after="0"/>
              <w:pStyle w:val="Compact"/>
            </w:pPr>
            <w:r>
              <w:rPr>
                <w:sz w:val="20"/>
                <w:szCs w:val="20"/>
              </w:rPr>
              <w:t xml:space="preserve">9.4335</w:t>
            </w:r>
          </w:p>
        </w:tc>
        <w:tc>
          <w:tcPr>
            <w:tcW w:w="0" w:type="auto"/>
          </w:tcPr>
          <w:p>
            <w:pPr>
              <w:spacing w:line="240" w:lineRule="auto" w:before="0" w:after="0"/>
              <w:pStyle w:val="Compact"/>
            </w:pPr>
            <w:r>
              <w:rPr>
                <w:sz w:val="20"/>
                <w:szCs w:val="20"/>
              </w:rPr>
              <w:t xml:space="preserve">USAF WGS-10 fact sheet; Boeing contract value disclosure</w:t>
            </w:r>
          </w:p>
        </w:tc>
      </w:tr>
      <w:tr>
        <w:tc>
          <w:tcPr>
            <w:tcW w:w="0" w:type="auto"/>
          </w:tcPr>
          <w:p>
            <w:pPr>
              <w:spacing w:line="240" w:lineRule="auto" w:before="0" w:after="0"/>
              <w:pStyle w:val="Compact"/>
            </w:pPr>
            <w:r>
              <w:rPr>
                <w:sz w:val="20"/>
                <w:szCs w:val="20"/>
              </w:rPr>
              <w:t xml:space="preserve">WGS-11</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13000</w:t>
            </w:r>
          </w:p>
        </w:tc>
        <w:tc>
          <w:tcPr>
            <w:tcW w:w="0" w:type="auto"/>
          </w:tcPr>
          <w:p>
            <w:pPr>
              <w:spacing w:line="240" w:lineRule="auto" w:before="0" w:after="0"/>
              <w:pStyle w:val="Compact"/>
            </w:pPr>
            <w:r>
              <w:rPr>
                <w:sz w:val="20"/>
                <w:szCs w:val="20"/>
              </w:rPr>
              <w:t xml:space="preserve">605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6.4052</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8.1605</w:t>
            </w:r>
          </w:p>
        </w:tc>
        <w:tc>
          <w:tcPr>
            <w:tcW w:w="0" w:type="auto"/>
          </w:tcPr>
          <w:p>
            <w:pPr>
              <w:spacing w:line="240" w:lineRule="auto" w:before="0" w:after="0"/>
              <w:pStyle w:val="Compact"/>
            </w:pPr>
            <w:r>
              <w:rPr>
                <w:sz w:val="20"/>
                <w:szCs w:val="20"/>
              </w:rPr>
              <w:t xml:space="preserve">9.4727</w:t>
            </w:r>
          </w:p>
        </w:tc>
        <w:tc>
          <w:tcPr>
            <w:tcW w:w="0" w:type="auto"/>
          </w:tcPr>
          <w:p>
            <w:pPr>
              <w:spacing w:line="240" w:lineRule="auto" w:before="0" w:after="0"/>
              <w:pStyle w:val="Compact"/>
            </w:pPr>
            <w:r>
              <w:rPr>
                <w:sz w:val="20"/>
                <w:szCs w:val="20"/>
              </w:rPr>
              <w:t xml:space="preserve">DAF FY24 budget exhibit P-40 WGS-11; Boeing contract value</w:t>
            </w:r>
          </w:p>
        </w:tc>
      </w:tr>
      <w:tr>
        <w:tc>
          <w:tcPr>
            <w:tcW w:w="0" w:type="auto"/>
          </w:tcPr>
          <w:p>
            <w:pPr>
              <w:spacing w:line="240" w:lineRule="auto" w:before="0" w:after="0"/>
              <w:pStyle w:val="Compact"/>
            </w:pPr>
            <w:r>
              <w:rPr>
                <w:sz w:val="20"/>
                <w:szCs w:val="20"/>
              </w:rPr>
              <w:t xml:space="preserve">AEHF-6</w:t>
            </w:r>
          </w:p>
        </w:tc>
        <w:tc>
          <w:tcPr>
            <w:tcW w:w="0" w:type="auto"/>
          </w:tcPr>
          <w:p>
            <w:pPr>
              <w:spacing w:line="240" w:lineRule="auto" w:before="0" w:after="0"/>
              <w:pStyle w:val="Compact"/>
            </w:pPr>
            <w:r>
              <w:rPr>
                <w:sz w:val="20"/>
                <w:szCs w:val="20"/>
              </w:rPr>
              <w:t xml:space="preserve">rf_xband_ka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8.192</w:t>
            </w:r>
          </w:p>
        </w:tc>
        <w:tc>
          <w:tcPr>
            <w:tcW w:w="0" w:type="auto"/>
          </w:tcPr>
          <w:p>
            <w:pPr>
              <w:spacing w:line="240" w:lineRule="auto" w:before="0" w:after="0"/>
              <w:pStyle w:val="Compact"/>
            </w:pPr>
            <w:r>
              <w:rPr>
                <w:sz w:val="20"/>
                <w:szCs w:val="20"/>
              </w:rPr>
              <w:t xml:space="preserve">6168</w:t>
            </w:r>
          </w:p>
        </w:tc>
        <w:tc>
          <w:tcPr>
            <w:tcW w:w="0" w:type="auto"/>
          </w:tcPr>
          <w:p>
            <w:pPr>
              <w:spacing w:line="240" w:lineRule="auto" w:before="0" w:after="0"/>
              <w:pStyle w:val="Compact"/>
            </w:pPr>
            <w:r>
              <w:rPr>
                <w:sz w:val="20"/>
                <w:szCs w:val="20"/>
              </w:rPr>
              <w:t xml:space="preserve">16000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134.28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2.1032</w:t>
            </w:r>
          </w:p>
        </w:tc>
        <w:tc>
          <w:tcPr>
            <w:tcW w:w="0" w:type="auto"/>
          </w:tcPr>
          <w:p>
            <w:pPr>
              <w:spacing w:line="240" w:lineRule="auto" w:before="0" w:after="0"/>
              <w:pStyle w:val="Compact"/>
            </w:pPr>
            <w:r>
              <w:rPr>
                <w:sz w:val="20"/>
                <w:szCs w:val="20"/>
              </w:rPr>
              <w:t xml:space="preserve">8.7271</w:t>
            </w:r>
          </w:p>
        </w:tc>
        <w:tc>
          <w:tcPr>
            <w:tcW w:w="0" w:type="auto"/>
          </w:tcPr>
          <w:p>
            <w:pPr>
              <w:spacing w:line="240" w:lineRule="auto" w:before="0" w:after="0"/>
              <w:pStyle w:val="Compact"/>
            </w:pPr>
            <w:r>
              <w:rPr>
                <w:sz w:val="20"/>
                <w:szCs w:val="20"/>
              </w:rPr>
              <w:t xml:space="preserve">9.6803</w:t>
            </w:r>
          </w:p>
        </w:tc>
        <w:tc>
          <w:tcPr>
            <w:tcW w:w="0" w:type="auto"/>
          </w:tcPr>
          <w:p>
            <w:pPr>
              <w:spacing w:line="240" w:lineRule="auto" w:before="0" w:after="0"/>
              <w:pStyle w:val="Compact"/>
            </w:pPr>
            <w:r>
              <w:rPr>
                <w:sz w:val="20"/>
                <w:szCs w:val="20"/>
              </w:rPr>
              <w:t xml:space="preserve">USSF AEHF-6 mission page; GAO-20-439 cost data</w:t>
            </w:r>
          </w:p>
        </w:tc>
      </w:tr>
      <w:tr>
        <w:tc>
          <w:tcPr>
            <w:tcW w:w="0" w:type="auto"/>
          </w:tcPr>
          <w:p>
            <w:pPr>
              <w:spacing w:line="240" w:lineRule="auto" w:before="0" w:after="0"/>
              <w:pStyle w:val="Compact"/>
            </w:pPr>
            <w:r>
              <w:rPr>
                <w:sz w:val="20"/>
                <w:szCs w:val="20"/>
              </w:rPr>
              <w:t xml:space="preserve">MUOS-5</w:t>
            </w:r>
          </w:p>
        </w:tc>
        <w:tc>
          <w:tcPr>
            <w:tcW w:w="0" w:type="auto"/>
          </w:tcPr>
          <w:p>
            <w:pPr>
              <w:spacing w:line="240" w:lineRule="auto" w:before="0" w:after="0"/>
              <w:pStyle w:val="Compact"/>
            </w:pPr>
            <w:r>
              <w:rPr>
                <w:sz w:val="20"/>
                <w:szCs w:val="20"/>
              </w:rPr>
              <w:t xml:space="preserve">rf_uhf</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0.0384</w:t>
            </w:r>
          </w:p>
        </w:tc>
        <w:tc>
          <w:tcPr>
            <w:tcW w:w="0" w:type="auto"/>
          </w:tcPr>
          <w:p>
            <w:pPr>
              <w:spacing w:line="240" w:lineRule="auto" w:before="0" w:after="0"/>
              <w:pStyle w:val="Compact"/>
            </w:pPr>
            <w:r>
              <w:rPr>
                <w:sz w:val="20"/>
                <w:szCs w:val="20"/>
              </w:rPr>
              <w:t xml:space="preserve">6740</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15104.17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6.363</w:t>
            </w:r>
          </w:p>
        </w:tc>
        <w:tc>
          <w:tcPr>
            <w:tcW w:w="0" w:type="auto"/>
          </w:tcPr>
          <w:p>
            <w:pPr>
              <w:spacing w:line="240" w:lineRule="auto" w:before="0" w:after="0"/>
              <w:pStyle w:val="Compact"/>
            </w:pPr>
            <w:r>
              <w:rPr>
                <w:sz w:val="20"/>
                <w:szCs w:val="20"/>
              </w:rPr>
              <w:t xml:space="preserve">-3.2597</w:t>
            </w:r>
          </w:p>
        </w:tc>
        <w:tc>
          <w:tcPr>
            <w:tcW w:w="0" w:type="auto"/>
          </w:tcPr>
          <w:p>
            <w:pPr>
              <w:spacing w:line="240" w:lineRule="auto" w:before="0" w:after="0"/>
              <w:pStyle w:val="Compact"/>
            </w:pPr>
            <w:r>
              <w:rPr>
                <w:sz w:val="20"/>
                <w:szCs w:val="20"/>
              </w:rPr>
              <w:t xml:space="preserve">8.8158</w:t>
            </w:r>
          </w:p>
        </w:tc>
        <w:tc>
          <w:tcPr>
            <w:tcW w:w="0" w:type="auto"/>
          </w:tcPr>
          <w:p>
            <w:pPr>
              <w:spacing w:line="240" w:lineRule="auto" w:before="0" w:after="0"/>
              <w:pStyle w:val="Compact"/>
            </w:pPr>
            <w:r>
              <w:rPr>
                <w:sz w:val="20"/>
                <w:szCs w:val="20"/>
              </w:rPr>
              <w:t xml:space="preserve">8.294</w:t>
            </w:r>
          </w:p>
        </w:tc>
        <w:tc>
          <w:tcPr>
            <w:tcW w:w="0" w:type="auto"/>
          </w:tcPr>
          <w:p>
            <w:pPr>
              <w:spacing w:line="240" w:lineRule="auto" w:before="0" w:after="0"/>
              <w:pStyle w:val="Compact"/>
            </w:pPr>
            <w:r>
              <w:rPr>
                <w:sz w:val="20"/>
                <w:szCs w:val="20"/>
              </w:rPr>
              <w:t xml:space="preserve">USN MUOS-5 procurement; GAO-15-342 cost data</w:t>
            </w:r>
          </w:p>
        </w:tc>
      </w:tr>
      <w:tr>
        <w:tc>
          <w:tcPr>
            <w:tcW w:w="0" w:type="auto"/>
          </w:tcPr>
          <w:p>
            <w:pPr>
              <w:spacing w:line="240" w:lineRule="auto" w:before="0" w:after="0"/>
              <w:pStyle w:val="Compact"/>
            </w:pPr>
            <w:r>
              <w:rPr>
                <w:sz w:val="20"/>
                <w:szCs w:val="20"/>
              </w:rPr>
              <w:t xml:space="preserve">JCSAT-18</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5500</w:t>
            </w:r>
          </w:p>
        </w:tc>
        <w:tc>
          <w:tcPr>
            <w:tcW w:w="0" w:type="auto"/>
          </w:tcPr>
          <w:p>
            <w:pPr>
              <w:spacing w:line="240" w:lineRule="auto" w:before="0" w:after="0"/>
              <w:pStyle w:val="Compact"/>
            </w:pPr>
            <w:r>
              <w:rPr>
                <w:sz w:val="20"/>
                <w:szCs w:val="20"/>
              </w:rPr>
              <w:t xml:space="preserve">15000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22.73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5.5215</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8.6125</w:t>
            </w:r>
          </w:p>
        </w:tc>
        <w:tc>
          <w:tcPr>
            <w:tcW w:w="0" w:type="auto"/>
          </w:tcPr>
          <w:p>
            <w:pPr>
              <w:spacing w:line="240" w:lineRule="auto" w:before="0" w:after="0"/>
              <w:pStyle w:val="Compact"/>
            </w:pPr>
            <w:r>
              <w:rPr>
                <w:sz w:val="20"/>
                <w:szCs w:val="20"/>
              </w:rPr>
              <w:t xml:space="preserve">9.6158</w:t>
            </w:r>
          </w:p>
        </w:tc>
        <w:tc>
          <w:tcPr>
            <w:tcW w:w="0" w:type="auto"/>
          </w:tcPr>
          <w:p>
            <w:pPr>
              <w:spacing w:line="240" w:lineRule="auto" w:before="0" w:after="0"/>
              <w:pStyle w:val="Compact"/>
            </w:pPr>
            <w:r>
              <w:rPr>
                <w:sz w:val="20"/>
                <w:szCs w:val="20"/>
              </w:rPr>
              <w:t xml:space="preserve">Kacific-1 press release 2020; Boeing 702MP base cost</w:t>
            </w:r>
          </w:p>
        </w:tc>
      </w:tr>
      <w:tr>
        <w:tc>
          <w:tcPr>
            <w:tcW w:w="0" w:type="auto"/>
          </w:tcPr>
          <w:p>
            <w:pPr>
              <w:spacing w:line="240" w:lineRule="auto" w:before="0" w:after="0"/>
              <w:pStyle w:val="Compact"/>
            </w:pPr>
            <w:r>
              <w:rPr>
                <w:sz w:val="20"/>
                <w:szCs w:val="20"/>
              </w:rPr>
              <w:t xml:space="preserve">Starlink-v1.5</w:t>
            </w:r>
          </w:p>
        </w:tc>
        <w:tc>
          <w:tcPr>
            <w:tcW w:w="0" w:type="auto"/>
          </w:tcPr>
          <w:p>
            <w:pPr>
              <w:spacing w:line="240" w:lineRule="auto" w:before="0" w:after="0"/>
              <w:pStyle w:val="Compact"/>
            </w:pPr>
            <w:r>
              <w:rPr>
                <w:sz w:val="20"/>
                <w:szCs w:val="20"/>
              </w:rPr>
              <w:t xml:space="preserve">rf_ku_ka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5.5607</w:t>
            </w:r>
          </w:p>
        </w:tc>
        <w:tc>
          <w:tcPr>
            <w:tcW w:w="0" w:type="auto"/>
          </w:tcPr>
          <w:p>
            <w:pPr>
              <w:spacing w:line="240" w:lineRule="auto" w:before="0" w:after="0"/>
              <w:pStyle w:val="Compact"/>
            </w:pPr>
            <w:r>
              <w:rPr>
                <w:sz w:val="20"/>
                <w:szCs w:val="20"/>
              </w:rPr>
              <w:t xml:space="preserve">8.294</w:t>
            </w:r>
          </w:p>
        </w:tc>
        <w:tc>
          <w:tcPr>
            <w:tcW w:w="0" w:type="auto"/>
          </w:tcPr>
          <w:p>
            <w:pPr>
              <w:spacing w:line="240" w:lineRule="auto" w:before="0" w:after="0"/>
              <w:pStyle w:val="Compact"/>
            </w:pPr>
            <w:r>
              <w:rPr>
                <w:sz w:val="20"/>
                <w:szCs w:val="20"/>
              </w:rPr>
              <w:t xml:space="preserve">FCC SAT-MOD-20200417; SpaceX disclosed unit cost ~250-500k USD</w:t>
            </w:r>
          </w:p>
        </w:tc>
      </w:tr>
      <w:tr>
        <w:tc>
          <w:tcPr>
            <w:tcW w:w="0" w:type="auto"/>
          </w:tcPr>
          <w:p>
            <w:pPr>
              <w:spacing w:line="240" w:lineRule="auto" w:before="0" w:after="0"/>
              <w:pStyle w:val="Compact"/>
            </w:pPr>
            <w:r>
              <w:rPr>
                <w:sz w:val="20"/>
                <w:szCs w:val="20"/>
              </w:rPr>
              <w:t xml:space="preserve">OneWeb-Gen1</w:t>
            </w:r>
          </w:p>
        </w:tc>
        <w:tc>
          <w:tcPr>
            <w:tcW w:w="0" w:type="auto"/>
          </w:tcPr>
          <w:p>
            <w:pPr>
              <w:spacing w:line="240" w:lineRule="auto" w:before="0" w:after="0"/>
              <w:pStyle w:val="Compact"/>
            </w:pPr>
            <w:r>
              <w:rPr>
                <w:sz w:val="20"/>
                <w:szCs w:val="20"/>
              </w:rPr>
              <w:t xml:space="preserve">rf_ku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2.0149</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OneWeb FCC filing; Eutelsat 2023 annual report</w:t>
            </w:r>
          </w:p>
        </w:tc>
      </w:tr>
      <w:tr>
        <w:tc>
          <w:tcPr>
            <w:tcW w:w="0" w:type="auto"/>
          </w:tcPr>
          <w:p>
            <w:pPr>
              <w:spacing w:line="240" w:lineRule="auto" w:before="0" w:after="0"/>
              <w:pStyle w:val="Compact"/>
            </w:pPr>
            <w:r>
              <w:rPr>
                <w:sz w:val="20"/>
                <w:szCs w:val="20"/>
              </w:rPr>
              <w:t xml:space="preserve">Telesat-LightSpeed</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2.0149</w:t>
            </w:r>
          </w:p>
        </w:tc>
        <w:tc>
          <w:tcPr>
            <w:tcW w:w="0" w:type="auto"/>
          </w:tcPr>
          <w:p>
            <w:pPr>
              <w:spacing w:line="240" w:lineRule="auto" w:before="0" w:after="0"/>
              <w:pStyle w:val="Compact"/>
            </w:pPr>
            <w:r>
              <w:rPr>
                <w:sz w:val="20"/>
                <w:szCs w:val="20"/>
              </w:rPr>
              <w:t xml:space="preserve">6.6201</w:t>
            </w:r>
          </w:p>
        </w:tc>
        <w:tc>
          <w:tcPr>
            <w:tcW w:w="0" w:type="auto"/>
          </w:tcPr>
          <w:p>
            <w:pPr>
              <w:spacing w:line="240" w:lineRule="auto" w:before="0" w:after="0"/>
              <w:pStyle w:val="Compact"/>
            </w:pPr>
            <w:r>
              <w:rPr>
                <w:sz w:val="20"/>
                <w:szCs w:val="20"/>
              </w:rPr>
              <w:t xml:space="preserve">7.9374</w:t>
            </w:r>
          </w:p>
        </w:tc>
        <w:tc>
          <w:tcPr>
            <w:tcW w:w="0" w:type="auto"/>
          </w:tcPr>
          <w:p>
            <w:pPr>
              <w:spacing w:line="240" w:lineRule="auto" w:before="0" w:after="0"/>
              <w:pStyle w:val="Compact"/>
            </w:pPr>
            <w:r>
              <w:rPr>
                <w:sz w:val="20"/>
                <w:szCs w:val="20"/>
              </w:rPr>
              <w:t xml:space="preserve">Telesat Lightspeed CSA contract 2023; MDA Q4-2023 report</w:t>
            </w:r>
          </w:p>
        </w:tc>
      </w:tr>
      <w:tr>
        <w:tc>
          <w:tcPr>
            <w:tcW w:w="0" w:type="auto"/>
          </w:tcPr>
          <w:p>
            <w:pPr>
              <w:spacing w:line="240" w:lineRule="auto" w:before="0" w:after="0"/>
              <w:pStyle w:val="Compact"/>
            </w:pPr>
            <w:r>
              <w:rPr>
                <w:sz w:val="20"/>
                <w:szCs w:val="20"/>
              </w:rPr>
              <w:t xml:space="preserve">O3b-mPower-1</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5.3471</w:t>
            </w:r>
          </w:p>
        </w:tc>
        <w:tc>
          <w:tcPr>
            <w:tcW w:w="0" w:type="auto"/>
          </w:tcPr>
          <w:p>
            <w:pPr>
              <w:spacing w:line="240" w:lineRule="auto" w:before="0" w:after="0"/>
              <w:pStyle w:val="Compact"/>
            </w:pPr>
            <w:r>
              <w:rPr>
                <w:sz w:val="20"/>
                <w:szCs w:val="20"/>
              </w:rPr>
              <w:t xml:space="preserve">4.3175</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8.5172</w:t>
            </w:r>
          </w:p>
        </w:tc>
        <w:tc>
          <w:tcPr>
            <w:tcW w:w="0" w:type="auto"/>
          </w:tcPr>
          <w:p>
            <w:pPr>
              <w:spacing w:line="240" w:lineRule="auto" w:before="0" w:after="0"/>
              <w:pStyle w:val="Compact"/>
            </w:pPr>
            <w:r>
              <w:rPr>
                <w:sz w:val="20"/>
                <w:szCs w:val="20"/>
              </w:rPr>
              <w:t xml:space="preserve">SES 2022 annual report; Boeing 702X contract value</w:t>
            </w:r>
          </w:p>
        </w:tc>
      </w:tr>
      <w:tr>
        <w:tc>
          <w:tcPr>
            <w:tcW w:w="0" w:type="auto"/>
          </w:tcPr>
          <w:p>
            <w:pPr>
              <w:spacing w:line="240" w:lineRule="auto" w:before="0" w:after="0"/>
              <w:pStyle w:val="Compact"/>
            </w:pPr>
            <w:r>
              <w:rPr>
                <w:sz w:val="20"/>
                <w:szCs w:val="20"/>
              </w:rPr>
              <w:t xml:space="preserve">GeoEye-Equiv-Ka</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82.5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5.1059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6.2538</w:t>
            </w:r>
          </w:p>
        </w:tc>
        <w:tc>
          <w:tcPr>
            <w:tcW w:w="0" w:type="auto"/>
          </w:tcPr>
          <w:p>
            <w:pPr>
              <w:spacing w:line="240" w:lineRule="auto" w:before="0" w:after="0"/>
              <w:pStyle w:val="Compact"/>
            </w:pPr>
            <w:r>
              <w:rPr>
                <w:sz w:val="20"/>
                <w:szCs w:val="20"/>
              </w:rPr>
              <w:t xml:space="preserve">7.5496</w:t>
            </w:r>
          </w:p>
        </w:tc>
        <w:tc>
          <w:tcPr>
            <w:tcW w:w="0" w:type="auto"/>
          </w:tcPr>
          <w:p>
            <w:pPr>
              <w:spacing w:line="240" w:lineRule="auto" w:before="0" w:after="0"/>
              <w:pStyle w:val="Compact"/>
            </w:pPr>
            <w:r>
              <w:rPr>
                <w:sz w:val="20"/>
                <w:szCs w:val="20"/>
              </w:rPr>
              <w:t xml:space="preserve">GAO-19-417 commercial SATCOM benchmark [illustrative]</w:t>
            </w:r>
          </w:p>
        </w:tc>
      </w:tr>
      <w:tr>
        <w:tc>
          <w:tcPr>
            <w:tcW w:w="0" w:type="auto"/>
          </w:tcPr>
          <w:p>
            <w:pPr>
              <w:spacing w:line="240" w:lineRule="auto" w:before="0" w:after="0"/>
              <w:pStyle w:val="Compact"/>
            </w:pPr>
            <w:r>
              <w:rPr>
                <w:sz w:val="20"/>
                <w:szCs w:val="20"/>
              </w:rPr>
              <w:t xml:space="preserve">DSCS-III-B6</w:t>
            </w:r>
          </w:p>
        </w:tc>
        <w:tc>
          <w:tcPr>
            <w:tcW w:w="0" w:type="auto"/>
          </w:tcPr>
          <w:p>
            <w:pPr>
              <w:spacing w:line="240" w:lineRule="auto" w:before="0" w:after="0"/>
              <w:pStyle w:val="Compact"/>
            </w:pPr>
            <w:r>
              <w:rPr>
                <w:sz w:val="20"/>
                <w:szCs w:val="20"/>
              </w:rPr>
              <w:t xml:space="preserve">rf_xband</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1170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7.0648</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USAF DSCS-III B6 historical; GAO-95-211 [illustrative]</w:t>
            </w:r>
          </w:p>
        </w:tc>
      </w:tr>
      <w:tr>
        <w:tc>
          <w:tcPr>
            <w:tcW w:w="0" w:type="auto"/>
          </w:tcPr>
          <w:p>
            <w:pPr>
              <w:spacing w:line="240" w:lineRule="auto" w:before="0" w:after="0"/>
              <w:pStyle w:val="Compact"/>
            </w:pPr>
            <w:r>
              <w:rPr>
                <w:sz w:val="20"/>
                <w:szCs w:val="20"/>
              </w:rPr>
              <w:t xml:space="preserve">SBIRS-Geo-6-Comms</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4500</w:t>
            </w:r>
          </w:p>
        </w:tc>
        <w:tc>
          <w:tcPr>
            <w:tcW w:w="0" w:type="auto"/>
          </w:tcPr>
          <w:p>
            <w:pPr>
              <w:spacing w:line="240" w:lineRule="auto" w:before="0" w:after="0"/>
              <w:pStyle w:val="Compact"/>
            </w:pPr>
            <w:r>
              <w:rPr>
                <w:sz w:val="20"/>
                <w:szCs w:val="20"/>
              </w:rPr>
              <w:t xml:space="preserve">2700</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5.6699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8.4118</w:t>
            </w:r>
          </w:p>
        </w:tc>
        <w:tc>
          <w:tcPr>
            <w:tcW w:w="0" w:type="auto"/>
          </w:tcPr>
          <w:p>
            <w:pPr>
              <w:spacing w:line="240" w:lineRule="auto" w:before="0" w:after="0"/>
              <w:pStyle w:val="Compact"/>
            </w:pPr>
            <w:r>
              <w:rPr>
                <w:sz w:val="20"/>
                <w:szCs w:val="20"/>
              </w:rPr>
              <w:t xml:space="preserve">7.901</w:t>
            </w:r>
          </w:p>
        </w:tc>
        <w:tc>
          <w:tcPr>
            <w:tcW w:w="0" w:type="auto"/>
          </w:tcPr>
          <w:p>
            <w:pPr>
              <w:spacing w:line="240" w:lineRule="auto" w:before="0" w:after="0"/>
              <w:pStyle w:val="Compact"/>
            </w:pPr>
            <w:r>
              <w:rPr>
                <w:sz w:val="20"/>
                <w:szCs w:val="20"/>
              </w:rPr>
              <w:t xml:space="preserve">GAO-22-105230 SBIRS-Geo cost; comms subsystem alloc [illustrative]</w:t>
            </w:r>
          </w:p>
        </w:tc>
      </w:tr>
      <w:tr>
        <w:tc>
          <w:tcPr>
            <w:tcW w:w="0" w:type="auto"/>
          </w:tcPr>
          <w:p>
            <w:pPr>
              <w:spacing w:line="240" w:lineRule="auto" w:before="0" w:after="0"/>
              <w:pStyle w:val="Compact"/>
            </w:pPr>
            <w:r>
              <w:rPr>
                <w:sz w:val="20"/>
                <w:szCs w:val="20"/>
              </w:rPr>
              <w:t xml:space="preserve">SDA-T1TL-OCT</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-0.5978</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4.0073</w:t>
            </w:r>
          </w:p>
        </w:tc>
        <w:tc>
          <w:tcPr>
            <w:tcW w:w="0" w:type="auto"/>
          </w:tcPr>
          <w:p>
            <w:pPr>
              <w:spacing w:line="240" w:lineRule="auto" w:before="0" w:after="0"/>
              <w:pStyle w:val="Compact"/>
            </w:pPr>
            <w:r>
              <w:rPr>
                <w:sz w:val="20"/>
                <w:szCs w:val="20"/>
              </w:rPr>
              <w:t xml:space="preserve">SDA Tranche 1 Transport Layer contract values 2022; Mynaric/CACI/Tesat unit data</w:t>
            </w:r>
          </w:p>
        </w:tc>
      </w:tr>
      <w:tr>
        <w:tc>
          <w:tcPr>
            <w:tcW w:w="0" w:type="auto"/>
          </w:tcPr>
          <w:p>
            <w:pPr>
              <w:spacing w:line="240" w:lineRule="auto" w:before="0" w:after="0"/>
              <w:pStyle w:val="Compact"/>
            </w:pPr>
            <w:r>
              <w:rPr>
                <w:sz w:val="20"/>
                <w:szCs w:val="20"/>
              </w:rPr>
              <w:t xml:space="preserve">DLR-OSIRIS4</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DLR OSIRIS4CubeSat paper; Acta Astronautica 2023</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ln_unit_cost</w:t>
            </w:r>
          </w:p>
        </w:tc>
        <w:tc>
          <w:tcPr>
            <w:tcW w:w="0" w:type="auto"/>
          </w:tcPr>
          <w:p>
            <w:pPr>
              <w:spacing w:line="240" w:lineRule="auto" w:before="0" w:after="0"/>
              <w:pStyle w:val="Compact"/>
            </w:pPr>
            <w:r>
              <w:rPr>
                <w:sz w:val="20"/>
                <w:szCs w:val="20"/>
              </w:rPr>
              <w:t xml:space="preserve">Natural log of recurring per-unit terminal cost in 2024 USD millions, deflated where source year differs using GDP deflator and NASA New Start Index</w:t>
            </w:r>
          </w:p>
        </w:tc>
        <w:tc>
          <w:tcPr>
            <w:tcW w:w="0" w:type="auto"/>
          </w:tcPr>
          <w:p>
            <w:pPr>
              <w:spacing w:line="240" w:lineRule="auto" w:before="0" w:after="0"/>
              <w:pStyle w:val="Compact"/>
            </w:pPr>
            <w:r>
              <w:rPr>
                <w:sz w:val="20"/>
                <w:szCs w:val="20"/>
              </w:rPr>
              <w:t xml:space="preserve">Constructed as ln(unit_cost_musd2024) from GAO Major-Project Assessment series (GAO-15-274, GAO-15-342, GAO-19-417, GAO-20-439, GAO-22-105212, GAO-22-105230), USSF/USAF budget exhibits, SEC 10-K filings (Maxar, Inmarsat, Viasat, SES, Iridium, Telesat), and contractor disclosures (Boeing, Thales Alenia, MDA, Mynaric, Tesat)</w:t>
            </w:r>
          </w:p>
        </w:tc>
      </w:tr>
      <w:tr>
        <w:tc>
          <w:tcPr>
            <w:tcW w:w="0" w:type="auto"/>
          </w:tcPr>
          <w:p>
            <w:pPr>
              <w:spacing w:line="240" w:lineRule="auto" w:before="0" w:after="0"/>
              <w:pStyle w:val="Compact"/>
            </w:pPr>
            <w:r>
              <w:rPr>
                <w:sz w:val="20"/>
                <w:szCs w:val="20"/>
              </w:rPr>
              <w:t xml:space="preserve">ln_data_rate</w:t>
            </w:r>
          </w:p>
        </w:tc>
        <w:tc>
          <w:tcPr>
            <w:tcW w:w="0" w:type="auto"/>
          </w:tcPr>
          <w:p>
            <w:pPr>
              <w:spacing w:line="240" w:lineRule="auto" w:before="0" w:after="0"/>
              <w:pStyle w:val="Compact"/>
            </w:pPr>
            <w:r>
              <w:rPr>
                <w:sz w:val="20"/>
                <w:szCs w:val="20"/>
              </w:rPr>
              <w:t xml:space="preserve">Natural log of peak demonstrated or contracted on-orbit one-way user data rate per terminal in Gbps</w:t>
            </w:r>
          </w:p>
        </w:tc>
        <w:tc>
          <w:tcPr>
            <w:tcW w:w="0" w:type="auto"/>
          </w:tcPr>
          <w:p>
            <w:pPr>
              <w:spacing w:line="240" w:lineRule="auto" w:before="0" w:after="0"/>
              <w:pStyle w:val="Compact"/>
            </w:pPr>
            <w:r>
              <w:rPr>
                <w:sz w:val="20"/>
                <w:szCs w:val="20"/>
              </w:rPr>
              <w:t xml:space="preserve">Constructed as ln(data_rate_gbps) from NASA NTRS mission reports, FCC IBFS filings (SAT-MOD-20200417), ESA EDRS programme docs, Acta Astronautica technical papers, vendor data sheets</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 of communications payload or terminal dry mass in kilograms</w:t>
            </w:r>
          </w:p>
        </w:tc>
        <w:tc>
          <w:tcPr>
            <w:tcW w:w="0" w:type="auto"/>
          </w:tcPr>
          <w:p>
            <w:pPr>
              <w:spacing w:line="240" w:lineRule="auto" w:before="0" w:after="0"/>
              <w:pStyle w:val="Compact"/>
            </w:pPr>
            <w:r>
              <w:rPr>
                <w:sz w:val="20"/>
                <w:szCs w:val="20"/>
              </w:rPr>
              <w:t xml:space="preserve">Constructed as ln(terminal_mass_kg) from mission press kits, contractor datasheets, FCC technical exhibits, and refereed instrument papers</w:t>
            </w:r>
          </w:p>
        </w:tc>
      </w:tr>
      <w:tr>
        <w:tc>
          <w:tcPr>
            <w:tcW w:w="0" w:type="auto"/>
          </w:tcPr>
          <w:p>
            <w:pPr>
              <w:spacing w:line="240" w:lineRule="auto" w:before="0" w:after="0"/>
              <w:pStyle w:val="Compact"/>
            </w:pPr>
            <w:r>
              <w:rPr>
                <w:sz w:val="20"/>
                <w:szCs w:val="20"/>
              </w:rPr>
              <w:t xml:space="preserve">ln_power</w:t>
            </w:r>
          </w:p>
        </w:tc>
        <w:tc>
          <w:tcPr>
            <w:tcW w:w="0" w:type="auto"/>
          </w:tcPr>
          <w:p>
            <w:pPr>
              <w:spacing w:line="240" w:lineRule="auto" w:before="0" w:after="0"/>
              <w:pStyle w:val="Compact"/>
            </w:pPr>
            <w:r>
              <w:rPr>
                <w:sz w:val="20"/>
                <w:szCs w:val="20"/>
              </w:rPr>
              <w:t xml:space="preserve">Natural log of communications payload steady-state DC power in watts</w:t>
            </w:r>
          </w:p>
        </w:tc>
        <w:tc>
          <w:tcPr>
            <w:tcW w:w="0" w:type="auto"/>
          </w:tcPr>
          <w:p>
            <w:pPr>
              <w:spacing w:line="240" w:lineRule="auto" w:before="0" w:after="0"/>
              <w:pStyle w:val="Compact"/>
            </w:pPr>
            <w:r>
              <w:rPr>
                <w:sz w:val="20"/>
                <w:szCs w:val="20"/>
              </w:rPr>
              <w:t xml:space="preserve">Constructed as ln(terminal_power_w) from spacecraft power-budget exhibits in mission press kits, NASA OIG audits, and DAF P-40 budget documents</w:t>
            </w:r>
          </w:p>
        </w:tc>
      </w:tr>
      <w:tr>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Binary indicator equal to 1 for free-space optical (1064 or 1550 nm laser) terminals and 0 for radio-frequency terminals (UHF, S, X, Ku, Ka band)</w:t>
            </w:r>
          </w:p>
        </w:tc>
        <w:tc>
          <w:tcPr>
            <w:tcW w:w="0" w:type="auto"/>
          </w:tcPr>
          <w:p>
            <w:pPr>
              <w:spacing w:line="240" w:lineRule="auto" w:before="0" w:after="0"/>
              <w:pStyle w:val="Compact"/>
            </w:pPr>
            <w:r>
              <w:rPr>
                <w:sz w:val="20"/>
                <w:szCs w:val="20"/>
              </w:rPr>
              <w:t xml:space="preserve">Classified from primary downlink or crosslink technology described in the cited mission source per row</w:t>
            </w:r>
          </w:p>
        </w:tc>
      </w:tr>
      <w:tr>
        <w:tc>
          <w:tcPr>
            <w:tcW w:w="0" w:type="auto"/>
          </w:tcPr>
          <w:p>
            <w:pPr>
              <w:spacing w:line="240" w:lineRule="auto" w:before="0" w:after="0"/>
              <w:pStyle w:val="Compact"/>
            </w:pPr>
            <w:r>
              <w:rPr>
                <w:sz w:val="20"/>
                <w:szCs w:val="20"/>
              </w:rPr>
              <w:t xml:space="preserve">unit_cost_musd2024</w:t>
            </w:r>
          </w:p>
        </w:tc>
        <w:tc>
          <w:tcPr>
            <w:tcW w:w="0" w:type="auto"/>
          </w:tcPr>
          <w:p>
            <w:pPr>
              <w:spacing w:line="240" w:lineRule="auto" w:before="0" w:after="0"/>
              <w:pStyle w:val="Compact"/>
            </w:pPr>
            <w:r>
              <w:rPr>
                <w:sz w:val="20"/>
                <w:szCs w:val="20"/>
              </w:rPr>
              <w:t xml:space="preserve">Underlying recurring per-unit terminal cost in 2024 USD millions before log transform</w:t>
            </w:r>
          </w:p>
        </w:tc>
        <w:tc>
          <w:tcPr>
            <w:tcW w:w="0" w:type="auto"/>
          </w:tcPr>
          <w:p>
            <w:pPr>
              <w:spacing w:line="240" w:lineRule="auto" w:before="0" w:after="0"/>
              <w:pStyle w:val="Compact"/>
            </w:pPr>
            <w:r>
              <w:rPr>
                <w:sz w:val="20"/>
                <w:szCs w:val="20"/>
              </w:rPr>
              <w:t xml:space="preserve">GAO Major-Project Assessments; SEC 10-K filings; DAF FY24 P-40 budget; vendor 10-K and press disclosures</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-1.3899</w:t>
            </w:r>
          </w:p>
        </w:tc>
        <w:tc>
          <w:tcPr>
            <w:tcW w:w="0" w:type="auto"/>
          </w:tcPr>
          <w:p>
            <w:pPr>
              <w:spacing w:line="240" w:lineRule="auto" w:before="0" w:after="0"/>
              <w:pStyle w:val="Compact"/>
            </w:pPr>
            <w:r>
              <w:rPr>
                <w:sz w:val="20"/>
                <w:szCs w:val="20"/>
              </w:rPr>
              <w:t xml:space="preserve">2.3241</w:t>
            </w:r>
          </w:p>
        </w:tc>
        <w:tc>
          <w:tcPr>
            <w:tcW w:w="0" w:type="auto"/>
          </w:tcPr>
          <w:p>
            <w:pPr>
              <w:spacing w:line="240" w:lineRule="auto" w:before="0" w:after="0"/>
              <w:pStyle w:val="Compact"/>
            </w:pPr>
            <w:r>
              <w:rPr>
                <w:sz w:val="20"/>
                <w:szCs w:val="20"/>
              </w:rPr>
              <w:t xml:space="preserve">-0.598</w:t>
            </w:r>
          </w:p>
        </w:tc>
        <w:tc>
          <w:tcPr>
            <w:tcW w:w="0" w:type="auto"/>
          </w:tcPr>
          <w:p>
            <w:pPr>
              <w:spacing w:line="240" w:lineRule="auto" w:before="0" w:after="0"/>
              <w:pStyle w:val="Compact"/>
            </w:pPr>
            <w:r>
              <w:rPr>
                <w:sz w:val="20"/>
                <w:szCs w:val="20"/>
              </w:rPr>
              <w:t xml:space="preserve">0.5498</w:t>
            </w:r>
          </w:p>
        </w:tc>
        <w:tc>
          <w:tcPr>
            <w:tcW w:w="0" w:type="auto"/>
          </w:tcPr>
          <w:p>
            <w:pPr>
              <w:spacing w:line="240" w:lineRule="auto" w:before="0" w:after="0"/>
              <w:pStyle w:val="Compact"/>
            </w:pPr>
            <w:r>
              <w:rPr>
                <w:sz w:val="20"/>
                <w:szCs w:val="20"/>
              </w:rPr>
              <w:t xml:space="preserve">[-5.945, 3.1652]</w:t>
            </w:r>
          </w:p>
        </w:tc>
      </w:tr>
      <w:tr>
        <w:tc>
          <w:tcPr>
            <w:tcW w:w="0" w:type="auto"/>
          </w:tcPr>
          <w:p>
            <w:pPr>
              <w:spacing w:line="240" w:lineRule="auto" w:before="0" w:after="0"/>
              <w:pStyle w:val="Compact"/>
            </w:pPr>
            <w:r>
              <w:rPr>
                <w:sz w:val="20"/>
                <w:szCs w:val="20"/>
              </w:rPr>
              <w:t xml:space="preserve">ln_data_rate</w:t>
            </w:r>
          </w:p>
        </w:tc>
        <w:tc>
          <w:tcPr>
            <w:tcW w:w="0" w:type="auto"/>
          </w:tcPr>
          <w:p>
            <w:pPr>
              <w:spacing w:line="240" w:lineRule="auto" w:before="0" w:after="0"/>
              <w:pStyle w:val="Compact"/>
            </w:pPr>
            <w:r>
              <w:rPr>
                <w:sz w:val="20"/>
                <w:szCs w:val="20"/>
              </w:rPr>
              <w:t xml:space="preserve">0.1676</w:t>
            </w:r>
          </w:p>
        </w:tc>
        <w:tc>
          <w:tcPr>
            <w:tcW w:w="0" w:type="auto"/>
          </w:tcPr>
          <w:p>
            <w:pPr>
              <w:spacing w:line="240" w:lineRule="auto" w:before="0" w:after="0"/>
              <w:pStyle w:val="Compact"/>
            </w:pPr>
            <w:r>
              <w:rPr>
                <w:sz w:val="20"/>
                <w:szCs w:val="20"/>
              </w:rPr>
              <w:t xml:space="preserve">0.1605</w:t>
            </w:r>
          </w:p>
        </w:tc>
        <w:tc>
          <w:tcPr>
            <w:tcW w:w="0" w:type="auto"/>
          </w:tcPr>
          <w:p>
            <w:pPr>
              <w:spacing w:line="240" w:lineRule="auto" w:before="0" w:after="0"/>
              <w:pStyle w:val="Compact"/>
            </w:pPr>
            <w:r>
              <w:rPr>
                <w:sz w:val="20"/>
                <w:szCs w:val="20"/>
              </w:rPr>
              <w:t xml:space="preserve">1.0446</w:t>
            </w:r>
          </w:p>
        </w:tc>
        <w:tc>
          <w:tcPr>
            <w:tcW w:w="0" w:type="auto"/>
          </w:tcPr>
          <w:p>
            <w:pPr>
              <w:spacing w:line="240" w:lineRule="auto" w:before="0" w:after="0"/>
              <w:pStyle w:val="Compact"/>
            </w:pPr>
            <w:r>
              <w:rPr>
                <w:sz w:val="20"/>
                <w:szCs w:val="20"/>
              </w:rPr>
              <w:t xml:space="preserve">0.2962</w:t>
            </w:r>
          </w:p>
        </w:tc>
        <w:tc>
          <w:tcPr>
            <w:tcW w:w="0" w:type="auto"/>
          </w:tcPr>
          <w:p>
            <w:pPr>
              <w:spacing w:line="240" w:lineRule="auto" w:before="0" w:after="0"/>
              <w:pStyle w:val="Compact"/>
            </w:pPr>
            <w:r>
              <w:rPr>
                <w:sz w:val="20"/>
                <w:szCs w:val="20"/>
              </w:rPr>
              <w:t xml:space="preserve">[-0.1469, 0.4822]</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1.5349</w:t>
            </w:r>
          </w:p>
        </w:tc>
        <w:tc>
          <w:tcPr>
            <w:tcW w:w="0" w:type="auto"/>
          </w:tcPr>
          <w:p>
            <w:pPr>
              <w:spacing w:line="240" w:lineRule="auto" w:before="0" w:after="0"/>
              <w:pStyle w:val="Compact"/>
            </w:pPr>
            <w:r>
              <w:rPr>
                <w:sz w:val="20"/>
                <w:szCs w:val="20"/>
              </w:rPr>
              <w:t xml:space="preserve">0.3327</w:t>
            </w:r>
          </w:p>
        </w:tc>
        <w:tc>
          <w:tcPr>
            <w:tcW w:w="0" w:type="auto"/>
          </w:tcPr>
          <w:p>
            <w:pPr>
              <w:spacing w:line="240" w:lineRule="auto" w:before="0" w:after="0"/>
              <w:pStyle w:val="Compact"/>
            </w:pPr>
            <w:r>
              <w:rPr>
                <w:sz w:val="20"/>
                <w:szCs w:val="20"/>
              </w:rPr>
              <w:t xml:space="preserve">4.613</w:t>
            </w:r>
          </w:p>
        </w:tc>
        <w:tc>
          <w:tcPr>
            <w:tcW w:w="0" w:type="auto"/>
          </w:tcPr>
          <w:p>
            <w:pPr>
              <w:spacing w:line="240" w:lineRule="auto" w:before="0" w:after="0"/>
              <w:pStyle w:val="Compact"/>
            </w:pPr>
            <w:r>
              <w:rPr>
                <w:sz w:val="20"/>
                <w:szCs w:val="20"/>
              </w:rPr>
              <w:t xml:space="preserve">3.969e-06</w:t>
            </w:r>
          </w:p>
        </w:tc>
        <w:tc>
          <w:tcPr>
            <w:tcW w:w="0" w:type="auto"/>
          </w:tcPr>
          <w:p>
            <w:pPr>
              <w:spacing w:line="240" w:lineRule="auto" w:before="0" w:after="0"/>
              <w:pStyle w:val="Compact"/>
            </w:pPr>
            <w:r>
              <w:rPr>
                <w:sz w:val="20"/>
                <w:szCs w:val="20"/>
              </w:rPr>
              <w:t xml:space="preserve">[0.8828, 2.187]</w:t>
            </w:r>
          </w:p>
        </w:tc>
      </w:tr>
      <w:tr>
        <w:tc>
          <w:tcPr>
            <w:tcW w:w="0" w:type="auto"/>
          </w:tcPr>
          <w:p>
            <w:pPr>
              <w:spacing w:line="240" w:lineRule="auto" w:before="0" w:after="0"/>
              <w:pStyle w:val="Compact"/>
            </w:pPr>
            <w:r>
              <w:rPr>
                <w:sz w:val="20"/>
                <w:szCs w:val="20"/>
              </w:rPr>
              <w:t xml:space="preserve">ln_power</w:t>
            </w:r>
          </w:p>
        </w:tc>
        <w:tc>
          <w:tcPr>
            <w:tcW w:w="0" w:type="auto"/>
          </w:tcPr>
          <w:p>
            <w:pPr>
              <w:spacing w:line="240" w:lineRule="auto" w:before="0" w:after="0"/>
              <w:pStyle w:val="Compact"/>
            </w:pPr>
            <w:r>
              <w:rPr>
                <w:sz w:val="20"/>
                <w:szCs w:val="20"/>
              </w:rPr>
              <w:t xml:space="preserve">-0.6096</w:t>
            </w:r>
          </w:p>
        </w:tc>
        <w:tc>
          <w:tcPr>
            <w:tcW w:w="0" w:type="auto"/>
          </w:tcPr>
          <w:p>
            <w:pPr>
              <w:spacing w:line="240" w:lineRule="auto" w:before="0" w:after="0"/>
              <w:pStyle w:val="Compact"/>
            </w:pPr>
            <w:r>
              <w:rPr>
                <w:sz w:val="20"/>
                <w:szCs w:val="20"/>
              </w:rPr>
              <w:t xml:space="preserve">0.5169</w:t>
            </w:r>
          </w:p>
        </w:tc>
        <w:tc>
          <w:tcPr>
            <w:tcW w:w="0" w:type="auto"/>
          </w:tcPr>
          <w:p>
            <w:pPr>
              <w:spacing w:line="240" w:lineRule="auto" w:before="0" w:after="0"/>
              <w:pStyle w:val="Compact"/>
            </w:pPr>
            <w:r>
              <w:rPr>
                <w:sz w:val="20"/>
                <w:szCs w:val="20"/>
              </w:rPr>
              <w:t xml:space="preserve">-1.1792</w:t>
            </w:r>
          </w:p>
        </w:tc>
        <w:tc>
          <w:tcPr>
            <w:tcW w:w="0" w:type="auto"/>
          </w:tcPr>
          <w:p>
            <w:pPr>
              <w:spacing w:line="240" w:lineRule="auto" w:before="0" w:after="0"/>
              <w:pStyle w:val="Compact"/>
            </w:pPr>
            <w:r>
              <w:rPr>
                <w:sz w:val="20"/>
                <w:szCs w:val="20"/>
              </w:rPr>
              <w:t xml:space="preserve">0.2383</w:t>
            </w:r>
          </w:p>
        </w:tc>
        <w:tc>
          <w:tcPr>
            <w:tcW w:w="0" w:type="auto"/>
          </w:tcPr>
          <w:p>
            <w:pPr>
              <w:spacing w:line="240" w:lineRule="auto" w:before="0" w:after="0"/>
              <w:pStyle w:val="Compact"/>
            </w:pPr>
            <w:r>
              <w:rPr>
                <w:sz w:val="20"/>
                <w:szCs w:val="20"/>
              </w:rPr>
              <w:t xml:space="preserve">[-1.6228, 0.4036]</w:t>
            </w:r>
          </w:p>
        </w:tc>
      </w:tr>
      <w:tr>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1.9836</w:t>
            </w:r>
          </w:p>
        </w:tc>
        <w:tc>
          <w:tcPr>
            <w:tcW w:w="0" w:type="auto"/>
          </w:tcPr>
          <w:p>
            <w:pPr>
              <w:spacing w:line="240" w:lineRule="auto" w:before="0" w:after="0"/>
              <w:pStyle w:val="Compact"/>
            </w:pPr>
            <w:r>
              <w:rPr>
                <w:sz w:val="20"/>
                <w:szCs w:val="20"/>
              </w:rPr>
              <w:t xml:space="preserve">1.192</w:t>
            </w:r>
          </w:p>
        </w:tc>
        <w:tc>
          <w:tcPr>
            <w:tcW w:w="0" w:type="auto"/>
          </w:tcPr>
          <w:p>
            <w:pPr>
              <w:spacing w:line="240" w:lineRule="auto" w:before="0" w:after="0"/>
              <w:pStyle w:val="Compact"/>
            </w:pPr>
            <w:r>
              <w:rPr>
                <w:sz w:val="20"/>
                <w:szCs w:val="20"/>
              </w:rPr>
              <w:t xml:space="preserve">1.6641</w:t>
            </w:r>
          </w:p>
        </w:tc>
        <w:tc>
          <w:tcPr>
            <w:tcW w:w="0" w:type="auto"/>
          </w:tcPr>
          <w:p>
            <w:pPr>
              <w:spacing w:line="240" w:lineRule="auto" w:before="0" w:after="0"/>
              <w:pStyle w:val="Compact"/>
            </w:pPr>
            <w:r>
              <w:rPr>
                <w:sz w:val="20"/>
                <w:szCs w:val="20"/>
              </w:rPr>
              <w:t xml:space="preserve">0.0961</w:t>
            </w:r>
          </w:p>
        </w:tc>
        <w:tc>
          <w:tcPr>
            <w:tcW w:w="0" w:type="auto"/>
          </w:tcPr>
          <w:p>
            <w:pPr>
              <w:spacing w:line="240" w:lineRule="auto" w:before="0" w:after="0"/>
              <w:pStyle w:val="Compact"/>
            </w:pPr>
            <w:r>
              <w:rPr>
                <w:sz w:val="20"/>
                <w:szCs w:val="20"/>
              </w:rPr>
              <w:t xml:space="preserve">[-0.3527, 4.32]</w:t>
            </w:r>
          </w:p>
        </w:tc>
      </w:tr>
    </w:tbl>
    <w:p>
      <w:pPr>
        <w:pStyle w:val="BodyText"/>
      </w:pPr>
      <w:r>
        <w:t xml:space="preserve">Fit: N = 32 R2 = 0.7697 R2_adj = 0.7356 F = 31.9834 F_p = 6.933e-10</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2026-06-27T00:26:54Z</dcterms:created>
  <dcterms:modified xsi:type="dcterms:W3CDTF">2026-06-27T00:26:54Z</dcterms:modified>
</cp:coreProperties>
</file>

<file path=docProps/custom.xml><?xml version="1.0" encoding="utf-8"?>
<Properties xmlns="http://schemas.openxmlformats.org/officeDocument/2006/custom-properties" xmlns:vt="http://schemas.openxmlformats.org/officeDocument/2006/docPropsVTypes"/>
</file>