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c724e3c3d8b8e24f0a3bf707256dbbbfc2500f7"/>
    <w:p>
      <w:pPr>
        <w:pStyle w:val="Heading1"/>
      </w:pPr>
      <w:r>
        <w:t xml:space="preserve">Spectrum Versus Photons: A Log-Log Cost-Capacity Elasticity for Radio-Frequency and Optical Space-Communication Links</w:t>
      </w:r>
    </w:p>
    <w:bookmarkStart w:id="61" w:name="introduction"/>
    <w:p>
      <w:pPr>
        <w:pStyle w:val="Heading2"/>
      </w:pPr>
      <w:r>
        <w:t xml:space="preserve">1. Introduction</w:t>
      </w:r>
    </w:p>
    <w:p>
      <w:pPr>
        <w:pStyle w:val="FirstParagraph"/>
      </w:pPr>
      <w:r>
        <w:t xml:space="preserve">The recurring policy question that motivates this paper is whether the photon channel has reached the point at which it delivers a lower cost per delivered megabit than the radio-frequency channel for civil space missions. The question is operational rather than rhetorical. NASA, ESA, and several commercial constellations now route a non-trivial fraction of mission data through laser terminals, and the next round of architecture decisions for deep-space relay, lunar surface return, and inter-satellite links will turn on whether the cost-capacity frontier of the optical class has actually shifted below that of the radio-frequency class. This paper estimates a log-log cost-capacity elasticity across 30 flown links and uses the resulting estimate as a baseline against which the two cost frontiers can be compared.</w:t>
      </w:r>
    </w:p>
    <w:bookmarkEnd w:id="61"/>
    <w:bookmarkStart w:id="62" w:name="theory-and-hypotheses"/>
    <w:p>
      <w:pPr>
        <w:pStyle w:val="Heading2"/>
      </w:pPr>
      <w:r>
        <w:t xml:space="preserve">2. Theory and Hypotheses</w:t>
      </w:r>
    </w:p>
    <w:p>
      <w:pPr>
        <w:pStyle w:val="FirstParagraph"/>
      </w:pPr>
      <w:r>
        <w:t xml:space="preserve">The shape of the cost-capacity relation in space-communication hardware has been treated for two decades as a power-law learning relation in which doubling capacity multiplies cost by a progress ratio less than one</w:t>
      </w:r>
      <w:r>
        <w:t xml:space="preserve"> </w:t>
      </w:r>
      <w:hyperlink w:anchor="ref-1">
        <m:oMathPara>
          <m:oMathParaPr>
            <m:jc m:val="center"/>
          </m:oMathParaPr>
          <m:oMath>
            <m:r>
              <m:t>1</m:t>
            </m:r>
          </m:oMath>
        </m:oMathPara>
      </w:hyperlink>
      <w:r>
        <w:t xml:space="preserve">. The NICM family of cost-estimating relationships, which is the working canon at JPL for instrument and payload class hardware, treats cost as a power-law function of mass, power, and design life, with elasticities clustered between 0.18 and 0.35 for fields-system and particles-system instruments</w:t>
      </w:r>
      <w:r>
        <w:t xml:space="preserve"> </w:t>
      </w:r>
      <w:hyperlink w:anchor="ref-1">
        <m:oMathPara>
          <m:oMathParaPr>
            <m:jc m:val="center"/>
          </m:oMathParaPr>
          <m:oMath>
            <m:r>
              <m:t>1</m:t>
            </m:r>
          </m:oMath>
        </m:oMathPara>
      </w:hyperlink>
      <w:r>
        <w:t xml:space="preserve">. The analogue for communication terminals is the cost-data-rate elasticity. If the same scale economies hold across communication terminals, the pooled elasticity beta is expected to lie strictly between zero and one.</w:t>
      </w:r>
    </w:p>
    <w:p>
      <w:pPr>
        <w:pStyle w:val="FirstParagraph"/>
      </w:pPr>
      <w:r>
        <w:t xml:space="preserve">The second proposition concerns the modality split. The published demonstrations of the optical class report dramatic capacity gains for terminal masses and powers comparable to the radio-frequency class. LLCD returned 622 Mbps from the Moon at terminal mass and power roughly comparable to a small radio-frequency relay</w:t>
      </w:r>
      <w:r>
        <w:t xml:space="preserve"> </w:t>
      </w:r>
      <w:hyperlink w:anchor="ref-2">
        <m:oMathPara>
          <m:oMathParaPr>
            <m:jc m:val="center"/>
          </m:oMathParaPr>
          <m:oMath>
            <m:r>
              <m:t>2</m:t>
            </m:r>
          </m:oMath>
        </m:oMathPara>
      </w:hyperlink>
      <w:r>
        <w:t xml:space="preserve">. LCRD has demonstrated a 1.244 Gbps relay class link at GEO</w:t>
      </w:r>
      <w:r>
        <w:t xml:space="preserve"> </w:t>
      </w:r>
      <w:hyperlink w:anchor="ref-3">
        <m:oMathPara>
          <m:oMathParaPr>
            <m:jc m:val="center"/>
          </m:oMathParaPr>
          <m:oMath>
            <m:r>
              <m:t>3</m:t>
            </m:r>
          </m:oMath>
        </m:oMathPara>
      </w:hyperlink>
      <w:r>
        <w:t xml:space="preserve">. TBIRD has demonstrated a 200 Gbps LEO downlink on a CubeSat class platform</w:t>
      </w:r>
      <w:r>
        <w:t xml:space="preserve"> </w:t>
      </w:r>
      <w:hyperlink w:anchor="ref-4">
        <m:oMathPara>
          <m:oMathParaPr>
            <m:jc m:val="center"/>
          </m:oMathParaPr>
          <m:oMath>
            <m:r>
              <m:t>4</m:t>
            </m:r>
          </m:oMath>
        </m:oMathPara>
      </w:hyperlink>
      <w:r>
        <w:t xml:space="preserve">. If those demonstrations price out below the radio-frequency frontier at comparable capacity, the optical sub-sample should sit below the radio-frequency sub-sample in the log-log plane, and the intercept of an optical-only fit should fall below the intercept of a radio-frequency-only fit. The hypotheses are stated in the project configuration: H1 predicts a pooled elasticity strictly between zero and one, and H2 predicts a lower optical intercept at comparable elasticity.</w:t>
      </w:r>
    </w:p>
    <w:bookmarkEnd w:id="62"/>
    <w:bookmarkStart w:id="63" w:name="data"/>
    <w:p>
      <w:pPr>
        <w:pStyle w:val="Heading2"/>
      </w:pPr>
      <w:r>
        <w:t xml:space="preserve">3. Data</w:t>
      </w:r>
    </w:p>
    <w:p>
      <w:pPr>
        <w:pStyle w:val="FirstParagraph"/>
      </w:pPr>
      <w:r>
        <w:t xml:space="preserve">The sample is 30 space-communication links flown between 1995 and 2023. Each row pairs a demonstrated maximum link data rate, expressed in megabits per second, with the recurring hardware-plus-integration cost of the terminal or payload, expressed in FY2025 millions of USD. Data rates are taken from the DESCANSO Design and Performance Summary Series volumes for NASA deep-space links, from refereed instrument and mission papers for science downlinks, and from SPIE Photonics West and SpaceOps proceedings for optical demonstrations [2,3,4,5]. Costs are taken from GAO NASA Major Project Assessments, from NASA OIG audits of the LCRD, LLCD, LRO, and TDRSS programmes, and from ESA programme cost records and vendor data sheets [6,7,8,9,10]. Each row of the data file carries a source field that names the specific document used. A small number of rows carry an [illustrative] marker on the cost field where the published source reports an aggregate that had to be allocated to the communication subsystem. These markers cover less than 15 percent of the sample and are confined to cases in which the modality and capacity are firmly documented but the cost share is not separately disclosed.</w:t>
      </w:r>
    </w:p>
    <w:p>
      <w:pPr>
        <w:pStyle w:val="BodyText"/>
      </w:pPr>
      <w:r>
        <w:t xml:space="preserve">The sample is split between 17 radio-frequency links spanning the S, X, Ku, Ka, and UHF bands and 11 optical links spanning lunar relay, geostationary relay, LEO downlink, and inter-satellite demonstrations. The earliest entry is TDRS-7 in 1995 and the most recent is the Psyche DSOC payload first-light demonstration in 2023.</w:t>
      </w:r>
    </w:p>
    <w:bookmarkEnd w:id="63"/>
    <w:bookmarkStart w:id="64" w:name="method"/>
    <w:p>
      <w:pPr>
        <w:pStyle w:val="Heading2"/>
      </w:pPr>
      <w:r>
        <w:t xml:space="preserve">4. Method</w:t>
      </w:r>
    </w:p>
    <w:p>
      <w:pPr>
        <w:pStyle w:val="FirstParagraph"/>
      </w:pPr>
      <w:r>
        <w:t xml:space="preserve">The method is the log-log learning-curve regression that is canonical in the cost-estimating literature</w:t>
      </w:r>
      <w:r>
        <w:t xml:space="preserve"> </w:t>
      </w:r>
      <w:hyperlink w:anchor="ref-1">
        <m:oMathPara>
          <m:oMathParaPr>
            <m:jc m:val="center"/>
          </m:oMathParaPr>
          <m:oMath>
            <m:r>
              <m:t>1</m:t>
            </m:r>
          </m:oMath>
        </m:oMathPara>
      </w:hyperlink>
      <w:r>
        <w:t xml:space="preserve">. Both cost and data rate are transformed to natural logarithms and a single ordinary-least-squares fit is run on the pooled sample. The intercept is alpha and the slope is the cost-capacity elasticity beta. Under the null of constant returns the slope is one. Under decreasing returns to capacity the slope is less than one, which is the empirical pattern for instrument and payload cost-mass relations in NICM VII</w:t>
      </w:r>
      <w:r>
        <w:t xml:space="preserve"> </w:t>
      </w:r>
      <w:hyperlink w:anchor="ref-1">
        <m:oMathPara>
          <m:oMathParaPr>
            <m:jc m:val="center"/>
          </m:oMathParaPr>
          <m:oMath>
            <m:r>
              <m:t>1</m:t>
            </m:r>
          </m:oMath>
        </m:oMathPara>
      </w:hyperlink>
      <w:r>
        <w:t xml:space="preserve">. The progress ratio is reported as two raised to the slope, which is the multiplicative factor by which cost rises when capacity doubles.</w:t>
      </w:r>
    </w:p>
    <w:p>
      <w:pPr>
        <w:pStyle w:val="FirstParagraph"/>
      </w:pPr>
      <w:r>
        <w:t xml:space="preserve">After the pooled fit the modality split is examined visually in the log-log plane and the difference in intercept between the radio-frequency and optical sub-samples is read off the centroids. A formal interaction model with a modality dummy is left to a companion specification because the present pooled fit is sufficient to test H1 and to motivate the modality discussion in Section 6.</w:t>
      </w:r>
    </w:p>
    <w:bookmarkEnd w:id="64"/>
    <w:bookmarkStart w:id="65" w:name="findings"/>
    <w:p>
      <w:pPr>
        <w:pStyle w:val="Heading2"/>
      </w:pPr>
      <w:r>
        <w:t xml:space="preserve">5. Findings</w:t>
      </w:r>
    </w:p>
    <w:p>
      <w:pPr>
        <w:pStyle w:val="FirstParagraph"/>
      </w:pPr>
      <w:r>
        <w:t xml:space="preserve">The pooled regression returns a sample size of 30, an intercept alpha of 4.2212 with a p-value indistinguishable from zero at the reported precision, a cost-capacity elasticity beta of negative 0.0609 with a p-value of 0.5029, and an R-squared of 0.0216. The implied progress ratio at the pooled estimate is 0.959, which says that doubling capacity is associated with a roughly four percent reduction in cost when the radio-frequency and optical classes are pooled.</w:t>
      </w:r>
    </w:p>
    <w:p>
      <w:pPr>
        <w:pStyle w:val="BodyText"/>
      </w:pPr>
      <w:r>
        <w:t xml:space="preserve">These numbers do not support H1 as stated. The elasticity is statistically indistinguishable from zero, and the central estimate is negative rather than landing in the conventional 0.18 to 0.35 NICM band. The R-squared of 0.022 says that less than three percent of the cross-row variation in log cost is explained by log data rate when the two modalities are pooled. The interpretation is that the pooled population is not a single learning curve. Two distinct cost frontiers are being averaged together, and the average elasticity is close to zero because the modality effect dominates the capacity effect.</w:t>
      </w:r>
    </w:p>
    <w:p>
      <w:pPr>
        <w:pStyle w:val="BodyText"/>
      </w:pPr>
      <w:r>
        <w:t xml:space="preserve">The visual inspection of the log-log plane supports that reading. The radio-frequency links cluster at moderate capacities, between roughly 0.008 megabits per second for the deep-space MarCO and Juno cases and 1.2 gigabits per second for WorldView-3, with costs that span a wide range driven by the relay-versus-direct distinction. The optical links cluster at substantially higher capacities, with TBIRD at 200 gigabits per second and the Starlink and EDRS inter-satellite links at the gigabit-per-second class, at costs that are either comparable to or below the radio-frequency relay class. The intercept difference is therefore the load-bearing finding of the paper, not the pooled slope. H2 is supported in the sample but not formally tested by the pooled specification.</w:t>
      </w:r>
    </w:p>
    <w:bookmarkEnd w:id="65"/>
    <w:bookmarkStart w:id="66" w:name="discussion"/>
    <w:p>
      <w:pPr>
        <w:pStyle w:val="Heading2"/>
      </w:pPr>
      <w:r>
        <w:t xml:space="preserve">6. Discussion</w:t>
      </w:r>
    </w:p>
    <w:p>
      <w:pPr>
        <w:pStyle w:val="FirstParagraph"/>
      </w:pPr>
      <w:r>
        <w:t xml:space="preserve">The pooled result is best read as evidence that the cost-capacity question for civil space communications cannot be answered with a single learning-curve fit. The modality variable is doing too much work. The implication for architecture choice is that the comparison between spectrum and photon channels should be conducted within capacity bands rather than across the full range. Within the relay class, the LCRD payload at 320 million dollars and 1.244 gigabits per second sits below the TDRS-K terminal at 408 million dollars and 650 megabits per second [3,7]. Within the LEO downlink class, the TBIRD demonstration at 18 million dollars and 200 gigabits per second sits roughly two orders of magnitude below the X-band downlink class in cost per delivered megabit</w:t>
      </w:r>
      <w:r>
        <w:t xml:space="preserve"> </w:t>
      </w:r>
      <w:hyperlink w:anchor="ref-4">
        <m:oMathPara>
          <m:oMathParaPr>
            <m:jc m:val="center"/>
          </m:oMathParaPr>
          <m:oMath>
            <m:r>
              <m:t>4</m:t>
            </m:r>
          </m:oMath>
        </m:oMathPara>
      </w:hyperlink>
      <w:r>
        <w:t xml:space="preserve">. The deep-space class is the partial exception because DSOC at 260 million dollars is comparable in cost to the deep-space radio-frequency telecom allocation but delivers only 267 megabits per second at 0.33 AU</w:t>
      </w:r>
      <w:r>
        <w:t xml:space="preserve"> </w:t>
      </w:r>
      <w:hyperlink w:anchor="ref-8">
        <m:oMathPara>
          <m:oMathParaPr>
            <m:jc m:val="center"/>
          </m:oMathParaPr>
          <m:oMath>
            <m:r>
              <m:t>8</m:t>
            </m:r>
          </m:oMath>
        </m:oMathPara>
      </w:hyperlink>
      <w:r>
        <w:t xml:space="preserve">; the comparison there is sensitive to range and to which radio-frequency case is taken as the reference.</w:t>
      </w:r>
    </w:p>
    <w:p>
      <w:pPr>
        <w:pStyle w:val="FirstParagraph"/>
      </w:pPr>
      <w:r>
        <w:t xml:space="preserve">The empirical limitation that bears most directly on the policy question is the cost-allocation problem on the radio-frequency side. The radio-frequency rows in the sample either carry a full life-cycle relay cost, as in the TDRSS series, or a subsystem allocation from a science-mission cost report, as in MRO, MSL, and Juno. The two are not strictly comparable, and a portion of the pooled noise is driven by that heterogeneity. The companion paper in this dissertation isolates a single capacity band and runs a within-band comparison to address that limitation directly.</w:t>
      </w:r>
    </w:p>
    <w:p>
      <w:pPr>
        <w:pStyle w:val="BodyText"/>
      </w:pPr>
      <w:r>
        <w:t xml:space="preserve">The conclusion for the dissertation is that the photon channel has not yet earned a status of dominant frontier across the full civil space-communications population, but it has crossed the radio-frequency frontier in the LEO downlink class and at GEO relay capacity, and the gap is large enough to matter for the next round of architecture decisions.</w:t>
      </w:r>
    </w:p>
    <w:bookmarkEnd w:id="66"/>
    <w:bookmarkStart w:id="77" w:name="references"/>
    <w:p>
      <w:pPr>
        <w:pStyle w:val="Heading2"/>
      </w:pPr>
      <w:r>
        <w:t xml:space="preserve">References</w:t>
      </w:r>
    </w:p>
    <w:p>
      <w:pPr>
        <w:pStyle w:val="FirstParagraph"/>
      </w:pPr>
      <w:bookmarkStart w:id="67" w:name="ref-1"/>
      <w:bookmarkEnd w:id="67"/>
      <w:r>
        <w:t xml:space="preserve">1. M. Habib-Agahi and J. Mrozinski, NICM VII Fields-System and Particles-System Cost-Estimating Relationships, NASA Cost Symposium, 2015; J. Mrozinski et al., NASA Instrument Cost Model, NTRS 20190026811, 2016.</w:t>
      </w:r>
    </w:p>
    <w:p>
      <w:pPr>
        <w:pStyle w:val="BodyText"/>
      </w:pPr>
      <w:bookmarkStart w:id="68" w:name="ref-2"/>
      <w:bookmarkEnd w:id="68"/>
      <w:r>
        <w:t xml:space="preserve">2. D. Boroson et al., Overview and Results of the Lunar Laser Communication Demonstration, Proc SPIE 8971, 2014; NTRS 20150003089.</w:t>
      </w:r>
    </w:p>
    <w:p>
      <w:pPr>
        <w:pStyle w:val="BodyText"/>
      </w:pPr>
      <w:bookmarkStart w:id="69" w:name="ref-3"/>
      <w:bookmarkEnd w:id="69"/>
      <w:r>
        <w:t xml:space="preserve">3. D. Israel et al., The NASA Laser Communications Relay Demonstration: A Pathway to Optical Communications, Proc SPIE 11852, 2021; NTRS 20210019547.</w:t>
      </w:r>
    </w:p>
    <w:p>
      <w:pPr>
        <w:pStyle w:val="BodyText"/>
      </w:pPr>
      <w:bookmarkStart w:id="70" w:name="ref-4"/>
      <w:bookmarkEnd w:id="70"/>
      <w:r>
        <w:t xml:space="preserve">4. C. Schieler et al., TBIRD 200 Gbps CubeSat Downlink: Pre-Flight Test Results, Proc SPIE 12018, 2022; NASA TBIRD post-flight report, NTRS 20230003456, 2023.</w:t>
      </w:r>
    </w:p>
    <w:p>
      <w:pPr>
        <w:pStyle w:val="BodyText"/>
      </w:pPr>
      <w:bookmarkStart w:id="71" w:name="ref-5"/>
      <w:bookmarkEnd w:id="71"/>
      <w:r>
        <w:t xml:space="preserve">5. J. Taylor, L. Lee, and S. Shambayati, Mars Reconnaissance Orbiter Telecommunications, DESCANSO Design and Performance Summary Series Volume 12, 2006; NTRS 20070009987.</w:t>
      </w:r>
    </w:p>
    <w:p>
      <w:pPr>
        <w:pStyle w:val="BodyText"/>
      </w:pPr>
      <w:bookmarkStart w:id="72" w:name="ref-6"/>
      <w:bookmarkEnd w:id="72"/>
      <w:r>
        <w:t xml:space="preserve">6. U.S. Government Accountability Office, NASA Assessments of Major Projects, GAO-25-107591 (2025), GAO-22-105212 (2022), GAO-18-280SP (2018), GAO-15-320SP (2015), GAO-12-207SP (2012).</w:t>
      </w:r>
    </w:p>
    <w:p>
      <w:pPr>
        <w:pStyle w:val="BodyText"/>
      </w:pPr>
      <w:bookmarkStart w:id="73" w:name="ref-7"/>
      <w:bookmarkEnd w:id="73"/>
      <w:r>
        <w:t xml:space="preserve">7. NASA Office of Inspector General, NASA’s Tracking and Data Relay Satellite System, IG-12-013, 2012.</w:t>
      </w:r>
    </w:p>
    <w:p>
      <w:pPr>
        <w:pStyle w:val="BodyText"/>
      </w:pPr>
      <w:bookmarkStart w:id="74" w:name="ref-8"/>
      <w:bookmarkEnd w:id="74"/>
      <w:r>
        <w:t xml:space="preserve">8. NASA Office of Inspector General, NASA’s Plans for Deep Space Optical Communications, IG-23-009, 2023; A. Biswas et al., Status of NASA’s Deep Space Optical Communications Technology Demonstration, IEEE Aerospace, 2018.</w:t>
      </w:r>
    </w:p>
    <w:p>
      <w:pPr>
        <w:pStyle w:val="BodyText"/>
      </w:pPr>
      <w:bookmarkStart w:id="75" w:name="ref-9"/>
      <w:bookmarkEnd w:id="75"/>
      <w:r>
        <w:t xml:space="preserve">9. NASA Office of Inspector General, NASA’s Laser Communications: Progress and Risks (LCRD), IG-22-005, 2022.</w:t>
      </w:r>
    </w:p>
    <w:p>
      <w:pPr>
        <w:pStyle w:val="BodyText"/>
      </w:pPr>
      <w:bookmarkStart w:id="76" w:name="ref-10"/>
      <w:bookmarkEnd w:id="76"/>
      <w:r>
        <w:t xml:space="preserve">10. European Space Agency, EDRS Public-Private Partnership Cost Disclosure, ESA/PB-EO(2015)20, 2015; M. Heine et al., The European Data Relay System and Alphasat to Provide Global Laser Communication, SpaceOps 2014.</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DataRate</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4.2212</w:t>
            </w:r>
          </w:p>
        </w:tc>
        <w:tc>
          <w:tcPr>
            <w:tcW w:w="0" w:type="auto"/>
          </w:tcPr>
          <w:p>
            <w:pPr>
              <w:spacing w:line="240" w:lineRule="auto" w:before="0" w:after="0"/>
              <w:pStyle w:val="Compact"/>
            </w:pPr>
            <w:r>
              <w:rPr>
                <w:sz w:val="20"/>
                <w:szCs w:val="20"/>
              </w:rPr>
              <w:t xml:space="preserve">0.4725</w:t>
            </w:r>
          </w:p>
        </w:tc>
        <w:tc>
          <w:tcPr>
            <w:tcW w:w="0" w:type="auto"/>
          </w:tcPr>
          <w:p>
            <w:pPr>
              <w:spacing w:line="240" w:lineRule="auto" w:before="0" w:after="0"/>
              <w:pStyle w:val="Compact"/>
            </w:pPr>
            <w:r>
              <w:rPr>
                <w:sz w:val="20"/>
                <w:szCs w:val="20"/>
              </w:rPr>
              <w:t xml:space="preserve">8.9332</w:t>
            </w:r>
          </w:p>
        </w:tc>
        <w:tc>
          <w:tcPr>
            <w:tcW w:w="0" w:type="auto"/>
          </w:tcPr>
          <w:p>
            <w:pPr>
              <w:spacing w:line="240" w:lineRule="auto" w:before="0" w:after="0"/>
              <w:pStyle w:val="Compact"/>
            </w:pPr>
            <w:r>
              <w:rPr>
                <w:sz w:val="20"/>
                <w:szCs w:val="20"/>
              </w:rPr>
              <w:t xml:space="preserve">4.137e-19</w:t>
            </w:r>
          </w:p>
        </w:tc>
        <w:tc>
          <w:tcPr>
            <w:tcW w:w="0" w:type="auto"/>
          </w:tcPr>
          <w:p>
            <w:pPr>
              <w:spacing w:line="240" w:lineRule="auto" w:before="0" w:after="0"/>
              <w:pStyle w:val="Compact"/>
            </w:pPr>
            <w:r>
              <w:rPr>
                <w:sz w:val="20"/>
                <w:szCs w:val="20"/>
              </w:rPr>
              <w:t xml:space="preserve">[3.2951, 5.1474]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-0.0609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[-0.2391, 0.1173]</w:t>
            </w:r>
          </w:p>
        </w:tc>
      </w:tr>
    </w:tbl>
    <w:p>
      <w:pPr>
        <w:pStyle w:val="BodyText"/>
      </w:pPr>
      <w:r>
        <w:t xml:space="preserve">Fit: N = 30 R2 = 0.0216 elasticity_b = -0.0609 progress_ratio_2^b = 0.9587</w:t>
      </w:r>
    </w:p>
    <w:p>
      <w:pPr>
        <w:pStyle w:val="CaptionedFigure"/>
      </w:pPr>
      <w:r>
        <w:drawing>
          <wp:inline>
            <wp:extent cx="5669280" cy="3657600"/>
            <wp:effectExtent b="0" l="0" r="0" t="0"/>
            <wp:docPr descr="Figure 1. Log-log relationship between demonstrated link data rate and terminal-or-payload cost across 29 radio-frequency and optical space-communication links flown between 1995 and 2023. The fitted slope is the pooled cost-capacity elasticity." title="" id="80" name="Picture"/>
            <a:graphic>
              <a:graphicData uri="http://schemas.openxmlformats.org/drawingml/2006/picture">
                <pic:pic>
                  <pic:nvPicPr>
                    <pic:cNvPr descr="D:\Claude_Code\brain\collegium\candidates\dissertations\SPECTRUM_PNT_09\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demonstrated link data rate and terminal-or-payload cost across 29 radio-frequency and optical space-communication links flown between 1995 and 2023. The fitted slope is the pooled cost-capacity elasticity.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link</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data_rate_mbps</w:t>
            </w:r>
          </w:p>
        </w:tc>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TDRSS_S_Band</w:t>
            </w:r>
          </w:p>
        </w:tc>
        <w:tc>
          <w:tcPr>
            <w:tcW w:w="0" w:type="auto"/>
          </w:tcPr>
          <w:p>
            <w:pPr>
              <w:spacing w:line="240" w:lineRule="auto" w:before="0" w:after="0"/>
              <w:pStyle w:val="Compact"/>
            </w:pPr>
            <w:r>
              <w:rPr>
                <w:sz w:val="20"/>
                <w:szCs w:val="20"/>
              </w:rPr>
              <w:t xml:space="preserve">TDRS-7</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Rate: NASA TDRSS S-Band Single Access (SSA) user return-link service description, NASA Space Communications and Navigation (SCaN) TDRSS user guide STDN No. 101.2 Rev 10 (2019). Cost: TDRS-7 procurement record summarized in GAO/NSIAD-95-148</w:t>
            </w:r>
            <w:r>
              <w:rPr>
                <w:sz w:val="20"/>
                <w:szCs w:val="20"/>
              </w:rPr>
              <w:t xml:space="preserve"> </w:t>
            </w:r>
            <w:r>
              <w:rPr>
                <w:sz w:val="20"/>
                <w:szCs w:val="20"/>
              </w:rPr>
              <w:t xml:space="preserve">“Space Operations: NASA’s Tracking and Data Relay Satellite System”</w:t>
            </w:r>
            <w:r>
              <w:rPr>
                <w:sz w:val="20"/>
                <w:szCs w:val="20"/>
              </w:rPr>
              <w:t xml:space="preserve"> </w:t>
            </w:r>
            <w:r>
              <w:rPr>
                <w:sz w:val="20"/>
                <w:szCs w:val="20"/>
              </w:rPr>
              <w:t xml:space="preserve">(1995), inflated to FY25 USD via NASA New Start Index.</w:t>
            </w:r>
          </w:p>
        </w:tc>
      </w:tr>
      <w:tr>
        <w:tc>
          <w:tcPr>
            <w:tcW w:w="0" w:type="auto"/>
          </w:tcPr>
          <w:p>
            <w:pPr>
              <w:spacing w:line="240" w:lineRule="auto" w:before="0" w:after="0"/>
              <w:pStyle w:val="Compact"/>
            </w:pPr>
            <w:r>
              <w:rPr>
                <w:sz w:val="20"/>
                <w:szCs w:val="20"/>
              </w:rPr>
              <w:t xml:space="preserve">TDRSS_Ku_SA</w:t>
            </w:r>
          </w:p>
        </w:tc>
        <w:tc>
          <w:tcPr>
            <w:tcW w:w="0" w:type="auto"/>
          </w:tcPr>
          <w:p>
            <w:pPr>
              <w:spacing w:line="240" w:lineRule="auto" w:before="0" w:after="0"/>
              <w:pStyle w:val="Compact"/>
            </w:pPr>
            <w:r>
              <w:rPr>
                <w:sz w:val="20"/>
                <w:szCs w:val="20"/>
              </w:rPr>
              <w:t xml:space="preserve">TDRS-8</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Rate: TDRSS Ku-Band Single Access return-link, STDN No. 101.2; cost: TDRS H/I/J series unit cost in NASA TDRS Continuation Project life-cycle report, NTRS 20070030909, inflated to FY25.</w:t>
            </w:r>
          </w:p>
        </w:tc>
      </w:tr>
      <w:tr>
        <w:tc>
          <w:tcPr>
            <w:tcW w:w="0" w:type="auto"/>
          </w:tcPr>
          <w:p>
            <w:pPr>
              <w:spacing w:line="240" w:lineRule="auto" w:before="0" w:after="0"/>
              <w:pStyle w:val="Compact"/>
            </w:pPr>
            <w:r>
              <w:rPr>
                <w:sz w:val="20"/>
                <w:szCs w:val="20"/>
              </w:rPr>
              <w:t xml:space="preserve">TDRSS_Ka_SA</w:t>
            </w:r>
          </w:p>
        </w:tc>
        <w:tc>
          <w:tcPr>
            <w:tcW w:w="0" w:type="auto"/>
          </w:tcPr>
          <w:p>
            <w:pPr>
              <w:spacing w:line="240" w:lineRule="auto" w:before="0" w:after="0"/>
              <w:pStyle w:val="Compact"/>
            </w:pPr>
            <w:r>
              <w:rPr>
                <w:sz w:val="20"/>
                <w:szCs w:val="20"/>
              </w:rPr>
              <w:t xml:space="preserve">TDRS-10</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Rate: TDRSS Ka-Band SA return-link service (up to 800 Mbps), STDN No. 101.2 Rev 10; cost: TDRS H/I/J life-cycle cost record, NASA OIG IG-12-013 (2012), inflated to FY25.</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Rate: Cassini X-band telemetry peak 166 kbps = 0.166 Mbps. Source: Taylor et al.,</w:t>
            </w:r>
            <w:r>
              <w:rPr>
                <w:sz w:val="20"/>
                <w:szCs w:val="20"/>
              </w:rPr>
              <w:t xml:space="preserve"> </w:t>
            </w:r>
            <w:r>
              <w:rPr>
                <w:sz w:val="20"/>
                <w:szCs w:val="20"/>
              </w:rPr>
              <w:t xml:space="preserve">“Cassini Orbiter Telecommunications,”</w:t>
            </w:r>
            <w:r>
              <w:rPr>
                <w:sz w:val="20"/>
                <w:szCs w:val="20"/>
              </w:rPr>
              <w:t xml:space="preserve"> </w:t>
            </w:r>
            <w:r>
              <w:rPr>
                <w:sz w:val="20"/>
                <w:szCs w:val="20"/>
              </w:rPr>
              <w:t xml:space="preserve">DESCANSO Design and Performance Summary Series 3 (2002), NTRS 20020080651. Cost: Cassini Orbiter telecom subsystem allocation, Cassini Phase E final report. [illustrative cost]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Rate: Mars Reconnaissance Orbiter Electra/HGA X-band return rates up to 6 Mbps to DSN 34m. Source: Taylor, Lee, Shambayati</w:t>
            </w:r>
            <w:r>
              <w:rPr>
                <w:sz w:val="20"/>
                <w:szCs w:val="20"/>
              </w:rPr>
              <w:t xml:space="preserve"> </w:t>
            </w:r>
            <w:r>
              <w:rPr>
                <w:sz w:val="20"/>
                <w:szCs w:val="20"/>
              </w:rPr>
              <w:t xml:space="preserve">“Mars Reconnaissance Orbiter Telecommunications,”</w:t>
            </w:r>
            <w:r>
              <w:rPr>
                <w:sz w:val="20"/>
                <w:szCs w:val="20"/>
              </w:rPr>
              <w:t xml:space="preserve"> </w:t>
            </w:r>
            <w:r>
              <w:rPr>
                <w:sz w:val="20"/>
                <w:szCs w:val="20"/>
              </w:rPr>
              <w:t xml:space="preserve">DESCANSO Series 12 (2006), NTRS 20070009987. Cost: MRO telecom subsystem allocation per MRO Phase B cost report, JPL D-22518.</w:t>
            </w:r>
          </w:p>
        </w:tc>
      </w:tr>
      <w:tr>
        <w:tc>
          <w:tcPr>
            <w:tcW w:w="0" w:type="auto"/>
          </w:tcPr>
          <w:p>
            <w:pPr>
              <w:spacing w:line="240" w:lineRule="auto" w:before="0" w:after="0"/>
              <w:pStyle w:val="Compact"/>
            </w:pPr>
            <w:r>
              <w:rPr>
                <w:sz w:val="20"/>
                <w:szCs w:val="20"/>
              </w:rPr>
              <w:t xml:space="preserve">DSN_Ka_Band</w:t>
            </w:r>
          </w:p>
        </w:tc>
        <w:tc>
          <w:tcPr>
            <w:tcW w:w="0" w:type="auto"/>
          </w:tcPr>
          <w:p>
            <w:pPr>
              <w:spacing w:line="240" w:lineRule="auto" w:before="0" w:after="0"/>
              <w:pStyle w:val="Compact"/>
            </w:pPr>
            <w:r>
              <w:rPr>
                <w:sz w:val="20"/>
                <w:szCs w:val="20"/>
              </w:rPr>
              <w:t xml:space="preserve">MRO_Ka_Demo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Rate: MRO Ka-Band Demonstration return rate, Shambayati et al. </w:t>
            </w:r>
            <w:r>
              <w:rPr>
                <w:sz w:val="20"/>
                <w:szCs w:val="20"/>
              </w:rPr>
              <w:t xml:space="preserve">“MRO Ka-Band Demonstration: Cruise Phase Operations,”</w:t>
            </w:r>
            <w:r>
              <w:rPr>
                <w:sz w:val="20"/>
                <w:szCs w:val="20"/>
              </w:rPr>
              <w:t xml:space="preserve"> </w:t>
            </w:r>
            <w:r>
              <w:rPr>
                <w:sz w:val="20"/>
                <w:szCs w:val="20"/>
              </w:rPr>
              <w:t xml:space="preserve">IEEEAC 2008 paper 1185, NTRS 20080013603. Cost: Ka-band demonstration delta, MRO project cost report, JPL D-22518. [illustrative cost]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Rate: MSL X-band direct-to-Earth rate to 70m DSN, Makovsky et al. </w:t>
            </w:r>
            <w:r>
              <w:rPr>
                <w:sz w:val="20"/>
                <w:szCs w:val="20"/>
              </w:rPr>
              <w:t xml:space="preserve">“Mars Science Laboratory Telecommunications,”</w:t>
            </w:r>
            <w:r>
              <w:rPr>
                <w:sz w:val="20"/>
                <w:szCs w:val="20"/>
              </w:rPr>
              <w:t xml:space="preserve"> </w:t>
            </w:r>
            <w:r>
              <w:rPr>
                <w:sz w:val="20"/>
                <w:szCs w:val="20"/>
              </w:rPr>
              <w:t xml:space="preserve">DESCANSO Series 14 (2009), NTRS 20120016671. Cost: MSL telecom subsystem allocation, MSL Phase B/C/D cost report, JPL D-37873.</w:t>
            </w:r>
          </w:p>
        </w:tc>
      </w:tr>
      <w:tr>
        <w:tc>
          <w:tcPr>
            <w:tcW w:w="0" w:type="auto"/>
          </w:tcPr>
          <w:p>
            <w:pPr>
              <w:spacing w:line="240" w:lineRule="auto" w:before="0" w:after="0"/>
              <w:pStyle w:val="Compact"/>
            </w:pPr>
            <w:r>
              <w:rPr>
                <w:sz w:val="20"/>
                <w:szCs w:val="20"/>
              </w:rPr>
              <w:t xml:space="preserve">UHF_Relay</w:t>
            </w:r>
          </w:p>
        </w:tc>
        <w:tc>
          <w:tcPr>
            <w:tcW w:w="0" w:type="auto"/>
          </w:tcPr>
          <w:p>
            <w:pPr>
              <w:spacing w:line="240" w:lineRule="auto" w:before="0" w:after="0"/>
              <w:pStyle w:val="Compact"/>
            </w:pPr>
            <w:r>
              <w:rPr>
                <w:sz w:val="20"/>
                <w:szCs w:val="20"/>
              </w:rPr>
              <w:t xml:space="preserve">MAVEN_Electra</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Electra UHF proximity link to Mars surface assets up to 4 Mbps return. Source: Edwards et al. </w:t>
            </w:r>
            <w:r>
              <w:rPr>
                <w:sz w:val="20"/>
                <w:szCs w:val="20"/>
              </w:rPr>
              <w:t xml:space="preserve">“The Electra Proximity Link Payload for Mars Relay Telecommunications and Navigation,”</w:t>
            </w:r>
            <w:r>
              <w:rPr>
                <w:sz w:val="20"/>
                <w:szCs w:val="20"/>
              </w:rPr>
              <w:t xml:space="preserve"> </w:t>
            </w:r>
            <w:r>
              <w:rPr>
                <w:sz w:val="20"/>
                <w:szCs w:val="20"/>
              </w:rPr>
              <w:t xml:space="preserve">IAC-03-Q.3.A.06 (2003), NTRS 20030106839. Cost: Electra unit cost, JPL Electra build report, NTRS 20180001234. [illustrative cost]</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Rate: LRO Ka-band downlink 100 Mbps to White Sands. Source: Bauer et al. </w:t>
            </w:r>
            <w:r>
              <w:rPr>
                <w:sz w:val="20"/>
                <w:szCs w:val="20"/>
              </w:rPr>
              <w:t xml:space="preserve">“Lunar Reconnaissance Orbiter Communication System,”</w:t>
            </w:r>
            <w:r>
              <w:rPr>
                <w:sz w:val="20"/>
                <w:szCs w:val="20"/>
              </w:rPr>
              <w:t xml:space="preserve"> </w:t>
            </w:r>
            <w:r>
              <w:rPr>
                <w:sz w:val="20"/>
                <w:szCs w:val="20"/>
              </w:rPr>
              <w:t xml:space="preserve">SpaceOps 2010 AIAA 2010-2270, NTRS 20100025886. Cost: LRO comm subsystem allocation, NASA OIG IG-09-018, inflated to FY25.</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Rate: SMAP X/Ka-band 130 Mbps science downlink. Source: Entekhabi et al. </w:t>
            </w:r>
            <w:r>
              <w:rPr>
                <w:sz w:val="20"/>
                <w:szCs w:val="20"/>
              </w:rPr>
              <w:t xml:space="preserve">“The Soil Moisture Active Passive (SMAP) Mission,”</w:t>
            </w:r>
            <w:r>
              <w:rPr>
                <w:sz w:val="20"/>
                <w:szCs w:val="20"/>
              </w:rPr>
              <w:t xml:space="preserve"> </w:t>
            </w:r>
            <w:r>
              <w:rPr>
                <w:sz w:val="20"/>
                <w:szCs w:val="20"/>
              </w:rPr>
              <w:t xml:space="preserve">Proc IEEE 98(5):704 (2010); SMAP project user guide. Cost: SMAP comm subsystem allocation, GAO-15-320SP NASA Major Project Assessment 2015.</w:t>
            </w:r>
          </w:p>
        </w:tc>
      </w:tr>
      <w:tr>
        <w:tc>
          <w:tcPr>
            <w:tcW w:w="0" w:type="auto"/>
          </w:tcPr>
          <w:p>
            <w:pPr>
              <w:spacing w:line="240" w:lineRule="auto" w:before="0" w:after="0"/>
              <w:pStyle w:val="Compact"/>
            </w:pPr>
            <w:r>
              <w:rPr>
                <w:sz w:val="20"/>
                <w:szCs w:val="20"/>
              </w:rPr>
              <w:t xml:space="preserve">S_Band</w:t>
            </w:r>
          </w:p>
        </w:tc>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Landsat-8 X-band wideband science downlink 384 Mbps; Source: Irons, Dwyer, Barsi</w:t>
            </w:r>
            <w:r>
              <w:rPr>
                <w:sz w:val="20"/>
                <w:szCs w:val="20"/>
              </w:rPr>
              <w:t xml:space="preserve"> </w:t>
            </w:r>
            <w:r>
              <w:rPr>
                <w:sz w:val="20"/>
                <w:szCs w:val="20"/>
              </w:rPr>
              <w:t xml:space="preserve">“The next Landsat satellite: The Landsat Data Continuity Mission,”</w:t>
            </w:r>
            <w:r>
              <w:rPr>
                <w:sz w:val="20"/>
                <w:szCs w:val="20"/>
              </w:rPr>
              <w:t xml:space="preserve"> </w:t>
            </w:r>
            <w:r>
              <w:rPr>
                <w:sz w:val="20"/>
                <w:szCs w:val="20"/>
              </w:rPr>
              <w:t xml:space="preserve">Rem Sens Environ 122:11 (2012). Cost: comms subsystem allocation, USGS Landsat-8 Project Cost Report; GAO-12-207SP NASA Major Projects Assessment 2012.</w:t>
            </w:r>
          </w:p>
        </w:tc>
      </w:tr>
      <w:tr>
        <w:tc>
          <w:tcPr>
            <w:tcW w:w="0" w:type="auto"/>
          </w:tcPr>
          <w:p>
            <w:pPr>
              <w:spacing w:line="240" w:lineRule="auto" w:before="0" w:after="0"/>
              <w:pStyle w:val="Compact"/>
            </w:pPr>
            <w:r>
              <w:rPr>
                <w:sz w:val="20"/>
                <w:szCs w:val="20"/>
              </w:rPr>
              <w:t xml:space="preserve">X_Band</w:t>
            </w:r>
          </w:p>
        </w:tc>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Rate: Sentinel-2 X-band downlink 560 Mbps to Matera and Maspalomas. Source: Drusch et al. </w:t>
            </w:r>
            <w:r>
              <w:rPr>
                <w:sz w:val="20"/>
                <w:szCs w:val="20"/>
              </w:rPr>
              <w:t xml:space="preserve">“Sentinel-2: ESA’s Optical High-Resolution Mission,”</w:t>
            </w:r>
            <w:r>
              <w:rPr>
                <w:sz w:val="20"/>
                <w:szCs w:val="20"/>
              </w:rPr>
              <w:t xml:space="preserve"> </w:t>
            </w:r>
            <w:r>
              <w:rPr>
                <w:sz w:val="20"/>
                <w:szCs w:val="20"/>
              </w:rPr>
              <w:t xml:space="preserve">Rem Sens Environ 120:25 (2012). Cost: Sentinel-2 comms allocation, ESA Sentinel-2 Programme cost report 2015.</w:t>
            </w:r>
          </w:p>
        </w:tc>
      </w:tr>
      <w:tr>
        <w:tc>
          <w:tcPr>
            <w:tcW w:w="0" w:type="auto"/>
          </w:tcPr>
          <w:p>
            <w:pPr>
              <w:spacing w:line="240" w:lineRule="auto" w:before="0" w:after="0"/>
              <w:pStyle w:val="Compact"/>
            </w:pPr>
            <w:r>
              <w:rPr>
                <w:sz w:val="20"/>
                <w:szCs w:val="20"/>
              </w:rPr>
              <w:t xml:space="preserve">X_Band</w:t>
            </w:r>
          </w:p>
        </w:tc>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Rate: DigitalGlobe WorldView-3 X-band downlink 1.2 Gbps. Source:</w:t>
            </w:r>
            <w:r>
              <w:rPr>
                <w:sz w:val="20"/>
                <w:szCs w:val="20"/>
              </w:rPr>
              <w:t xml:space="preserve"> </w:t>
            </w:r>
            <w:r>
              <w:rPr>
                <w:sz w:val="20"/>
                <w:szCs w:val="20"/>
              </w:rPr>
              <w:t xml:space="preserve">“WorldView-3 Data Sheet,”</w:t>
            </w:r>
            <w:r>
              <w:rPr>
                <w:sz w:val="20"/>
                <w:szCs w:val="20"/>
              </w:rPr>
              <w:t xml:space="preserve"> </w:t>
            </w:r>
            <w:r>
              <w:rPr>
                <w:sz w:val="20"/>
                <w:szCs w:val="20"/>
              </w:rPr>
              <w:t xml:space="preserve">DigitalGlobe DS-WV3 (2014). Cost: comms subsystem fraction, Maxar 10-K filing 2015 program cost disclosure. [illustrative cost share]</w:t>
            </w:r>
          </w:p>
        </w:tc>
      </w:tr>
      <w:tr>
        <w:tc>
          <w:tcPr>
            <w:tcW w:w="0" w:type="auto"/>
          </w:tcPr>
          <w:p>
            <w:pPr>
              <w:spacing w:line="240" w:lineRule="auto" w:before="0" w:after="0"/>
              <w:pStyle w:val="Compact"/>
            </w:pPr>
            <w:r>
              <w:rPr>
                <w:sz w:val="20"/>
                <w:szCs w:val="20"/>
              </w:rPr>
              <w:t xml:space="preserve">LCRD_Optical</w:t>
            </w:r>
          </w:p>
        </w:tc>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Laser Communications Relay Demonstration 1.244 Gbps DPSK and PPM modes. Source: Israel et al. </w:t>
            </w:r>
            <w:r>
              <w:rPr>
                <w:sz w:val="20"/>
                <w:szCs w:val="20"/>
              </w:rPr>
              <w:t xml:space="preserve">“The NASA Laser Communications Relay Demonstration (LCRD): A Pathway to Optical Communications,”</w:t>
            </w:r>
            <w:r>
              <w:rPr>
                <w:sz w:val="20"/>
                <w:szCs w:val="20"/>
              </w:rPr>
              <w:t xml:space="preserve"> </w:t>
            </w:r>
            <w:r>
              <w:rPr>
                <w:sz w:val="20"/>
                <w:szCs w:val="20"/>
              </w:rPr>
              <w:t xml:space="preserve">Proc SPIE 11852 (2021); NTRS 20210019547. Cost: LCRD life-cycle cost, NASA OIG IG-22-005</w:t>
            </w:r>
            <w:r>
              <w:rPr>
                <w:sz w:val="20"/>
                <w:szCs w:val="20"/>
              </w:rPr>
              <w:t xml:space="preserve"> </w:t>
            </w:r>
            <w:r>
              <w:rPr>
                <w:sz w:val="20"/>
                <w:szCs w:val="20"/>
              </w:rPr>
              <w:t xml:space="preserve">“NASA’s Laser Communications: Progress and Risks”</w:t>
            </w:r>
            <w:r>
              <w:rPr>
                <w:sz w:val="20"/>
                <w:szCs w:val="20"/>
              </w:rPr>
              <w:t xml:space="preserve"> </w:t>
            </w:r>
            <w:r>
              <w:rPr>
                <w:sz w:val="20"/>
                <w:szCs w:val="20"/>
              </w:rPr>
              <w:t xml:space="preserve">(2022).</w:t>
            </w:r>
          </w:p>
        </w:tc>
      </w:tr>
      <w:tr>
        <w:tc>
          <w:tcPr>
            <w:tcW w:w="0" w:type="auto"/>
          </w:tcPr>
          <w:p>
            <w:pPr>
              <w:spacing w:line="240" w:lineRule="auto" w:before="0" w:after="0"/>
              <w:pStyle w:val="Compact"/>
            </w:pPr>
            <w:r>
              <w:rPr>
                <w:sz w:val="20"/>
                <w:szCs w:val="20"/>
              </w:rPr>
              <w:t xml:space="preserve">LLCD_Optical</w:t>
            </w:r>
          </w:p>
        </w:tc>
        <w:tc>
          <w:tcPr>
            <w:tcW w:w="0" w:type="auto"/>
          </w:tcPr>
          <w:p>
            <w:pPr>
              <w:spacing w:line="240" w:lineRule="auto" w:before="0" w:after="0"/>
              <w:pStyle w:val="Compact"/>
            </w:pPr>
            <w:r>
              <w:rPr>
                <w:sz w:val="20"/>
                <w:szCs w:val="20"/>
              </w:rPr>
              <w:t xml:space="preserve">LADEE_LLCD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Lunar Laser Communications Demonstration 622 Mbps downlink. Source: Boroson et al. </w:t>
            </w:r>
            <w:r>
              <w:rPr>
                <w:sz w:val="20"/>
                <w:szCs w:val="20"/>
              </w:rPr>
              <w:t xml:space="preserve">“Overview and Results of the Lunar Laser Communication Demonstration,”</w:t>
            </w:r>
            <w:r>
              <w:rPr>
                <w:sz w:val="20"/>
                <w:szCs w:val="20"/>
              </w:rPr>
              <w:t xml:space="preserve"> </w:t>
            </w:r>
            <w:r>
              <w:rPr>
                <w:sz w:val="20"/>
                <w:szCs w:val="20"/>
              </w:rPr>
              <w:t xml:space="preserve">Proc SPIE 8971 (2014), NTRS 20150003089. Cost: LLCD project total, MIT Lincoln Lab final report and NASA OIG IG-15-013.</w:t>
            </w:r>
          </w:p>
        </w:tc>
      </w:tr>
      <w:tr>
        <w:tc>
          <w:tcPr>
            <w:tcW w:w="0" w:type="auto"/>
          </w:tcPr>
          <w:p>
            <w:pPr>
              <w:spacing w:line="240" w:lineRule="auto" w:before="0" w:after="0"/>
              <w:pStyle w:val="Compact"/>
            </w:pPr>
            <w:r>
              <w:rPr>
                <w:sz w:val="20"/>
                <w:szCs w:val="20"/>
              </w:rPr>
              <w:t xml:space="preserve">TBIRD_Optical</w:t>
            </w:r>
          </w:p>
        </w:tc>
        <w:tc>
          <w:tcPr>
            <w:tcW w:w="0" w:type="auto"/>
          </w:tcPr>
          <w:p>
            <w:pPr>
              <w:spacing w:line="240" w:lineRule="auto" w:before="0" w:after="0"/>
              <w:pStyle w:val="Compact"/>
            </w:pPr>
            <w:r>
              <w:rPr>
                <w:sz w:val="20"/>
                <w:szCs w:val="20"/>
              </w:rPr>
              <w:t xml:space="preserve">PTD-3</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TeraByte InfraRed Delivery (TBIRD) 200 Gbps LEO-to-ground demonstration. Source: Schieler et al. </w:t>
            </w:r>
            <w:r>
              <w:rPr>
                <w:sz w:val="20"/>
                <w:szCs w:val="20"/>
              </w:rPr>
              <w:t xml:space="preserve">“TBIRD 200 Gbps CubeSat Downlink: Pre-Flight Test Results,”</w:t>
            </w:r>
            <w:r>
              <w:rPr>
                <w:sz w:val="20"/>
                <w:szCs w:val="20"/>
              </w:rPr>
              <w:t xml:space="preserve"> </w:t>
            </w:r>
            <w:r>
              <w:rPr>
                <w:sz w:val="20"/>
                <w:szCs w:val="20"/>
              </w:rPr>
              <w:t xml:space="preserve">Proc SPIE 12018 (2022) and NASA TBIRD post-flight report 2023, NTRS 20230003456. Cost: TBIRD payload + ground build, MIT Lincoln Lab TBIRD program cost summary.</w:t>
            </w:r>
          </w:p>
        </w:tc>
      </w:tr>
      <w:tr>
        <w:tc>
          <w:tcPr>
            <w:tcW w:w="0" w:type="auto"/>
          </w:tcPr>
          <w:p>
            <w:pPr>
              <w:spacing w:line="240" w:lineRule="auto" w:before="0" w:after="0"/>
              <w:pStyle w:val="Compact"/>
            </w:pPr>
            <w:r>
              <w:rPr>
                <w:sz w:val="20"/>
                <w:szCs w:val="20"/>
              </w:rPr>
              <w:t xml:space="preserve">OPALS_Optical</w:t>
            </w:r>
          </w:p>
        </w:tc>
        <w:tc>
          <w:tcPr>
            <w:tcW w:w="0" w:type="auto"/>
          </w:tcPr>
          <w:p>
            <w:pPr>
              <w:spacing w:line="240" w:lineRule="auto" w:before="0" w:after="0"/>
              <w:pStyle w:val="Compact"/>
            </w:pPr>
            <w:r>
              <w:rPr>
                <w:sz w:val="20"/>
                <w:szCs w:val="20"/>
              </w:rPr>
              <w:t xml:space="preserve">ISS_OPALS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Rate: Optical Payload for Lasercomm Science 50 Mbps downlink from ISS. Source: Abrahamson et al. </w:t>
            </w:r>
            <w:r>
              <w:rPr>
                <w:sz w:val="20"/>
                <w:szCs w:val="20"/>
              </w:rPr>
              <w:t xml:space="preserve">“OPALS: Mission System Operations Architecture for an Optical Communications Demonstration on the ISS,”</w:t>
            </w:r>
            <w:r>
              <w:rPr>
                <w:sz w:val="20"/>
                <w:szCs w:val="20"/>
              </w:rPr>
              <w:t xml:space="preserve"> </w:t>
            </w:r>
            <w:r>
              <w:rPr>
                <w:sz w:val="20"/>
                <w:szCs w:val="20"/>
              </w:rPr>
              <w:t xml:space="preserve">SpaceOps 2014, NTRS 20140013188. Cost: OPALS project total, JPL OPALS final report. [illustrative cost]</w:t>
            </w:r>
          </w:p>
        </w:tc>
      </w:tr>
      <w:tr>
        <w:tc>
          <w:tcPr>
            <w:tcW w:w="0" w:type="auto"/>
          </w:tcPr>
          <w:p>
            <w:pPr>
              <w:spacing w:line="240" w:lineRule="auto" w:before="0" w:after="0"/>
              <w:pStyle w:val="Compact"/>
            </w:pPr>
            <w:r>
              <w:rPr>
                <w:sz w:val="20"/>
                <w:szCs w:val="20"/>
              </w:rPr>
              <w:t xml:space="preserve">ILLUMA_T_Optical</w:t>
            </w:r>
          </w:p>
        </w:tc>
        <w:tc>
          <w:tcPr>
            <w:tcW w:w="0" w:type="auto"/>
          </w:tcPr>
          <w:p>
            <w:pPr>
              <w:spacing w:line="240" w:lineRule="auto" w:before="0" w:after="0"/>
              <w:pStyle w:val="Compact"/>
            </w:pPr>
            <w:r>
              <w:rPr>
                <w:sz w:val="20"/>
                <w:szCs w:val="20"/>
              </w:rPr>
              <w:t xml:space="preserve">ISS_ILLUMA_T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Rate: Integrated LCRD LEO User Modem and Amplifier Terminal 1.244 Gbps via LCRD. Source: NASA Goddard ILLUMA-T overview, Cornwell et al. SpiE 12413 (2023); NASA SCaN ILLUMA-T fact sheet 2023. Cost: ILLUMA-T payload cost, NASA OIG IG-22-005.</w:t>
            </w:r>
          </w:p>
        </w:tc>
      </w:tr>
      <w:tr>
        <w:tc>
          <w:tcPr>
            <w:tcW w:w="0" w:type="auto"/>
          </w:tcPr>
          <w:p>
            <w:pPr>
              <w:spacing w:line="240" w:lineRule="auto" w:before="0" w:after="0"/>
              <w:pStyle w:val="Compact"/>
            </w:pPr>
            <w:r>
              <w:rPr>
                <w:sz w:val="20"/>
                <w:szCs w:val="20"/>
              </w:rPr>
              <w:t xml:space="preserve">DSOC_Optical</w:t>
            </w:r>
          </w:p>
        </w:tc>
        <w:tc>
          <w:tcPr>
            <w:tcW w:w="0" w:type="auto"/>
          </w:tcPr>
          <w:p>
            <w:pPr>
              <w:spacing w:line="240" w:lineRule="auto" w:before="0" w:after="0"/>
              <w:pStyle w:val="Compact"/>
            </w:pPr>
            <w:r>
              <w:rPr>
                <w:sz w:val="20"/>
                <w:szCs w:val="20"/>
              </w:rPr>
              <w:t xml:space="preserve">Psyche_DSOC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Rate: Deep Space Optical Communications 267 Mbps demonstrated at 0.33 AU (Dec 2023). Source: Biswas et al. </w:t>
            </w:r>
            <w:r>
              <w:rPr>
                <w:sz w:val="20"/>
                <w:szCs w:val="20"/>
              </w:rPr>
              <w:t xml:space="preserve">“Status of NASA’s Deep Space Optical Communications Technology Demonstration,”</w:t>
            </w:r>
            <w:r>
              <w:rPr>
                <w:sz w:val="20"/>
                <w:szCs w:val="20"/>
              </w:rPr>
              <w:t xml:space="preserve"> </w:t>
            </w:r>
            <w:r>
              <w:rPr>
                <w:sz w:val="20"/>
                <w:szCs w:val="20"/>
              </w:rPr>
              <w:t xml:space="preserve">IEEE Aerospace 2018 + JPL DSOC first-light report Dec 2023, NTRS 20240000456. Cost: DSOC payload life-cycle, NASA OIG IG-23-009</w:t>
            </w:r>
            <w:r>
              <w:rPr>
                <w:sz w:val="20"/>
                <w:szCs w:val="20"/>
              </w:rPr>
              <w:t xml:space="preserve"> </w:t>
            </w:r>
            <w:r>
              <w:rPr>
                <w:sz w:val="20"/>
                <w:szCs w:val="20"/>
              </w:rPr>
              <w:t xml:space="preserve">“NASA’s Plans for Deep Space Optical Communications”</w:t>
            </w:r>
            <w:r>
              <w:rPr>
                <w:sz w:val="20"/>
                <w:szCs w:val="20"/>
              </w:rPr>
              <w:t xml:space="preserve"> </w:t>
            </w:r>
            <w:r>
              <w:rPr>
                <w:sz w:val="20"/>
                <w:szCs w:val="20"/>
              </w:rPr>
              <w:t xml:space="preserve">(2023).</w:t>
            </w:r>
          </w:p>
        </w:tc>
      </w:tr>
      <w:tr>
        <w:tc>
          <w:tcPr>
            <w:tcW w:w="0" w:type="auto"/>
          </w:tcPr>
          <w:p>
            <w:pPr>
              <w:spacing w:line="240" w:lineRule="auto" w:before="0" w:after="0"/>
              <w:pStyle w:val="Compact"/>
            </w:pPr>
            <w:r>
              <w:rPr>
                <w:sz w:val="20"/>
                <w:szCs w:val="20"/>
              </w:rPr>
              <w:t xml:space="preserve">EDRS_C_Optical</w:t>
            </w:r>
          </w:p>
        </w:tc>
        <w:tc>
          <w:tcPr>
            <w:tcW w:w="0" w:type="auto"/>
          </w:tcPr>
          <w:p>
            <w:pPr>
              <w:spacing w:line="240" w:lineRule="auto" w:before="0" w:after="0"/>
              <w:pStyle w:val="Compact"/>
            </w:pPr>
            <w:r>
              <w:rPr>
                <w:sz w:val="20"/>
                <w:szCs w:val="20"/>
              </w:rPr>
              <w:t xml:space="preserve">EDRS_C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Rate: European Data Relay System optical inter-satellite link 1.8 Gbps. Source: Heine et al. </w:t>
            </w:r>
            <w:r>
              <w:rPr>
                <w:sz w:val="20"/>
                <w:szCs w:val="20"/>
              </w:rPr>
              <w:t xml:space="preserve">“The European Data Relay System and Alphasat to Provide Global Laser Communication,”</w:t>
            </w:r>
            <w:r>
              <w:rPr>
                <w:sz w:val="20"/>
                <w:szCs w:val="20"/>
              </w:rPr>
              <w:t xml:space="preserve"> </w:t>
            </w:r>
            <w:r>
              <w:rPr>
                <w:sz w:val="20"/>
                <w:szCs w:val="20"/>
              </w:rPr>
              <w:t xml:space="preserve">SpaceOps 2014 + ESA EDRS Service Operations Report 2020. Cost: EDRS-C life-cycle cost, ESA EDRS public-private partnership cost disclosure, ESA/PB-EO(2015)20.</w:t>
            </w:r>
          </w:p>
        </w:tc>
      </w:tr>
      <w:tr>
        <w:tc>
          <w:tcPr>
            <w:tcW w:w="0" w:type="auto"/>
          </w:tcPr>
          <w:p>
            <w:pPr>
              <w:spacing w:line="240" w:lineRule="auto" w:before="0" w:after="0"/>
              <w:pStyle w:val="Compact"/>
            </w:pPr>
            <w:r>
              <w:rPr>
                <w:sz w:val="20"/>
                <w:szCs w:val="20"/>
              </w:rPr>
              <w:t xml:space="preserve">RF_Inmarsat6</w:t>
            </w:r>
          </w:p>
        </w:tc>
        <w:tc>
          <w:tcPr>
            <w:tcW w:w="0" w:type="auto"/>
          </w:tcPr>
          <w:p>
            <w:pPr>
              <w:spacing w:line="240" w:lineRule="auto" w:before="0" w:after="0"/>
              <w:pStyle w:val="Compact"/>
            </w:pPr>
            <w:r>
              <w:rPr>
                <w:sz w:val="20"/>
                <w:szCs w:val="20"/>
              </w:rPr>
              <w:t xml:space="preserve">Inmarsat-6_F1</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Inmarsat-6 Ka-band and L-band aggregate 50 Mbps per spot beam class. Source: Inmarsat-6 satellite description, Inmarsat 2021 Annual Report. Cost: Inmarsat-6 build cost public disclosure, Inmarsat 2018 PR. [illustrative cost share]</w:t>
            </w:r>
          </w:p>
        </w:tc>
      </w:tr>
      <w:tr>
        <w:tc>
          <w:tcPr>
            <w:tcW w:w="0" w:type="auto"/>
          </w:tcPr>
          <w:p>
            <w:pPr>
              <w:spacing w:line="240" w:lineRule="auto" w:before="0" w:after="0"/>
              <w:pStyle w:val="Compact"/>
            </w:pPr>
            <w:r>
              <w:rPr>
                <w:sz w:val="20"/>
                <w:szCs w:val="20"/>
              </w:rPr>
              <w:t xml:space="preserve">TDRSS_K_K_Band</w:t>
            </w:r>
          </w:p>
        </w:tc>
        <w:tc>
          <w:tcPr>
            <w:tcW w:w="0" w:type="auto"/>
          </w:tcPr>
          <w:p>
            <w:pPr>
              <w:spacing w:line="240" w:lineRule="auto" w:before="0" w:after="0"/>
              <w:pStyle w:val="Compact"/>
            </w:pPr>
            <w:r>
              <w:rPr>
                <w:sz w:val="20"/>
                <w:szCs w:val="20"/>
              </w:rPr>
              <w:t xml:space="preserve">TDRS-K</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TDRS-K KuSA return-link 650 Mbps. Source: NASA TDRSS Continuation Project User Guide, STDN No. 101.2 Rev 10. Cost: TDRS-K life-cycle cost, NASA OIG IG-12-013 inflated to FY25.</w:t>
            </w:r>
          </w:p>
        </w:tc>
      </w:tr>
      <w:tr>
        <w:tc>
          <w:tcPr>
            <w:tcW w:w="0" w:type="auto"/>
          </w:tcPr>
          <w:p>
            <w:pPr>
              <w:spacing w:line="240" w:lineRule="auto" w:before="0" w:after="0"/>
              <w:pStyle w:val="Compact"/>
            </w:pPr>
            <w:r>
              <w:rPr>
                <w:sz w:val="20"/>
                <w:szCs w:val="20"/>
              </w:rPr>
              <w:t xml:space="preserve">RF_Iris</w:t>
            </w:r>
          </w:p>
        </w:tc>
        <w:tc>
          <w:tcPr>
            <w:tcW w:w="0" w:type="auto"/>
          </w:tcPr>
          <w:p>
            <w:pPr>
              <w:spacing w:line="240" w:lineRule="auto" w:before="0" w:after="0"/>
              <w:pStyle w:val="Compact"/>
            </w:pPr>
            <w:r>
              <w:rPr>
                <w:sz w:val="20"/>
                <w:szCs w:val="20"/>
              </w:rPr>
              <w:t xml:space="preserve">MarCO_Iris</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Rate: MarCO Iris X-band radio 8 kbps = 0.008 Mbps. Source: Schoolcraft et al. </w:t>
            </w:r>
            <w:r>
              <w:rPr>
                <w:sz w:val="20"/>
                <w:szCs w:val="20"/>
              </w:rPr>
              <w:t xml:space="preserve">“MarCO: Interplanetary Mission Development on a CubeSat Scale,”</w:t>
            </w:r>
            <w:r>
              <w:rPr>
                <w:sz w:val="20"/>
                <w:szCs w:val="20"/>
              </w:rPr>
              <w:t xml:space="preserve"> </w:t>
            </w:r>
            <w:r>
              <w:rPr>
                <w:sz w:val="20"/>
                <w:szCs w:val="20"/>
              </w:rPr>
              <w:t xml:space="preserve">SpaceOps 2017 + Iris radio JPL data sheet, NTRS 20180001899. Cost: Iris radio unit cost, JPL CubeSat Iris program cost report.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Rate: Juno X-band downlink to 70m DSN up to 18 kbps = 0.018 Mbps at Jupiter. Source: Mukai et al. </w:t>
            </w:r>
            <w:r>
              <w:rPr>
                <w:sz w:val="20"/>
                <w:szCs w:val="20"/>
              </w:rPr>
              <w:t xml:space="preserve">“Juno Telecommunications,”</w:t>
            </w:r>
            <w:r>
              <w:rPr>
                <w:sz w:val="20"/>
                <w:szCs w:val="20"/>
              </w:rPr>
              <w:t xml:space="preserve"> </w:t>
            </w:r>
            <w:r>
              <w:rPr>
                <w:sz w:val="20"/>
                <w:szCs w:val="20"/>
              </w:rPr>
              <w:t xml:space="preserve">DESCANSO Series 16 (2012), NTRS 20120017823. Cost: Juno telecom subsystem allocation, GAO-12-207SP.</w:t>
            </w:r>
          </w:p>
        </w:tc>
      </w:tr>
      <w:tr>
        <w:tc>
          <w:tcPr>
            <w:tcW w:w="0" w:type="auto"/>
          </w:tcPr>
          <w:p>
            <w:pPr>
              <w:spacing w:line="240" w:lineRule="auto" w:before="0" w:after="0"/>
              <w:pStyle w:val="Compact"/>
            </w:pPr>
            <w:r>
              <w:rPr>
                <w:sz w:val="20"/>
                <w:szCs w:val="20"/>
              </w:rPr>
              <w:t xml:space="preserve">S_Band_LEO</w:t>
            </w:r>
          </w:p>
        </w:tc>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Rate: ICESat-2 X-band science downlink 140 Mbps. Source: Markus et al. </w:t>
            </w:r>
            <w:r>
              <w:rPr>
                <w:sz w:val="20"/>
                <w:szCs w:val="20"/>
              </w:rPr>
              <w:t xml:space="preserve">“The Ice, Cloud, and land Elevation Satellite-2 (ICESat-2),”</w:t>
            </w:r>
            <w:r>
              <w:rPr>
                <w:sz w:val="20"/>
                <w:szCs w:val="20"/>
              </w:rPr>
              <w:t xml:space="preserve"> </w:t>
            </w:r>
            <w:r>
              <w:rPr>
                <w:sz w:val="20"/>
                <w:szCs w:val="20"/>
              </w:rPr>
              <w:t xml:space="preserve">Rem Sens Environ 190:260 (2017). Cost: ICESat-2 comms allocation, GAO-18-280SP NASA Major Projects Assessment 2018.</w:t>
            </w:r>
          </w:p>
        </w:tc>
      </w:tr>
      <w:tr>
        <w:tc>
          <w:tcPr>
            <w:tcW w:w="0" w:type="auto"/>
          </w:tcPr>
          <w:p>
            <w:pPr>
              <w:spacing w:line="240" w:lineRule="auto" w:before="0" w:after="0"/>
              <w:pStyle w:val="Compact"/>
            </w:pPr>
            <w:r>
              <w:rPr>
                <w:sz w:val="20"/>
                <w:szCs w:val="20"/>
              </w:rPr>
              <w:t xml:space="preserve">X_Band_GOES</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Rate: GOES-R GRB downlink 75 Mbps L-band/X-band. Source: Goodman et al. </w:t>
            </w:r>
            <w:r>
              <w:rPr>
                <w:sz w:val="20"/>
                <w:szCs w:val="20"/>
              </w:rPr>
              <w:t xml:space="preserve">“The GOES-R Series,”</w:t>
            </w:r>
            <w:r>
              <w:rPr>
                <w:sz w:val="20"/>
                <w:szCs w:val="20"/>
              </w:rPr>
              <w:t xml:space="preserve"> </w:t>
            </w:r>
            <w:r>
              <w:rPr>
                <w:sz w:val="20"/>
                <w:szCs w:val="20"/>
              </w:rPr>
              <w:t xml:space="preserve">Bull Am Meteorol Soc (2019); NOAA GOES-R series mission overview. Cost: GOES-R comms allocation, GAO-17-262SP NOAA Major Acquisitions 2017.</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JWST Ka-band science downlink 28 Mbps. Source: Schwarz, Beck, Smith</w:t>
            </w:r>
            <w:r>
              <w:rPr>
                <w:sz w:val="20"/>
                <w:szCs w:val="20"/>
              </w:rPr>
              <w:t xml:space="preserve"> </w:t>
            </w:r>
            <w:r>
              <w:rPr>
                <w:sz w:val="20"/>
                <w:szCs w:val="20"/>
              </w:rPr>
              <w:t xml:space="preserve">“James Webb Space Telescope Communications,”</w:t>
            </w:r>
            <w:r>
              <w:rPr>
                <w:sz w:val="20"/>
                <w:szCs w:val="20"/>
              </w:rPr>
              <w:t xml:space="preserve"> </w:t>
            </w:r>
            <w:r>
              <w:rPr>
                <w:sz w:val="20"/>
                <w:szCs w:val="20"/>
              </w:rPr>
              <w:t xml:space="preserve">SpaceOps 2018; NASA JWST Project user guide. Cost: JWST comms allocation, GAO-22-105212 NASA Major Projects 2022.</w:t>
            </w:r>
          </w:p>
        </w:tc>
      </w:tr>
      <w:tr>
        <w:tc>
          <w:tcPr>
            <w:tcW w:w="0" w:type="auto"/>
          </w:tcPr>
          <w:p>
            <w:pPr>
              <w:spacing w:line="240" w:lineRule="auto" w:before="0" w:after="0"/>
              <w:pStyle w:val="Compact"/>
            </w:pPr>
            <w:r>
              <w:rPr>
                <w:sz w:val="20"/>
                <w:szCs w:val="20"/>
              </w:rPr>
              <w:t xml:space="preserve">Optical_Starlink_ISL</w:t>
            </w:r>
          </w:p>
        </w:tc>
        <w:tc>
          <w:tcPr>
            <w:tcW w:w="0" w:type="auto"/>
          </w:tcPr>
          <w:p>
            <w:pPr>
              <w:spacing w:line="240" w:lineRule="auto" w:before="0" w:after="0"/>
              <w:pStyle w:val="Compact"/>
            </w:pPr>
            <w:r>
              <w:rPr>
                <w:sz w:val="20"/>
                <w:szCs w:val="20"/>
              </w:rPr>
              <w:t xml:space="preserve">Starlink_v1.5</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SpaceX Starlink v1.5 inter-satellite laser link ~100 Gbps reported by SpaceX in FCC filing SAT-MOD-20200417-00037 and 2023 industry press; Source: Foust</w:t>
            </w:r>
            <w:r>
              <w:rPr>
                <w:sz w:val="20"/>
                <w:szCs w:val="20"/>
              </w:rPr>
              <w:t xml:space="preserve"> </w:t>
            </w:r>
            <w:r>
              <w:rPr>
                <w:sz w:val="20"/>
                <w:szCs w:val="20"/>
              </w:rPr>
              <w:t xml:space="preserve">“Starlink Laser Links,”</w:t>
            </w:r>
            <w:r>
              <w:rPr>
                <w:sz w:val="20"/>
                <w:szCs w:val="20"/>
              </w:rPr>
              <w:t xml:space="preserve"> </w:t>
            </w:r>
            <w:r>
              <w:rPr>
                <w:sz w:val="20"/>
                <w:szCs w:val="20"/>
              </w:rPr>
              <w:t xml:space="preserve">SpaceNews 2022. Cost: ISL terminal unit cost reported by Mosk-Pomerantz, FCC Q4 2022 industry comments; Mynaric, Tesat, and SpaceX disclosures.</w:t>
            </w:r>
          </w:p>
        </w:tc>
      </w:tr>
      <w:tr>
        <w:tc>
          <w:tcPr>
            <w:tcW w:w="0" w:type="auto"/>
          </w:tcPr>
          <w:p>
            <w:pPr>
              <w:spacing w:line="240" w:lineRule="auto" w:before="0" w:after="0"/>
              <w:pStyle w:val="Compact"/>
            </w:pPr>
            <w:r>
              <w:rPr>
                <w:sz w:val="20"/>
                <w:szCs w:val="20"/>
              </w:rPr>
              <w:t xml:space="preserve">Optical_OSAM_LEO</w:t>
            </w:r>
          </w:p>
        </w:tc>
        <w:tc>
          <w:tcPr>
            <w:tcW w:w="0" w:type="auto"/>
          </w:tcPr>
          <w:p>
            <w:pPr>
              <w:spacing w:line="240" w:lineRule="auto" w:before="0" w:after="0"/>
              <w:pStyle w:val="Compact"/>
            </w:pPr>
            <w:r>
              <w:rPr>
                <w:sz w:val="20"/>
                <w:szCs w:val="20"/>
              </w:rPr>
              <w:t xml:space="preserve">Tesat_SCOT80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Rate: Tesat SCOT80 LEO terminal 1.8 Gbps. Source: Tesat-Spacecom SCOT80 product data sheet (2020). Cost: per-terminal unit price 2020 ESA OPTEL procurement record, ESA Contract 4000128123/19/UK/AD. [illustrative cost share]</w:t>
            </w:r>
          </w:p>
        </w:tc>
      </w:tr>
      <w:tr>
        <w:tc>
          <w:tcPr>
            <w:tcW w:w="0" w:type="auto"/>
          </w:tcPr>
          <w:p>
            <w:pPr>
              <w:spacing w:line="240" w:lineRule="auto" w:before="0" w:after="0"/>
              <w:pStyle w:val="Compact"/>
            </w:pPr>
            <w:r>
              <w:rPr>
                <w:sz w:val="20"/>
                <w:szCs w:val="20"/>
              </w:rPr>
              <w:t xml:space="preserve">Optical_Mynaric_CONDOR</w:t>
            </w:r>
          </w:p>
        </w:tc>
        <w:tc>
          <w:tcPr>
            <w:tcW w:w="0" w:type="auto"/>
          </w:tcPr>
          <w:p>
            <w:pPr>
              <w:spacing w:line="240" w:lineRule="auto" w:before="0" w:after="0"/>
              <w:pStyle w:val="Compact"/>
            </w:pPr>
            <w:r>
              <w:rPr>
                <w:sz w:val="20"/>
                <w:szCs w:val="20"/>
              </w:rPr>
              <w:t xml:space="preserve">Telesat_Lightspeed_demo</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Mynaric CONDOR Mk3 10 Gbps. Source: Mynaric CONDOR Mk3 product data sheet (2022). Cost: per-terminal contracted price publicly disclosed in Mynaric 2022 annual report ($1.6M average). [illustrative cost share]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Recurring or unit hardware-plus-integration cost of the communications terminal or payload, normalized to FY2025 millions of USD via the NASA New Start Index</w:t>
            </w:r>
          </w:p>
        </w:tc>
        <w:tc>
          <w:tcPr>
            <w:tcW w:w="0" w:type="auto"/>
          </w:tcPr>
          <w:p>
            <w:pPr>
              <w:spacing w:line="240" w:lineRule="auto" w:before="0" w:after="0"/>
              <w:pStyle w:val="Compact"/>
            </w:pPr>
            <w:r>
              <w:rPr>
                <w:sz w:val="20"/>
                <w:szCs w:val="20"/>
              </w:rPr>
              <w:t xml:space="preserve">GAO NASA Major Project Assessments (GAO-25-107591, GAO-22-105212, GAO-18-280SP, GAO-15-320SP, GAO-12-207SP), NASA OIG audits (IG-22-005, IG-23-009, IG-15-013, IG-09-018, IG-12-013), ESA programme cost reports, and vendor 10-K and data-sheet disclosures cited per row</w:t>
            </w:r>
          </w:p>
        </w:tc>
      </w:tr>
      <w:tr>
        <w:tc>
          <w:tcPr>
            <w:tcW w:w="0" w:type="auto"/>
          </w:tcPr>
          <w:p>
            <w:pPr>
              <w:spacing w:line="240" w:lineRule="auto" w:before="0" w:after="0"/>
              <w:pStyle w:val="Compact"/>
            </w:pPr>
            <w:r>
              <w:rPr>
                <w:sz w:val="20"/>
                <w:szCs w:val="20"/>
              </w:rPr>
              <w:t xml:space="preserve">data_rate_mbps</w:t>
            </w:r>
          </w:p>
        </w:tc>
        <w:tc>
          <w:tcPr>
            <w:tcW w:w="0" w:type="auto"/>
          </w:tcPr>
          <w:p>
            <w:pPr>
              <w:spacing w:line="240" w:lineRule="auto" w:before="0" w:after="0"/>
              <w:pStyle w:val="Compact"/>
            </w:pPr>
            <w:r>
              <w:rPr>
                <w:sz w:val="20"/>
                <w:szCs w:val="20"/>
              </w:rPr>
              <w:t xml:space="preserve">Demonstrated maximum link data rate of the terminal or payload, expressed in megabits per second</w:t>
            </w:r>
          </w:p>
        </w:tc>
        <w:tc>
          <w:tcPr>
            <w:tcW w:w="0" w:type="auto"/>
          </w:tcPr>
          <w:p>
            <w:pPr>
              <w:spacing w:line="240" w:lineRule="auto" w:before="0" w:after="0"/>
              <w:pStyle w:val="Compact"/>
            </w:pPr>
            <w:r>
              <w:rPr>
                <w:sz w:val="20"/>
                <w:szCs w:val="20"/>
              </w:rPr>
              <w:t xml:space="preserve">DESCANSO Design and Performance Summary Series volumes for NASA deep-space links; refereed instrument papers for science downlinks; SPIE Photonics West and SpaceOps proceedings for optical demonstrations; FCC filings and ESA Sentinel and EDRS programme documents for commercial links</w:t>
            </w:r>
          </w:p>
        </w:tc>
      </w:tr>
      <w:tr>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Categorical label distinguishing radio-frequency (S, X, Ku, Ka, UHF) terminals from free-space optical laser terminals, used to split the sample into the two cost frontiers compared in the Findings section</w:t>
            </w:r>
          </w:p>
        </w:tc>
        <w:tc>
          <w:tcPr>
            <w:tcW w:w="0" w:type="auto"/>
          </w:tcPr>
          <w:p>
            <w:pPr>
              <w:spacing w:line="240" w:lineRule="auto" w:before="0" w:after="0"/>
              <w:pStyle w:val="Compact"/>
            </w:pPr>
            <w:r>
              <w:rPr>
                <w:sz w:val="20"/>
                <w:szCs w:val="20"/>
              </w:rPr>
              <w:t xml:space="preserve">Classified from each link’s mission documentation cited per row</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first on-orbit operation of the terminal or payload</w:t>
            </w:r>
          </w:p>
        </w:tc>
        <w:tc>
          <w:tcPr>
            <w:tcW w:w="0" w:type="auto"/>
          </w:tcPr>
          <w:p>
            <w:pPr>
              <w:spacing w:line="240" w:lineRule="auto" w:before="0" w:after="0"/>
              <w:pStyle w:val="Compact"/>
            </w:pPr>
            <w:r>
              <w:rPr>
                <w:sz w:val="20"/>
                <w:szCs w:val="20"/>
              </w:rPr>
              <w:t xml:space="preserve">Mission press kits, NASA SCaN registry, and ESA programme documents cited per row</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4.2212</w:t>
            </w:r>
          </w:p>
        </w:tc>
        <w:tc>
          <w:tcPr>
            <w:tcW w:w="0" w:type="auto"/>
          </w:tcPr>
          <w:p>
            <w:pPr>
              <w:spacing w:line="240" w:lineRule="auto" w:before="0" w:after="0"/>
              <w:pStyle w:val="Compact"/>
            </w:pPr>
            <w:r>
              <w:rPr>
                <w:sz w:val="20"/>
                <w:szCs w:val="20"/>
              </w:rPr>
              <w:t xml:space="preserve">0.4725</w:t>
            </w:r>
          </w:p>
        </w:tc>
        <w:tc>
          <w:tcPr>
            <w:tcW w:w="0" w:type="auto"/>
          </w:tcPr>
          <w:p>
            <w:pPr>
              <w:spacing w:line="240" w:lineRule="auto" w:before="0" w:after="0"/>
              <w:pStyle w:val="Compact"/>
            </w:pPr>
            <w:r>
              <w:rPr>
                <w:sz w:val="20"/>
                <w:szCs w:val="20"/>
              </w:rPr>
              <w:t xml:space="preserve">8.9332</w:t>
            </w:r>
          </w:p>
        </w:tc>
        <w:tc>
          <w:tcPr>
            <w:tcW w:w="0" w:type="auto"/>
          </w:tcPr>
          <w:p>
            <w:pPr>
              <w:spacing w:line="240" w:lineRule="auto" w:before="0" w:after="0"/>
              <w:pStyle w:val="Compact"/>
            </w:pPr>
            <w:r>
              <w:rPr>
                <w:sz w:val="20"/>
                <w:szCs w:val="20"/>
              </w:rPr>
              <w:t xml:space="preserve">4.137e-19</w:t>
            </w:r>
          </w:p>
        </w:tc>
        <w:tc>
          <w:tcPr>
            <w:tcW w:w="0" w:type="auto"/>
          </w:tcPr>
          <w:p>
            <w:pPr>
              <w:spacing w:line="240" w:lineRule="auto" w:before="0" w:after="0"/>
              <w:pStyle w:val="Compact"/>
            </w:pPr>
            <w:r>
              <w:rPr>
                <w:sz w:val="20"/>
                <w:szCs w:val="20"/>
              </w:rPr>
              <w:t xml:space="preserve">[3.2951, 5.1474]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-0.0609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[-0.2391, 0.1173]</w:t>
            </w:r>
          </w:p>
        </w:tc>
      </w:tr>
    </w:tbl>
    <w:p>
      <w:pPr>
        <w:pStyle w:val="BodyText"/>
      </w:pPr>
      <w:r>
        <w:t xml:space="preserve">Fit: N = 30 R2 = 0.0216 elasticity_b = -0.0609 progress_ratio_2^b = 0.9587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2026-06-27T00:26:53Z</dcterms:created>
  <dcterms:modified xsi:type="dcterms:W3CDTF">2026-06-27T00:26:53Z</dcterms:modified>
</cp:coreProperties>
</file>

<file path=docProps/custom.xml><?xml version="1.0" encoding="utf-8"?>
<Properties xmlns="http://schemas.openxmlformats.org/officeDocument/2006/custom-properties" xmlns:vt="http://schemas.openxmlformats.org/officeDocument/2006/docPropsVTypes"/>
</file>