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SPECTRUM VERSUS PHOTONS: A COST-OF-CAPACITY COMPARISON OF RF AND OPTICAL SPACE-TO-GROUND LINKS</w:t>
      </w:r>
    </w:p>
    <w:p>
      <w:pPr>
        <w:jc w:val="center"/>
      </w:pPr>
    </w:p>
    <w:p>
      <w:pPr>
        <w:jc w:val="center"/>
      </w:pPr>
      <w:r>
        <w:rPr>
          <w:rFonts w:ascii="Times New Roman" w:hAnsi="Times New Roman"/>
          <w:sz w:val="24"/>
        </w:rPr>
        <w:t>by</w:t>
      </w:r>
    </w:p>
    <w:p>
      <w:pPr>
        <w:jc w:val="center"/>
      </w:pPr>
      <w:r>
        <w:rPr>
          <w:rFonts w:ascii="Times New Roman" w:hAnsi="Times New Roman"/>
          <w:b/>
          <w:sz w:val="28"/>
        </w:rPr>
        <w:t>Adrian Hoffmann</w:t>
      </w:r>
    </w:p>
    <w:p>
      <w:pPr>
        <w:jc w:val="center"/>
      </w:pPr>
      <w:r>
        <w:rPr>
          <w:rFonts w:ascii="Times New Roman" w:hAnsi="Times New Roman"/>
          <w:sz w:val="24"/>
        </w:rPr>
        <w:t>1B-ITI-110</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7" w:name="chapter-1.-introduction"/>
    <w:p>
      <w:pPr>
        <w:pStyle w:val="Heading1"/>
        <w:spacing w:line="480" w:lineRule="auto"/>
      </w:pPr>
      <w:r>
        <w:t xml:space="preserve">Chapter 1. Introduction</w:t>
      </w:r>
    </w:p>
    <w:bookmarkStart w:id="61" w:name="the-problem-and-why-it-matters-now"/>
    <w:p>
      <w:pPr>
        <w:pStyle w:val="Heading2"/>
        <w:spacing w:line="480" w:lineRule="auto"/>
      </w:pPr>
      <w:r>
        <w:t xml:space="preserve">1.1 The Problem and Why It Matters Now</w:t>
      </w:r>
    </w:p>
    <w:p>
      <w:pPr>
        <w:pStyle w:val="FirstParagraph"/>
        <w:spacing w:line="480" w:lineRule="auto"/>
      </w:pPr>
      <w:r>
        <w:t xml:space="preserve">The information-technology infrastructure that carries data between space and the ground is in the middle of a slow but consequential bifurcation. On one branch, civil and commercial operators continue to extend radio-frequency (RF) capacity through ever more aggressive use of Ka, Ku, and V band allocations, with current industry roadmaps projecting per-satellite throughput in excess of one terabit per second</w:t>
      </w:r>
      <w:r>
        <w:t xml:space="preserve"> </w:t>
      </w:r>
      <w:hyperlink w:anchor="ref-4">
        <w:r>
          <w:rPr>
            <w:rStyle w:val="Hyperlink"/>
          </w:rPr>
          <w:t xml:space="preserve">[4]</w:t>
        </w:r>
      </w:hyperlink>
      <w:r>
        <w:t xml:space="preserve">. On the other branch, free-space optical (FSO) terminals on relay and small-satellite platforms have moved from laboratory demonstrations into operational pathfinders, with the Lunar Laser Communication Demonstration returning 622 Mbps from cislunar distance [12, 23], the Laser Communications Relay Demonstration delivering a 1.244 Gbps relay-class capability at geostationary orbit [13, 19], and the TeraByte InfraRed Delivery payload achieving a 200 Gbps direct-to-ground downlink from a CubeSat-class platform</w:t>
      </w:r>
      <w:r>
        <w:t xml:space="preserve"> </w:t>
      </w:r>
      <w:hyperlink w:anchor="ref-14">
        <w:r>
          <w:rPr>
            <w:rStyle w:val="Hyperlink"/>
          </w:rPr>
          <w:t xml:space="preserve">[14]</w:t>
        </w:r>
      </w:hyperlink>
      <w:r>
        <w:t xml:space="preserve">. Acta Astronautica and the AMOS proceedings now host a steady volume of work on miniaturized laser-communication terminals for small satellites [2, 3, 5, 24, 41] and on the adaptive-optics ground systems required to receive them [1, 6, 7, 31]. The technological premise of the dissertation is not that either modality is winning; it is that both modalities are simultaneously credible, and that procurement officers and program planners are being asked to choose between them on a marginal-cost basis that the open literature has not yet supplied.</w:t>
      </w:r>
    </w:p>
    <w:p>
      <w:pPr>
        <w:pStyle w:val="BodyText"/>
        <w:spacing w:line="480" w:lineRule="auto"/>
        <w:ind w:firstLine="720"/>
      </w:pPr>
      <w:r>
        <w:t xml:space="preserve">That gap is not academic. The next generation of NASA architecture decisions, and the next generation of architecture decisions at the Jet Propulsion Laboratory (JPL) in particular, will turn on whether the photon channel has actually crossed the cost frontier of the spectrum channel for specific mission classes. The Deep Space Optical Communications (DSOC) payload on Psyche has now demonstrated first-light from interplanetary distance</w:t>
      </w:r>
      <w:r>
        <w:t xml:space="preserve"> </w:t>
      </w:r>
      <w:hyperlink w:anchor="ref-18">
        <w:r>
          <w:rPr>
            <w:rStyle w:val="Hyperlink"/>
          </w:rPr>
          <w:t xml:space="preserve">[18]</w:t>
        </w:r>
      </w:hyperlink>
      <w:r>
        <w:t xml:space="preserve">, and NASA Office of Inspector General audits have repeatedly flagged the program-management risk and cost exposure that follow from operational adoption of the optical modality before its unit economics are well characterized [18, 19]. The Tracking and Data Relay Satellite System, which still anchors NASA’s near-Earth communications backbone, is approaching the end of its current service generation, and its successor architecture will be selected against a background in which the European Data Relay System has already publicly disclosed a public-private-partnership cost structure for an operational optical relay capability</w:t>
      </w:r>
      <w:r>
        <w:t xml:space="preserve"> </w:t>
      </w:r>
      <w:hyperlink w:anchor="ref-20">
        <w:r>
          <w:rPr>
            <w:rStyle w:val="Hyperlink"/>
          </w:rPr>
          <w:t xml:space="preserve">[20]</w:t>
        </w:r>
      </w:hyperlink>
      <w:r>
        <w:t xml:space="preserve">. GAO has documented the wider procurement pattern in which optical systems are being inserted into a portfolio whose RF baseline cost behavior is itself imperfectly disclosed [16, 21]. JPL, as the NASA Center that holds the deep-space communications mission and that operates the cost-estimating canon embodied in the NASA Instrument Cost Model (NICM)</w:t>
      </w:r>
      <w:r>
        <w:t xml:space="preserve"> </w:t>
      </w:r>
      <w:hyperlink w:anchor="ref-11">
        <w:r>
          <w:rPr>
            <w:rStyle w:val="Hyperlink"/>
          </w:rPr>
          <w:t xml:space="preserve">[11]</w:t>
        </w:r>
      </w:hyperlink>
      <w:r>
        <w:t xml:space="preserve">, is the institutional locus at which the stakes are sharpest: the same Center is being asked to certify the cost realism of the optical class on which a substantial fraction of its future deep-space data return will depend, while continuing to maintain the RF baseline against which the optical class must be compared.</w:t>
      </w:r>
    </w:p>
    <w:p>
      <w:pPr>
        <w:pStyle w:val="BodyText"/>
        <w:spacing w:line="480" w:lineRule="auto"/>
        <w:ind w:firstLine="720"/>
      </w:pPr>
      <w:r>
        <w:t xml:space="preserve">The stakes for NASA and JPL therefore reduce to a question that is simultaneously technical, econometric, and procurement-administrative. At what marginal cost per delivered gigabit-hour at the user terminal does each technology family operate when site meteorology, terminal amortization, throughput, mass, power, and constellation geometry are jointly modeled rather than assumed away, The cost-of-capacity answer to that question is the load-bearing input to architecture selection, to the GAO realism review that follows architecture selection [16, 21], and to the OIG cost-and-schedule risk assessments that follow program initiation [17, 18, 19]. It is not currently available in a form that can survive defense in a procurement record.</w:t>
      </w:r>
    </w:p>
    <w:bookmarkEnd w:id="61"/>
    <w:bookmarkStart w:id="62" w:name="Xcd78e1a926619afe129bf332eec9d49a79f58e2"/>
    <w:p>
      <w:pPr>
        <w:pStyle w:val="Heading2"/>
        <w:spacing w:line="480" w:lineRule="auto"/>
      </w:pPr>
      <w:r>
        <w:t xml:space="preserve">1.2 The Domain Literature: Engineering Rich, Cost Thin</w:t>
      </w:r>
    </w:p>
    <w:p>
      <w:pPr>
        <w:pStyle w:val="FirstParagraph"/>
        <w:spacing w:line="480" w:lineRule="auto"/>
      </w:pPr>
      <w:r>
        <w:t xml:space="preserve">The retrieved literature on the technology side is rich and detailed. The optical link feasibility track produces high-quality site-availability statistics for specific candidate ground stations, including Haleakala</w:t>
      </w:r>
      <w:r>
        <w:t xml:space="preserve"> </w:t>
      </w:r>
      <w:hyperlink w:anchor="ref-6">
        <w:r>
          <w:rPr>
            <w:rStyle w:val="Hyperlink"/>
          </w:rPr>
          <w:t xml:space="preserve">[6]</w:t>
        </w:r>
      </w:hyperlink>
      <w:r>
        <w:t xml:space="preserve"> </w:t>
      </w:r>
      <w:r>
        <w:t xml:space="preserve">and the Australian National University Mount Stromlo facility</w:t>
      </w:r>
      <w:r>
        <w:t xml:space="preserve"> </w:t>
      </w:r>
      <w:hyperlink w:anchor="ref-7">
        <w:r>
          <w:rPr>
            <w:rStyle w:val="Hyperlink"/>
          </w:rPr>
          <w:t xml:space="preserve">[7]</w:t>
        </w:r>
      </w:hyperlink>
      <w:r>
        <w:t xml:space="preserve">, and characterizes adaptive-optics performance at LCRD’s Optical Ground Station One</w:t>
      </w:r>
      <w:r>
        <w:t xml:space="preserve"> </w:t>
      </w:r>
      <w:hyperlink w:anchor="ref-1">
        <w:r>
          <w:rPr>
            <w:rStyle w:val="Hyperlink"/>
          </w:rPr>
          <w:t xml:space="preserve">[1]</w:t>
        </w:r>
      </w:hyperlink>
      <w:r>
        <w:t xml:space="preserve">. The terminal hardware track documents the mass, power, and data-rate envelopes of a maturing generation of small-satellite optical terminals, including miniaturized laser-communication terminals developed for CubeSat platforms [2, 3], the VISION crosslink concept for nanosatellite formation flying</w:t>
      </w:r>
      <w:r>
        <w:t xml:space="preserve"> </w:t>
      </w:r>
      <w:hyperlink w:anchor="ref-5">
        <w:r>
          <w:rPr>
            <w:rStyle w:val="Hyperlink"/>
          </w:rPr>
          <w:t xml:space="preserve">[5]</w:t>
        </w:r>
      </w:hyperlink>
      <w:r>
        <w:t xml:space="preserve">, and the HICALI terminal</w:t>
      </w:r>
      <w:r>
        <w:t xml:space="preserve"> </w:t>
      </w:r>
      <w:hyperlink w:anchor="ref-24">
        <w:r>
          <w:rPr>
            <w:rStyle w:val="Hyperlink"/>
          </w:rPr>
          <w:t xml:space="preserve">[24]</w:t>
        </w:r>
      </w:hyperlink>
      <w:r>
        <w:t xml:space="preserve">. The systems track describes the end-to-end architectures within which those terminals are deployed, from the NASA optical communications program overview</w:t>
      </w:r>
      <w:r>
        <w:t xml:space="preserve"> </w:t>
      </w:r>
      <w:hyperlink w:anchor="ref-22">
        <w:r>
          <w:rPr>
            <w:rStyle w:val="Hyperlink"/>
          </w:rPr>
          <w:t xml:space="preserve">[22]</w:t>
        </w:r>
      </w:hyperlink>
      <w:r>
        <w:t xml:space="preserve"> </w:t>
      </w:r>
      <w:r>
        <w:t xml:space="preserve">through the LLCD lunar demonstration [12, 23] and LCRD geostationary demonstration</w:t>
      </w:r>
      <w:r>
        <w:t xml:space="preserve"> </w:t>
      </w:r>
      <w:hyperlink w:anchor="ref-13">
        <w:r>
          <w:rPr>
            <w:rStyle w:val="Hyperlink"/>
          </w:rPr>
          <w:t xml:space="preserve">[13]</w:t>
        </w:r>
      </w:hyperlink>
      <w:r>
        <w:t xml:space="preserve"> </w:t>
      </w:r>
      <w:r>
        <w:t xml:space="preserve">to the TBIRD CubeSat downlink</w:t>
      </w:r>
      <w:r>
        <w:t xml:space="preserve"> </w:t>
      </w:r>
      <w:hyperlink w:anchor="ref-14">
        <w:r>
          <w:rPr>
            <w:rStyle w:val="Hyperlink"/>
          </w:rPr>
          <w:t xml:space="preserve">[14]</w:t>
        </w:r>
      </w:hyperlink>
      <w:r>
        <w:t xml:space="preserve"> </w:t>
      </w:r>
      <w:r>
        <w:t xml:space="preserve">and the EDRS public-private relay</w:t>
      </w:r>
      <w:r>
        <w:t xml:space="preserve"> </w:t>
      </w:r>
      <w:hyperlink w:anchor="ref-20">
        <w:r>
          <w:rPr>
            <w:rStyle w:val="Hyperlink"/>
          </w:rPr>
          <w:t xml:space="preserve">[20]</w:t>
        </w:r>
      </w:hyperlink>
      <w:r>
        <w:t xml:space="preserve">. The deep-space track adds the Mars Reconnaissance Orbiter telecommunications baseline</w:t>
      </w:r>
      <w:r>
        <w:t xml:space="preserve"> </w:t>
      </w:r>
      <w:hyperlink w:anchor="ref-15">
        <w:r>
          <w:rPr>
            <w:rStyle w:val="Hyperlink"/>
          </w:rPr>
          <w:t xml:space="preserve">[15]</w:t>
        </w:r>
      </w:hyperlink>
      <w:r>
        <w:t xml:space="preserve"> </w:t>
      </w:r>
      <w:r>
        <w:t xml:space="preserve">and the DSOC interplanetary demonstration</w:t>
      </w:r>
      <w:r>
        <w:t xml:space="preserve"> </w:t>
      </w:r>
      <w:hyperlink w:anchor="ref-18">
        <w:r>
          <w:rPr>
            <w:rStyle w:val="Hyperlink"/>
          </w:rPr>
          <w:t xml:space="preserve">[18]</w:t>
        </w:r>
      </w:hyperlink>
      <w:r>
        <w:t xml:space="preserve">. The RF side of the same operational record is documented in cost-and-schedule terms through GAO Major Project Assessments</w:t>
      </w:r>
      <w:r>
        <w:t xml:space="preserve"> </w:t>
      </w:r>
      <w:hyperlink w:anchor="ref-16">
        <w:r>
          <w:rPr>
            <w:rStyle w:val="Hyperlink"/>
          </w:rPr>
          <w:t xml:space="preserve">[16]</w:t>
        </w:r>
      </w:hyperlink>
      <w:r>
        <w:t xml:space="preserve"> </w:t>
      </w:r>
      <w:r>
        <w:t xml:space="preserve">and NASA OIG audits of TDRSS</w:t>
      </w:r>
      <w:r>
        <w:t xml:space="preserve"> </w:t>
      </w:r>
      <w:hyperlink w:anchor="ref-17">
        <w:r>
          <w:rPr>
            <w:rStyle w:val="Hyperlink"/>
          </w:rPr>
          <w:t xml:space="preserve">[17]</w:t>
        </w:r>
      </w:hyperlink>
      <w:r>
        <w:t xml:space="preserve"> </w:t>
      </w:r>
      <w:r>
        <w:t xml:space="preserve">and of the optical programs that are being procured alongside it [18, 19].</w:t>
      </w:r>
    </w:p>
    <w:p>
      <w:pPr>
        <w:pStyle w:val="BodyText"/>
        <w:spacing w:line="480" w:lineRule="auto"/>
        <w:ind w:firstLine="720"/>
      </w:pPr>
      <w:r>
        <w:t xml:space="preserve">What this domain literature produces, however, is engineering and program-management description rather than cost-of-capacity estimation. Site-availability papers report cloud-cover and seeing statistics without translating those statistics into expected cost per delivered bit at a procurement-relevant percentile of availability. Terminal hardware papers report mass and power without unit cost at scale. Program-management audits report cost growth without the counterfactual that would let an analyst separate modality from program-execution effects. The taxonomy and policy track on the spectrum side, including the orbital classification work that emerged out of ASCEND 2025</w:t>
      </w:r>
      <w:r>
        <w:t xml:space="preserve"> </w:t>
      </w:r>
      <w:hyperlink w:anchor="ref-8">
        <w:r>
          <w:rPr>
            <w:rStyle w:val="Hyperlink"/>
          </w:rPr>
          <w:t xml:space="preserve">[8]</w:t>
        </w:r>
      </w:hyperlink>
      <w:r>
        <w:t xml:space="preserve">, the economic-statecraft literature on the political economy of allocations</w:t>
      </w:r>
      <w:r>
        <w:t xml:space="preserve"> </w:t>
      </w:r>
      <w:hyperlink w:anchor="ref-9">
        <w:r>
          <w:rPr>
            <w:rStyle w:val="Hyperlink"/>
          </w:rPr>
          <w:t xml:space="preserve">[9]</w:t>
        </w:r>
      </w:hyperlink>
      <w:r>
        <w:t xml:space="preserve">, and the architectural socio-technological work on space-use norms</w:t>
      </w:r>
      <w:r>
        <w:t xml:space="preserve"> </w:t>
      </w:r>
      <w:hyperlink w:anchor="ref-10">
        <w:r>
          <w:rPr>
            <w:rStyle w:val="Hyperlink"/>
          </w:rPr>
          <w:t xml:space="preserve">[10]</w:t>
        </w:r>
      </w:hyperlink>
      <w:r>
        <w:t xml:space="preserve">, establishes that higher-bandwidth RF allocations are the operator response to spectrum congestion but does not quantify the substitutability of photons for spectrum at the margin. The Air Force Institute of Technology work on incorporation of non-traditional sensors into the Space Domain Awareness architecture</w:t>
      </w:r>
      <w:r>
        <w:t xml:space="preserve"> </w:t>
      </w:r>
      <w:hyperlink w:anchor="ref-29">
        <w:r>
          <w:rPr>
            <w:rStyle w:val="Hyperlink"/>
          </w:rPr>
          <w:t xml:space="preserve">[29]</w:t>
        </w:r>
      </w:hyperlink>
      <w:r>
        <w:t xml:space="preserve"> </w:t>
      </w:r>
      <w:r>
        <w:t xml:space="preserve">and the Ball Aerospace capacity-based cislunar architecture-optimization work</w:t>
      </w:r>
      <w:r>
        <w:t xml:space="preserve"> </w:t>
      </w:r>
      <w:hyperlink w:anchor="ref-30">
        <w:r>
          <w:rPr>
            <w:rStyle w:val="Hyperlink"/>
          </w:rPr>
          <w:t xml:space="preserve">[30]</w:t>
        </w:r>
      </w:hyperlink>
      <w:r>
        <w:t xml:space="preserve"> </w:t>
      </w:r>
      <w:r>
        <w:t xml:space="preserve">illustrate the general pattern: architecture-optimization tools that take cost in as an exogenous parameter rather than estimating it from data.</w:t>
      </w:r>
    </w:p>
    <w:p>
      <w:pPr>
        <w:pStyle w:val="BodyText"/>
        <w:spacing w:line="480" w:lineRule="auto"/>
        <w:ind w:firstLine="720"/>
      </w:pPr>
      <w:r>
        <w:t xml:space="preserve">A second pattern in the same literature is that the cost-estimating canon used inside NASA, anchored by NICM</w:t>
      </w:r>
      <w:r>
        <w:t xml:space="preserve"> </w:t>
      </w:r>
      <w:hyperlink w:anchor="ref-11">
        <w:r>
          <w:rPr>
            <w:rStyle w:val="Hyperlink"/>
          </w:rPr>
          <w:t xml:space="preserve">[11]</w:t>
        </w:r>
      </w:hyperlink>
      <w:r>
        <w:t xml:space="preserve">, is calibrated on instrument and payload mass-power-design-life relations with elasticities clustered in a known band. It does not, as a standing matter, supply a cost-capacity elasticity for communication terminals, and it does not condition on modality. NICM is therefore an authoritative starting point but not, in its published form, a cost-of-capacity instrument.</w:t>
      </w:r>
    </w:p>
    <w:bookmarkEnd w:id="62"/>
    <w:bookmarkStart w:id="63" w:name="X4fb28dd5200db3b83d640d6fe46e7862f1bb8ac"/>
    <w:p>
      <w:pPr>
        <w:pStyle w:val="Heading2"/>
        <w:spacing w:line="480" w:lineRule="auto"/>
      </w:pPr>
      <w:r>
        <w:t xml:space="preserve">1.3 The Econometric Method Literature: Method Rich, Domain Thin</w:t>
      </w:r>
    </w:p>
    <w:p>
      <w:pPr>
        <w:pStyle w:val="FirstParagraph"/>
        <w:spacing w:line="480" w:lineRule="auto"/>
      </w:pPr>
      <w:r>
        <w:t xml:space="preserve">The econometric method literature on cost analysis is correspondingly rich on the method side and thin on the space-communications domain. The space-economics literature that engages directly with cost behavior, anchored in Weinzierl’s treatment of space as an economic frontier</w:t>
      </w:r>
      <w:r>
        <w:t xml:space="preserve"> </w:t>
      </w:r>
      <w:hyperlink w:anchor="ref-25">
        <w:r>
          <w:rPr>
            <w:rStyle w:val="Hyperlink"/>
          </w:rPr>
          <w:t xml:space="preserve">[25]</w:t>
        </w:r>
      </w:hyperlink>
      <w:r>
        <w:t xml:space="preserve"> </w:t>
      </w:r>
      <w:r>
        <w:t xml:space="preserve">and the OECD’s macro-portrait of the space economy</w:t>
      </w:r>
      <w:r>
        <w:t xml:space="preserve"> </w:t>
      </w:r>
      <w:hyperlink w:anchor="ref-26">
        <w:r>
          <w:rPr>
            <w:rStyle w:val="Hyperlink"/>
          </w:rPr>
          <w:t xml:space="preserve">[26]</w:t>
        </w:r>
      </w:hyperlink>
      <w:r>
        <w:t xml:space="preserve">, establishes the macroeconomic stakes of communications infrastructure but does not estimate firm-level or terminal-level cost surfaces. The financial-disclosure record on the commercial side, including FCC International Bureau filings such as the Starlink modification on the inter-satellite-link service</w:t>
      </w:r>
      <w:r>
        <w:t xml:space="preserve"> </w:t>
      </w:r>
      <w:hyperlink w:anchor="ref-27">
        <w:r>
          <w:rPr>
            <w:rStyle w:val="Hyperlink"/>
          </w:rPr>
          <w:t xml:space="preserve">[27]</w:t>
        </w:r>
      </w:hyperlink>
      <w:r>
        <w:t xml:space="preserve">, makes selected throughput parameters auditable but does not surface recurring unit cost in a form that can be regressed. The adjacent technical and architectural literature, including the photonic-systems work of Middleton, DeSalvo, and Escalera</w:t>
      </w:r>
      <w:r>
        <w:t xml:space="preserve"> </w:t>
      </w:r>
      <w:hyperlink w:anchor="ref-28">
        <w:r>
          <w:rPr>
            <w:rStyle w:val="Hyperlink"/>
          </w:rPr>
          <w:t xml:space="preserve">[28]</w:t>
        </w:r>
      </w:hyperlink>
      <w:r>
        <w:t xml:space="preserve"> </w:t>
      </w:r>
      <w:r>
        <w:t xml:space="preserve">and the verification-and-validation work on orbital-capacity assessment tools</w:t>
      </w:r>
      <w:r>
        <w:t xml:space="preserve"> </w:t>
      </w:r>
      <w:hyperlink w:anchor="ref-33">
        <w:r>
          <w:rPr>
            <w:rStyle w:val="Hyperlink"/>
          </w:rPr>
          <w:t xml:space="preserve">[33]</w:t>
        </w:r>
      </w:hyperlink>
      <w:r>
        <w:t xml:space="preserve">, demonstrates that the technology and the modeling community both treat cost as something that lives outside the technical model rather than inside it.</w:t>
      </w:r>
    </w:p>
    <w:p>
      <w:pPr>
        <w:pStyle w:val="BodyText"/>
        <w:spacing w:line="480" w:lineRule="auto"/>
        <w:ind w:firstLine="720"/>
      </w:pPr>
      <w:r>
        <w:t xml:space="preserve">The result is a literature in which the econometric machinery that is standard in cost analysis, including log-log learning curves, multivariate OLS with mass and power controls, panel regression with site fixed effects, and Monte Carlo cost-capacity simulation, has not yet been applied to a domain dataset that is large enough and clean enough to discriminate between the RF and optical modalities at terminal-level resolution. The two companion empirical papers in this dissertation, summarized below, sit precisely in that gap.</w:t>
      </w:r>
    </w:p>
    <w:bookmarkEnd w:id="63"/>
    <w:bookmarkStart w:id="64" w:name="Xd7156a69ca8aa0a0543ff4556fe43a9647dd684"/>
    <w:p>
      <w:pPr>
        <w:pStyle w:val="Heading2"/>
        <w:spacing w:line="480" w:lineRule="auto"/>
      </w:pPr>
      <w:r>
        <w:t xml:space="preserve">1.4 What Has Already Been Established in the Companion Papers</w:t>
      </w:r>
    </w:p>
    <w:p>
      <w:pPr>
        <w:pStyle w:val="FirstParagraph"/>
        <w:spacing w:line="480" w:lineRule="auto"/>
      </w:pPr>
      <w:r>
        <w:t xml:space="preserve">The first companion paper estimates a log-log cost-capacity elasticity across thirty flown space-communication links between 1995 and 2023, drawn from DESCANSO design summaries, refereed instrument and mission papers, AMOS and SPIE proceedings, GAO assessments, and NASA OIG audits [12, 13, 14, 15, 16, 17, 18, 19, 20]. The pooled fit returns an elasticity of negative 0.0609 with a p-value of 0.5029 and an R-squared of 0.0216, an outcome that is best read not as a null finding on learning but as evidence that the pooled sample is the average of two distinct cost frontiers in which the modality effect dominates the capacity effect. Within capacity bands, the LCRD relay payload sits below the TDRS-K terminal at higher throughput [13, 17], the TBIRD demonstration sits roughly two orders of magnitude below the X-band downlink class on cost per delivered megabit</w:t>
      </w:r>
      <w:r>
        <w:t xml:space="preserve"> </w:t>
      </w:r>
      <w:hyperlink w:anchor="ref-14">
        <w:r>
          <w:rPr>
            <w:rStyle w:val="Hyperlink"/>
          </w:rPr>
          <w:t xml:space="preserve">[14]</w:t>
        </w:r>
      </w:hyperlink>
      <w:r>
        <w:t xml:space="preserve">, and the deep-space class is the partial exception in which DSOC and the deep-space RF telecom allocation are comparable in cost at very different ranges</w:t>
      </w:r>
      <w:r>
        <w:t xml:space="preserve"> </w:t>
      </w:r>
      <w:hyperlink w:anchor="ref-18">
        <w:r>
          <w:rPr>
            <w:rStyle w:val="Hyperlink"/>
          </w:rPr>
          <w:t xml:space="preserve">[18]</w:t>
        </w:r>
      </w:hyperlink>
      <w:r>
        <w:t xml:space="preserve">. The first companion paper therefore establishes that pooled bivariate methods are insufficient to recover the modality effect that is the policy-relevant quantity.</w:t>
      </w:r>
    </w:p>
    <w:p>
      <w:pPr>
        <w:pStyle w:val="BodyText"/>
        <w:spacing w:line="480" w:lineRule="auto"/>
        <w:ind w:firstLine="720"/>
      </w:pPr>
      <w:r>
        <w:t xml:space="preserve">The second companion paper re-estimates the same question with a multivariate OLS specification that controls for log throughput, log dry mass, log payload power, and an optical modality indicator on a cross-section of thirty-two terminals drawn from GAO assessments, OIG audits, Department of the Air Force budget exhibits, SEC 10-K filings, and contractor disclosures. The specification absorbs seventy-seven percent of the variance in log recurring unit cost and is jointly significant well below conventional thresholds. The dominant partial elasticity is on log mass at 1.5349, and the partial elasticity on log throughput is positive but small at 0.1676 and not distinguishable from zero in this sample. The coefficient on the optical indicator is positive at 1.9836 with a p-value of 0.0961, opposite the engineering prediction, and is best read as evidence that the current optical cross-section is dominated by first-flight demonstration terminals whose non-recurring engineering has not yet been amortized over serial production. Two findings from that paper carry forward into the present dissertation. First, the cost driver that the open literature has under-weighted is structural mass, not peak throughput. Second, the modality effect that the policy debate treats as already settled in the photon channel’s favor is not, in the current operational cross-section, settled at all.</w:t>
      </w:r>
    </w:p>
    <w:bookmarkEnd w:id="64"/>
    <w:bookmarkStart w:id="65" w:name="the-single-falsifiable-contribution"/>
    <w:p>
      <w:pPr>
        <w:pStyle w:val="Heading2"/>
        <w:spacing w:line="480" w:lineRule="auto"/>
      </w:pPr>
      <w:r>
        <w:t xml:space="preserve">1.5 The Single Falsifiable Contribution</w:t>
      </w:r>
    </w:p>
    <w:p>
      <w:pPr>
        <w:pStyle w:val="FirstParagraph"/>
        <w:spacing w:line="480" w:lineRule="auto"/>
      </w:pPr>
      <w:r>
        <w:t xml:space="preserve">The contribution of this dissertation, stated in a form that can be falsified by a published replication, is the following.</w:t>
      </w:r>
    </w:p>
    <w:p>
      <w:pPr>
        <w:pStyle w:val="BodyText"/>
        <w:spacing w:line="480" w:lineRule="auto"/>
        <w:ind w:firstLine="720"/>
      </w:pPr>
      <w:r>
        <w:t xml:space="preserve">Define the marginal cost of delivered capacity for a space-to-ground architecture as the expected recurring unit cost per delivered gigabit-hour at the user terminal, conditional on site meteorology, terminal mass and power, throughput, and constellation geometry. Construct that quantity from observational data using a two-stage estimator. In the first stage, fit a panel regression of historical optical-ground-station availability on atmospheric covariates with site fixed effects, using publicly available cloud-cover and ceiling data co-located with the published optical-ground sites characterized in [1, 6, 7]. In the second stage, embed the estimated availability surface in a Monte Carlo capacity-cost simulator that draws joint availability realizations across the ground network, computes delivered capacity against published terminal data-rate envelopes [2, 3, 5, 14, 22, 23, 24, 41], and divides by amortized terminal-plus-ground-segment cost calibrated to NICM and to the GAO, OIG, and contractor disclosures used in the second companion paper [11, 16, 17, 18, 19, 20].</w:t>
      </w:r>
    </w:p>
    <w:p>
      <w:pPr>
        <w:pStyle w:val="BodyText"/>
        <w:spacing w:line="480" w:lineRule="auto"/>
        <w:ind w:firstLine="720"/>
      </w:pPr>
      <w:r>
        <w:t xml:space="preserve">The single falsifiable claim is that, for civil broadband and civil deep-space mission classes in 2026 procurement conditions, the 95 percent confidence interval on the difference in expected marginal cost per delivered gigabit-hour between an optimally site-diverse FSO architecture and an incumbent high-throughput Ka-band RF architecture is not uniformly signed across the procurement parameter space. The dissertation will identify the region of that parameter space within which the difference is signed in favor of the photon channel, the region within which it is signed in favor of the spectrum channel, and the region within which the confidence interval covers zero. The contribution is the estimator, the threshold map, and the replication archive, not a directional prediction defended without falsification.</w:t>
      </w:r>
    </w:p>
    <w:p>
      <w:pPr>
        <w:pStyle w:val="BodyText"/>
        <w:spacing w:line="480" w:lineRule="auto"/>
        <w:ind w:firstLine="720"/>
      </w:pPr>
      <w:r>
        <w:t xml:space="preserve">That statement is deliberately precise. It commits to a specific functional form for the estimand, a specific set of identifying assumptions documented in the prospectus, a specific data spine drawn from the AMOS, NTRS, GAO, OIG, FCC, and Acta Astronautica records cited above, and a specific confidence-interval criterion against which the claim can be rejected. It is the form in which JPL cost analysts, GAO realism reviewers, and the OIG audit community can engage the dissertation as a procurement-relevant artifact rather than as a literature review.</w:t>
      </w:r>
    </w:p>
    <w:bookmarkEnd w:id="65"/>
    <w:bookmarkStart w:id="66" w:name="roadmap"/>
    <w:p>
      <w:pPr>
        <w:pStyle w:val="Heading2"/>
        <w:spacing w:line="480" w:lineRule="auto"/>
      </w:pPr>
      <w:r>
        <w:t xml:space="preserve">1.6 Roadmap</w:t>
      </w:r>
    </w:p>
    <w:p>
      <w:pPr>
        <w:pStyle w:val="FirstParagraph"/>
        <w:spacing w:line="480" w:lineRule="auto"/>
      </w:pPr>
      <w:r>
        <w:t xml:space="preserve">The remainder of the dissertation is organized as follows.</w:t>
      </w:r>
    </w:p>
    <w:p>
      <w:pPr>
        <w:pStyle w:val="BodyText"/>
        <w:spacing w:line="480" w:lineRule="auto"/>
        <w:ind w:firstLine="720"/>
      </w:pPr>
      <w:r>
        <w:t xml:space="preserve">Chapter 2 reviews the domain literature and the econometric method literature in detail, separating what the AMOS and Acta Astronautica corpora have established about terminal hardware and site availability [1, 2, 3, 5, 6, 7, 22, 23, 24, 41] from what the GAO, OIG, NICM, and space-economics literatures have established about cost behavior [11, 16, 17, 18, 19, 20, 21, 25, 26], and locating the joint gap that the dissertation closes.</w:t>
      </w:r>
    </w:p>
    <w:p>
      <w:pPr>
        <w:pStyle w:val="BodyText"/>
        <w:spacing w:line="480" w:lineRule="auto"/>
        <w:ind w:firstLine="720"/>
      </w:pPr>
      <w:r>
        <w:t xml:space="preserve">Chapter 3 develops the formal estimator. It states the panel-regression specification for the first stage, derives the site-day identifying assumption from within-site variation across meteorological regimes [6, 7], specifies the Monte Carlo capacity-cost simulator for the second stage, and develops the procurement-parameter sweep over mission duty cycle, link distance, required availability percentile, terminal amortization horizon, and constellation geometry.</w:t>
      </w:r>
    </w:p>
    <w:p>
      <w:pPr>
        <w:pStyle w:val="BodyText"/>
        <w:spacing w:line="480" w:lineRule="auto"/>
        <w:ind w:firstLine="720"/>
      </w:pPr>
      <w:r>
        <w:t xml:space="preserve">Chapter 4 documents the data spine. Three datasets anchor the empirical work: NOAA Integrated Surface Database hourly cloud-cover observations co-located with the published optical-ground sites; published optical-ground-station availability series from the AMOS and SPIE record [1, 6, 7]; and the vendor- and contractor-published terminal mass-power-throughput-cost envelope drawn from the second companion paper’s source spine and supplemented with [2, 3, 5, 14, 22, 23, 24, 27, 41]. Provenance is recorded against DOI or archival URL for every input row.</w:t>
      </w:r>
    </w:p>
    <w:p>
      <w:pPr>
        <w:pStyle w:val="BodyText"/>
        <w:spacing w:line="480" w:lineRule="auto"/>
        <w:ind w:firstLine="720"/>
      </w:pPr>
      <w:r>
        <w:t xml:space="preserve">Chapter 5 presents the first companion paper’s pooled log-log result in its dissertation form, treats the negative-and-insignificant pooled elasticity as the diagnostic that motivates the multivariate specification, and uses the modality-by-capacity decomposition to motivate the within-capacity-band comparison that the rest of the dissertation operationalizes.</w:t>
      </w:r>
    </w:p>
    <w:p>
      <w:pPr>
        <w:pStyle w:val="BodyText"/>
        <w:spacing w:line="480" w:lineRule="auto"/>
        <w:ind w:firstLine="720"/>
      </w:pPr>
      <w:r>
        <w:t xml:space="preserve">Chapter 6 presents the second companion paper’s multivariate OLS result in its dissertation form, develops the mass-dominance finding into a procurement-relevant lever, and treats the borderline-significant positive coefficient on the optical indicator as a measurement of non-recurring-engineering overhang that the present cross-section cannot separate from a modality effect proper.</w:t>
      </w:r>
    </w:p>
    <w:p>
      <w:pPr>
        <w:pStyle w:val="BodyText"/>
        <w:spacing w:line="480" w:lineRule="auto"/>
        <w:ind w:firstLine="720"/>
      </w:pPr>
      <w:r>
        <w:t xml:space="preserve">Chapter 7 presents the two-stage estimator’s main result. It fits the stage-one availability surface on the assembled site-day panel, runs the stage-two simulator over the procurement-parameter sweep, and reports the threshold map of regions in which the 95 percent confidence interval on the architecture-difference excludes zero.</w:t>
      </w:r>
    </w:p>
    <w:p>
      <w:pPr>
        <w:pStyle w:val="BodyText"/>
        <w:spacing w:line="480" w:lineRule="auto"/>
        <w:ind w:firstLine="720"/>
      </w:pPr>
      <w:r>
        <w:t xml:space="preserve">Chapter 8 addresses threats to validity. Sample-selection bias in published site availability, non-stationarity in atmospheric covariates, omitted-variable bias in terminal cost, and spectrum-policy endogeneity on the RF side [8, 9, 10] are each addressed with a documented sensitivity analysis and a transparent scope condition.</w:t>
      </w:r>
    </w:p>
    <w:p>
      <w:pPr>
        <w:pStyle w:val="BodyText"/>
        <w:spacing w:line="480" w:lineRule="auto"/>
        <w:ind w:firstLine="720"/>
      </w:pPr>
      <w:r>
        <w:t xml:space="preserve">Chapter 9 applies the estimator to the specific architecture decisions that NASA and JPL are now confronting. The deep-space class is treated with reference to DSOC and the deep-space RF baseline [15, 18]. The relay class is treated with reference to the TDRSS successor decision and the EDRS public-private-partnership precedent [17, 20]. The civil broadband class is treated with reference to the FCC-disclosed commercial inter-satellite-link record</w:t>
      </w:r>
      <w:r>
        <w:t xml:space="preserve"> </w:t>
      </w:r>
      <w:hyperlink w:anchor="ref-27">
        <w:r>
          <w:rPr>
            <w:rStyle w:val="Hyperlink"/>
          </w:rPr>
          <w:t xml:space="preserve">[27]</w:t>
        </w:r>
      </w:hyperlink>
      <w:r>
        <w:t xml:space="preserve">. In each case the threshold map of Chapter 7 is read into a procurement-relevant recommendation that is auditable against the GAO realism criterion [16, 21].</w:t>
      </w:r>
    </w:p>
    <w:p>
      <w:pPr>
        <w:pStyle w:val="BodyText"/>
        <w:spacing w:line="480" w:lineRule="auto"/>
        <w:ind w:firstLine="720"/>
      </w:pPr>
      <w:r>
        <w:t xml:space="preserve">Chapter 10 concludes. It restates the single falsifiable contribution, summarizes the threshold map, identifies the parameter region in which the photon channel has crossed the spectrum frontier and the region in which it has not, and specifies the replication archive that allows the result to be rejected by a future analyst working from the same NTRS, AMOS, GAO, OIG, FCC, and Acta Astronautica record.</w:t>
      </w:r>
    </w:p>
    <w:p>
      <w:pPr>
        <w:pStyle w:val="BodyText"/>
        <w:spacing w:line="480" w:lineRule="auto"/>
        <w:ind w:firstLine="720"/>
      </w:pPr>
      <w:r>
        <w:t xml:space="preserve">The dissertation’s posture throughout is symmetric. It does not advocate for either modality. It supplies the estimator, the threshold map, and the replication archive that allow NASA, JPL, GAO, and the OIG community to settle the question on the procurement record rather than on the technology-press record.</w:t>
      </w:r>
    </w:p>
    <w:bookmarkEnd w:id="66"/>
    <w:bookmarkEnd w:id="67"/>
    <w:bookmarkStart w:id="74" w:name="chapter-2.-literature-review"/>
    <w:p>
      <w:pPr>
        <w:pStyle w:val="Heading1"/>
        <w:spacing w:line="480" w:lineRule="auto"/>
      </w:pPr>
      <w:r>
        <w:t xml:space="preserve">Chapter 2. Literature Review</w:t>
      </w:r>
    </w:p>
    <w:bookmarkStart w:id="68" w:name="purpose-and-organization"/>
    <w:p>
      <w:pPr>
        <w:pStyle w:val="Heading2"/>
        <w:spacing w:line="480" w:lineRule="auto"/>
      </w:pPr>
      <w:r>
        <w:t xml:space="preserve">2.1 Purpose and Organization</w:t>
      </w:r>
    </w:p>
    <w:p>
      <w:pPr>
        <w:pStyle w:val="FirstParagraph"/>
        <w:spacing w:line="480" w:lineRule="auto"/>
      </w:pPr>
      <w:r>
        <w:t xml:space="preserve">This chapter reviews two bodies of scholarship that have grown in parallel without being joined, and identifies the analytical gap that the dissertation closes. The first body is the domain technical literature on space-to-ground communications, which divides into three sub-tracks: optical link feasibility and atmospheric characterization, terminal hardware maturation across mission classes, and the spectrum-policy economics of incumbent radio-frequency systems. The second body is the cliometric and econometric methodology literature on cost-estimating relationships, learning curves, and within-class capacity comparisons that has matured in adjacent infrastructure domains. Each body is internally coherent. Each is rigorous on its own terms. Neither, on the evidence retrieved through systematic search, has been brought into contact with the other to yield a falsifiable estimate of the marginal cost per delivered gigabit-hour for the two competing space-to-ground architectures under jointly modeled engineering and atmospheric constraints.</w:t>
      </w:r>
    </w:p>
    <w:p>
      <w:pPr>
        <w:pStyle w:val="BodyText"/>
        <w:spacing w:line="480" w:lineRule="auto"/>
        <w:ind w:firstLine="720"/>
      </w:pPr>
      <w:r>
        <w:t xml:space="preserve">The chapter proceeds in five sections after this introduction. Section 2.2 surveys the optical-link feasibility and atmospheric-characterization track. Section 2.3 surveys the terminal hardware maturation track for both modalities. Section 2.4 surveys the spectrum-economics and orbital-allocation policy track. Section 2.5 surveys the cliometric and cost-estimating methodology track that has not yet been applied to the space-to-ground modality choice. Section 2.6 synthesizes the four streams, identifies the gap, and frames the methodological commitments that Chapter 3 will operationalize.</w:t>
      </w:r>
    </w:p>
    <w:bookmarkEnd w:id="68"/>
    <w:bookmarkStart w:id="69" w:name="Xfcfae461309fd02c9a1178e79b9923e0ce2e6fc"/>
    <w:p>
      <w:pPr>
        <w:pStyle w:val="Heading2"/>
        <w:spacing w:line="480" w:lineRule="auto"/>
      </w:pPr>
      <w:r>
        <w:t xml:space="preserve">2.2 The Optical-Link Feasibility and Atmospheric Characterization Track</w:t>
      </w:r>
    </w:p>
    <w:p>
      <w:pPr>
        <w:pStyle w:val="FirstParagraph"/>
        <w:spacing w:line="480" w:lineRule="auto"/>
      </w:pPr>
      <w:r>
        <w:t xml:space="preserve">The contemporary case for free-space optical (FSO) space-to-ground architecture rests on a body of work that has matured rapidly across the last decade. The Lunar Laser Communication Demonstration (LLCD) established that a coherent optical downlink could be closed at lunar distance with a terminal mass and power envelope comparable to a small radio-frequency relay [12, 23]. LLCD returned 622 Mbps from the Moon under operational atmospheric conditions, an order-of-magnitude improvement over the radio-frequency precedent at comparable mass</w:t>
      </w:r>
      <w:r>
        <w:t xml:space="preserve"> </w:t>
      </w:r>
      <w:hyperlink w:anchor="ref-23">
        <w:r>
          <w:rPr>
            <w:rStyle w:val="Hyperlink"/>
          </w:rPr>
          <w:t xml:space="preserve">[23]</w:t>
        </w:r>
      </w:hyperlink>
      <w:r>
        <w:t xml:space="preserve">. The Laser Communications Relay Demonstration (LCRD) extended the architecture from a single-mission demonstrator to a relay-class payload at geostationary altitude, with first-light operations reported at 1.244 Gbps and adaptive-optics performance characterized at Optical Ground Station One [1, 13]. The Optical Ground Station One characterization is itself instructive: Roberts and colleagues report adaptive-optics first results that quantify residual wavefront error against on-sky seeing conditions and document the Strehl ratios actually realized in operations</w:t>
      </w:r>
      <w:r>
        <w:t xml:space="preserve"> </w:t>
      </w:r>
      <w:hyperlink w:anchor="ref-1">
        <w:r>
          <w:rPr>
            <w:rStyle w:val="Hyperlink"/>
          </w:rPr>
          <w:t xml:space="preserve">[1]</w:t>
        </w:r>
      </w:hyperlink>
      <w:r>
        <w:t xml:space="preserve">. The TeraByte InfraRed Delivery (TBIRD) experiment demonstrated, on a CubeSat-class platform, sustained 200 Gbps direct-to-Earth downlinks during overflight passes, with pre-flight and post-flight test reports documenting bit-error-rate performance against link-margin assumptions</w:t>
      </w:r>
      <w:r>
        <w:t xml:space="preserve"> </w:t>
      </w:r>
      <w:hyperlink w:anchor="ref-14">
        <w:r>
          <w:rPr>
            <w:rStyle w:val="Hyperlink"/>
          </w:rPr>
          <w:t xml:space="preserve">[14]</w:t>
        </w:r>
      </w:hyperlink>
      <w:r>
        <w:t xml:space="preserve">. Edwards, Robinson, Biswas, and Hamkins provide the consolidated overview of NASA’s optical communications program through this period, framing the demonstration sequence as a deliberate climb from technology readiness to mission-capable hardware</w:t>
      </w:r>
      <w:r>
        <w:t xml:space="preserve"> </w:t>
      </w:r>
      <w:hyperlink w:anchor="ref-22">
        <w:r>
          <w:rPr>
            <w:rStyle w:val="Hyperlink"/>
          </w:rPr>
          <w:t xml:space="preserve">[22]</w:t>
        </w:r>
      </w:hyperlink>
      <w:r>
        <w:t xml:space="preserve">. The Deep Space Optical Communications (DSOC) demonstration carried on Psyche extends the modality to interplanetary distance and is subject to ongoing audit by the NASA Office of Inspector General</w:t>
      </w:r>
      <w:r>
        <w:t xml:space="preserve"> </w:t>
      </w:r>
      <w:hyperlink w:anchor="ref-18">
        <w:r>
          <w:rPr>
            <w:rStyle w:val="Hyperlink"/>
          </w:rPr>
          <w:t xml:space="preserve">[18]</w:t>
        </w:r>
      </w:hyperlink>
      <w:r>
        <w:t xml:space="preserve">.</w:t>
      </w:r>
    </w:p>
    <w:p>
      <w:pPr>
        <w:pStyle w:val="BodyText"/>
        <w:spacing w:line="480" w:lineRule="auto"/>
        <w:ind w:firstLine="720"/>
      </w:pPr>
      <w:r>
        <w:t xml:space="preserve">The European trajectory is comparable in shape, although the institutional structure differs. The European Data Relay System (EDRS) was procured as a public-private partnership with disclosed cost terms in the ESA programme board record, and Heine and colleagues describe the operational characteristics of the Alphasat node that anchored the early EDRS service</w:t>
      </w:r>
      <w:r>
        <w:t xml:space="preserve"> </w:t>
      </w:r>
      <w:hyperlink w:anchor="ref-20">
        <w:r>
          <w:rPr>
            <w:rStyle w:val="Hyperlink"/>
          </w:rPr>
          <w:t xml:space="preserve">[20]</w:t>
        </w:r>
      </w:hyperlink>
      <w:r>
        <w:t xml:space="preserve">. The disclosed EDRS cost structure is a rare instance of a fully transparent total-cost figure for an operational laser-relay architecture, and the dissertation treats it as an anchor point for cross-modality comparison.</w:t>
      </w:r>
    </w:p>
    <w:p>
      <w:pPr>
        <w:pStyle w:val="BodyText"/>
        <w:spacing w:line="480" w:lineRule="auto"/>
        <w:ind w:firstLine="720"/>
      </w:pPr>
      <w:r>
        <w:t xml:space="preserve">The atmospheric-characterization sub-track is the empirical foundation on which the entire FSO architecture rests. Felton and Alliss characterize the performance of Haleakala as an optical ground site using multi-year cloud-cover and seeing statistics, and demonstrate that site-day availability is a tractable but non-trivial empirical object that responds to identifiable atmospheric covariates including cloud fraction, integrated water vapor, and turbulence regime</w:t>
      </w:r>
      <w:r>
        <w:t xml:space="preserve"> </w:t>
      </w:r>
      <w:hyperlink w:anchor="ref-6">
        <w:r>
          <w:rPr>
            <w:rStyle w:val="Hyperlink"/>
          </w:rPr>
          <w:t xml:space="preserve">[6]</w:t>
        </w:r>
      </w:hyperlink>
      <w:r>
        <w:t xml:space="preserve">. Grosse and colleagues, working at the Australian National University Mount Stromlo facility, document upcoming satellite detection and tracking capabilities and report site availability statistics for a Southern Hemisphere site that materially complements the Northern Hemisphere coverage of Haleakala</w:t>
      </w:r>
      <w:r>
        <w:t xml:space="preserve"> </w:t>
      </w:r>
      <w:hyperlink w:anchor="ref-7">
        <w:r>
          <w:rPr>
            <w:rStyle w:val="Hyperlink"/>
          </w:rPr>
          <w:t xml:space="preserve">[7]</w:t>
        </w:r>
      </w:hyperlink>
      <w:r>
        <w:t xml:space="preserve">. d’Orgeville and Fetzer trace the development trajectory of sodium guide-star lasers for adaptive optics, a piece of the optical-ground-station capability stack that is directly relevant to the residual-wavefront-error margin assumed in any space-to-ground link budget</w:t>
      </w:r>
      <w:r>
        <w:t xml:space="preserve"> </w:t>
      </w:r>
      <w:hyperlink w:anchor="ref-31">
        <w:r>
          <w:rPr>
            <w:rStyle w:val="Hyperlink"/>
          </w:rPr>
          <w:t xml:space="preserve">[31]</w:t>
        </w:r>
      </w:hyperlink>
      <w:r>
        <w:t xml:space="preserve">. Knopp and colleagues take the ground-to-space direction of the same problem and demonstrate the utilization of optical uplinks for low-Earth-orbiting spacecraft, with quantitative documentation of pointing, acquisition, and tracking budgets under operational conditions</w:t>
      </w:r>
      <w:r>
        <w:t xml:space="preserve"> </w:t>
      </w:r>
      <w:hyperlink w:anchor="ref-41">
        <w:r>
          <w:rPr>
            <w:rStyle w:val="Hyperlink"/>
          </w:rPr>
          <w:t xml:space="preserve">[41]</w:t>
        </w:r>
      </w:hyperlink>
      <w:r>
        <w:t xml:space="preserve">.</w:t>
      </w:r>
    </w:p>
    <w:p>
      <w:pPr>
        <w:pStyle w:val="BodyText"/>
        <w:spacing w:line="480" w:lineRule="auto"/>
        <w:ind w:firstLine="720"/>
      </w:pPr>
      <w:r>
        <w:t xml:space="preserve">The internal contribution of this track is unambiguous. The retrieved literature establishes that the engineering case for FSO is closed for a growing set of mission classes, that ground-site availability is empirically tractable, and that hardware demonstration has crossed the boundary from technology-readiness exercises into operational-class payloads. The literature does not, however, translate availability statistics or demonstrated data rates into a marginal cost per delivered gigabit-hour. The reason is structural: the atmospheric-characterization papers are written by atmospheric scientists and adaptive-optics engineers whose disciplinary audience does not require a cost translation, while the demonstration papers are written by mission engineers whose disciplinary audience treats cost as an exogenous procurement input rather than as an estimand. The translation step is absent because each side of the demonstration-versus-availability conversation assumes the other side has already done it, and neither has.</w:t>
      </w:r>
    </w:p>
    <w:p>
      <w:pPr>
        <w:pStyle w:val="BodyText"/>
        <w:spacing w:line="480" w:lineRule="auto"/>
        <w:ind w:firstLine="720"/>
      </w:pPr>
      <w:r>
        <w:t xml:space="preserve">A second observation is methodological. The availability statistics in</w:t>
      </w:r>
      <w:r>
        <w:t xml:space="preserve"> </w:t>
      </w:r>
      <w:hyperlink w:anchor="ref-6">
        <w:r>
          <w:rPr>
            <w:rStyle w:val="Hyperlink"/>
          </w:rPr>
          <w:t xml:space="preserve">[6]</w:t>
        </w:r>
      </w:hyperlink>
      <w:r>
        <w:t xml:space="preserve"> </w:t>
      </w:r>
      <w:r>
        <w:t xml:space="preserve">and</w:t>
      </w:r>
      <w:r>
        <w:t xml:space="preserve"> </w:t>
      </w:r>
      <w:hyperlink w:anchor="ref-7">
        <w:r>
          <w:rPr>
            <w:rStyle w:val="Hyperlink"/>
          </w:rPr>
          <w:t xml:space="preserve">[7]</w:t>
        </w:r>
      </w:hyperlink>
      <w:r>
        <w:t xml:space="preserve"> </w:t>
      </w:r>
      <w:r>
        <w:t xml:space="preserve">are reported as site-day or site-hour fractions conditioned on a meteorological regime, but the joint distribution across multiple site-diverse stations is not estimated within those papers. The site-diverse architecture that the FSO industry roadmap presupposes is therefore unsupported, in the published record, by an estimated joint-availability surface. Stage one of the dissertation method addresses this absence directly.</w:t>
      </w:r>
    </w:p>
    <w:bookmarkEnd w:id="69"/>
    <w:bookmarkStart w:id="70" w:name="the-terminal-hardware-maturation-track"/>
    <w:p>
      <w:pPr>
        <w:pStyle w:val="Heading2"/>
        <w:spacing w:line="480" w:lineRule="auto"/>
      </w:pPr>
      <w:r>
        <w:t xml:space="preserve">2.3 The Terminal Hardware Maturation Track</w:t>
      </w:r>
    </w:p>
    <w:p>
      <w:pPr>
        <w:pStyle w:val="FirstParagraph"/>
        <w:spacing w:line="480" w:lineRule="auto"/>
      </w:pPr>
      <w:r>
        <w:t xml:space="preserve">The terminal hardware maturation track has accelerated since 2018, driven by a confluence of small-satellite platform availability, commercial component pipelines for photonic and infrared detector hardware, and dedicated agency funding for miniaturized laser-communication terminals. Carrasco-Casado and colleagues report the development of a miniaturized laser-communication terminal for small satellites, with detailed mass, power, aperture, and pointing-accuracy specifications appropriate to a sub-50-kg bus</w:t>
      </w:r>
      <w:r>
        <w:t xml:space="preserve"> </w:t>
      </w:r>
      <w:hyperlink w:anchor="ref-2">
        <w:r>
          <w:rPr>
            <w:rStyle w:val="Hyperlink"/>
          </w:rPr>
          <w:t xml:space="preserve">[2]</w:t>
        </w:r>
      </w:hyperlink>
      <w:r>
        <w:t xml:space="preserve">. The same research group documents the HICALI free-space optical terminal, which establishes a higher-capacity reference point in the NICT terminal family</w:t>
      </w:r>
      <w:r>
        <w:t xml:space="preserve"> </w:t>
      </w:r>
      <w:hyperlink w:anchor="ref-24">
        <w:r>
          <w:rPr>
            <w:rStyle w:val="Hyperlink"/>
          </w:rPr>
          <w:t xml:space="preserve">[24]</w:t>
        </w:r>
      </w:hyperlink>
      <w:r>
        <w:t xml:space="preserve">. Martin Pimentel and colleagues report the state of the art for the Cube Laser Communication Terminal (CubeLCT), which closes the lower bound of the bus envelope at the CubeSat scale</w:t>
      </w:r>
      <w:r>
        <w:t xml:space="preserve"> </w:t>
      </w:r>
      <w:hyperlink w:anchor="ref-3">
        <w:r>
          <w:rPr>
            <w:rStyle w:val="Hyperlink"/>
          </w:rPr>
          <w:t xml:space="preserve">[3]</w:t>
        </w:r>
      </w:hyperlink>
      <w:r>
        <w:t xml:space="preserve">. Kim and colleagues describe the VISION concept of laser crosslink systems using nanosatellites in formation flying, which extends the application case from downlink to inter-satellite link and introduces formation-flying constraints into the terminal design space</w:t>
      </w:r>
      <w:r>
        <w:t xml:space="preserve"> </w:t>
      </w:r>
      <w:hyperlink w:anchor="ref-5">
        <w:r>
          <w:rPr>
            <w:rStyle w:val="Hyperlink"/>
          </w:rPr>
          <w:t xml:space="preserve">[5]</w:t>
        </w:r>
      </w:hyperlink>
      <w:r>
        <w:t xml:space="preserve">.</w:t>
      </w:r>
    </w:p>
    <w:p>
      <w:pPr>
        <w:pStyle w:val="BodyText"/>
        <w:spacing w:line="480" w:lineRule="auto"/>
        <w:ind w:firstLine="720"/>
      </w:pPr>
      <w:r>
        <w:t xml:space="preserve">On the radio-frequency side, the comparable hardware track is more diffuse because it spans a wider mission portfolio. The deep-space telecom design summaries published in the DESCANSO series provide the canonical reference for X-band and Ka-band terminal specifications across a sequence of NASA deep-space missions, with the Mars Reconnaissance Orbiter telecommunications volume serving as the most thoroughly documented case</w:t>
      </w:r>
      <w:r>
        <w:t xml:space="preserve"> </w:t>
      </w:r>
      <w:hyperlink w:anchor="ref-15">
        <w:r>
          <w:rPr>
            <w:rStyle w:val="Hyperlink"/>
          </w:rPr>
          <w:t xml:space="preserve">[15]</w:t>
        </w:r>
      </w:hyperlink>
      <w:r>
        <w:t xml:space="preserve">. The Tracking and Data Relay Satellite System (TDRSS) has been audited by the NASA Office of Inspector General with disclosed cost and capability figures that enable cross-comparison with the LCRD relay class</w:t>
      </w:r>
      <w:r>
        <w:t xml:space="preserve"> </w:t>
      </w:r>
      <w:hyperlink w:anchor="ref-17">
        <w:r>
          <w:rPr>
            <w:rStyle w:val="Hyperlink"/>
          </w:rPr>
          <w:t xml:space="preserve">[17]</w:t>
        </w:r>
      </w:hyperlink>
      <w:r>
        <w:t xml:space="preserve">. The aggregate GAO assessments of NASA major projects across multiple years provide a consistent cost-trajectory record for the radio-frequency mission set</w:t>
      </w:r>
      <w:r>
        <w:t xml:space="preserve"> </w:t>
      </w:r>
      <w:hyperlink w:anchor="ref-16">
        <w:r>
          <w:rPr>
            <w:rStyle w:val="Hyperlink"/>
          </w:rPr>
          <w:t xml:space="preserve">[16]</w:t>
        </w:r>
      </w:hyperlink>
      <w:r>
        <w:t xml:space="preserve">. Middleton and colleagues at Harris Corporation document an adaptive, agile, reconfigurable photonic system for handling analog signals, which sits at the boundary between the radio-frequency and optical hardware tracks and is instructive on the technology-transfer dynamics that govern terminal-cost trajectories</w:t>
      </w:r>
      <w:r>
        <w:t xml:space="preserve"> </w:t>
      </w:r>
      <w:hyperlink w:anchor="ref-28">
        <w:r>
          <w:rPr>
            <w:rStyle w:val="Hyperlink"/>
          </w:rPr>
          <w:t xml:space="preserve">[28]</w:t>
        </w:r>
      </w:hyperlink>
      <w:r>
        <w:t xml:space="preserve">.</w:t>
      </w:r>
    </w:p>
    <w:p>
      <w:pPr>
        <w:pStyle w:val="BodyText"/>
        <w:spacing w:line="480" w:lineRule="auto"/>
        <w:ind w:firstLine="720"/>
      </w:pPr>
      <w:r>
        <w:t xml:space="preserve">Two further hardware references inform the data-architecture envelope without being narrowly communication-payload papers. Fan and colleagues describe a full-spectrum selective thin film photonic cooler for solar cells of space solar power stations, a piece of work whose relevance is that it documents the thermal-management constraints that bind both modalities at high duty cycle</w:t>
      </w:r>
      <w:r>
        <w:t xml:space="preserve"> </w:t>
      </w:r>
      <w:hyperlink w:anchor="ref-35">
        <w:r>
          <w:rPr>
            <w:rStyle w:val="Hyperlink"/>
          </w:rPr>
          <w:t xml:space="preserve">[35]</w:t>
        </w:r>
      </w:hyperlink>
      <w:r>
        <w:t xml:space="preserve">. D’Souza and colleagues document HDVIP HgCdTe and silicon detectors and focal-plane arrays for remote-sensing applications, establishing the detector-class reference points that inform receive-aperture sizing in the FSO ground architecture</w:t>
      </w:r>
      <w:r>
        <w:t xml:space="preserve"> </w:t>
      </w:r>
      <w:hyperlink w:anchor="ref-34">
        <w:r>
          <w:rPr>
            <w:rStyle w:val="Hyperlink"/>
          </w:rPr>
          <w:t xml:space="preserve">[34]</w:t>
        </w:r>
      </w:hyperlink>
      <w:r>
        <w:t xml:space="preserve">. De Zanet and colleagues predict the thermal response of a deployable high-strain composite telescope in low-Earth orbit, which is directly relevant to the on-orbit aperture envelope assumed in any next-generation optical relay</w:t>
      </w:r>
      <w:r>
        <w:t xml:space="preserve"> </w:t>
      </w:r>
      <w:hyperlink w:anchor="ref-40">
        <w:r>
          <w:rPr>
            <w:rStyle w:val="Hyperlink"/>
          </w:rPr>
          <w:t xml:space="preserve">[40]</w:t>
        </w:r>
      </w:hyperlink>
      <w:r>
        <w:t xml:space="preserve">. Nanjangud and colleagues survey robotic on-orbit assembly architectures for large space telescopes, which sets the upper bound on the aperture envelope that becomes accessible at horizon scale</w:t>
      </w:r>
      <w:r>
        <w:t xml:space="preserve"> </w:t>
      </w:r>
      <w:hyperlink w:anchor="ref-36">
        <w:r>
          <w:rPr>
            <w:rStyle w:val="Hyperlink"/>
          </w:rPr>
          <w:t xml:space="preserve">[36]</w:t>
        </w:r>
      </w:hyperlink>
      <w:r>
        <w:t xml:space="preserve">.</w:t>
      </w:r>
    </w:p>
    <w:p>
      <w:pPr>
        <w:pStyle w:val="BodyText"/>
        <w:spacing w:line="480" w:lineRule="auto"/>
        <w:ind w:firstLine="720"/>
      </w:pPr>
      <w:r>
        <w:t xml:space="preserve">The radio-frequency side has its own structural reference point in the form of the SpaceX Starlink modification filing at the Federal Communications Commission, which is the most extensively documented single instance of a large-constellation radio-frequency procurement entering the public record</w:t>
      </w:r>
      <w:r>
        <w:t xml:space="preserve"> </w:t>
      </w:r>
      <w:hyperlink w:anchor="ref-27">
        <w:r>
          <w:rPr>
            <w:rStyle w:val="Hyperlink"/>
          </w:rPr>
          <w:t xml:space="preserve">[27]</w:t>
        </w:r>
      </w:hyperlink>
      <w:r>
        <w:t xml:space="preserve">. The Starlink modification filing is informative not because it discloses terminal cost directly but because it discloses the spectrum-allocation envelope that disciplines the marginal cost of incremental Ka-band capacity for the operator class that dominates current civil broadband demand.</w:t>
      </w:r>
    </w:p>
    <w:p>
      <w:pPr>
        <w:pStyle w:val="BodyText"/>
        <w:spacing w:line="480" w:lineRule="auto"/>
        <w:ind w:firstLine="720"/>
      </w:pPr>
      <w:r>
        <w:t xml:space="preserve">The internal contribution of this track is, again, unambiguous. The hardware envelope for FSO terminals has been pushed from a research-grade demonstration regime into a production-grade specification regime that is directly comparable, on mass and power axes, to the radio-frequency hardware envelope. What the track does not deliver is unit cost at scale. The literature documents what the terminals weigh, how much power they draw, what aperture they require, and what data rate they support under specified link conditions. The literature does not document, except in a small set of post-audit cases, what each terminal class actually costs to procure at the unit and at the architecture level. The cost data that exist are scattered across GAO assessments [16, 21], NASA OIG audits [17, 18, 19], the ESA EDRS disclosure</w:t>
      </w:r>
      <w:r>
        <w:t xml:space="preserve"> </w:t>
      </w:r>
      <w:hyperlink w:anchor="ref-20">
        <w:r>
          <w:rPr>
            <w:rStyle w:val="Hyperlink"/>
          </w:rPr>
          <w:t xml:space="preserve">[20]</w:t>
        </w:r>
      </w:hyperlink>
      <w:r>
        <w:t xml:space="preserve">, and a small number of vendor-disclosed data sheets. The dissertation’s stage-two simulator treats this scarcity directly by sweeping amortized terminal cost across a transparent range rather than committing to a point estimate sourced from a single proprietary disclosure.</w:t>
      </w:r>
    </w:p>
    <w:bookmarkEnd w:id="70"/>
    <w:bookmarkStart w:id="71" w:name="X762c1d72de4efa8126caa1b308f77c019be77ad"/>
    <w:p>
      <w:pPr>
        <w:pStyle w:val="Heading2"/>
        <w:spacing w:line="480" w:lineRule="auto"/>
      </w:pPr>
      <w:r>
        <w:t xml:space="preserve">2.4 The Spectrum-Economics and Orbital-Allocation Track</w:t>
      </w:r>
    </w:p>
    <w:p>
      <w:pPr>
        <w:pStyle w:val="FirstParagraph"/>
        <w:spacing w:line="480" w:lineRule="auto"/>
      </w:pPr>
      <w:r>
        <w:t xml:space="preserve">The third domain track is the spectrum-economics and orbital-allocation literature, which establishes the regulatory and economic environment within which radio-frequency capacity is priced at the margin. The Space Economy Papers corpus reference on the role of space in driving sustainability, security, and development frames the Ka, Ku, and V band congestion question in the context of broader operator-roadmap commitments to per-satellite throughput in excess of one terabit per second, and it is the most directly cited integrative reference in the prospectus</w:t>
      </w:r>
      <w:r>
        <w:t xml:space="preserve"> </w:t>
      </w:r>
      <w:hyperlink w:anchor="ref-4">
        <w:r>
          <w:rPr>
            <w:rStyle w:val="Hyperlink"/>
          </w:rPr>
          <w:t xml:space="preserve">[4]</w:t>
        </w:r>
      </w:hyperlink>
      <w:r>
        <w:t xml:space="preserve">. Stilwell and colleagues at ASCEND 2025 introduce an orbital classification scheme that bears on the slot-allocation problem and clarifies the constraints under which orbital scarcity translates into spectrum scarcity for downlink architectures</w:t>
      </w:r>
      <w:r>
        <w:t xml:space="preserve"> </w:t>
      </w:r>
      <w:hyperlink w:anchor="ref-8">
        <w:r>
          <w:rPr>
            <w:rStyle w:val="Hyperlink"/>
          </w:rPr>
          <w:t xml:space="preserve">[8]</w:t>
        </w:r>
      </w:hyperlink>
      <w:r>
        <w:t xml:space="preserve">. The economic-statecraft literature review documents the wider institutional architecture within which spectrum and orbital allocations are administered and within which national regulators interact with the International Telecommunication Union</w:t>
      </w:r>
      <w:r>
        <w:t xml:space="preserve"> </w:t>
      </w:r>
      <w:hyperlink w:anchor="ref-9">
        <w:r>
          <w:rPr>
            <w:rStyle w:val="Hyperlink"/>
          </w:rPr>
          <w:t xml:space="preserve">[9]</w:t>
        </w:r>
      </w:hyperlink>
      <w:r>
        <w:t xml:space="preserve">. The architectural socio-technological transformative change of space-use norms reference establishes that the FCC’s domestic management of satellite-communications spectrum is one node in a wider system of allocation norms that are themselves under active renegotiation</w:t>
      </w:r>
      <w:r>
        <w:t xml:space="preserve"> </w:t>
      </w:r>
      <w:hyperlink w:anchor="ref-10">
        <w:r>
          <w:rPr>
            <w:rStyle w:val="Hyperlink"/>
          </w:rPr>
          <w:t xml:space="preserve">[10]</w:t>
        </w:r>
      </w:hyperlink>
      <w:r>
        <w:t xml:space="preserve">.</w:t>
      </w:r>
    </w:p>
    <w:p>
      <w:pPr>
        <w:pStyle w:val="BodyText"/>
        <w:spacing w:line="480" w:lineRule="auto"/>
        <w:ind w:firstLine="720"/>
      </w:pPr>
      <w:r>
        <w:t xml:space="preserve">Two further references in the spectrum-economics line are central. Weinzierl’s Journal of Economic Perspectives treatment of space as the final economic frontier provides the canonical academic-economics framing of the space-sector pricing problem, and his treatment of public-good and externality concerns extends naturally to the spectrum-as-a-commons problem that the dissertation engages</w:t>
      </w:r>
      <w:r>
        <w:t xml:space="preserve"> </w:t>
      </w:r>
      <w:hyperlink w:anchor="ref-25">
        <w:r>
          <w:rPr>
            <w:rStyle w:val="Hyperlink"/>
          </w:rPr>
          <w:t xml:space="preserve">[25]</w:t>
        </w:r>
      </w:hyperlink>
      <w:r>
        <w:t xml:space="preserve">. The OECD Space Economy in Figures volume documents the aggregate economic envelope within which the cost-of-capacity question is posed and provides the macro-level reference point against which any sector-level cost estimate must be checked for plausibility</w:t>
      </w:r>
      <w:r>
        <w:t xml:space="preserve"> </w:t>
      </w:r>
      <w:hyperlink w:anchor="ref-26">
        <w:r>
          <w:rPr>
            <w:rStyle w:val="Hyperlink"/>
          </w:rPr>
          <w:t xml:space="preserve">[26]</w:t>
        </w:r>
      </w:hyperlink>
      <w:r>
        <w:t xml:space="preserve">. Paravano and colleagues, in their assessment of commercial space stations for space and non-space users, demonstrate the value-assessment methodology that the LEO economy literature has developed for adjacent infrastructure classes and that the dissertation borrows in spirit for its cost-of-capacity framework</w:t>
      </w:r>
      <w:r>
        <w:t xml:space="preserve"> </w:t>
      </w:r>
      <w:hyperlink w:anchor="ref-38">
        <w:r>
          <w:rPr>
            <w:rStyle w:val="Hyperlink"/>
          </w:rPr>
          <w:t xml:space="preserve">[38]</w:t>
        </w:r>
      </w:hyperlink>
      <w:r>
        <w:t xml:space="preserve">. The Space Imperative whole-of-nation reference frames the strategic dimension of the spectrum-versus-photons substitution question and disciplines the social-cost framing of the dissertation against the larger economic-statecraft context</w:t>
      </w:r>
      <w:r>
        <w:t xml:space="preserve"> </w:t>
      </w:r>
      <w:hyperlink w:anchor="ref-43">
        <w:r>
          <w:rPr>
            <w:rStyle w:val="Hyperlink"/>
          </w:rPr>
          <w:t xml:space="preserve">[43]</w:t>
        </w:r>
      </w:hyperlink>
      <w:r>
        <w:t xml:space="preserve">.</w:t>
      </w:r>
    </w:p>
    <w:p>
      <w:pPr>
        <w:pStyle w:val="BodyText"/>
        <w:spacing w:line="480" w:lineRule="auto"/>
        <w:ind w:firstLine="720"/>
      </w:pPr>
      <w:r>
        <w:t xml:space="preserve">The internal contribution of this track is that it documents the demand-side and regulatory-side environment within which the cost-of-capacity comparison is being conducted. The track does not, however, estimate the substitutability of photons for spectrum at the margin. It establishes that congestion is real, that operator responses are visible in the form of higher-bandwidth allocations and more aggressive procurement filings, and that the regulatory regime is a binding constraint on the rate at which incremental Ka-band capacity can be priced. It does not estimate the elasticity of substitution between the two modalities at the architectural level, because that estimation requires a cost-of-capacity model that the spectrum-economics literature has not yet built.</w:t>
      </w:r>
    </w:p>
    <w:p>
      <w:pPr>
        <w:pStyle w:val="BodyText"/>
        <w:spacing w:line="480" w:lineRule="auto"/>
        <w:ind w:firstLine="720"/>
      </w:pPr>
      <w:r>
        <w:t xml:space="preserve">The orbital-capacity literature has begun, in parallel, to develop the verification and validation framework within which capacity assessments can be made comparable across competing tools. Brownhall and colleagues, in their 2025 verification and validation of orbital capacity assessment tools of varying fidelities, demonstrate that the methodological practice of cross-tool calibration is now mature enough to be applied to capacity-assessment problems in space infrastructure</w:t>
      </w:r>
      <w:r>
        <w:t xml:space="preserve"> </w:t>
      </w:r>
      <w:hyperlink w:anchor="ref-33">
        <w:r>
          <w:rPr>
            <w:rStyle w:val="Hyperlink"/>
          </w:rPr>
          <w:t xml:space="preserve">[33]</w:t>
        </w:r>
      </w:hyperlink>
      <w:r>
        <w:t xml:space="preserve">. The Aerospace Corporation and MIT contributors to that paper establish the comparison protocol that the dissertation will adapt to the cost-of-capacity setting. Fahrner, Correa, and Wysack at Ball Aerospace document the closely related problem of capacity-based cislunar space-domain-awareness architecture optimization, which establishes the methodological precedent for capacity-driven architecture optimization in a space-infrastructure domain where ground-segment and atmospheric constraints jointly bind</w:t>
      </w:r>
      <w:r>
        <w:t xml:space="preserve"> </w:t>
      </w:r>
      <w:hyperlink w:anchor="ref-30">
        <w:r>
          <w:rPr>
            <w:rStyle w:val="Hyperlink"/>
          </w:rPr>
          <w:t xml:space="preserve">[30]</w:t>
        </w:r>
      </w:hyperlink>
      <w:r>
        <w:t xml:space="preserve">. Vasso and colleagues at the Air Force Institute of Technology document optimal incorporation of non-traditional sensors into the space-domain-awareness architecture, which establishes the closely analogous methodological framework for cost-effective architecture optimization across a heterogeneous sensor class</w:t>
      </w:r>
      <w:r>
        <w:t xml:space="preserve"> </w:t>
      </w:r>
      <w:hyperlink w:anchor="ref-29">
        <w:r>
          <w:rPr>
            <w:rStyle w:val="Hyperlink"/>
          </w:rPr>
          <w:t xml:space="preserve">[29]</w:t>
        </w:r>
      </w:hyperlink>
      <w:r>
        <w:t xml:space="preserve">.</w:t>
      </w:r>
    </w:p>
    <w:p>
      <w:pPr>
        <w:pStyle w:val="BodyText"/>
        <w:spacing w:line="480" w:lineRule="auto"/>
        <w:ind w:firstLine="720"/>
      </w:pPr>
      <w:r>
        <w:t xml:space="preserve">A small set of further references inform the regulatory and signature-characterization environment. Weisz and colleagues at the U.S. Air Force Academy document the comparison of geosynchronous satellites’ spectral signatures during glint season, which informs the empirical reference points against which GEO-class link budgets are constructed</w:t>
      </w:r>
      <w:r>
        <w:t xml:space="preserve"> </w:t>
      </w:r>
      <w:hyperlink w:anchor="ref-32">
        <w:r>
          <w:rPr>
            <w:rStyle w:val="Hyperlink"/>
          </w:rPr>
          <w:t xml:space="preserve">[32]</w:t>
        </w:r>
      </w:hyperlink>
      <w:r>
        <w:t xml:space="preserve">. Haqq-Misra and colleagues document the search for technosignatures in exoplanetary systems with current and future missions, which is relevant only at a methodological level as a reference for how the technosignature-search community structures its observational-cost reasoning</w:t>
      </w:r>
      <w:r>
        <w:t xml:space="preserve"> </w:t>
      </w:r>
      <w:hyperlink w:anchor="ref-37">
        <w:r>
          <w:rPr>
            <w:rStyle w:val="Hyperlink"/>
          </w:rPr>
          <w:t xml:space="preserve">[37]</w:t>
        </w:r>
      </w:hyperlink>
      <w:r>
        <w:t xml:space="preserve">. De Matos and Tajmar document the HOMER mission concept for gravitational-wave space spectrometry, which is informative on the photonic-instrument cost class at the high-end of the envelope</w:t>
      </w:r>
      <w:r>
        <w:t xml:space="preserve"> </w:t>
      </w:r>
      <w:hyperlink w:anchor="ref-39">
        <w:r>
          <w:rPr>
            <w:rStyle w:val="Hyperlink"/>
          </w:rPr>
          <w:t xml:space="preserve">[39]</w:t>
        </w:r>
      </w:hyperlink>
      <w:r>
        <w:t xml:space="preserve">. Wu and colleagues document the diagnostics of ion velocity in magnetized high-power electric propulsion plasmas by laser-induced fluorescence spectroscopy, which is informative at the methodological level for laser-based measurement architectures</w:t>
      </w:r>
      <w:r>
        <w:t xml:space="preserve"> </w:t>
      </w:r>
      <w:hyperlink w:anchor="ref-42">
        <w:r>
          <w:rPr>
            <w:rStyle w:val="Hyperlink"/>
          </w:rPr>
          <w:t xml:space="preserve">[42]</w:t>
        </w:r>
      </w:hyperlink>
      <w:r>
        <w:t xml:space="preserve">.</w:t>
      </w:r>
    </w:p>
    <w:bookmarkEnd w:id="71"/>
    <w:bookmarkStart w:id="72" w:name="X53240d3abe3c7e94365801bd309c63f9c8ced40"/>
    <w:p>
      <w:pPr>
        <w:pStyle w:val="Heading2"/>
        <w:spacing w:line="480" w:lineRule="auto"/>
      </w:pPr>
      <w:r>
        <w:t xml:space="preserve">2.5 The Cliometric and Cost-Estimating Methodology Track</w:t>
      </w:r>
    </w:p>
    <w:p>
      <w:pPr>
        <w:pStyle w:val="FirstParagraph"/>
        <w:spacing w:line="480" w:lineRule="auto"/>
      </w:pPr>
      <w:r>
        <w:t xml:space="preserve">The methodology track that the dissertation imports into the space-to-ground modality choice has matured along an entirely different disciplinary axis. Its canonical reference in the NASA setting is the NASA Instrument Cost Model (NICM) family, which estimates payload and instrument cost as a power-law function of mass, power, and design life, with elasticities for fields-system and particles-system instruments clustered between 0.18 and 0.35 in the NICM VII generation</w:t>
      </w:r>
      <w:r>
        <w:t xml:space="preserve"> </w:t>
      </w:r>
      <w:hyperlink w:anchor="ref-11">
        <w:r>
          <w:rPr>
            <w:rStyle w:val="Hyperlink"/>
          </w:rPr>
          <w:t xml:space="preserve">[11]</w:t>
        </w:r>
      </w:hyperlink>
      <w:r>
        <w:t xml:space="preserve">. The NICM canon is the operational doctrine at the Jet Propulsion Laboratory for instrument and payload cost estimation, and it is the reference against which any cost-capacity elasticity for communication terminals must be benchmarked. The first paper in the dissertation portfolio implements precisely this benchmark and finds that the pooled cost-data-rate elasticity for 30 flown links between 1995 and 2023 sits at a value statistically indistinguishable from zero, with the modality variable absorbing the cost-axis variation that NICM-style mass-and-power covariates would otherwise carry</w:t>
      </w:r>
      <w:r>
        <w:t xml:space="preserve"> </w:t>
      </w:r>
      <w:hyperlink w:anchor="ref-11">
        <w:r>
          <w:rPr>
            <w:rStyle w:val="Hyperlink"/>
          </w:rPr>
          <w:t xml:space="preserve">[11]</w:t>
        </w:r>
      </w:hyperlink>
      <w:r>
        <w:t xml:space="preserve">. That finding sets the methodological stage for the present dissertation by demonstrating that a single pooled learning-curve fit is inadequate to the spectrum-versus-photons comparison and that a within-class or within-band cost-of-capacity estimator is required.</w:t>
      </w:r>
    </w:p>
    <w:p>
      <w:pPr>
        <w:pStyle w:val="BodyText"/>
        <w:spacing w:line="480" w:lineRule="auto"/>
        <w:ind w:firstLine="720"/>
      </w:pPr>
      <w:r>
        <w:t xml:space="preserve">The cliometric line in the wider infrastructure-economics literature treats cost trajectories as learning curves with progress ratios estimated from cross-sectional data on flown or constructed units, and the practice of within-class comparison is the standard remedy when modality heterogeneity contaminates the pooled fit. The economic-statecraft and Weinzierl references establish the wider framing within which the cost-of-capacity question is posed [9, 25], and the OECD aggregate documents the macro-envelope</w:t>
      </w:r>
      <w:r>
        <w:t xml:space="preserve"> </w:t>
      </w:r>
      <w:hyperlink w:anchor="ref-26">
        <w:r>
          <w:rPr>
            <w:rStyle w:val="Hyperlink"/>
          </w:rPr>
          <w:t xml:space="preserve">[26]</w:t>
        </w:r>
      </w:hyperlink>
      <w:r>
        <w:t xml:space="preserve">. The Paravano-and-colleagues value-assessment work on commercial space stations is the most directly analogous within-domain methodological precedent</w:t>
      </w:r>
      <w:r>
        <w:t xml:space="preserve"> </w:t>
      </w:r>
      <w:hyperlink w:anchor="ref-38">
        <w:r>
          <w:rPr>
            <w:rStyle w:val="Hyperlink"/>
          </w:rPr>
          <w:t xml:space="preserve">[38]</w:t>
        </w:r>
      </w:hyperlink>
      <w:r>
        <w:t xml:space="preserve">, and the Brownhall verification-and-validation paper on orbital-capacity tools establishes the comparison protocol for cross-tool calibration in the same domain</w:t>
      </w:r>
      <w:r>
        <w:t xml:space="preserve"> </w:t>
      </w:r>
      <w:hyperlink w:anchor="ref-33">
        <w:r>
          <w:rPr>
            <w:rStyle w:val="Hyperlink"/>
          </w:rPr>
          <w:t xml:space="preserve">[33]</w:t>
        </w:r>
      </w:hyperlink>
      <w:r>
        <w:t xml:space="preserve">.</w:t>
      </w:r>
    </w:p>
    <w:p>
      <w:pPr>
        <w:pStyle w:val="BodyText"/>
        <w:spacing w:line="480" w:lineRule="auto"/>
        <w:ind w:firstLine="720"/>
      </w:pPr>
      <w:r>
        <w:t xml:space="preserve">What the methodology track delivers, in its current form, is the analytical machinery for estimating cost-capacity elasticities, for splitting pooled samples by modality, and for cross-validating capacity assessments across tools of varying fidelity. What it does not yet deliver is an application of that machinery to the spectrum-versus-photons comparison, because the application requires that the engineering-grade availability and link-budget parameters from the domain-technical track be brought into the same estimator as the cost parameters from the cliometric track. That integration step is the gap.</w:t>
      </w:r>
    </w:p>
    <w:bookmarkEnd w:id="72"/>
    <w:bookmarkStart w:id="73" w:name="synthesis-and-gap-statement"/>
    <w:p>
      <w:pPr>
        <w:pStyle w:val="Heading2"/>
        <w:spacing w:line="480" w:lineRule="auto"/>
      </w:pPr>
      <w:r>
        <w:t xml:space="preserve">2.6 Synthesis and Gap Statement</w:t>
      </w:r>
    </w:p>
    <w:p>
      <w:pPr>
        <w:pStyle w:val="FirstParagraph"/>
        <w:spacing w:line="480" w:lineRule="auto"/>
      </w:pPr>
      <w:r>
        <w:t xml:space="preserve">The two literatures do not communicate. The optical-link and atmospheric-characterization track delivers rich, granular, site-specific availability statistics but stops short of cost translation [1, 6, 7, 22, 31, 41]. The terminal-hardware track delivers granular mass, power, aperture, and data-rate envelopes for both modalities but does not deliver unit cost at architectural scale except in a small set of post-audit instances [2, 3, 5, 14, 15, 17, 18, 19, 20, 24]. The spectrum-economics and orbital-allocation track establishes the demand-side and regulatory-side environment that disciplines incremental radio-frequency capacity pricing but does not estimate substitutability between the two modalities [4, 8, 9, 10, 25, 26, 27]. The cliometric and cost-estimating methodology track provides the analytical machinery for within-class capacity comparisons and for elasticity estimation in the presence of modality heterogeneity but has not been applied to the space-to-ground modality choice [11, 30, 33, 38].</w:t>
      </w:r>
    </w:p>
    <w:p>
      <w:pPr>
        <w:pStyle w:val="BodyText"/>
        <w:spacing w:line="480" w:lineRule="auto"/>
        <w:ind w:firstLine="720"/>
      </w:pPr>
      <w:r>
        <w:t xml:space="preserve">The gap is therefore not a gap in any single track. Each track is internally rigorous and is generating useful work at its own pace. The gap is between the tracks. It is the absence of a single estimator that takes the engineering-grade availability surface from the atmospheric-characterization track, the engineering-grade terminal-cost envelope from the hardware-maturation track, the regulatory and spectrum-scarcity environment from the orbital-allocation track, and runs them jointly through the within-class cost-of-capacity machinery from the cliometric track. The companion paper in this dissertation portfolio establishes empirically that the pooled learning-curve fit is inadequate, that the modality variable absorbs the cost-axis variation, and that a within-class estimator is required [11, 12, 13, 14, 23]. The present dissertation builds that within-class estimator.</w:t>
      </w:r>
    </w:p>
    <w:p>
      <w:pPr>
        <w:pStyle w:val="BodyText"/>
        <w:spacing w:line="480" w:lineRule="auto"/>
        <w:ind w:firstLine="720"/>
      </w:pPr>
      <w:r>
        <w:t xml:space="preserve">Three commitments flow from this synthesis and condition the methodological choices made in Chapter 3. The first commitment is that the estimator must endogenize site-diverse atmospheric availability rather than treat it as an external input. The Felton-and-Alliss Haleakala characterization and the Grosse-and-colleagues Mount Stromlo characterization are the empirical anchors for the joint-availability surface that stage one of the method estimates [6, 7], and the Knopp-and-colleagues uplink-utilization work provides the methodological precedent for converting site-day availability into operational-link availability</w:t>
      </w:r>
      <w:r>
        <w:t xml:space="preserve"> </w:t>
      </w:r>
      <w:hyperlink w:anchor="ref-41">
        <w:r>
          <w:rPr>
            <w:rStyle w:val="Hyperlink"/>
          </w:rPr>
          <w:t xml:space="preserve">[41]</w:t>
        </w:r>
      </w:hyperlink>
      <w:r>
        <w:t xml:space="preserve">. The second commitment is that the estimator must treat amortized terminal cost as a swept parameter rather than as a point input, because the disclosed-cost evidence base is sparse and heterogeneous across the GAO, NASA OIG, ESA, and FCC sources [16, 17, 18, 19, 20, 21, 27]. The third commitment is that the spectrum-policy environment must be treated as a scope condition rather than as an estimated parameter, because the regulatory regime is itself responsive to operator demand and a within-horizon analysis cannot identify the longer-horizon policy elasticity [4, 8, 9, 10].</w:t>
      </w:r>
    </w:p>
    <w:p>
      <w:pPr>
        <w:pStyle w:val="BodyText"/>
        <w:spacing w:line="480" w:lineRule="auto"/>
        <w:ind w:firstLine="720"/>
      </w:pPr>
      <w:r>
        <w:t xml:space="preserve">The literature reviewed in this chapter therefore supports a precise and falsifiable contribution. The dissertation does not claim that optical architectures are dominant. It does not claim that radio-frequency architectures are dominant. It claims that the cost-of-capacity comparison between the two modalities can, for the first time in the open literature, be estimated within a single framework that respects the engineering constraints documented in the optical-link feasibility track, the hardware envelopes documented in the terminal-maturation track, the regulatory environment documented in the spectrum-economics track, and the cliometric discipline documented in the cost-estimating-methodology track. The companion paper in the dissertation portfolio has already established, on a sample of 30 flown links, that the pooled fit is inadequate to the question and that the within-class estimator is the correct methodological response [11, 12, 13, 14, 22, 23]. Chapter 3 specifies that estimator.</w:t>
      </w:r>
    </w:p>
    <w:p>
      <w:pPr>
        <w:pStyle w:val="BodyText"/>
        <w:spacing w:line="480" w:lineRule="auto"/>
        <w:ind w:firstLine="720"/>
      </w:pPr>
      <w:r>
        <w:t xml:space="preserve">The reviewed evidence further supports the scope conditions that bound the contribution. The estimator is identified within the convex hull of observed site climatologies, not extrapolated beyond it, because the published site-selection record demonstrates that operational FSO ground sites are non-randomly chosen on prior survey grounds [6, 7]. The estimator treats current spectrum-allocation regimes as fixed during the analysis horizon, because the regulatory record establishes that allocation responses operate on a longer time scale than terminal-procurement decisions [4, 8, 9, 10, 27]. The estimator reports cost-of-capacity outputs as functions of swept amortization parameters rather than as point estimates, because the available cost disclosures are too sparse to support a point estimate that would not be misleading [16, 17, 18, 19, 20, 21]. Each scope condition is grounded in a specific evidentiary gap documented in the reviewed literature, and each is reported transparently rather than treated as a tested claim. The conditions are conservative by construction, and the dissertation accepts the conservatism in exchange for the falsifiability that the within-class estimator delivers.</w:t>
      </w:r>
    </w:p>
    <w:p>
      <w:pPr>
        <w:pStyle w:val="BodyText"/>
        <w:spacing w:line="480" w:lineRule="auto"/>
        <w:ind w:firstLine="720"/>
      </w:pPr>
      <w:r>
        <w:t xml:space="preserve">The unjoined character of the two literatures, technical and cliometric, is itself the central finding of this review. It is what makes the dissertation’s contribution possible. Each literature on its own has reached a level of maturity at which the absence of the other becomes a binding constraint on further progress. The atmospheric-characterization track cannot tell an architect what site diversity is worth without a cost-translation step. The terminal-maturation track cannot tell an architect which modality to choose without an availability-conditioned capacity estimate. The spectrum-economics track cannot tell a regulator what the welfare cost of congestion is without a substitution estimate to a photon channel. The cliometric methodology track has the machinery to deliver all three answers but has not yet been pointed at the question. Chapter 3 points it at the question.</w:t>
      </w:r>
    </w:p>
    <w:bookmarkEnd w:id="73"/>
    <w:bookmarkEnd w:id="74"/>
    <w:bookmarkStart w:id="82" w:name="Xcfcc00a3ded59aed0c781c16bfc121f2a509603"/>
    <w:p>
      <w:pPr>
        <w:pStyle w:val="Heading1"/>
        <w:spacing w:line="480" w:lineRule="auto"/>
      </w:pPr>
      <w:r>
        <w:t xml:space="preserve">Chapter 3. Theoretical Framework and Hypotheses</w:t>
      </w:r>
    </w:p>
    <w:bookmarkStart w:id="75" w:name="purpose-and-plan-of-the-chapter"/>
    <w:p>
      <w:pPr>
        <w:pStyle w:val="Heading2"/>
        <w:spacing w:line="480" w:lineRule="auto"/>
      </w:pPr>
      <w:r>
        <w:t xml:space="preserve">3.1 Purpose and Plan of the Chapter</w:t>
      </w:r>
    </w:p>
    <w:p>
      <w:pPr>
        <w:pStyle w:val="FirstParagraph"/>
        <w:spacing w:line="480" w:lineRule="auto"/>
      </w:pPr>
      <w:r>
        <w:t xml:space="preserve">This chapter formalizes the theoretical apparatus that organizes the empirical work in Chapters 4 through 6. The dissertation asks a single quantitative question: under 2026 procurement conditions for civil broadband downlink, does the expected marginal cost per delivered gigabit-hour at the user terminal differ between an optimally site-diverse free-space optical (FSO) architecture and an incumbent high-throughput Ka-band radio-frequency (RF) architecture, once atmospheric availability, terminal amortization, and constellation geometry are jointly modeled. The hypothesis pair H0 and H1 derived in Section 3.6 is the single falsifiable claim of the dissertation. Before the claim is stated, the chapter develops the theoretical mechanism that makes the claim non-trivial, lays out the causal logic linking engineering inputs to economic outputs, and identifies the boundary conditions under which the test is interpretable.</w:t>
      </w:r>
    </w:p>
    <w:p>
      <w:pPr>
        <w:pStyle w:val="BodyText"/>
        <w:spacing w:line="480" w:lineRule="auto"/>
        <w:ind w:firstLine="720"/>
      </w:pPr>
      <w:r>
        <w:t xml:space="preserve">The structure of the chapter is as follows. Section 3.2 sets the unit of analysis and defines the cost-of-capacity construct. Section 3.3 develops the theoretical mechanism by which photons substitute for spectrum at the margin. Section 3.4 specifies the causal logic in a directed form and identifies the candidate channels through which atmospheric, engineering, and regulatory parameters enter the cost-of-capacity outcome. Section 3.5 reviews the prior empirical evidence assembled in the two companion papers of the dissertation, which already constrain plausible parameter regions for the cost surface. Section 3.6 states H0 and H1 with their estimands, scope conditions, and rejection rules. Section 3.7 closes by anchoring the framework to its validity threats, deferring detailed remediation to Chapter 6.</w:t>
      </w:r>
    </w:p>
    <w:bookmarkEnd w:id="75"/>
    <w:bookmarkStart w:id="76" w:name="Xf805ea26261f0197e30a4b222f3284bb2786e1f"/>
    <w:p>
      <w:pPr>
        <w:pStyle w:val="Heading2"/>
        <w:spacing w:line="480" w:lineRule="auto"/>
      </w:pPr>
      <w:r>
        <w:t xml:space="preserve">3.2 Unit of Analysis and the Cost-of-Capacity Construct</w:t>
      </w:r>
    </w:p>
    <w:p>
      <w:pPr>
        <w:pStyle w:val="FirstParagraph"/>
        <w:spacing w:line="480" w:lineRule="auto"/>
      </w:pPr>
      <w:r>
        <w:t xml:space="preserve">The empirical object of interest is the expected marginal cost per delivered gigabit-hour at the user terminal under a defined civil broadband mission profile. The unit is constructed deliberately to absorb the dimensions on which the two modalities differ most. A delivered gigabit-hour is one gigabit per second of sustained throughput delivered to the user-side demarcation point for one hour, weighted by availability. The marginal cost is the change in present-value annualized cost associated with the last delivered gigabit-hour over a fixed amortization horizon. The expectation operator is taken over the joint distribution of atmospheric availability across the ground network and over the realized constellation geometry that supplies the space-side capacity. The construct therefore folds three families of input into one comparable scalar: engineering performance, meteorological exposure, and program accounting.</w:t>
      </w:r>
    </w:p>
    <w:p>
      <w:pPr>
        <w:pStyle w:val="BodyText"/>
        <w:spacing w:line="480" w:lineRule="auto"/>
        <w:ind w:firstLine="720"/>
      </w:pPr>
      <w:r>
        <w:t xml:space="preserve">This construct is not a vendor list price. It is also not a peak link-budget number of the sort that dominates the demonstration literature on optical terminals [1, 2, 3, 5]. Peak data rates measured at favorable epochs at favorable sites, while engineering-grade evidence of feasibility, are upper bounds on delivered capacity rather than expectations of it. The construct used here corrects the peak measure by the joint availability distribution at the operating ground network and amortizes the recurring and non-recurring hardware cost across the delivered, not the peak, quantity. The choice matters because the central mechanism that the chapter develops, the photon-spectrum substitution, operates through the ratio of delivered capacity to amortized cost rather than through either component in isolation.</w:t>
      </w:r>
    </w:p>
    <w:p>
      <w:pPr>
        <w:pStyle w:val="BodyText"/>
        <w:spacing w:line="480" w:lineRule="auto"/>
        <w:ind w:firstLine="720"/>
      </w:pPr>
      <w:r>
        <w:t xml:space="preserve">Three boundary conditions discipline the construct. First, the mission profile is civil broadband downlink in low-Earth-orbit constellations supplying terrestrial gateways and consumer-terminal aggregation points. Deep-space, lunar relay, and inter-satellite contexts are deliberately excluded from the primary test because their availability geometry, range loss, and procurement accounting differ qualitatively from the civil broadband case; the companion papers report partial evidence on these adjacent cases [12, 13, 14, 18] but the dissertation does not pool them. Second, the amortization horizon is taken as the design life of the space-segment terminal as reported in the engineering source for that terminal, with a sensitivity sweep over plus or minus thirty percent of the central value. Third, the user terminal demarcation is fixed at the standardized gateway interface, not at the consumer device, so that backhaul and last-mile aggregation costs do not contaminate the comparison.</w:t>
      </w:r>
    </w:p>
    <w:bookmarkEnd w:id="76"/>
    <w:bookmarkStart w:id="77" w:name="X9994adddf5efc5d50c3ba67ddfee6bb22f59377"/>
    <w:p>
      <w:pPr>
        <w:pStyle w:val="Heading2"/>
        <w:spacing w:line="480" w:lineRule="auto"/>
      </w:pPr>
      <w:r>
        <w:t xml:space="preserve">3.3 The Theoretical Mechanism: Photons as a Substitute for Spectrum at the Margin</w:t>
      </w:r>
    </w:p>
    <w:p>
      <w:pPr>
        <w:pStyle w:val="FirstParagraph"/>
        <w:spacing w:line="480" w:lineRule="auto"/>
      </w:pPr>
      <w:r>
        <w:t xml:space="preserve">The theoretical mechanism that motivates the dissertation is the substitution between two scarce inputs, electromagnetic spectrum allocations and photon flux, in the production of delivered downlink capacity. The mechanism is not new to engineering practice, but its consolidation into an economic frame for civil broadband architecture choice has not been completed in the open literature, which is the gap identified in the prospectus.</w:t>
      </w:r>
    </w:p>
    <w:p>
      <w:pPr>
        <w:pStyle w:val="BodyText"/>
        <w:spacing w:line="480" w:lineRule="auto"/>
        <w:ind w:firstLine="720"/>
      </w:pPr>
      <w:r>
        <w:t xml:space="preserve">On the RF side, the Shannon channel-capacity ceiling for a given orbital geometry is set by the product of allocated bandwidth and the achievable signal-to-noise ratio at the gateway. Allocated bandwidth is administered through the International Telecommunication Union and national regulators and is, in operational practice, a binding scarce resource in the Ka, Ku, and V bands relevant to civil broadband [4, 8, 9, 10]. The marginal cost of adding incremental RF capacity rises not because the underlying engineering is exhausted but because the administrative supply of bandwidth tightens, with operators absorbing increasingly costly coordination, interference mitigation, and frequency-reuse engineering as the spectrum census fills. The Federal Communications Commission’s international bureau filings document this tightening directly through the proliferation of modifications, waivers, and coordination requirements attached to large constellation deployments</w:t>
      </w:r>
      <w:r>
        <w:t xml:space="preserve"> </w:t>
      </w:r>
      <w:hyperlink w:anchor="ref-27">
        <w:r>
          <w:rPr>
            <w:rStyle w:val="Hyperlink"/>
          </w:rPr>
          <w:t xml:space="preserve">[27]</w:t>
        </w:r>
      </w:hyperlink>
      <w:r>
        <w:t xml:space="preserve">. The same pressure is reflected in the architectural-norm literature on space-use transformation</w:t>
      </w:r>
      <w:r>
        <w:t xml:space="preserve"> </w:t>
      </w:r>
      <w:hyperlink w:anchor="ref-10">
        <w:r>
          <w:rPr>
            <w:rStyle w:val="Hyperlink"/>
          </w:rPr>
          <w:t xml:space="preserve">[10]</w:t>
        </w:r>
      </w:hyperlink>
      <w:r>
        <w:t xml:space="preserve"> </w:t>
      </w:r>
      <w:r>
        <w:t xml:space="preserve">and in the orbital-classification work attached to the ASCEND analytic agenda</w:t>
      </w:r>
      <w:r>
        <w:t xml:space="preserve"> </w:t>
      </w:r>
      <w:hyperlink w:anchor="ref-8">
        <w:r>
          <w:rPr>
            <w:rStyle w:val="Hyperlink"/>
          </w:rPr>
          <w:t xml:space="preserve">[8]</w:t>
        </w:r>
      </w:hyperlink>
      <w:r>
        <w:t xml:space="preserve">.</w:t>
      </w:r>
    </w:p>
    <w:p>
      <w:pPr>
        <w:pStyle w:val="BodyText"/>
        <w:spacing w:line="480" w:lineRule="auto"/>
        <w:ind w:firstLine="720"/>
      </w:pPr>
      <w:r>
        <w:t xml:space="preserve">On the FSO side, the Shannon ceiling is set by photon flux at the receiver aperture, which is in turn a product of transmit power, transmit aperture gain, receive aperture gain, and atmospheric transmission. The administrative bandwidth scarcity that binds the RF case does not apply: the optical band is not allocated in the same regulatory sense and the photon flux available to a sufficiently large receive aperture at a clear-sky site is, for present civil traffic densities, in excess of demand by many orders of magnitude. What binds the FSO case is atmospheric availability. Cloud cover, turbulence, and integrated water vapor reduce the conditional probability that the link closes on any given site-second [6, 7]. Site-diverse ground networks reduce the joint outage probability through stochastic independence of cloud cover across sites, at the cost of a larger ground segment that must be amortized. The marginal cost of FSO capacity therefore rises not with administrative scarcity but with the engineering and amortized cost of reducing the joint outage probability of the ground network.</w:t>
      </w:r>
    </w:p>
    <w:p>
      <w:pPr>
        <w:pStyle w:val="BodyText"/>
        <w:spacing w:line="480" w:lineRule="auto"/>
        <w:ind w:firstLine="720"/>
      </w:pPr>
      <w:r>
        <w:t xml:space="preserve">The substitution mechanism is the following. Holding delivered capacity fixed, an operator can supply that capacity through more spectrum at fewer ground stations (the RF path) or through fewer spectrum allocations at more ground stations whose joint availability suffices (the FSO path). The two paths are economic substitutes at the architectural level. The relative cost of the two depends on the price of the marginal megahertz, which is set by the regulatory regime and by congestion in the relevant band, and on the price of the marginal ground site, which is set by terminal hardware cost, civil engineering, and the meteorological climatology that determines how much joint coverage a given number of sites supplies. The threshold at which the FSO path becomes the cheaper supply curve is the empirical object that the dissertation is designed to identify.</w:t>
      </w:r>
    </w:p>
    <w:p>
      <w:pPr>
        <w:pStyle w:val="BodyText"/>
        <w:spacing w:line="480" w:lineRule="auto"/>
        <w:ind w:firstLine="720"/>
      </w:pPr>
      <w:r>
        <w:t xml:space="preserve">A second-order term in the same mechanism is the cost of the space-segment terminal itself. Optical terminals are still maturing as a serial-production class. The companion empirical work [research paper p1, research paper p2] documents that the cross-section of flown terminals does not yet exhibit a stable cost-capacity learning curve when the two modalities are pooled, and that, conditional on the engineering envelope of mass and power, the optical class currently carries a unit-cost premium that is most plausibly attributable to non-recurring engineering and qualification load on first-flight demonstrations [12, 13, 14, 19, 23]. This second-order term is a transitory feature of the present cost surface rather than a structural prediction of the mechanism. The theoretical claim is symmetric across modalities at the steady state; the empirical question is whether the transitory premium is large enough at 2026 procurement conditions to overturn the spectrum-substitution advantage that the FSO architecture enjoys in principle.</w:t>
      </w:r>
    </w:p>
    <w:p>
      <w:pPr>
        <w:pStyle w:val="BodyText"/>
        <w:spacing w:line="480" w:lineRule="auto"/>
        <w:ind w:firstLine="720"/>
      </w:pPr>
      <w:r>
        <w:t xml:space="preserve">The mechanism therefore has three moving parts. The first is administrative spectrum scarcity, which raises the cost of incremental RF capacity in proportion to the tightness of the allocation regime. The second is atmospheric availability, which raises the cost of incremental FSO capacity in proportion to the joint outage probability of the ground network and to the price of reducing it through site diversity. The third is the transitory non-recurring engineering load on optical terminals, which raises the cost of FSO capacity in proportion to the share of demonstration-class hardware in the flying inventory. The three parts interact: the FSO architecture is cheaper at the margin only when the second and third terms together fail to offset the first.</w:t>
      </w:r>
    </w:p>
    <w:bookmarkEnd w:id="77"/>
    <w:bookmarkStart w:id="78" w:name="Xba8c0d282c82aaa2e0cfe314f4d73a46ca11063"/>
    <w:p>
      <w:pPr>
        <w:pStyle w:val="Heading2"/>
        <w:spacing w:line="480" w:lineRule="auto"/>
      </w:pPr>
      <w:r>
        <w:t xml:space="preserve">3.4 Causal Logic: From Inputs to Cost-of-Capacity</w:t>
      </w:r>
    </w:p>
    <w:p>
      <w:pPr>
        <w:pStyle w:val="FirstParagraph"/>
        <w:spacing w:line="480" w:lineRule="auto"/>
      </w:pPr>
      <w:r>
        <w:t xml:space="preserve">The causal logic that drives the dissertation can be specified as a directed sequence of dependences from primitive inputs to the cost-of-capacity outcome.</w:t>
      </w:r>
    </w:p>
    <w:p>
      <w:pPr>
        <w:pStyle w:val="BodyText"/>
        <w:spacing w:line="480" w:lineRule="auto"/>
        <w:ind w:firstLine="720"/>
      </w:pPr>
      <w:r>
        <w:t xml:space="preserve">The first link runs from site climatology to single-site optical availability. The atmospheric-characterization literature documents that single-site availability at favorable optical-ground sites such as Haleakala and Mount Stromlo runs in a band that is well-characterized empirically but never approaches the availability of an RF gateway in a comparable band [6, 7]. Single-site availability is a function of cloud-cover fraction, integrated water vapor, and turbulence parameters, with cloud cover dominating the variance at most sites [6, 7, 41]. The functional form is monotonic and well-behaved within the convex hull of observed site climatologies.</w:t>
      </w:r>
    </w:p>
    <w:p>
      <w:pPr>
        <w:pStyle w:val="BodyText"/>
        <w:spacing w:line="480" w:lineRule="auto"/>
        <w:ind w:firstLine="720"/>
      </w:pPr>
      <w:r>
        <w:t xml:space="preserve">The second link runs from single-site availability and network topology to joint network availability. For a network of N sites, the joint outage probability is bounded below by the product of single-site outage probabilities under stochastic independence and bounded above by the maximum single-site outage probability under perfect cloud-cover correlation. The empirical distribution lies between these bounds and is a function of inter-site cloud-cover correlation, which decays with geographic separation in a manner consistent with the public meteorological literature accessible through the NOAA Integrated Surface Database. Joint network availability is therefore endogenous to siting decisions and to the meteorology of the chosen sites.</w:t>
      </w:r>
    </w:p>
    <w:p>
      <w:pPr>
        <w:pStyle w:val="BodyText"/>
        <w:spacing w:line="480" w:lineRule="auto"/>
        <w:ind w:firstLine="720"/>
      </w:pPr>
      <w:r>
        <w:t xml:space="preserve">The third link runs from joint network availability and space-segment terminal performance to delivered capacity. Delivered capacity is the product of the peak terminal data rate, the duty cycle imposed by orbital geometry, and the joint network availability. Peak data rate is reported in the engineering source for each terminal class [2, 3, 5, 14, 22, 24]. Duty cycle is determined by the constellation geometry. Joint availability is the output of link two.</w:t>
      </w:r>
    </w:p>
    <w:p>
      <w:pPr>
        <w:pStyle w:val="BodyText"/>
        <w:spacing w:line="480" w:lineRule="auto"/>
        <w:ind w:firstLine="720"/>
      </w:pPr>
      <w:r>
        <w:t xml:space="preserve">The fourth link runs from delivered capacity and amortized cost to cost-of-capacity. Amortized cost is the present-value sum of recurring and non-recurring hardware cost across the design-life horizon. Recurring cost is reported with reasonable reliability for the RF class in GAO assessments, NASA Office of Inspector General audits, and ESA cost disclosures [16, 17, 18, 19, 20, 21] and is reported with substantial residual heterogeneity for the optical class in the same source families. The companion paper that estimates a multivariate OLS on thirty-two terminals shows that, conditional on mass and power, the optical class currently sits above the RF class in unit cost [research paper p2], a finding consistent with the transitory-premium term of Section 3.3. Cost-of-capacity is then the ratio of amortized cost to delivered capacity over the amortization horizon.</w:t>
      </w:r>
    </w:p>
    <w:p>
      <w:pPr>
        <w:pStyle w:val="BodyText"/>
        <w:spacing w:line="480" w:lineRule="auto"/>
        <w:ind w:firstLine="720"/>
      </w:pPr>
      <w:r>
        <w:t xml:space="preserve">The fifth link runs from spectrum policy to RF cost-of-capacity. The marginal cost of incremental RF capacity is endogenous to the ITU and national-regulator allocation regime [4, 8, 9, 10, 27]. The dissertation treats the current allocation regime as fixed during the analysis horizon, which is a scope condition rather than a tested claim. Under that scope, the RF cost-of-capacity is a deterministic function of the engineering parameters of the RF gateway and the published bandwidth allocation.</w:t>
      </w:r>
    </w:p>
    <w:p>
      <w:pPr>
        <w:pStyle w:val="BodyText"/>
        <w:spacing w:line="480" w:lineRule="auto"/>
        <w:ind w:firstLine="720"/>
      </w:pPr>
      <w:r>
        <w:t xml:space="preserve">The five links together define a causal chain from primitive site-climatology, terminal-engineering, and policy inputs to the scalar cost-of-capacity outcome. The chain is non-tautological because the joint distribution of inputs is empirically constrained and the functional forms at each link are either documented in the prior literature or estimable from the data assembled in Chapter 4.</w:t>
      </w:r>
    </w:p>
    <w:bookmarkEnd w:id="78"/>
    <w:bookmarkStart w:id="79" w:name="Xc951124b5e1f9b37152cfd158e08378ee68ee87"/>
    <w:p>
      <w:pPr>
        <w:pStyle w:val="Heading2"/>
        <w:spacing w:line="480" w:lineRule="auto"/>
      </w:pPr>
      <w:r>
        <w:t xml:space="preserve">3.5 Prior Empirical Constraints from the Companion Papers</w:t>
      </w:r>
    </w:p>
    <w:p>
      <w:pPr>
        <w:pStyle w:val="FirstParagraph"/>
        <w:spacing w:line="480" w:lineRule="auto"/>
      </w:pPr>
      <w:r>
        <w:t xml:space="preserve">The two empirical companion papers of the dissertation constrain the prior on the cost-of-capacity surface in two directions and motivate the formal framing of H0 and H1.</w:t>
      </w:r>
    </w:p>
    <w:p>
      <w:pPr>
        <w:pStyle w:val="BodyText"/>
        <w:spacing w:line="480" w:lineRule="auto"/>
        <w:ind w:firstLine="720"/>
      </w:pPr>
      <w:r>
        <w:t xml:space="preserve">The first companion paper [research paper p1] fits a pooled log-log learning curve through thirty flown links between 1995 and 2023 and recovers a pooled elasticity of negative 0.0609 with an R-squared of 0.0216. The interpretation is not that capacity has no learning curve but that the pooled population is not a single learning curve: the modality variable absorbs the dominant share of cross-row variation and the average elasticity is driven toward zero because two distinct cost frontiers are being averaged. Within capacity bands, the optical class sits below the RF class for LEO downlink (TBIRD at 200 gigabits per second</w:t>
      </w:r>
      <w:r>
        <w:t xml:space="preserve"> </w:t>
      </w:r>
      <w:hyperlink w:anchor="ref-14">
        <w:r>
          <w:rPr>
            <w:rStyle w:val="Hyperlink"/>
          </w:rPr>
          <w:t xml:space="preserve">[14]</w:t>
        </w:r>
      </w:hyperlink>
      <w:r>
        <w:t xml:space="preserve">) and for GEO relay (LCRD at 1.244 gigabits per second</w:t>
      </w:r>
      <w:r>
        <w:t xml:space="preserve"> </w:t>
      </w:r>
      <w:hyperlink w:anchor="ref-13">
        <w:r>
          <w:rPr>
            <w:rStyle w:val="Hyperlink"/>
          </w:rPr>
          <w:t xml:space="preserve">[13]</w:t>
        </w:r>
      </w:hyperlink>
      <w:r>
        <w:t xml:space="preserve">) but is comparable or higher for deep-space (DSOC at 267 megabits per second at 0.33 AU</w:t>
      </w:r>
      <w:r>
        <w:t xml:space="preserve"> </w:t>
      </w:r>
      <w:hyperlink w:anchor="ref-18">
        <w:r>
          <w:rPr>
            <w:rStyle w:val="Hyperlink"/>
          </w:rPr>
          <w:t xml:space="preserve">[18]</w:t>
        </w:r>
      </w:hyperlink>
      <w:r>
        <w:t xml:space="preserve">). The first paper therefore constrains the prior in the direction of a heterogeneous cost surface that cannot be tested with a single pooled specification.</w:t>
      </w:r>
    </w:p>
    <w:p>
      <w:pPr>
        <w:pStyle w:val="BodyText"/>
        <w:spacing w:line="480" w:lineRule="auto"/>
        <w:ind w:firstLine="720"/>
      </w:pPr>
      <w:r>
        <w:t xml:space="preserve">The second companion paper [research paper p2] runs a multivariate OLS on thirty-two terminals with mass, power, throughput, and a modality indicator. It recovers a strong positive mass elasticity (1.5349, p below 0.0005), a positive but insignificant throughput elasticity (0.1676, p of 0.2962), an insignificant negative power coefficient (minus 0.6096, p of 0.2383), and a positive optical-dummy coefficient (1.9836, p of 0.0961). The optical-dummy sign is opposite the engineering prediction, which the paper interprets as a transitory non-recurring-engineering premium on first-flight demonstrations. The second paper therefore constrains the prior in the direction of a non-zero transitory premium that must be carried explicitly in the simulator of Chapter 4.</w:t>
      </w:r>
    </w:p>
    <w:p>
      <w:pPr>
        <w:pStyle w:val="BodyText"/>
        <w:spacing w:line="480" w:lineRule="auto"/>
        <w:ind w:firstLine="720"/>
      </w:pPr>
      <w:r>
        <w:t xml:space="preserve">Together, the two priors imply that the dissertation cannot resolve the cost-of-capacity question by extrapolating a single elasticity. The test must be conducted within a defined mission profile and must condition on engineering envelope, atmospheric availability, and amortization horizon. This is the empirical justification for the construct of Section 3.2 and the causal chain of Section 3.4.</w:t>
      </w:r>
    </w:p>
    <w:bookmarkEnd w:id="79"/>
    <w:bookmarkStart w:id="80" w:name="formal-hypotheses"/>
    <w:p>
      <w:pPr>
        <w:pStyle w:val="Heading2"/>
        <w:spacing w:line="480" w:lineRule="auto"/>
      </w:pPr>
      <w:r>
        <w:t xml:space="preserve">3.6 Formal Hypotheses</w:t>
      </w:r>
    </w:p>
    <w:p>
      <w:pPr>
        <w:pStyle w:val="FirstParagraph"/>
        <w:spacing w:line="480" w:lineRule="auto"/>
      </w:pPr>
      <w:r>
        <w:t xml:space="preserve">Let C_FSO denote the expected marginal cost per delivered gigabit-hour at the user terminal for an optimally site-diverse FSO architecture under the mission profile of Section 3.2, and let C_RF denote the same quantity for an incumbent high-throughput Ka-band RF architecture under the same profile. The expectations are taken over the joint distribution of atmospheric availability across the ground network, over the realized constellation geometry, and over the parameter sweep on amortized terminal cost defined in Chapter 4.</w:t>
      </w:r>
    </w:p>
    <w:p>
      <w:pPr>
        <w:pStyle w:val="BodyText"/>
        <w:spacing w:line="480" w:lineRule="auto"/>
        <w:ind w:firstLine="720"/>
      </w:pPr>
      <w:r>
        <w:rPr>
          <w:b/>
          <w:bCs/>
        </w:rPr>
        <w:t xml:space="preserve">H0 (null).</w:t>
      </w:r>
      <w:r>
        <w:t xml:space="preserve"> </w:t>
      </w:r>
      <w:r>
        <w:t xml:space="preserve">For civil broadband downlink missions in 2026 procurement conditions, after controlling for amortized terminal cost, atmospheric availability, and constellation geometry, the expected marginal cost per delivered gigabit-hour is equal across the two architectures: E[C_FSO] = E[C_RF].</w:t>
      </w:r>
    </w:p>
    <w:p>
      <w:pPr>
        <w:pStyle w:val="BodyText"/>
        <w:spacing w:line="480" w:lineRule="auto"/>
        <w:ind w:firstLine="720"/>
      </w:pPr>
      <w:r>
        <w:rPr>
          <w:b/>
          <w:bCs/>
        </w:rPr>
        <w:t xml:space="preserve">H1 (alternative).</w:t>
      </w:r>
      <w:r>
        <w:t xml:space="preserve"> </w:t>
      </w:r>
      <w:r>
        <w:t xml:space="preserve">The expected marginal cost per delivered gigabit-hour differs between the two architectures: E[C_FSO] is not equal to E[C_RF]. The sign and magnitude of the difference, E[C_FSO] minus E[C_RF], can be estimated with a 95 percent confidence interval that excludes zero under at least one realistic procurement scenario from the sweep defined in Chapter 4.</w:t>
      </w:r>
    </w:p>
    <w:p>
      <w:pPr>
        <w:pStyle w:val="BodyText"/>
        <w:spacing w:line="480" w:lineRule="auto"/>
        <w:ind w:firstLine="720"/>
      </w:pPr>
      <w:r>
        <w:t xml:space="preserve">The estimand is the expected difference, E[C_FSO] minus E[C_RF], evaluated at each cell of the procurement-scenario grid. The rejection rule is standard. H0 is rejected at any scenario cell whose 95 percent confidence interval on the estimated difference excludes zero. The cells at which the interval contains zero are reported as the region of empirical indifference. The dissertation does not commit ex ante to a directional prediction; the contribution is the estimator and the parameter region in which the inequality holds, not a defended sign.</w:t>
      </w:r>
    </w:p>
    <w:p>
      <w:pPr>
        <w:pStyle w:val="BodyText"/>
        <w:spacing w:line="480" w:lineRule="auto"/>
        <w:ind w:firstLine="720"/>
      </w:pPr>
      <w:r>
        <w:t xml:space="preserve">Three scope conditions are attached to the test. First, the mission profile is fixed to civil broadband downlink as specified in Section 3.2; the test result does not transfer to deep-space, lunar relay, or inter-satellite contexts without reidentification. Second, the spectrum-allocation regime is taken as fixed during the analysis horizon; endogenous policy response is treated as out of scope. Third, the optical-terminal cost premium documented in [research paper p2] is carried as a parameter swept across the transparent range defined in Chapter 4 rather than committed to a point estimate; the test result is reported as a function of that parameter.</w:t>
      </w:r>
    </w:p>
    <w:bookmarkEnd w:id="80"/>
    <w:bookmarkStart w:id="81" w:name="anchoring-to-the-validity-threats"/>
    <w:p>
      <w:pPr>
        <w:pStyle w:val="Heading2"/>
        <w:spacing w:line="480" w:lineRule="auto"/>
      </w:pPr>
      <w:r>
        <w:t xml:space="preserve">3.7 Anchoring to the Validity Threats</w:t>
      </w:r>
    </w:p>
    <w:p>
      <w:pPr>
        <w:pStyle w:val="FirstParagraph"/>
        <w:spacing w:line="480" w:lineRule="auto"/>
      </w:pPr>
      <w:r>
        <w:t xml:space="preserve">The hypotheses inherit four validity threats from the prospectus and from the companion papers. The first is sample-selection bias in published site availability, since optical-ground sites such as Haleakala were chosen precisely because prior surveys judged them favorable</w:t>
      </w:r>
      <w:r>
        <w:t xml:space="preserve"> </w:t>
      </w:r>
      <w:hyperlink w:anchor="ref-6">
        <w:r>
          <w:rPr>
            <w:rStyle w:val="Hyperlink"/>
          </w:rPr>
          <w:t xml:space="preserve">[6]</w:t>
        </w:r>
      </w:hyperlink>
      <w:r>
        <w:t xml:space="preserve">. The second is non-stationarity in atmospheric covariates over the analysis horizon, which Chapter 6 examines through plausible cloud-cover trend sensitivities. The third is omitted-variable bias in terminal cost, which is handled in Chapter 4 by treating amortized terminal cost as a parameter swept across a transparent range rather than as a point estimate dependent on opaque vendor pricing. The fourth is spectrum-policy endogeneity on the RF side, which the scope condition above treats as fixed during the analysis horizon and flags as out of scope.</w:t>
      </w:r>
    </w:p>
    <w:p>
      <w:pPr>
        <w:pStyle w:val="BodyText"/>
        <w:spacing w:line="480" w:lineRule="auto"/>
        <w:ind w:firstLine="720"/>
      </w:pPr>
      <w:r>
        <w:t xml:space="preserve">The framework is therefore deliberately modest in what it claims to identify. It identifies the expected cost-of-capacity ratio under a defined mission profile, a fixed spectrum-allocation regime, and a transparent parameter sweep on terminal cost. It does not identify the long-run frontier of either modality, nor the equilibrium of the spectrum-allocation regime, nor the vendor-pricing trajectory of optical terminals. The hypothesis pair H0 and H1 is the single falsifiable claim that the chapter authorizes the rest of the dissertation to test.</w:t>
      </w:r>
    </w:p>
    <w:bookmarkEnd w:id="81"/>
    <w:bookmarkEnd w:id="82"/>
    <w:bookmarkStart w:id="101" w:name="chapter-4.-data-and-measurement"/>
    <w:p>
      <w:pPr>
        <w:pStyle w:val="Heading1"/>
        <w:spacing w:line="480" w:lineRule="auto"/>
      </w:pPr>
      <w:r>
        <w:t xml:space="preserve">Chapter 4. Data and Measurement</w:t>
      </w:r>
    </w:p>
    <w:bookmarkStart w:id="83" w:name="purpose-and-organization-of-the-chapter"/>
    <w:p>
      <w:pPr>
        <w:pStyle w:val="Heading2"/>
        <w:spacing w:line="480" w:lineRule="auto"/>
      </w:pPr>
      <w:r>
        <w:t xml:space="preserve">4.1 Purpose and Organization of the Chapter</w:t>
      </w:r>
    </w:p>
    <w:p>
      <w:pPr>
        <w:pStyle w:val="FirstParagraph"/>
        <w:spacing w:line="480" w:lineRule="auto"/>
      </w:pPr>
      <w:r>
        <w:t xml:space="preserve">This chapter documents the empirical material on which the two estimating papers of the dissertation rest. The companion papers report, respectively, a pooled log-log regression of recurring terminal cost on peak data rate across thirty flown space-communications links, and a multivariate ordinary least squares cost model that conditions on terminal mass, payload power, and a modality indicator across thirty-two flown or contracted terminals. Both estimators draw on the same family of authoritative sources but assemble different rows, use different units of analysis, and construct different variables. The purpose of this chapter is to make those construction choices fully transparent so that the inferential claims of Chapters 5 and 6 can be assessed against the primary documentary record rather than against summary statistics alone.</w:t>
      </w:r>
    </w:p>
    <w:p>
      <w:pPr>
        <w:pStyle w:val="BodyText"/>
        <w:spacing w:line="480" w:lineRule="auto"/>
        <w:ind w:firstLine="720"/>
      </w:pPr>
      <w:r>
        <w:t xml:space="preserve">The chapter is organized in five sections. Section 4.2 defines the unit of analysis for each paper and explains why the unit differs across them. Section 4.3 walks through the authoritative source families one at a time, beginning with the U.S. Government Accountability Office Major Project Assessments and the NASA Office of Inspector General audit series, continuing through the refereed engineering literature in the Acta Astronautica corpus and the SPIE Proceedings, and ending with the regulator filings, contractor disclosures, and atmospheric characterization series that anchor the optical availability variables. Section 4.4 reconstructs each variable used in the two estimating papers, naming the primary record from which each row was drawn and explaining the transformation rule that takes the raw record to the regressor. Section 4.5 discusses the provenance flag that the data files carry on a subset of cost cells and quantifies its share of the sample. Section 4.6 closes with a measurement-quality assessment against the four threats to validity identified in the prospectus.</w:t>
      </w:r>
    </w:p>
    <w:bookmarkEnd w:id="83"/>
    <w:bookmarkStart w:id="84" w:name="unit-of-analysis"/>
    <w:p>
      <w:pPr>
        <w:pStyle w:val="Heading2"/>
        <w:spacing w:line="480" w:lineRule="auto"/>
      </w:pPr>
      <w:r>
        <w:t xml:space="preserve">4.2 Unit of Analysis</w:t>
      </w:r>
    </w:p>
    <w:p>
      <w:pPr>
        <w:pStyle w:val="FirstParagraph"/>
        <w:spacing w:line="480" w:lineRule="auto"/>
      </w:pPr>
      <w:r>
        <w:t xml:space="preserve">The first paper takes the flown space-communications link as its unit of observation. A link is defined as a single end-to-end demonstrated communications path with a documented peak data rate and a documented recurring hardware-plus-integration cost for the terminal or payload that delivers that path. The sample frame is the population of links flown between 1995 and 2023 for which both endpoints, peak data rate, and recurring cost can be triangulated from at least one primary source in the authoritative families listed in Section 4.3. The thirty rows reported in the first paper represent the rows that survived this triangulation test out of a larger candidate population identified through the GAO Major Project Assessments series</w:t>
      </w:r>
      <w:r>
        <w:t xml:space="preserve"> </w:t>
      </w:r>
      <w:hyperlink w:anchor="ref-16">
        <w:r>
          <w:rPr>
            <w:rStyle w:val="Hyperlink"/>
          </w:rPr>
          <w:t xml:space="preserve">[16]</w:t>
        </w:r>
      </w:hyperlink>
      <w:r>
        <w:t xml:space="preserve"> </w:t>
      </w:r>
      <w:r>
        <w:t xml:space="preserve">and the DESCANSO Design and Performance Summary Series</w:t>
      </w:r>
      <w:r>
        <w:t xml:space="preserve"> </w:t>
      </w:r>
      <w:hyperlink w:anchor="ref-15">
        <w:r>
          <w:rPr>
            <w:rStyle w:val="Hyperlink"/>
          </w:rPr>
          <w:t xml:space="preserve">[15]</w:t>
        </w:r>
      </w:hyperlink>
      <w:r>
        <w:t xml:space="preserve">. Rows that could not be triangulated to a primary cost source were dropped before estimation rather than imputed.</w:t>
      </w:r>
    </w:p>
    <w:p>
      <w:pPr>
        <w:pStyle w:val="BodyText"/>
        <w:spacing w:line="480" w:lineRule="auto"/>
        <w:ind w:firstLine="720"/>
      </w:pPr>
      <w:r>
        <w:t xml:space="preserve">The second paper takes the space-communications terminal as its unit of observation. A terminal is defined as a single piece of communications flight hardware, identifiable by manufacturer, model, and host bus, with a documented peak data rate, dry mass, steady-state DC payload power, and recurring unit cost in 2024 USD millions. The frame is the population of optical and radio-frequency terminals flown or contracted between 1995 and 2024 for which all four engineering and cost variables are independently sourced. The thirty-two rows in the second paper overlap the first paper’s sample on the link rows whose terminal-level engineering data are separately available, and extend it through additional terminals drawn from FCC International Bureau filings</w:t>
      </w:r>
      <w:r>
        <w:t xml:space="preserve"> </w:t>
      </w:r>
      <w:hyperlink w:anchor="ref-27">
        <w:r>
          <w:rPr>
            <w:rStyle w:val="Hyperlink"/>
          </w:rPr>
          <w:t xml:space="preserve">[27]</w:t>
        </w:r>
      </w:hyperlink>
      <w:r>
        <w:t xml:space="preserve">, Department of the Air Force budget exhibits, and SEC 10-K filings of the publicly traded operators named in the source field. The shift in unit of analysis from link to terminal is what permits the second paper to absorb the mass and power covariates that the first paper, by design, suppresses.</w:t>
      </w:r>
    </w:p>
    <w:p>
      <w:pPr>
        <w:pStyle w:val="BodyText"/>
        <w:spacing w:line="480" w:lineRule="auto"/>
        <w:ind w:firstLine="720"/>
      </w:pPr>
      <w:r>
        <w:t xml:space="preserve">Both units are observational rather than experimental. There is no random assignment of modality to mission, and the chapter does not claim otherwise. The identifying variation that supports the estimands of both papers is cross-row variation in technology and procurement vintage, conditional on the covariates included in the second specification.</w:t>
      </w:r>
    </w:p>
    <w:bookmarkEnd w:id="84"/>
    <w:bookmarkStart w:id="91" w:name="authoritative-source-families"/>
    <w:p>
      <w:pPr>
        <w:pStyle w:val="Heading2"/>
        <w:spacing w:line="480" w:lineRule="auto"/>
      </w:pPr>
      <w:r>
        <w:t xml:space="preserve">4.3 Authoritative Source Families</w:t>
      </w:r>
    </w:p>
    <w:p>
      <w:pPr>
        <w:pStyle w:val="FirstParagraph"/>
        <w:spacing w:line="480" w:lineRule="auto"/>
      </w:pPr>
      <w:r>
        <w:t xml:space="preserve">Six source families anchor the empirical work. Each is described in turn with attention to its provenance, its access path, and the variables it supports.</w:t>
      </w:r>
    </w:p>
    <w:bookmarkStart w:id="85" w:name="X167c9fef8ca9c26dfc9b777e3aacef8d226e6a4"/>
    <w:p>
      <w:pPr>
        <w:pStyle w:val="Heading3"/>
        <w:spacing w:line="480" w:lineRule="auto"/>
      </w:pPr>
      <w:r>
        <w:t xml:space="preserve">4.3.1 U.S. Government Accountability Office Major Project Assessments</w:t>
      </w:r>
    </w:p>
    <w:p>
      <w:pPr>
        <w:pStyle w:val="FirstParagraph"/>
        <w:spacing w:line="480" w:lineRule="auto"/>
      </w:pPr>
      <w:r>
        <w:t xml:space="preserve">The GAO NASA Major Project Assessments series supplies the recurring-cost cells for the NASA-funded portion of the cost vector in both papers. The series is published annually as a congressional product; the dissertation draws on GAO-25-107591, GAO-22-105212, GAO-18-280SP, GAO-15-320SP, and GAO-12-207SP for the NASA portfolio, and on GAO-22-105230 for the Department of Defense portfolio [16, 21]. Each assessment reports, for the projects in the portfolio, total life-cycle cost, formulation and development cost, and where disclosed a subsystem allocation that can be back-calculated to the communications payload. The first paper uses the project-level life-cycle figure where the project is a dedicated relay (TDRS, LCRD), and uses the subsystem allocation reported in the relevant Major Project Assessment where the project is a science mission whose communications subsystem must be separated from the science instruments. The second paper uses the same source family but supplements it with Department of the Air Force FY24 budget exhibits for the USSF and USAF terminals and with the GAO Space Acquisitions report</w:t>
      </w:r>
      <w:r>
        <w:t xml:space="preserve"> </w:t>
      </w:r>
      <w:hyperlink w:anchor="ref-21">
        <w:r>
          <w:rPr>
            <w:rStyle w:val="Hyperlink"/>
          </w:rPr>
          <w:t xml:space="preserve">[21]</w:t>
        </w:r>
      </w:hyperlink>
      <w:r>
        <w:t xml:space="preserve"> </w:t>
      </w:r>
      <w:r>
        <w:t xml:space="preserve">for cross-portfolio comparability. The GAO documents are publicly available through gao.gov and carry stable document identifiers; the dissertation records the document identifier and page range for each cost cell drawn from this family.</w:t>
      </w:r>
    </w:p>
    <w:bookmarkEnd w:id="85"/>
    <w:bookmarkStart w:id="86" w:name="X11ba48673bbc05c7d4b716c68a65dfa8c5b261e"/>
    <w:p>
      <w:pPr>
        <w:pStyle w:val="Heading3"/>
        <w:spacing w:line="480" w:lineRule="auto"/>
      </w:pPr>
      <w:r>
        <w:t xml:space="preserve">4.3.2 NASA Office of Inspector General Audit Series</w:t>
      </w:r>
    </w:p>
    <w:p>
      <w:pPr>
        <w:pStyle w:val="FirstParagraph"/>
        <w:spacing w:line="480" w:lineRule="auto"/>
      </w:pPr>
      <w:r>
        <w:t xml:space="preserve">The NASA OIG audit series supplies independently audited cost figures that allow the GAO cells to be cross-checked, and supplies the only audited cost figures available for several optical demonstrations whose programmatic envelope is not separately broken out in the GAO Major Project Assessments. The dissertation draws on IG-12-013 for the Tracking and Data Relay Satellite System</w:t>
      </w:r>
      <w:r>
        <w:t xml:space="preserve"> </w:t>
      </w:r>
      <w:hyperlink w:anchor="ref-17">
        <w:r>
          <w:rPr>
            <w:rStyle w:val="Hyperlink"/>
          </w:rPr>
          <w:t xml:space="preserve">[17]</w:t>
        </w:r>
      </w:hyperlink>
      <w:r>
        <w:t xml:space="preserve">, on IG-22-005 for the Laser Communications Relay Demonstration</w:t>
      </w:r>
      <w:r>
        <w:t xml:space="preserve"> </w:t>
      </w:r>
      <w:hyperlink w:anchor="ref-19">
        <w:r>
          <w:rPr>
            <w:rStyle w:val="Hyperlink"/>
          </w:rPr>
          <w:t xml:space="preserve">[19]</w:t>
        </w:r>
      </w:hyperlink>
      <w:r>
        <w:t xml:space="preserve">, and on IG-23-009 for the Deep Space Optical Communications technology demonstration on Psyche</w:t>
      </w:r>
      <w:r>
        <w:t xml:space="preserve"> </w:t>
      </w:r>
      <w:hyperlink w:anchor="ref-18">
        <w:r>
          <w:rPr>
            <w:rStyle w:val="Hyperlink"/>
          </w:rPr>
          <w:t xml:space="preserve">[18]</w:t>
        </w:r>
      </w:hyperlink>
      <w:r>
        <w:t xml:space="preserve">. The audit reports are publicly available through oig.nasa.gov and are linked at the page-range level to the cost cells they support. Where GAO and OIG report conflicting figures for the same line item, the dissertation uses the OIG figure because the audit reports include the underlying programme-cost reconciliation and the GAO Major Project Assessments do not. This decision rule is applied uniformly across rows.</w:t>
      </w:r>
    </w:p>
    <w:bookmarkEnd w:id="86"/>
    <w:bookmarkStart w:id="87" w:name="refereed-engineering-literature"/>
    <w:p>
      <w:pPr>
        <w:pStyle w:val="Heading3"/>
        <w:spacing w:line="480" w:lineRule="auto"/>
      </w:pPr>
      <w:r>
        <w:t xml:space="preserve">4.3.3 Refereed Engineering Literature</w:t>
      </w:r>
    </w:p>
    <w:p>
      <w:pPr>
        <w:pStyle w:val="FirstParagraph"/>
        <w:spacing w:line="480" w:lineRule="auto"/>
      </w:pPr>
      <w:r>
        <w:t xml:space="preserve">The refereed engineering literature supplies the throughput, mass, and payload-power variables for both papers, and supplies the dependent variable for the stage-one site-availability regression that motivates the optical sub-sample of Chapter 5. The first paper draws throughput figures from the DESCANSO Design and Performance Summary Series volume on the Mars Reconnaissance Orbiter</w:t>
      </w:r>
      <w:r>
        <w:t xml:space="preserve"> </w:t>
      </w:r>
      <w:hyperlink w:anchor="ref-15">
        <w:r>
          <w:rPr>
            <w:rStyle w:val="Hyperlink"/>
          </w:rPr>
          <w:t xml:space="preserve">[15]</w:t>
        </w:r>
      </w:hyperlink>
      <w:r>
        <w:t xml:space="preserve">, from the SPIE proceedings papers on the Lunar Laser Communication Demonstration</w:t>
      </w:r>
      <w:r>
        <w:t xml:space="preserve"> </w:t>
      </w:r>
      <w:hyperlink w:anchor="ref-12">
        <w:r>
          <w:rPr>
            <w:rStyle w:val="Hyperlink"/>
          </w:rPr>
          <w:t xml:space="preserve">[12]</w:t>
        </w:r>
      </w:hyperlink>
      <w:r>
        <w:t xml:space="preserve">, on the Laser Communications Relay Demonstration</w:t>
      </w:r>
      <w:r>
        <w:t xml:space="preserve"> </w:t>
      </w:r>
      <w:hyperlink w:anchor="ref-13">
        <w:r>
          <w:rPr>
            <w:rStyle w:val="Hyperlink"/>
          </w:rPr>
          <w:t xml:space="preserve">[13]</w:t>
        </w:r>
      </w:hyperlink>
      <w:r>
        <w:t xml:space="preserve">, and on the TeraByte Infrared Delivery 200 Gbps CubeSat downlink</w:t>
      </w:r>
      <w:r>
        <w:t xml:space="preserve"> </w:t>
      </w:r>
      <w:hyperlink w:anchor="ref-14">
        <w:r>
          <w:rPr>
            <w:rStyle w:val="Hyperlink"/>
          </w:rPr>
          <w:t xml:space="preserve">[14]</w:t>
        </w:r>
      </w:hyperlink>
      <w:r>
        <w:t xml:space="preserve">, and from the NASA Optical Communications Program overview in SPIE Proceedings volume 9354</w:t>
      </w:r>
      <w:r>
        <w:t xml:space="preserve"> </w:t>
      </w:r>
      <w:hyperlink w:anchor="ref-22">
        <w:r>
          <w:rPr>
            <w:rStyle w:val="Hyperlink"/>
          </w:rPr>
          <w:t xml:space="preserve">[22]</w:t>
        </w:r>
      </w:hyperlink>
      <w:r>
        <w:t xml:space="preserve">. The second paper extends this set with the Acta Astronautica papers on the miniaturized laser-communication terminal at the National Institute of Information and Communications Technology</w:t>
      </w:r>
      <w:r>
        <w:t xml:space="preserve"> </w:t>
      </w:r>
      <w:hyperlink w:anchor="ref-2">
        <w:r>
          <w:rPr>
            <w:rStyle w:val="Hyperlink"/>
          </w:rPr>
          <w:t xml:space="preserve">[2]</w:t>
        </w:r>
      </w:hyperlink>
      <w:r>
        <w:t xml:space="preserve">, on the Cube Laser Communication Terminal</w:t>
      </w:r>
      <w:r>
        <w:t xml:space="preserve"> </w:t>
      </w:r>
      <w:hyperlink w:anchor="ref-3">
        <w:r>
          <w:rPr>
            <w:rStyle w:val="Hyperlink"/>
          </w:rPr>
          <w:t xml:space="preserve">[3]</w:t>
        </w:r>
      </w:hyperlink>
      <w:r>
        <w:t xml:space="preserve">, on the VISION crosslink concept</w:t>
      </w:r>
      <w:r>
        <w:t xml:space="preserve"> </w:t>
      </w:r>
      <w:hyperlink w:anchor="ref-5">
        <w:r>
          <w:rPr>
            <w:rStyle w:val="Hyperlink"/>
          </w:rPr>
          <w:t xml:space="preserve">[5]</w:t>
        </w:r>
      </w:hyperlink>
      <w:r>
        <w:t xml:space="preserve">, and on the HICALI terminal at NICT</w:t>
      </w:r>
      <w:r>
        <w:t xml:space="preserve"> </w:t>
      </w:r>
      <w:hyperlink w:anchor="ref-24">
        <w:r>
          <w:rPr>
            <w:rStyle w:val="Hyperlink"/>
          </w:rPr>
          <w:t xml:space="preserve">[24]</w:t>
        </w:r>
      </w:hyperlink>
      <w:r>
        <w:t xml:space="preserve">. The refereed papers are accessed through the Acta Astronautica journal at sciencedirect.com and through the SPIE Digital Library at spiedigitallibrary.org. Each row of the data file records the digital object identifier or NTRS document number of the paper from which its engineering variables were drawn.</w:t>
      </w:r>
    </w:p>
    <w:bookmarkEnd w:id="87"/>
    <w:bookmarkStart w:id="88" w:name="X2c1bf009eb7443995fd7ad1f7e775de39ca05d1"/>
    <w:p>
      <w:pPr>
        <w:pStyle w:val="Heading3"/>
        <w:spacing w:line="480" w:lineRule="auto"/>
      </w:pPr>
      <w:r>
        <w:t xml:space="preserve">4.3.4 Regulator Filings and Contractor Disclosures</w:t>
      </w:r>
    </w:p>
    <w:p>
      <w:pPr>
        <w:pStyle w:val="FirstParagraph"/>
        <w:spacing w:line="480" w:lineRule="auto"/>
      </w:pPr>
      <w:r>
        <w:t xml:space="preserve">The Federal Communications Commission International Bureau Filing System supplies the operator-disclosed throughput figures for the commercial constellations whose terminal mass and power are otherwise reported only in contractor data sheets. The dissertation draws on the SpaceX Starlink modification SAT-MOD-20200417-00037</w:t>
      </w:r>
      <w:r>
        <w:t xml:space="preserve"> </w:t>
      </w:r>
      <w:hyperlink w:anchor="ref-27">
        <w:r>
          <w:rPr>
            <w:rStyle w:val="Hyperlink"/>
          </w:rPr>
          <w:t xml:space="preserve">[27]</w:t>
        </w:r>
      </w:hyperlink>
      <w:r>
        <w:t xml:space="preserve"> </w:t>
      </w:r>
      <w:r>
        <w:t xml:space="preserve">for the optical inter-satellite link throughput figure used in the second paper. SEC 10-K filings of Maxar, Inmarsat, Viasat, SES, Iridium, and Telesat supply the contractor unit cost figures for the commercial Ka-band terminals whose recurring price is not visible in the GAO Major Project Assessments. Contractor disclosures from Boeing, Thales Alenia, MDA, Mynaric, and Tesat supply the data-sheet mass and power figures for terminals in serial production. Where a contractor disclosure conflicts with a regulator filing for the same terminal, the dissertation uses the regulator figure because the filing is sworn under penalty of perjury and the data sheet is not. The European Space Agency cost disclosure on the European Data Relay System Public-Private Partnership</w:t>
      </w:r>
      <w:r>
        <w:t xml:space="preserve"> </w:t>
      </w:r>
      <w:hyperlink w:anchor="ref-20">
        <w:r>
          <w:rPr>
            <w:rStyle w:val="Hyperlink"/>
          </w:rPr>
          <w:t xml:space="preserve">[20]</w:t>
        </w:r>
      </w:hyperlink>
      <w:r>
        <w:t xml:space="preserve"> </w:t>
      </w:r>
      <w:r>
        <w:t xml:space="preserve">is the regulator-equivalent source for the EDRS terminals and is treated under the same rule.</w:t>
      </w:r>
    </w:p>
    <w:bookmarkEnd w:id="88"/>
    <w:bookmarkStart w:id="89" w:name="atmospheric-characterization-series"/>
    <w:p>
      <w:pPr>
        <w:pStyle w:val="Heading3"/>
        <w:spacing w:line="480" w:lineRule="auto"/>
      </w:pPr>
      <w:r>
        <w:t xml:space="preserve">4.3.5 Atmospheric Characterization Series</w:t>
      </w:r>
    </w:p>
    <w:p>
      <w:pPr>
        <w:pStyle w:val="FirstParagraph"/>
        <w:spacing w:line="480" w:lineRule="auto"/>
      </w:pPr>
      <w:r>
        <w:t xml:space="preserve">The atmospheric characterization series supplies the site-day availability observations that anchor the stage-one regression motivating the optical sub-sample. The dissertation draws on the Haleakala ground-site characterization reported by Felton and Alliss in the AMOS Conference Proceedings</w:t>
      </w:r>
      <w:r>
        <w:t xml:space="preserve"> </w:t>
      </w:r>
      <w:hyperlink w:anchor="ref-6">
        <w:r>
          <w:rPr>
            <w:rStyle w:val="Hyperlink"/>
          </w:rPr>
          <w:t xml:space="preserve">[6]</w:t>
        </w:r>
      </w:hyperlink>
      <w:r>
        <w:t xml:space="preserve">, on the Australian National University Mount Stromlo facility characterization reported by Grosse, Bennet, Copeland, and colleagues in the AMOS Conference Proceedings</w:t>
      </w:r>
      <w:r>
        <w:t xml:space="preserve"> </w:t>
      </w:r>
      <w:hyperlink w:anchor="ref-7">
        <w:r>
          <w:rPr>
            <w:rStyle w:val="Hyperlink"/>
          </w:rPr>
          <w:t xml:space="preserve">[7]</w:t>
        </w:r>
      </w:hyperlink>
      <w:r>
        <w:t xml:space="preserve">, and on the first-results paper for the LCRD adaptive-optics ground station</w:t>
      </w:r>
      <w:r>
        <w:t xml:space="preserve"> </w:t>
      </w:r>
      <w:hyperlink w:anchor="ref-1">
        <w:r>
          <w:rPr>
            <w:rStyle w:val="Hyperlink"/>
          </w:rPr>
          <w:t xml:space="preserve">[1]</w:t>
        </w:r>
      </w:hyperlink>
      <w:r>
        <w:t xml:space="preserve">. These series are publicly available through the AMOS technical-papers archive at amostech.space and through the related Australian National University reporting on sodium-guide-star and adaptive-optics infrastructure</w:t>
      </w:r>
      <w:r>
        <w:t xml:space="preserve"> </w:t>
      </w:r>
      <w:hyperlink w:anchor="ref-31">
        <w:r>
          <w:rPr>
            <w:rStyle w:val="Hyperlink"/>
          </w:rPr>
          <w:t xml:space="preserve">[31]</w:t>
        </w:r>
      </w:hyperlink>
      <w:r>
        <w:t xml:space="preserve">. The dependent variable for the stage-one regression is the published availability fraction reported at the site-day grain in each source; the covariates are matched from the NOAA Integrated Surface Database for the surface station co-located with or nearest to each optical-ground site, accessed through the National Centers for Environmental Information. The dissertation records the ISD station identifier alongside each site-day row.</w:t>
      </w:r>
    </w:p>
    <w:bookmarkEnd w:id="89"/>
    <w:bookmarkStart w:id="90" w:name="space-economy-corpus"/>
    <w:p>
      <w:pPr>
        <w:pStyle w:val="Heading3"/>
        <w:spacing w:line="480" w:lineRule="auto"/>
      </w:pPr>
      <w:r>
        <w:t xml:space="preserve">4.3.6 Space Economy Corpus</w:t>
      </w:r>
    </w:p>
    <w:p>
      <w:pPr>
        <w:pStyle w:val="FirstParagraph"/>
        <w:spacing w:line="480" w:lineRule="auto"/>
      </w:pPr>
      <w:r>
        <w:t xml:space="preserve">The Space Economy Papers corpus supplies the policy-framing variables that condition the cost-of-capacity interpretation in the discussion sections of both papers. The dissertation draws on sources SD02, SD03, SD09, and SD13 of the corpus [4, 8, 9, 10] for the spectrum allocation and orbital classification material, on the Weinzierl analysis in the Journal of Economic Perspectives</w:t>
      </w:r>
      <w:r>
        <w:t xml:space="preserve"> </w:t>
      </w:r>
      <w:hyperlink w:anchor="ref-25">
        <w:r>
          <w:rPr>
            <w:rStyle w:val="Hyperlink"/>
          </w:rPr>
          <w:t xml:space="preserve">[25]</w:t>
        </w:r>
      </w:hyperlink>
      <w:r>
        <w:t xml:space="preserve"> </w:t>
      </w:r>
      <w:r>
        <w:t xml:space="preserve">for the price-theoretic framing of public capacity provision, and on the OECD Space Economy in Figures report</w:t>
      </w:r>
      <w:r>
        <w:t xml:space="preserve"> </w:t>
      </w:r>
      <w:hyperlink w:anchor="ref-26">
        <w:r>
          <w:rPr>
            <w:rStyle w:val="Hyperlink"/>
          </w:rPr>
          <w:t xml:space="preserve">[26]</w:t>
        </w:r>
      </w:hyperlink>
      <w:r>
        <w:t xml:space="preserve"> </w:t>
      </w:r>
      <w:r>
        <w:t xml:space="preserve">for the international comparison baselines. These sources do not contribute cells to the regression matrices themselves; they contribute identifying assumptions and conditioning scenarios documented in Chapter 5.</w:t>
      </w:r>
    </w:p>
    <w:bookmarkEnd w:id="90"/>
    <w:bookmarkEnd w:id="91"/>
    <w:bookmarkStart w:id="98" w:name="variable-construction"/>
    <w:p>
      <w:pPr>
        <w:pStyle w:val="Heading2"/>
        <w:spacing w:line="480" w:lineRule="auto"/>
      </w:pPr>
      <w:r>
        <w:t xml:space="preserve">4.4 Variable Construction</w:t>
      </w:r>
    </w:p>
    <w:bookmarkStart w:id="92" w:name="cost"/>
    <w:p>
      <w:pPr>
        <w:pStyle w:val="Heading3"/>
        <w:spacing w:line="480" w:lineRule="auto"/>
      </w:pPr>
      <w:r>
        <w:t xml:space="preserve">4.4.1 Cost</w:t>
      </w:r>
    </w:p>
    <w:p>
      <w:pPr>
        <w:pStyle w:val="FirstParagraph"/>
        <w:spacing w:line="480" w:lineRule="auto"/>
      </w:pPr>
      <w:r>
        <w:t xml:space="preserve">Recurring terminal-plus-integration cost is the dependent variable in both estimating papers. The construction rule is identical across papers up to the inflation index. The first paper expresses cost in FY2025 USD millions; the second paper expresses cost in 2024 USD millions. For each row, the raw cost figure is taken from the primary source identified in the row’s source field, deflated by the relevant year-on-year inflation index, and rounded to the precision reported in the source. For rows whose primary source is a GAO Major Project Assessment, the raw figure is the development-plus-formulation cost reported for the communications payload; for rows whose primary source is a NASA OIG audit, the raw figure is the audited programme cost; for rows whose primary source is an SEC 10-K filing, the raw figure is the disclosed unit cost; for rows whose primary source is a Department of the Air Force budget exhibit, the raw figure is the unit cost reported in the relevant procurement line. Where a source reports a range, the midpoint is used and the range is recorded in the provenance file. Where a source reports a programme-level figure that requires allocation to a comms subsystem, the row carries the illustrative flag described in Section 4.5.</w:t>
      </w:r>
    </w:p>
    <w:bookmarkEnd w:id="92"/>
    <w:bookmarkStart w:id="93" w:name="peak-data-rate"/>
    <w:p>
      <w:pPr>
        <w:pStyle w:val="Heading3"/>
        <w:spacing w:line="480" w:lineRule="auto"/>
      </w:pPr>
      <w:r>
        <w:t xml:space="preserve">4.4.2 Peak Data Rate</w:t>
      </w:r>
    </w:p>
    <w:p>
      <w:pPr>
        <w:pStyle w:val="FirstParagraph"/>
        <w:spacing w:line="480" w:lineRule="auto"/>
      </w:pPr>
      <w:r>
        <w:t xml:space="preserve">Peak data rate is the principal independent variable in the first paper and one of three engineering covariates in the second. The construction rule takes the maximum demonstrated link rate reported in a refereed source for the link or terminal. For NASA flight demonstrations, this is the rate reported in the SPIE Proceedings or NTRS paper most closely associated with the post-flight data release: 622 Mbps for the Lunar Laser Communication Demonstration [12, 23], 1.244 Gbps for the Laser Communications Relay Demonstration</w:t>
      </w:r>
      <w:r>
        <w:t xml:space="preserve"> </w:t>
      </w:r>
      <w:hyperlink w:anchor="ref-13">
        <w:r>
          <w:rPr>
            <w:rStyle w:val="Hyperlink"/>
          </w:rPr>
          <w:t xml:space="preserve">[13]</w:t>
        </w:r>
      </w:hyperlink>
      <w:r>
        <w:t xml:space="preserve">, 200 Gbps for the TeraByte Infrared Delivery downlink</w:t>
      </w:r>
      <w:r>
        <w:t xml:space="preserve"> </w:t>
      </w:r>
      <w:hyperlink w:anchor="ref-14">
        <w:r>
          <w:rPr>
            <w:rStyle w:val="Hyperlink"/>
          </w:rPr>
          <w:t xml:space="preserve">[14]</w:t>
        </w:r>
      </w:hyperlink>
      <w:r>
        <w:t xml:space="preserve">, and 267 Mbps at 0.33 astronomical units for the Deep Space Optical Communications first-light demonstration</w:t>
      </w:r>
      <w:r>
        <w:t xml:space="preserve"> </w:t>
      </w:r>
      <w:hyperlink w:anchor="ref-18">
        <w:r>
          <w:rPr>
            <w:rStyle w:val="Hyperlink"/>
          </w:rPr>
          <w:t xml:space="preserve">[18]</w:t>
        </w:r>
      </w:hyperlink>
      <w:r>
        <w:t xml:space="preserve">. For deep-space radio-frequency systems, the rate is the maximum demonstrated downlink reported in the DESCANSO summary for the mission</w:t>
      </w:r>
      <w:r>
        <w:t xml:space="preserve"> </w:t>
      </w:r>
      <w:hyperlink w:anchor="ref-15">
        <w:r>
          <w:rPr>
            <w:rStyle w:val="Hyperlink"/>
          </w:rPr>
          <w:t xml:space="preserve">[15]</w:t>
        </w:r>
      </w:hyperlink>
      <w:r>
        <w:t xml:space="preserve">. For Earth-observation downlinks, the rate is the operator-disclosed peak. For optical crosslinks on commercial constellations, the rate is the operator-disclosed throughput from the relevant FCC filing</w:t>
      </w:r>
      <w:r>
        <w:t xml:space="preserve"> </w:t>
      </w:r>
      <w:hyperlink w:anchor="ref-27">
        <w:r>
          <w:rPr>
            <w:rStyle w:val="Hyperlink"/>
          </w:rPr>
          <w:t xml:space="preserve">[27]</w:t>
        </w:r>
      </w:hyperlink>
      <w:r>
        <w:t xml:space="preserve">. The variable is expressed in megabits per second in the first paper and in gigabits per second in the second; the conversion is mechanical and recorded in the provenance file.</w:t>
      </w:r>
    </w:p>
    <w:bookmarkEnd w:id="93"/>
    <w:bookmarkStart w:id="94" w:name="terminal-dry-mass"/>
    <w:p>
      <w:pPr>
        <w:pStyle w:val="Heading3"/>
        <w:spacing w:line="480" w:lineRule="auto"/>
      </w:pPr>
      <w:r>
        <w:t xml:space="preserve">4.4.3 Terminal Dry Mass</w:t>
      </w:r>
    </w:p>
    <w:p>
      <w:pPr>
        <w:pStyle w:val="FirstParagraph"/>
        <w:spacing w:line="480" w:lineRule="auto"/>
      </w:pPr>
      <w:r>
        <w:t xml:space="preserve">Terminal dry mass is recorded in kilograms and applies only to the second paper. The construction rule takes the dry-mass figure reported in the refereed engineering literature [2, 3, 5, 22, 24] for the terminal as flown or as currently specified for serial production, with contractor data sheets used to fill cells for terminals whose mass is not separately reported in the open literature. Where a paper reports both a development mass and a flight mass for the same terminal, the flight mass is used; where a contractor data sheet reports a mass range across product variants, the variant matched to the row’s other engineering parameters is used and the range is recorded. The dissertation does not impute mass from power or aperture; rows whose mass cannot be independently sourced are dropped.</w:t>
      </w:r>
    </w:p>
    <w:bookmarkEnd w:id="94"/>
    <w:bookmarkStart w:id="95" w:name="steady-state-payload-dc-power"/>
    <w:p>
      <w:pPr>
        <w:pStyle w:val="Heading3"/>
        <w:spacing w:line="480" w:lineRule="auto"/>
      </w:pPr>
      <w:r>
        <w:t xml:space="preserve">4.4.4 Steady-State Payload DC Power</w:t>
      </w:r>
    </w:p>
    <w:p>
      <w:pPr>
        <w:pStyle w:val="FirstParagraph"/>
        <w:spacing w:line="480" w:lineRule="auto"/>
      </w:pPr>
      <w:r>
        <w:t xml:space="preserve">Steady-state payload DC power is recorded in watts and applies only to the second paper. The construction rule takes the steady-state input-power figure reported in the refereed engineering literature for the terminal in its primary operating mode, with contractor data sheets used as a backup source. Peak-power excursions during initial acquisition or tracking lock are not included; the variable measures the steady-state demand that conditions sizing of the bus power subsystem and is therefore the variable that conditions recurring cost in the engineering-economics literature [1, 11]. Where a paper reports separate transmit and receive power, the sum is used.</w:t>
      </w:r>
    </w:p>
    <w:bookmarkEnd w:id="95"/>
    <w:bookmarkStart w:id="96" w:name="modality-indicator"/>
    <w:p>
      <w:pPr>
        <w:pStyle w:val="Heading3"/>
        <w:spacing w:line="480" w:lineRule="auto"/>
      </w:pPr>
      <w:r>
        <w:t xml:space="preserve">4.4.5 Modality Indicator</w:t>
      </w:r>
    </w:p>
    <w:p>
      <w:pPr>
        <w:pStyle w:val="FirstParagraph"/>
        <w:spacing w:line="480" w:lineRule="auto"/>
      </w:pPr>
      <w:r>
        <w:t xml:space="preserve">The modality indicator is a binary variable that takes the value one if the terminal uses a free-space optical channel and zero if it uses any radio-frequency band. The variable is constructed mechanically from the modality field of the source paper and is not subject to discretionary allocation. The first paper uses the indicator for visual inspection of the log-log plane in Section 5 of the paper; the second paper uses it as the regressor of interest in the multivariate specification.</w:t>
      </w:r>
    </w:p>
    <w:bookmarkEnd w:id="96"/>
    <w:bookmarkStart w:id="97" w:name="atmospheric-availability-and-covariates"/>
    <w:p>
      <w:pPr>
        <w:pStyle w:val="Heading3"/>
        <w:spacing w:line="480" w:lineRule="auto"/>
      </w:pPr>
      <w:r>
        <w:t xml:space="preserve">4.4.6 Atmospheric Availability and Covariates</w:t>
      </w:r>
    </w:p>
    <w:p>
      <w:pPr>
        <w:pStyle w:val="FirstParagraph"/>
        <w:spacing w:line="480" w:lineRule="auto"/>
      </w:pPr>
      <w:r>
        <w:t xml:space="preserve">Atmospheric availability is the dependent variable in the stage-one panel regression that motivates the optical sub-sample. The unit of observation is the site-day. The construction rule takes the published availability fraction from the AMOS site-characterization series [6, 7] and the LCRD first-results paper</w:t>
      </w:r>
      <w:r>
        <w:t xml:space="preserve"> </w:t>
      </w:r>
      <w:hyperlink w:anchor="ref-1">
        <w:r>
          <w:rPr>
            <w:rStyle w:val="Hyperlink"/>
          </w:rPr>
          <w:t xml:space="preserve">[1]</w:t>
        </w:r>
      </w:hyperlink>
      <w:r>
        <w:t xml:space="preserve"> </w:t>
      </w:r>
      <w:r>
        <w:t xml:space="preserve">as the dependent variable, and constructs the covariates from the NOAA Integrated Surface Database hourly cloud-cover and ceiling observations for the surface station co-located with or nearest to each optical-ground site. The covariates are the site-day mean cloud-cover fraction, integrated water vapor where reported, and the Fried parameter where reported. Cloud-cover fraction is the principal covariate because it is the only covariate available continuously across both sites in the sample. The ground-to-space terminal performance literature on low-Earth-orbit links</w:t>
      </w:r>
      <w:r>
        <w:t xml:space="preserve"> </w:t>
      </w:r>
      <w:hyperlink w:anchor="ref-41">
        <w:r>
          <w:rPr>
            <w:rStyle w:val="Hyperlink"/>
          </w:rPr>
          <w:t xml:space="preserve">[41]</w:t>
        </w:r>
      </w:hyperlink>
      <w:r>
        <w:t xml:space="preserve"> </w:t>
      </w:r>
      <w:r>
        <w:t xml:space="preserve">is used to validate the link-budget translation from atmospheric covariate to availability fraction.</w:t>
      </w:r>
    </w:p>
    <w:bookmarkEnd w:id="97"/>
    <w:bookmarkEnd w:id="98"/>
    <w:bookmarkStart w:id="99" w:name="the-provenance-flag"/>
    <w:p>
      <w:pPr>
        <w:pStyle w:val="Heading2"/>
        <w:spacing w:line="480" w:lineRule="auto"/>
      </w:pPr>
      <w:r>
        <w:t xml:space="preserve">4.5 The Provenance Flag</w:t>
      </w:r>
    </w:p>
    <w:p>
      <w:pPr>
        <w:pStyle w:val="FirstParagraph"/>
        <w:spacing w:line="480" w:lineRule="auto"/>
      </w:pPr>
      <w:r>
        <w:t xml:space="preserve">A small share of cost cells in both papers carry an illustrative flag in the source field. The flag is set when the published source reports an aggregate programme cost that had to be allocated to the communications subsystem to produce the row’s cost cell, and the allocation share is not separately disclosed in the source. The first paper reports that fewer than fifteen percent of rows carry this flag; the second paper reports the same upper bound. The flag is not a confidence interval. It is a documentary annotation that names the rows whose cost cell depends on an allocation step that a reader cannot reproduce from the cited source alone. Chapter 5 reports sensitivity of the headline elasticity to the exclusion of flagged rows; the directional finding of the first paper survives that exclusion, and the partial coefficient on the modality dummy in the second paper is reported with and without the flagged rows in the robustness table.</w:t>
      </w:r>
    </w:p>
    <w:p>
      <w:pPr>
        <w:pStyle w:val="BodyText"/>
        <w:spacing w:line="480" w:lineRule="auto"/>
        <w:ind w:firstLine="720"/>
      </w:pPr>
      <w:r>
        <w:t xml:space="preserve">The decision to retain rather than drop flagged rows in the headline specifications reflects the trade-off between sample size and within-row reproducibility. The flagged rows include several of the science-mission rows whose communications subsystem cost must be allocated from the project-level GAO figure</w:t>
      </w:r>
      <w:r>
        <w:t xml:space="preserve"> </w:t>
      </w:r>
      <w:hyperlink w:anchor="ref-16">
        <w:r>
          <w:rPr>
            <w:rStyle w:val="Hyperlink"/>
          </w:rPr>
          <w:t xml:space="preserve">[16]</w:t>
        </w:r>
      </w:hyperlink>
      <w:r>
        <w:t xml:space="preserve"> </w:t>
      </w:r>
      <w:r>
        <w:t xml:space="preserve">and several of the commercial terminals whose unit cost must be allocated from the operator’s consolidated 10-K filing. Dropping these rows would shrink the sample to a size at which neither paper’s standard errors would support inference. Retaining them with a documentary flag preserves the inferential power of the sample while making the allocation step visible to the reader.</w:t>
      </w:r>
    </w:p>
    <w:bookmarkEnd w:id="99"/>
    <w:bookmarkStart w:id="100" w:name="X3d21b45bd4db3b30d0086d34329fb815190a502"/>
    <w:p>
      <w:pPr>
        <w:pStyle w:val="Heading2"/>
        <w:spacing w:line="480" w:lineRule="auto"/>
      </w:pPr>
      <w:r>
        <w:t xml:space="preserve">4.6 Measurement Quality Against the Threats to Validity</w:t>
      </w:r>
    </w:p>
    <w:p>
      <w:pPr>
        <w:pStyle w:val="FirstParagraph"/>
        <w:spacing w:line="480" w:lineRule="auto"/>
      </w:pPr>
      <w:r>
        <w:t xml:space="preserve">Four threats to validity were identified in the prospectus. Each is now assessed against the measurement protocol.</w:t>
      </w:r>
    </w:p>
    <w:p>
      <w:pPr>
        <w:pStyle w:val="BodyText"/>
        <w:spacing w:line="480" w:lineRule="auto"/>
        <w:ind w:firstLine="720"/>
      </w:pPr>
      <w:r>
        <w:t xml:space="preserve">The first threat is sample-selection bias in the optical-ground-station sites that anchor the availability regression. The Haleakala and Mount Stromlo sites are not a random sample of candidate sites; they were selected on prior surveys judging them favorable for optical operations. The measurement protocol responds by reporting the availability surface only within the convex hull of observed site climatology, not by extrapolation. Chapter 5 reports the headline cost-of-capacity result both at the observed site climatology and at a synthetic median-site climatology constructed from the NOAA station network; the gap between the two is reported as a sensitivity rather than absorbed into the point estimate.</w:t>
      </w:r>
    </w:p>
    <w:p>
      <w:pPr>
        <w:pStyle w:val="BodyText"/>
        <w:spacing w:line="480" w:lineRule="auto"/>
        <w:ind w:firstLine="720"/>
      </w:pPr>
      <w:r>
        <w:t xml:space="preserve">The second threat is non-stationarity in atmospheric covariates. If cloud-cover regimes are shifting on decadal timescales, the historical site-day record is a biased estimate of future availability. The measurement protocol responds by running the stage-one regression on the most recent decade of NOAA records and reporting the slope on a linear time trend as a sensitivity. Chapter 5 reports the cost-of-capacity result under three trend scenarios labelled in the source-aligned scenario file.</w:t>
      </w:r>
    </w:p>
    <w:p>
      <w:pPr>
        <w:pStyle w:val="BodyText"/>
        <w:spacing w:line="480" w:lineRule="auto"/>
        <w:ind w:firstLine="720"/>
      </w:pPr>
      <w:r>
        <w:t xml:space="preserve">The third threat is omitted-variable bias in terminal cost. The engineering literature documents mass, power, and data rate, but unit cost at scale is sparsely disclosed for terminals not yet in serial production. The measurement protocol responds by sweeping the amortized terminal cost as a transparent parameter rather than imputing a point value. The second paper’s modality coefficient is reported across the parameter sweep in the robustness section, and the cost-of-capacity surface in Chapter 5 is similarly a function of the sweep rather than a single point.</w:t>
      </w:r>
    </w:p>
    <w:p>
      <w:pPr>
        <w:pStyle w:val="BodyText"/>
        <w:spacing w:line="480" w:lineRule="auto"/>
        <w:ind w:firstLine="720"/>
      </w:pPr>
      <w:r>
        <w:t xml:space="preserve">The fourth threat is spectrum-policy endogeneity on the radio-frequency side. The marginal cost of incremental Ka-band capacity depends on regulatory allocations administered through the International Telecommunication Union and the Federal Communications Commission, which are themselves responsive to operator demand. The measurement protocol treats the allocation regime in force at the row’s procurement vintage as fixed for that row, and the dissertation flags this as a scope condition rather than a tested claim. Chapter 5 reports the cost-of-capacity result on the assumption that the current allocation regime persists across the analysis horizon and discusses the boundary conditions under which that assumption would fail.</w:t>
      </w:r>
    </w:p>
    <w:p>
      <w:pPr>
        <w:pStyle w:val="BodyText"/>
        <w:spacing w:line="480" w:lineRule="auto"/>
        <w:ind w:firstLine="720"/>
      </w:pPr>
      <w:r>
        <w:t xml:space="preserve">The measurement protocol is therefore designed to make the inferential claims of Chapters 5 and 6 robust to the principal threats identified in the prospectus, at the price of accepting a sample that is bounded by the availability of primary documentation rather than by the size of the underlying population. The chapter that follows applies the protocol and reports the estimates.</w:t>
      </w:r>
    </w:p>
    <w:bookmarkEnd w:id="100"/>
    <w:bookmarkEnd w:id="101"/>
    <w:bookmarkStart w:id="110" w:name="chapter-5.-methods-and-identification"/>
    <w:p>
      <w:pPr>
        <w:pStyle w:val="Heading1"/>
        <w:spacing w:line="480" w:lineRule="auto"/>
      </w:pPr>
      <w:r>
        <w:t xml:space="preserve">Chapter 5. Methods and Identification</w:t>
      </w:r>
    </w:p>
    <w:bookmarkStart w:id="102" w:name="overview-of-the-estimation-strategy"/>
    <w:p>
      <w:pPr>
        <w:pStyle w:val="Heading2"/>
        <w:spacing w:line="480" w:lineRule="auto"/>
      </w:pPr>
      <w:r>
        <w:t xml:space="preserve">5.1 Overview of the Estimation Strategy</w:t>
      </w:r>
    </w:p>
    <w:p>
      <w:pPr>
        <w:pStyle w:val="FirstParagraph"/>
        <w:spacing w:line="480" w:lineRule="auto"/>
      </w:pPr>
      <w:r>
        <w:t xml:space="preserve">The dissertation answers a single quantitative question: at what marginal cost per delivered gigabit-hour does each modality, radio-frequency (RF) and free-space optical (FSO), supply civil broadband downlink capacity once site meteorology, terminal amortization, and constellation geometry are jointly modeled. The answer requires three estimators rather than one, because the question decomposes into three identifiable parameters that no single specification can recover cleanly. The first parameter is the conditional probability that a site-day delivers usable optical link availability given a vector of atmospheric covariates. The second is the elasticity of recurring terminal unit cost with respect to throughput, mass, and power, conditional on modality. The third is the difference-in-distributions between the modality-specific cost-per-delivered-gigabit-hour distributions, propagated through a Monte Carlo simulator that ingests the first two estimators as inputs.</w:t>
      </w:r>
    </w:p>
    <w:p>
      <w:pPr>
        <w:pStyle w:val="BodyText"/>
        <w:spacing w:line="480" w:lineRule="auto"/>
        <w:ind w:firstLine="720"/>
      </w:pPr>
      <w:r>
        <w:t xml:space="preserve">The architecture is deliberately sequential. Stage one is a panel regression on site-day observational meteorology, identified within site by exogenous variation in atmospheric covariates. Stage two is a multivariate ordinary least squares (OLS) log-log cost model on flown terminals, identified by cross-sectional variation in engineering envelope and modality, with heteroskedasticity-consistent inference. Stage three is a Monte Carlo simulator that combines the stage-one availability surface and the stage-two cost surface, draws joint realizations under a sweep of procurement scenarios, and returns the empirical distribution of the cost-of-capacity ratio. The pooled univariate learning-curve regression reported in the companion paper to this dissertation</w:t>
      </w:r>
      <w:r>
        <w:t xml:space="preserve"> </w:t>
      </w:r>
      <w:hyperlink w:anchor="ref-11">
        <w:r>
          <w:rPr>
            <w:rStyle w:val="Hyperlink"/>
          </w:rPr>
          <w:t xml:space="preserve">[11]</w:t>
        </w:r>
      </w:hyperlink>
      <w:r>
        <w:t xml:space="preserve"> </w:t>
      </w:r>
      <w:r>
        <w:t xml:space="preserve">is retained as a baseline against which the multivariate Stage-two specification is bench-marked, on the empirical finding from that companion analysis that the modality variable carries far more explanatory weight than a single log-log slope can absorb.</w:t>
      </w:r>
    </w:p>
    <w:p>
      <w:pPr>
        <w:pStyle w:val="BodyText"/>
        <w:spacing w:line="480" w:lineRule="auto"/>
        <w:ind w:firstLine="720"/>
      </w:pPr>
      <w:r>
        <w:t xml:space="preserve">This chapter walks through each estimator in turn, states its identifying assumption in formal terms, names the data it consumes, and bounds the threats to validity it faces. Section 5.6 then collects the four threats that bind across the three stages and explains how each is bounded or, where it cannot be bounded, how it is reported as a scope condition rather than a tested claim. The chapter closes by registering the pre-analysis sensitivity sweeps that protect the headline cost-of-capacity result from being a single point estimate dressed in confidence intervals.</w:t>
      </w:r>
    </w:p>
    <w:bookmarkEnd w:id="102"/>
    <w:bookmarkStart w:id="103" w:name="X41c2b9d9175c06ca8028203580e7b121d9599a1"/>
    <w:p>
      <w:pPr>
        <w:pStyle w:val="Heading2"/>
        <w:spacing w:line="480" w:lineRule="auto"/>
      </w:pPr>
      <w:r>
        <w:t xml:space="preserve">5.2 Stage One: The Atmospheric Availability Panel</w:t>
      </w:r>
    </w:p>
    <w:p>
      <w:pPr>
        <w:pStyle w:val="FirstParagraph"/>
        <w:spacing w:line="480" w:lineRule="auto"/>
      </w:pPr>
      <w:r>
        <w:t xml:space="preserve">The first stage estimates the conditional probability that an optical ground station delivers usable link availability on a given site-day. The unit of observation is site-day. The dependent variable is a binary or continuous availability indicator constructed from the published optical-ground-station availability series reported in the AMOS proceedings for Haleakala</w:t>
      </w:r>
      <w:r>
        <w:t xml:space="preserve"> </w:t>
      </w:r>
      <w:hyperlink w:anchor="ref-6">
        <w:r>
          <w:rPr>
            <w:rStyle w:val="Hyperlink"/>
          </w:rPr>
          <w:t xml:space="preserve">[6]</w:t>
        </w:r>
      </w:hyperlink>
      <w:r>
        <w:t xml:space="preserve"> </w:t>
      </w:r>
      <w:r>
        <w:t xml:space="preserve">and for the Mount Stromlo facility</w:t>
      </w:r>
      <w:r>
        <w:t xml:space="preserve"> </w:t>
      </w:r>
      <w:hyperlink w:anchor="ref-7">
        <w:r>
          <w:rPr>
            <w:rStyle w:val="Hyperlink"/>
          </w:rPr>
          <w:t xml:space="preserve">[7]</w:t>
        </w:r>
      </w:hyperlink>
      <w:r>
        <w:t xml:space="preserve">, augmented by the LCRD adaptive-optics first-results characterization at Optical Ground Station One</w:t>
      </w:r>
      <w:r>
        <w:t xml:space="preserve"> </w:t>
      </w:r>
      <w:hyperlink w:anchor="ref-1">
        <w:r>
          <w:rPr>
            <w:rStyle w:val="Hyperlink"/>
          </w:rPr>
          <w:t xml:space="preserve">[1]</w:t>
        </w:r>
      </w:hyperlink>
      <w:r>
        <w:t xml:space="preserve">. The covariates are drawn from the NOAA Integrated Surface Database (ISD) hourly cloud-cover, ceiling, and humidity observations at the surface stations co-located with, or geographically nearest to, each instrumented optical site. Where the published characterization studies report integrated water vapor and Fried parameter, those covariates enter as additional regressors on a sub-sample basis.</w:t>
      </w:r>
    </w:p>
    <w:p>
      <w:pPr>
        <w:pStyle w:val="BodyText"/>
        <w:spacing w:line="480" w:lineRule="auto"/>
        <w:ind w:firstLine="720"/>
      </w:pPr>
      <w:r>
        <w:t xml:space="preserve">The specification is a linear-in-parameters panel regression of the form</w:t>
      </w:r>
    </w:p>
    <w:p>
      <w:pPr>
        <w:pStyle w:val="BodyText"/>
        <w:spacing w:line="480" w:lineRule="auto"/>
        <w:ind w:firstLine="720"/>
      </w:pPr>
      <w:r>
        <w:t xml:space="preserve">A_{i,t} = alpha_i + X_{i,t} beta + tau_t + epsilon_{i,t},</w:t>
      </w:r>
    </w:p>
    <w:p>
      <w:pPr>
        <w:pStyle w:val="BodyText"/>
        <w:spacing w:line="480" w:lineRule="auto"/>
        <w:ind w:firstLine="720"/>
      </w:pPr>
      <w:r>
        <w:t xml:space="preserve">where A_{i,t} is the site-day availability indicator at site i on day t, alpha_i is a site fixed effect, X_{i,t} is the vector of meteorological covariates, tau_t is a year fixed effect to absorb decadal trends in regional climatology, and epsilon_{i,t} is a site-clustered error term. Standard errors are clustered at the site level because adjacent site-days at the same facility are mechanically autocorrelated through synoptic weather systems.</w:t>
      </w:r>
    </w:p>
    <w:p>
      <w:pPr>
        <w:pStyle w:val="BodyText"/>
        <w:spacing w:line="480" w:lineRule="auto"/>
        <w:ind w:firstLine="720"/>
      </w:pPr>
      <w:r>
        <w:t xml:space="preserve">The identifying assumption is that, conditional on the site fixed effect and the year fixed effect, within-site variation in the meteorological covariates is uncorrelated with unobserved determinants of optical link availability. The assumption is defensible because the within-site variation is generated by exogenous atmospheric processes, not by operator choices, and because the small number of operational optical ground sites characterized in the open literature [1, 6, 7] all carry stable instrumentation configurations across the observation window. The siting decision itself is endogenous, as Felton and Alliss make plain in their treatment of Haleakala</w:t>
      </w:r>
      <w:r>
        <w:t xml:space="preserve"> </w:t>
      </w:r>
      <w:hyperlink w:anchor="ref-6">
        <w:r>
          <w:rPr>
            <w:rStyle w:val="Hyperlink"/>
          </w:rPr>
          <w:t xml:space="preserve">[6]</w:t>
        </w:r>
      </w:hyperlink>
      <w:r>
        <w:t xml:space="preserve"> </w:t>
      </w:r>
      <w:r>
        <w:t xml:space="preserve">and as the Mount Stromlo characterization implicitly acknowledges</w:t>
      </w:r>
      <w:r>
        <w:t xml:space="preserve"> </w:t>
      </w:r>
      <w:hyperlink w:anchor="ref-7">
        <w:r>
          <w:rPr>
            <w:rStyle w:val="Hyperlink"/>
          </w:rPr>
          <w:t xml:space="preserve">[7]</w:t>
        </w:r>
      </w:hyperlink>
      <w:r>
        <w:t xml:space="preserve">, but the siting decision is absorbed by the site fixed effect and does not contaminate the within-site coefficient on cloud-cover fraction or any other meteorological regressor.</w:t>
      </w:r>
    </w:p>
    <w:p>
      <w:pPr>
        <w:pStyle w:val="BodyText"/>
        <w:spacing w:line="480" w:lineRule="auto"/>
        <w:ind w:firstLine="720"/>
      </w:pPr>
      <w:r>
        <w:t xml:space="preserve">The estimand returned by Stage one is the conditional availability surface A_hat(X), which is the input to the Stage-three simulator. The surface is estimated in-sample only and is not extrapolated beyond the convex hull of observed site climatologies, in keeping with the conservative posture stated in the prospectus.</w:t>
      </w:r>
    </w:p>
    <w:bookmarkEnd w:id="103"/>
    <w:bookmarkStart w:id="104" w:name="stage-two-the-multivariate-cost-surface"/>
    <w:p>
      <w:pPr>
        <w:pStyle w:val="Heading2"/>
        <w:spacing w:line="480" w:lineRule="auto"/>
      </w:pPr>
      <w:r>
        <w:t xml:space="preserve">5.3 Stage Two: The Multivariate Cost Surface</w:t>
      </w:r>
    </w:p>
    <w:p>
      <w:pPr>
        <w:pStyle w:val="FirstParagraph"/>
        <w:spacing w:line="480" w:lineRule="auto"/>
      </w:pPr>
      <w:r>
        <w:t xml:space="preserve">The second stage estimates the recurring unit-cost surface for space-communications terminals as a function of throughput, mass, power, and a modality indicator. The estimator is OLS in a log-log specification with HC1 heteroskedasticity-consistent standard errors. The specification is</w:t>
      </w:r>
    </w:p>
    <w:p>
      <w:pPr>
        <w:pStyle w:val="BodyText"/>
        <w:spacing w:line="480" w:lineRule="auto"/>
        <w:ind w:firstLine="720"/>
      </w:pPr>
      <w:r>
        <w:t xml:space="preserve">ln C_j = gamma_0 + gamma_R ln R_j + gamma_M ln M_j + gamma_P ln P_j + gamma_O D_j + u_j,</w:t>
      </w:r>
    </w:p>
    <w:p>
      <w:pPr>
        <w:pStyle w:val="BodyText"/>
        <w:spacing w:line="480" w:lineRule="auto"/>
        <w:ind w:firstLine="720"/>
      </w:pPr>
      <w:r>
        <w:t xml:space="preserve">where C_j is recurring unit cost in 2024 USD millions for terminal j, R_j is peak data rate in gigabits per second, M_j is terminal dry mass in kilograms, P_j is steady-state DC payload power in watts, D_j is a binary indicator equal to one for optical terminals and zero for RF terminals, and u_j is a cross-sectional error term. The log transforms on the continuous regressors deliver constant-elasticity coefficients; the dummy coefficient delivers the average difference in log unit cost between an optical and an RF terminal of the same engineering envelope.</w:t>
      </w:r>
    </w:p>
    <w:p>
      <w:pPr>
        <w:pStyle w:val="BodyText"/>
        <w:spacing w:line="480" w:lineRule="auto"/>
        <w:ind w:firstLine="720"/>
      </w:pPr>
      <w:r>
        <w:t xml:space="preserve">This specification is the one already estimated on a thirty-two-terminal cross-section in the companion paper to this dissertation, with results returning an R-squared of 0.77, a strong positive elasticity on log mass, a positive but insignificant elasticity on log throughput, an insignificant elasticity on log power, and a positive coefficient on the optical dummy that is borderline significant at the ten-percent level. The companion paper interprets the positive optical-dummy coefficient as a sample-period artifact driven by the non-recurring engineering content embedded in first-flight demonstration accounting for LCRD [13, 19], LLCD [12, 23], TBIRD</w:t>
      </w:r>
      <w:r>
        <w:t xml:space="preserve"> </w:t>
      </w:r>
      <w:hyperlink w:anchor="ref-14">
        <w:r>
          <w:rPr>
            <w:rStyle w:val="Hyperlink"/>
          </w:rPr>
          <w:t xml:space="preserve">[14]</w:t>
        </w:r>
      </w:hyperlink>
      <w:r>
        <w:t xml:space="preserve">, DSOC</w:t>
      </w:r>
      <w:r>
        <w:t xml:space="preserve"> </w:t>
      </w:r>
      <w:hyperlink w:anchor="ref-18">
        <w:r>
          <w:rPr>
            <w:rStyle w:val="Hyperlink"/>
          </w:rPr>
          <w:t xml:space="preserve">[18]</w:t>
        </w:r>
      </w:hyperlink>
      <w:r>
        <w:t xml:space="preserve">, and EDRS</w:t>
      </w:r>
      <w:r>
        <w:t xml:space="preserve"> </w:t>
      </w:r>
      <w:hyperlink w:anchor="ref-20">
        <w:r>
          <w:rPr>
            <w:rStyle w:val="Hyperlink"/>
          </w:rPr>
          <w:t xml:space="preserve">[20]</w:t>
        </w:r>
      </w:hyperlink>
      <w:r>
        <w:t xml:space="preserve">, against a comparison set of mature commercial Ka-band buses whose recurring unit cost has been amortized over volume production. The dissertation retains the specification, but treats the modality coefficient as time-varying and re-estimates the model on rolling windows once additional optical inter-satellite link unit-cost disclosures land in the FCC International Bureau Filing System</w:t>
      </w:r>
      <w:r>
        <w:t xml:space="preserve"> </w:t>
      </w:r>
      <w:hyperlink w:anchor="ref-27">
        <w:r>
          <w:rPr>
            <w:rStyle w:val="Hyperlink"/>
          </w:rPr>
          <w:t xml:space="preserve">[27]</w:t>
        </w:r>
      </w:hyperlink>
      <w:r>
        <w:t xml:space="preserve"> </w:t>
      </w:r>
      <w:r>
        <w:t xml:space="preserve">and in subsequent NASA OIG audits.</w:t>
      </w:r>
    </w:p>
    <w:p>
      <w:pPr>
        <w:pStyle w:val="BodyText"/>
        <w:spacing w:line="480" w:lineRule="auto"/>
        <w:ind w:firstLine="720"/>
      </w:pPr>
      <w:r>
        <w:t xml:space="preserve">The identifying assumption is that, conditional on log throughput, log mass, log power, and modality, the residual u_j is mean-independent of the regressors. The assumption is plausible for the engineering regressors because mass and power are reported in vendor data sheets, contractor disclosures, and refereed mission papers [22, 23, 24, 41] and are not subject to operator discretion at the unit-cost margin. The assumption is more strained for the modality dummy because the program-accounting heterogeneity discussed above is correlated with modality in the present sample. Section 5.6 returns to this threat and bounds it.</w:t>
      </w:r>
    </w:p>
    <w:p>
      <w:pPr>
        <w:pStyle w:val="BodyText"/>
        <w:spacing w:line="480" w:lineRule="auto"/>
        <w:ind w:firstLine="720"/>
      </w:pPr>
      <w:r>
        <w:t xml:space="preserve">A further specification check augments the linear OLS with a within-capacity-band comparison. Following the discussion in the first companion paper [11, 13, 14], the sample is partitioned into three capacity bands defined by orders of magnitude of peak data rate: LEO downlink (one to several hundred Gbps), GEO relay (hundreds of Mbps to a few Gbps), and deep-space (single-digit Mbps to several hundred Mbps). Within each band, the model is re-estimated with throughput, mass, and power as controls and the modality dummy as the focal coefficient. The within-band specification controls for the heterogeneity in mission distance and link-budget geometry that the pooled specification only partially absorbs. This procedure is consistent with the policy reading already advanced in the companion paper that the comparison between spectrum and photon channels should be conducted within capacity bands rather than across the full range.</w:t>
      </w:r>
    </w:p>
    <w:bookmarkEnd w:id="104"/>
    <w:bookmarkStart w:id="105" w:name="X0150b69bfde2f5bf3b83050c22f787b615e9e8b"/>
    <w:p>
      <w:pPr>
        <w:pStyle w:val="Heading2"/>
        <w:spacing w:line="480" w:lineRule="auto"/>
      </w:pPr>
      <w:r>
        <w:t xml:space="preserve">5.4 Stage Three: The Monte Carlo Capacity-Cost Simulator</w:t>
      </w:r>
    </w:p>
    <w:p>
      <w:pPr>
        <w:pStyle w:val="FirstParagraph"/>
        <w:spacing w:line="480" w:lineRule="auto"/>
      </w:pPr>
      <w:r>
        <w:t xml:space="preserve">The third stage propagates the Stage-one availability surface and the Stage-two cost surface through a Monte Carlo simulator that returns the empirical distribution of the cost-of-capacity ratio for each architecture under a sweep of procurement scenarios. The simulator is the load-bearing instrument of the dissertation because the H0 and H1 statements in the prospectus are statements about that distribution, not about any single regression coefficient.</w:t>
      </w:r>
    </w:p>
    <w:p>
      <w:pPr>
        <w:pStyle w:val="BodyText"/>
        <w:spacing w:line="480" w:lineRule="auto"/>
        <w:ind w:firstLine="720"/>
      </w:pPr>
      <w:r>
        <w:t xml:space="preserve">For each architecture, the simulator draws K joint realizations across the ground network. For the FSO architecture, each draw samples a site-day availability vector across N candidate ground sites from the Stage-one surface A_hat(X), conditioned on a joint meteorological state vector X. The joint draw preserves the correlation structure across sites that drives the site-diverse availability gain on which optical architectures rely. For the RF architecture, each draw samples a gateway availability vector across M Ka-band gateways from a published rain-fade availability surface conditioned on ITU rain-zone covariates for each gateway location. Both surfaces are calibrated such that the simulator is in distributional agreement with the published characterization studies at the sites for which characterization is available [1, 6, 7].</w:t>
      </w:r>
    </w:p>
    <w:p>
      <w:pPr>
        <w:pStyle w:val="BodyText"/>
        <w:spacing w:line="480" w:lineRule="auto"/>
        <w:ind w:firstLine="720"/>
      </w:pPr>
      <w:r>
        <w:t xml:space="preserve">Each draw is then evaluated against a published terminal data-rate envelope. For the FSO architecture, the envelope is drawn from the peer-reviewed terminal-class specifications of HICALI</w:t>
      </w:r>
      <w:r>
        <w:t xml:space="preserve"> </w:t>
      </w:r>
      <w:hyperlink w:anchor="ref-24">
        <w:r>
          <w:rPr>
            <w:rStyle w:val="Hyperlink"/>
          </w:rPr>
          <w:t xml:space="preserve">[24]</w:t>
        </w:r>
      </w:hyperlink>
      <w:r>
        <w:t xml:space="preserve">, CubeLCT</w:t>
      </w:r>
      <w:r>
        <w:t xml:space="preserve"> </w:t>
      </w:r>
      <w:hyperlink w:anchor="ref-3">
        <w:r>
          <w:rPr>
            <w:rStyle w:val="Hyperlink"/>
          </w:rPr>
          <w:t xml:space="preserve">[3]</w:t>
        </w:r>
      </w:hyperlink>
      <w:r>
        <w:t xml:space="preserve">, the VISION crosslink concept</w:t>
      </w:r>
      <w:r>
        <w:t xml:space="preserve"> </w:t>
      </w:r>
      <w:hyperlink w:anchor="ref-5">
        <w:r>
          <w:rPr>
            <w:rStyle w:val="Hyperlink"/>
          </w:rPr>
          <w:t xml:space="preserve">[5]</w:t>
        </w:r>
      </w:hyperlink>
      <w:r>
        <w:t xml:space="preserve">, the NICT-class miniaturized terminal</w:t>
      </w:r>
      <w:r>
        <w:t xml:space="preserve"> </w:t>
      </w:r>
      <w:hyperlink w:anchor="ref-2">
        <w:r>
          <w:rPr>
            <w:rStyle w:val="Hyperlink"/>
          </w:rPr>
          <w:t xml:space="preserve">[2]</w:t>
        </w:r>
      </w:hyperlink>
      <w:r>
        <w:t xml:space="preserve">, and the LCRD ground segment [1, 13]. For the RF architecture, the envelope is drawn from incumbent Ka-band system disclosures cross-referenced against the throughput envelope reported in the FCC International Bureau Filing System</w:t>
      </w:r>
      <w:r>
        <w:t xml:space="preserve"> </w:t>
      </w:r>
      <w:hyperlink w:anchor="ref-27">
        <w:r>
          <w:rPr>
            <w:rStyle w:val="Hyperlink"/>
          </w:rPr>
          <w:t xml:space="preserve">[27]</w:t>
        </w:r>
      </w:hyperlink>
      <w:r>
        <w:t xml:space="preserve"> </w:t>
      </w:r>
      <w:r>
        <w:t xml:space="preserve">and against the operator-class capacity claims documented in the spectrum-economics corpus</w:t>
      </w:r>
      <w:r>
        <w:t xml:space="preserve"> </w:t>
      </w:r>
      <w:hyperlink w:anchor="ref-4">
        <w:r>
          <w:rPr>
            <w:rStyle w:val="Hyperlink"/>
          </w:rPr>
          <w:t xml:space="preserve">[4]</w:t>
        </w:r>
      </w:hyperlink>
      <w:r>
        <w:t xml:space="preserve">. Delivered capacity in gigabit-hours per scenario duty cycle is then divided by amortized terminal-plus-ground-segment recurring cost, drawn from the Stage-two cost surface. The result is a per-draw realization of cost per delivered gigabit-hour for each architecture.</w:t>
      </w:r>
    </w:p>
    <w:p>
      <w:pPr>
        <w:pStyle w:val="BodyText"/>
        <w:spacing w:line="480" w:lineRule="auto"/>
        <w:ind w:firstLine="720"/>
      </w:pPr>
      <w:r>
        <w:t xml:space="preserve">The procurement-scenario sweep varies mission duty cycle, link distance, required availability percentile, and the number of ground sites N or gateways M. For each scenario, the simulator returns the empirical distribution of cost per delivered gigabit-hour. The estimand of interest is the difference-in-distributions, computed as the percentile-by-percentile difference between the FSO and RF distributions. The 95 percent confidence interval on this difference is reported by parametric bootstrap over the Stage-one and Stage-two coefficient estimates jointly, with the bootstrap draws stratified to preserve the small-sample structure of the terminal cross-section.</w:t>
      </w:r>
    </w:p>
    <w:p>
      <w:pPr>
        <w:pStyle w:val="BodyText"/>
        <w:spacing w:line="480" w:lineRule="auto"/>
        <w:ind w:firstLine="720"/>
      </w:pPr>
      <w:r>
        <w:t xml:space="preserve">The identifying assumption at this stage is that the joint distribution of meteorological covariates, terminal cost realizations, and operational duty cycles drawn by the simulator is an unbiased sample of the joint distribution facing a future operator at the same sites under the current spectrum allocation regime. The assumption is examined in Section 5.6.</w:t>
      </w:r>
    </w:p>
    <w:bookmarkEnd w:id="105"/>
    <w:bookmarkStart w:id="106" w:name="estimands-tests-and-decision-rule"/>
    <w:p>
      <w:pPr>
        <w:pStyle w:val="Heading2"/>
        <w:spacing w:line="480" w:lineRule="auto"/>
      </w:pPr>
      <w:r>
        <w:t xml:space="preserve">5.5 Estimands, Tests, and Decision Rule</w:t>
      </w:r>
    </w:p>
    <w:p>
      <w:pPr>
        <w:pStyle w:val="FirstParagraph"/>
        <w:spacing w:line="480" w:lineRule="auto"/>
      </w:pPr>
      <w:r>
        <w:t xml:space="preserve">The headline null hypothesis H0 stated in the prospectus is that the expected cost per delivered gigabit-hour is equal across the two architectures at the 95 percent confidence level under at least one realistic procurement scenario. The decision rule is operationalized as follows. H0 is rejected in favor of H1 for a given scenario if and only if the 95 percent confidence interval on the difference-in-distributions, at the median percentile of the cost-per-delivered-gigabit-hour distribution under that scenario, excludes zero. The dissertation reports the full parameter region of the procurement-scenario sweep over which H0 is rejected, and the parameter region over which it is not. The contribution is the boundary surface in scenario space, not a single point estimate.</w:t>
      </w:r>
    </w:p>
    <w:p>
      <w:pPr>
        <w:pStyle w:val="BodyText"/>
        <w:spacing w:line="480" w:lineRule="auto"/>
        <w:ind w:firstLine="720"/>
      </w:pPr>
      <w:r>
        <w:t xml:space="preserve">This decision rule is conservative for two reasons. First, it tests at the median rather than the mean of the cost distribution, because the cost distribution is skewed in the present sample and the mean is a poor representative of central tendency. Second, it requires rejection at the 95 percent level rather than the conventional 90 percent level used in much of the cost-engineering literature</w:t>
      </w:r>
      <w:r>
        <w:t xml:space="preserve"> </w:t>
      </w:r>
      <w:hyperlink w:anchor="ref-11">
        <w:r>
          <w:rPr>
            <w:rStyle w:val="Hyperlink"/>
          </w:rPr>
          <w:t xml:space="preserve">[11]</w:t>
        </w:r>
      </w:hyperlink>
      <w:r>
        <w:t xml:space="preserve">, so that the boundary surface is robust to the moderate sample sizes available to the terminal cross-section and the moderate number of operational optical ground sites in the open availability record.</w:t>
      </w:r>
    </w:p>
    <w:bookmarkEnd w:id="106"/>
    <w:bookmarkStart w:id="107" w:name="X1d189e0776bd0a9225211f020d00b109bd29bed"/>
    <w:p>
      <w:pPr>
        <w:pStyle w:val="Heading2"/>
        <w:spacing w:line="480" w:lineRule="auto"/>
      </w:pPr>
      <w:r>
        <w:t xml:space="preserve">5.6 Threats to Validity and How Each Is Bounded</w:t>
      </w:r>
    </w:p>
    <w:p>
      <w:pPr>
        <w:pStyle w:val="FirstParagraph"/>
        <w:spacing w:line="480" w:lineRule="auto"/>
      </w:pPr>
      <w:r>
        <w:t xml:space="preserve">Four threats merit explicit treatment. Each is named, bounded, and tied to a specific sensitivity report.</w:t>
      </w:r>
    </w:p>
    <w:p>
      <w:pPr>
        <w:pStyle w:val="BodyText"/>
        <w:spacing w:line="480" w:lineRule="auto"/>
        <w:ind w:firstLine="720"/>
      </w:pPr>
      <w:r>
        <w:t xml:space="preserve">The first is sample-selection bias in the published site-availability record. The optical ground sites characterized in the open literature, Haleakala</w:t>
      </w:r>
      <w:r>
        <w:t xml:space="preserve"> </w:t>
      </w:r>
      <w:hyperlink w:anchor="ref-6">
        <w:r>
          <w:rPr>
            <w:rStyle w:val="Hyperlink"/>
          </w:rPr>
          <w:t xml:space="preserve">[6]</w:t>
        </w:r>
      </w:hyperlink>
      <w:r>
        <w:t xml:space="preserve">, Mount Stromlo</w:t>
      </w:r>
      <w:r>
        <w:t xml:space="preserve"> </w:t>
      </w:r>
      <w:hyperlink w:anchor="ref-7">
        <w:r>
          <w:rPr>
            <w:rStyle w:val="Hyperlink"/>
          </w:rPr>
          <w:t xml:space="preserve">[7]</w:t>
        </w:r>
      </w:hyperlink>
      <w:r>
        <w:t xml:space="preserve">, and Optical Ground Station One</w:t>
      </w:r>
      <w:r>
        <w:t xml:space="preserve"> </w:t>
      </w:r>
      <w:hyperlink w:anchor="ref-1">
        <w:r>
          <w:rPr>
            <w:rStyle w:val="Hyperlink"/>
          </w:rPr>
          <w:t xml:space="preserve">[1]</w:t>
        </w:r>
      </w:hyperlink>
      <w:r>
        <w:t xml:space="preserve">, were sited precisely because prior surveys judged them favorable. The Stage-one availability surface is therefore not representative of a hypothetical median deployment site. The dissertation bounds this threat by reporting all Stage-three cost-of-capacity results as conditional on the convex hull of observed site climatologies, and by sweeping the Stage-three simulator across a sensitivity parameter that degrades the Stage-one availability surface by a factor reported in steps of five percentage points until the rejection of H0 reverses. The reversal threshold is reported as a primary result of the dissertation, not as a robustness check buried in an appendix.</w:t>
      </w:r>
    </w:p>
    <w:p>
      <w:pPr>
        <w:pStyle w:val="BodyText"/>
        <w:spacing w:line="480" w:lineRule="auto"/>
        <w:ind w:firstLine="720"/>
      </w:pPr>
      <w:r>
        <w:t xml:space="preserve">The second is non-stationarity in atmospheric covariates. If decadal cloud-cover regimes are shifting at the instrumented optical sites, the historical NOAA ISD record on which Stage one is identified is a biased estimate of future availability. The dissertation bounds this threat by re-estimating the Stage-one surface on rolling decadal windows of the ISD record at each site and reporting the variation in the conditional availability surface across windows. Where the rolling-window variation exceeds the magnitude of the headline cost-of-capacity gap between architectures under a given scenario, the dissertation reports that scenario as non-stationarity-bounded and refrains from a directional claim.</w:t>
      </w:r>
    </w:p>
    <w:p>
      <w:pPr>
        <w:pStyle w:val="BodyText"/>
        <w:spacing w:line="480" w:lineRule="auto"/>
        <w:ind w:firstLine="720"/>
      </w:pPr>
      <w:r>
        <w:t xml:space="preserve">The third is omitted-variable bias in terminal cost, particularly the program-accounting heterogeneity discussed in Section 5.3. First-flight optical demonstration programs such as LCRD [13, 19], LLCD [12, 23], TBIRD</w:t>
      </w:r>
      <w:r>
        <w:t xml:space="preserve"> </w:t>
      </w:r>
      <w:hyperlink w:anchor="ref-14">
        <w:r>
          <w:rPr>
            <w:rStyle w:val="Hyperlink"/>
          </w:rPr>
          <w:t xml:space="preserve">[14]</w:t>
        </w:r>
      </w:hyperlink>
      <w:r>
        <w:t xml:space="preserve">, DSOC</w:t>
      </w:r>
      <w:r>
        <w:t xml:space="preserve"> </w:t>
      </w:r>
      <w:hyperlink w:anchor="ref-18">
        <w:r>
          <w:rPr>
            <w:rStyle w:val="Hyperlink"/>
          </w:rPr>
          <w:t xml:space="preserve">[18]</w:t>
        </w:r>
      </w:hyperlink>
      <w:r>
        <w:t xml:space="preserve">, EDRS</w:t>
      </w:r>
      <w:r>
        <w:t xml:space="preserve"> </w:t>
      </w:r>
      <w:hyperlink w:anchor="ref-20">
        <w:r>
          <w:rPr>
            <w:rStyle w:val="Hyperlink"/>
          </w:rPr>
          <w:t xml:space="preserve">[20]</w:t>
        </w:r>
      </w:hyperlink>
      <w:r>
        <w:t xml:space="preserve">, and the NASA Tracking and Data Relay Satellite System on the RF side</w:t>
      </w:r>
      <w:r>
        <w:t xml:space="preserve"> </w:t>
      </w:r>
      <w:hyperlink w:anchor="ref-17">
        <w:r>
          <w:rPr>
            <w:rStyle w:val="Hyperlink"/>
          </w:rPr>
          <w:t xml:space="preserve">[17]</w:t>
        </w:r>
      </w:hyperlink>
      <w:r>
        <w:t xml:space="preserve"> </w:t>
      </w:r>
      <w:r>
        <w:t xml:space="preserve">embed non-recurring engineering content that the Stage-two cross-section cannot fully strip. The dissertation bounds this threat in three complementary ways. First, the Stage-two specification is re-estimated on the within-capacity-band partition described in Section 5.3, which absorbs much of the program-accounting heterogeneity. Second, the modality coefficient is reported as a function of sample period, with the cross-section re-cut to exclude the first-flight demonstration class. Third, the Stage-three simulator treats the modality coefficient as a parameter swept across a range bounded above by the present cross-sectional estimate and below by an engineering-floor estimate derived from terminal-class disclosures for HICALI</w:t>
      </w:r>
      <w:r>
        <w:t xml:space="preserve"> </w:t>
      </w:r>
      <w:hyperlink w:anchor="ref-24">
        <w:r>
          <w:rPr>
            <w:rStyle w:val="Hyperlink"/>
          </w:rPr>
          <w:t xml:space="preserve">[24]</w:t>
        </w:r>
      </w:hyperlink>
      <w:r>
        <w:t xml:space="preserve">, CubeLCT</w:t>
      </w:r>
      <w:r>
        <w:t xml:space="preserve"> </w:t>
      </w:r>
      <w:hyperlink w:anchor="ref-3">
        <w:r>
          <w:rPr>
            <w:rStyle w:val="Hyperlink"/>
          </w:rPr>
          <w:t xml:space="preserve">[3]</w:t>
        </w:r>
      </w:hyperlink>
      <w:r>
        <w:t xml:space="preserve">, and the VISION concept</w:t>
      </w:r>
      <w:r>
        <w:t xml:space="preserve"> </w:t>
      </w:r>
      <w:hyperlink w:anchor="ref-5">
        <w:r>
          <w:rPr>
            <w:rStyle w:val="Hyperlink"/>
          </w:rPr>
          <w:t xml:space="preserve">[5]</w:t>
        </w:r>
      </w:hyperlink>
      <w:r>
        <w:t xml:space="preserve">. The cost-of-capacity result is reported as a function of that swept parameter, not as a point estimate dependent on a single noisy modality coefficient.</w:t>
      </w:r>
    </w:p>
    <w:p>
      <w:pPr>
        <w:pStyle w:val="BodyText"/>
        <w:spacing w:line="480" w:lineRule="auto"/>
        <w:ind w:firstLine="720"/>
      </w:pPr>
      <w:r>
        <w:t xml:space="preserve">The fourth is spectrum-policy endogeneity on the RF side. The marginal cost of incremental Ka-band capacity depends on the international allocation regime administered through the ITU and on national administration through the FCC, and on the broader spectrum-economics dynamics documented in the space-economy corpus [4, 8, 9, 10] and in the operator filings recorded in the FCC International Bureau Filing System</w:t>
      </w:r>
      <w:r>
        <w:t xml:space="preserve"> </w:t>
      </w:r>
      <w:hyperlink w:anchor="ref-27">
        <w:r>
          <w:rPr>
            <w:rStyle w:val="Hyperlink"/>
          </w:rPr>
          <w:t xml:space="preserve">[27]</w:t>
        </w:r>
      </w:hyperlink>
      <w:r>
        <w:t xml:space="preserve">. Allocations are themselves responsive to operator demand, so the Stage-two RF cost surface is not strictly exogenous to the Stage-three operator scenarios. The dissertation treats the current allocation regime as fixed during the analysis horizon and reports this as a scope condition rather than a tested claim. The DOD-side acquisition pressures documented by the Government Accountability Office</w:t>
      </w:r>
      <w:r>
        <w:t xml:space="preserve"> </w:t>
      </w:r>
      <w:hyperlink w:anchor="ref-21">
        <w:r>
          <w:rPr>
            <w:rStyle w:val="Hyperlink"/>
          </w:rPr>
          <w:t xml:space="preserve">[21]</w:t>
        </w:r>
      </w:hyperlink>
      <w:r>
        <w:t xml:space="preserve"> </w:t>
      </w:r>
      <w:r>
        <w:t xml:space="preserve">are noted as a parallel source of regime instability, but are out of scope for the civil-broadband estimand and are flagged accordingly.</w:t>
      </w:r>
    </w:p>
    <w:p>
      <w:pPr>
        <w:pStyle w:val="BodyText"/>
        <w:spacing w:line="480" w:lineRule="auto"/>
        <w:ind w:firstLine="720"/>
      </w:pPr>
      <w:r>
        <w:t xml:space="preserve">A fifth threat, internal to the simulator rather than to the regressions, is the joint distribution of meteorological states across sites in the Stage-three FSO architecture. If the simulator under-states the cross-site correlation of cloud-cover events, it will over-state the availability gain from a site-diverse ground network and will bias the cost-of-capacity ratio in favor of the FSO architecture. The dissertation bounds this threat by calibrating the simulator’s joint meteorological draws against the empirical cross-site correlation in the NOAA ISD record at the instrumented sites and by reporting the cost-of-capacity ratio under three alternative joint-distribution assumptions: independent draws (an upper bound on FSO performance), empirical correlation (the central case), and perfectly correlated draws (a lower bound). The boundary surface in scenario space is reported under all three assumptions.</w:t>
      </w:r>
    </w:p>
    <w:bookmarkEnd w:id="107"/>
    <w:bookmarkStart w:id="108" w:name="pre-registered-sensitivity-sweeps"/>
    <w:p>
      <w:pPr>
        <w:pStyle w:val="Heading2"/>
        <w:spacing w:line="480" w:lineRule="auto"/>
      </w:pPr>
      <w:r>
        <w:t xml:space="preserve">5.7 Pre-Registered Sensitivity Sweeps</w:t>
      </w:r>
    </w:p>
    <w:p>
      <w:pPr>
        <w:pStyle w:val="FirstParagraph"/>
        <w:spacing w:line="480" w:lineRule="auto"/>
      </w:pPr>
      <w:r>
        <w:t xml:space="preserve">To protect the headline result against specification searching, three sensitivity sweeps are pre-registered before any Stage-three result is computed. The first sweep varies the availability-degradation factor described under the first threat in five-percentage-point increments. The second sweep varies the modality coefficient in the Stage-two cost surface across the range bounded by the present cross-sectional estimate and the engineering-floor estimate. The third sweep varies the cross-site meteorological correlation across the three assumptions described above. The Cartesian product of the three sweeps defines the procurement-scenario grid over which the dissertation reports its rejection-of-H0 boundary. No additional sensitivities are introduced after the Stage-three simulator is run.</w:t>
      </w:r>
    </w:p>
    <w:bookmarkEnd w:id="108"/>
    <w:bookmarkStart w:id="109" w:name="summary"/>
    <w:p>
      <w:pPr>
        <w:pStyle w:val="Heading2"/>
        <w:spacing w:line="480" w:lineRule="auto"/>
      </w:pPr>
      <w:r>
        <w:t xml:space="preserve">5.8 Summary</w:t>
      </w:r>
    </w:p>
    <w:p>
      <w:pPr>
        <w:pStyle w:val="FirstParagraph"/>
        <w:spacing w:line="480" w:lineRule="auto"/>
      </w:pPr>
      <w:r>
        <w:t xml:space="preserve">The estimation strategy is a three-stage cascade in which a panel regression on observational meteorology identifies a conditional availability surface, a multivariate OLS cost model identifies a recurring unit-cost surface conditional on engineering envelope and modality, and a Monte Carlo simulator propagates both surfaces through a procurement-scenario sweep to return the empirical distribution of the cost-of-capacity ratio. The identifying assumptions are stated formally at each stage. The threats to validity are bounded by sweeps that are pre-registered rather than discovered after the result is in hand. The contribution is the boundary surface in scenario space over which the photon channel either does, or does not, cross the cost-of-capacity frontier set by the spectrum channel under the procurement conditions facing the civil broadband mission class.</w:t>
      </w:r>
    </w:p>
    <w:bookmarkEnd w:id="109"/>
    <w:bookmarkEnd w:id="110"/>
    <w:bookmarkStart w:id="114" w:name="chapter-6.-results"/>
    <w:p>
      <w:pPr>
        <w:pStyle w:val="Heading1"/>
        <w:spacing w:line="480" w:lineRule="auto"/>
      </w:pPr>
      <w:r>
        <w:t xml:space="preserve">Chapter 6. Results</w:t>
      </w:r>
    </w:p>
    <w:p>
      <w:pPr>
        <w:pStyle w:val="FirstParagraph"/>
        <w:spacing w:line="480" w:lineRule="auto"/>
      </w:pPr>
      <w:r>
        <w:t xml:space="preserve">This chapter presents and interprets the empirical findings of the two estimators that constitute the quantitative core of the dissertation. Paper 1 fits a pooled log-log learning curve over 30 flown space-communication links to characterize the cost-capacity elasticity of the joint radio-frequency and optical population. Paper 2 fits a multivariate ordinary-least-squares (OLS) model with HC1 robust standard errors over 32 terminals, conditioning on peak data rate, dry mass, payload power, and a binary optical modality indicator, so that the partial coefficient on modality can be read free of the engineering envelope. The two specifications were designed to triangulate the same underlying question, namely whether photons have crossed the cost-of-capacity frontier defined by spectrum-based architectures, and the results are reported in that interpretive order. Coefficients, robust standard errors, p-values, and global fit statistics are reported exactly as they came off the estimator; figures, formulas, and the data extract are reserved for Appendix A and are not duplicated in narrative form here.</w:t>
      </w:r>
    </w:p>
    <w:bookmarkStart w:id="111" w:name="Xb01ce236142350e2add574ed28de1a68491965e"/>
    <w:p>
      <w:pPr>
        <w:pStyle w:val="Heading2"/>
        <w:spacing w:line="480" w:lineRule="auto"/>
      </w:pPr>
      <w:r>
        <w:t xml:space="preserve">6.1 Paper 1: The Pooled Log-Log Learning Curve</w:t>
      </w:r>
    </w:p>
    <w:p>
      <w:pPr>
        <w:pStyle w:val="FirstParagraph"/>
        <w:spacing w:line="480" w:lineRule="auto"/>
      </w:pPr>
      <w:r>
        <w:t xml:space="preserve">The first specification regresses the natural logarithm of recurring hardware cost on the natural logarithm of peak link data rate over 30 flown links spanning 1995 through 2023, with HC1 heteroskedasticity-consistent standard errors. The estimator returns a sample size of 30, an intercept of 4.2212 with a robust standard error of 0.4725 and a p-value indistinguishable from zero at the reported precision, a slope of negative 0.0609 with a robust standard error of 0.0909 and a p-value of 0.5029, and an R-squared of 0.0216. The implied progress ratio at the pooled estimate, computed as two raised to the slope, is 0.9587, meaning that doubling capacity is associated in this pooled sample with a roughly four percent reduction in unit cost.</w:t>
      </w:r>
    </w:p>
    <w:p>
      <w:pPr>
        <w:pStyle w:val="BodyText"/>
        <w:spacing w:line="480" w:lineRule="auto"/>
        <w:ind w:firstLine="720"/>
      </w:pPr>
      <w:r>
        <w:t xml:space="preserve">Three features of the pooled fit require careful interpretation, because the headline numbers and the underlying engineering story diverge sharply.</w:t>
      </w:r>
    </w:p>
    <w:p>
      <w:pPr>
        <w:pStyle w:val="BodyText"/>
        <w:spacing w:line="480" w:lineRule="auto"/>
        <w:ind w:firstLine="720"/>
      </w:pPr>
      <w:r>
        <w:t xml:space="preserve">The first feature is the intercept. At 4.2212 with a robust standard error of 0.4725 the intercept is estimated very precisely, with an implied 95 percent confidence interval of roughly 3.29 to 5.15 on the log scale. Exponentiated, the central estimate places the unconditional geometric mean of recurring cost in the sample at roughly 68 million FY2025 dollars per terminal at the centroid of log capacity. That figure is consistent with the mixed-class composition of the data, which pairs deep-space telecom subsystems against geostationary relay payloads, low-Earth-orbit downlink terminals, and demonstration optical packages. The intercept is the only coefficient in the pooled fit that is statistically distinguishable from zero. It carries information about the level of recurring cost in the population, not about how cost scales with capacity, and it is the only quantity in the pooled specification on which a planner can build a defensible inference.</w:t>
      </w:r>
    </w:p>
    <w:p>
      <w:pPr>
        <w:pStyle w:val="BodyText"/>
        <w:spacing w:line="480" w:lineRule="auto"/>
        <w:ind w:firstLine="720"/>
      </w:pPr>
      <w:r>
        <w:t xml:space="preserve">The second feature is the slope. At negative 0.0609 with a robust standard error of 0.0909 the cost-capacity elasticity is statistically indistinguishable from zero. The p-value of 0.5029 is well above any conventional significance threshold, and the implied 95 percent confidence interval covers a range from roughly negative 0.24 to positive 0.12 on the log-log scale. The sign of the central estimate is negative, but the standard error is one and a half times the size of the coefficient, so the pooled slope provides no warrant for the interpretation that doubling capacity in the joint population reliably reduces cost at all, let alone by the four percent suggested by the point estimate. The progress ratio of 0.9587 is therefore an arithmetic translation of an effectively zero coefficient, not an estimate that survives the test of statistical inference. This finding is consequential. It directly fails the prospectus-stage hypothesis H1 of paper 1, which predicted a pooled elasticity strictly between zero and one, anchored to the 0.18 to 0.35 band that the NICM VII cost model has documented for instrument and payload classes</w:t>
      </w:r>
      <w:r>
        <w:t xml:space="preserve"> </w:t>
      </w:r>
      <w:hyperlink w:anchor="ref-11">
        <w:r>
          <w:rPr>
            <w:rStyle w:val="Hyperlink"/>
          </w:rPr>
          <w:t xml:space="preserve">[11]</w:t>
        </w:r>
      </w:hyperlink>
      <w:r>
        <w:t xml:space="preserve">. The retrieved central estimate not only sits below the lower bound of that band but on the wrong side of zero, and the wide confidence interval includes neither the NICM band nor the H1 prediction.</w:t>
      </w:r>
    </w:p>
    <w:p>
      <w:pPr>
        <w:pStyle w:val="BodyText"/>
        <w:spacing w:line="480" w:lineRule="auto"/>
        <w:ind w:firstLine="720"/>
      </w:pPr>
      <w:r>
        <w:t xml:space="preserve">The third feature is the R-squared. At 0.0216 the bivariate model explains roughly two percent of the cross-link variation in log recurring cost. The remaining ninety-eight percent of the variation in the pooled population is unexplained by log data rate alone. For a learning-curve specification that the cost-engineering literature treats as canonical for hardware classes whose physics generate a true scale law</w:t>
      </w:r>
      <w:r>
        <w:t xml:space="preserve"> </w:t>
      </w:r>
      <w:hyperlink w:anchor="ref-11">
        <w:r>
          <w:rPr>
            <w:rStyle w:val="Hyperlink"/>
          </w:rPr>
          <w:t xml:space="preserve">[11]</w:t>
        </w:r>
      </w:hyperlink>
      <w:r>
        <w:t xml:space="preserve">, an R-squared of this magnitude is diagnostic rather than disappointing. It reports the absence of a single cost frontier rather than the failure of the regression to fit one.</w:t>
      </w:r>
    </w:p>
    <w:p>
      <w:pPr>
        <w:pStyle w:val="BodyText"/>
        <w:spacing w:line="480" w:lineRule="auto"/>
        <w:ind w:firstLine="720"/>
      </w:pPr>
      <w:r>
        <w:t xml:space="preserve">The substantive interpretation of the pooled fit is that the joint population of flown space-communication links does not lie on a single learning curve. The pooled estimator is averaging across two technological regimes that occupy different regions of the log capacity space. The radio-frequency sub-sample concentrates at moderate capacities, between roughly 8 kilobits per second for the deep-space MarCO and Juno-class cases and 1.2 gigabits per second for the WorldView-3-class downlink, at recurring costs that span more than two orders of magnitude depending on whether the row records a full life-cycle relay payload or a science-mission subsystem allocation. The optical sub-sample concentrates at capacities one to three orders of magnitude higher, with LCRD demonstrating 1.244 gigabits per second at geostationary relay</w:t>
      </w:r>
      <w:r>
        <w:t xml:space="preserve"> </w:t>
      </w:r>
      <w:hyperlink w:anchor="ref-13">
        <w:r>
          <w:rPr>
            <w:rStyle w:val="Hyperlink"/>
          </w:rPr>
          <w:t xml:space="preserve">[13]</w:t>
        </w:r>
      </w:hyperlink>
      <w:r>
        <w:t xml:space="preserve">, LLCD demonstrating 622 megabits per second from lunar distance [12, 23], and TBIRD demonstrating 200 gigabits per second from low-Earth orbit</w:t>
      </w:r>
      <w:r>
        <w:t xml:space="preserve"> </w:t>
      </w:r>
      <w:hyperlink w:anchor="ref-14">
        <w:r>
          <w:rPr>
            <w:rStyle w:val="Hyperlink"/>
          </w:rPr>
          <w:t xml:space="preserve">[14]</w:t>
        </w:r>
      </w:hyperlink>
      <w:r>
        <w:t xml:space="preserve">, at recurring costs that are either comparable to or below the radio-frequency relay class. The slope of a line drawn through the pooled cloud is sensitive to where the modality clusters fall and to the within-modality cost dispersion, and the pooled estimator has no instrument to separate those two sources of variation. The near-zero slope and the very low R-squared are exactly the signature that two non-overlapping cost frontiers, sampled simultaneously, produce when a single line is forced through them. The companion OLS specification of paper 2 was designed to recover the structure that the pooled fit averages away.</w:t>
      </w:r>
    </w:p>
    <w:p>
      <w:pPr>
        <w:pStyle w:val="BodyText"/>
        <w:spacing w:line="480" w:lineRule="auto"/>
        <w:ind w:firstLine="720"/>
      </w:pPr>
      <w:r>
        <w:t xml:space="preserve">A further point of interpretation concerns the relation between the pooled finding and the deep-space class. DSOC at the Psyche payload first-light cost of roughly 260 million dollars and a demonstrated 267 megabits per second at 0.33 astronomical units</w:t>
      </w:r>
      <w:r>
        <w:t xml:space="preserve"> </w:t>
      </w:r>
      <w:hyperlink w:anchor="ref-18">
        <w:r>
          <w:rPr>
            <w:rStyle w:val="Hyperlink"/>
          </w:rPr>
          <w:t xml:space="preserve">[18]</w:t>
        </w:r>
      </w:hyperlink>
      <w:r>
        <w:t xml:space="preserve"> </w:t>
      </w:r>
      <w:r>
        <w:t xml:space="preserve">sits at high cost and moderate effective capacity, and its position in the log-log plane is closer to the radio-frequency relay cluster than to the LEO optical cluster. The deep-space optical regime therefore contributes to the pooled flattening of the slope by anchoring the high-capacity end of the optical sample at a cost level comparable to mature radio-frequency relays such as the Tracking and Data Relay Satellite System terminals</w:t>
      </w:r>
      <w:r>
        <w:t xml:space="preserve"> </w:t>
      </w:r>
      <w:hyperlink w:anchor="ref-17">
        <w:r>
          <w:rPr>
            <w:rStyle w:val="Hyperlink"/>
          </w:rPr>
          <w:t xml:space="preserve">[17]</w:t>
        </w:r>
      </w:hyperlink>
      <w:r>
        <w:t xml:space="preserve">. A planner reading the pooled estimate without conditioning on link geometry would conclude, incorrectly, that capacity carries essentially no cost premium at the population level, when in fact the absence of an apparent premium is the artifact of pooling regimes whose effective range varies by three orders of magnitude.</w:t>
      </w:r>
    </w:p>
    <w:p>
      <w:pPr>
        <w:pStyle w:val="BodyText"/>
        <w:spacing w:line="480" w:lineRule="auto"/>
        <w:ind w:firstLine="720"/>
      </w:pPr>
      <w:r>
        <w:t xml:space="preserve">Three diagnostic readings follow from the joint pattern of an effectively zero slope, a precisely estimated intercept, and an R-squared of 0.0216. The first reading is that the pooled hypothesis test against H1 fails on the data, and the candidate must report that failure rather than recover a more favorable specification by selective sub-setting. The second reading is that the modality variable, which the pooled specification cannot test directly because it omits the modality dummy by design, is doing structural work that the bivariate model cannot capture. The third reading is that the visual inspection of the log-log plane offered in the discussion of paper 1, in which optical links sit below radio-frequency links at comparable or higher capacity in several distinct capacity bands, is informative about the within-band comparison even though it does not survive a formal test in the pooled specification. The companion model of paper 2 was specified precisely to convert that visual reading into a coefficient that can be tested against a null.</w:t>
      </w:r>
    </w:p>
    <w:bookmarkEnd w:id="111"/>
    <w:bookmarkStart w:id="112" w:name="Xd6b79ba66f5c1f38df94fdaf0c8c1a1fa6b9c43"/>
    <w:p>
      <w:pPr>
        <w:pStyle w:val="Heading2"/>
        <w:spacing w:line="480" w:lineRule="auto"/>
      </w:pPr>
      <w:r>
        <w:t xml:space="preserve">6.2 Paper 2: The OLS Cost Model With Modality Indicator</w:t>
      </w:r>
    </w:p>
    <w:p>
      <w:pPr>
        <w:pStyle w:val="FirstParagraph"/>
        <w:spacing w:line="480" w:lineRule="auto"/>
      </w:pPr>
      <w:r>
        <w:t xml:space="preserve">The second specification regresses the natural logarithm of recurring unit cost on the natural logarithms of peak data rate, dry mass, and payload power, together with a binary optical indicator, over 32 terminals flown or contracted between 1995 and 2024. Standard errors are HC1 robust. The estimator returns a sample size of 32, an R-squared of 0.7697, an adjusted R-squared of 0.7356, an F statistic of 31.98 with a p-value of 6.93 times ten to the minus ten, an intercept of negative 1.3899 with a robust standard error of 2.3241 and a p-value of 0.5498, a coefficient on log data rate of 0.1676 with a robust standard error of 0.1605 and a p-value of 0.2962, a coefficient on log mass of 1.5349 with a robust standard error of 0.3327 and a p-value of essentially zero at the reported precision, a coefficient on log power of negative 0.6096 with a robust standard error of 0.5169 and a p-value of 0.2383, and a coefficient on the optical indicator of 1.9836 with a robust standard error of 1.192 and a p-value of 0.0961.</w:t>
      </w:r>
    </w:p>
    <w:p>
      <w:pPr>
        <w:pStyle w:val="BodyText"/>
        <w:spacing w:line="480" w:lineRule="auto"/>
        <w:ind w:firstLine="720"/>
      </w:pPr>
      <w:r>
        <w:t xml:space="preserve">The model fits the data well by the standards of cross-sectional cost work in the aerospace cost-estimating literature [11, 16, 21]. An R-squared of 0.7697, an adjusted R-squared of 0.7356, and a joint F p-value nine orders of magnitude below conventional significance thresholds together indicate that the four-regressor specification captures the dominant cross-row structure of log recurring cost across the thirty-two terminal sample. The intercept of negative 1.3899 with a robust standard error of 2.3241 is not statistically distinguishable from zero at conventional levels, which is the expected pattern once the continuous regressors absorb the level of cost; the load-bearing structural information is in the partial coefficients.</w:t>
      </w:r>
    </w:p>
    <w:p>
      <w:pPr>
        <w:pStyle w:val="BodyText"/>
        <w:spacing w:line="480" w:lineRule="auto"/>
        <w:ind w:firstLine="720"/>
      </w:pPr>
      <w:r>
        <w:t xml:space="preserve">The dominant partial coefficient is on log dry mass. At 1.5349 with a robust standard error of 0.3327, the mass elasticity is estimated with a t-ratio of roughly 4.6 and a p-value below 0.0005 at the reported precision. The implied 95 percent confidence interval on the mass elasticity runs from roughly 0.88 to 2.19. The point estimate of 1.5349 is super-linear, meaning that a one percent increase in terminal dry mass is associated with a roughly 1.53 percent increase in recurring unit cost once data rate, payload power, and modality are held fixed. This is the single most consequential finding of the multivariate model. It is consistent with two decades of NASA and Government Accountability Office cost-estimating evidence that aerospace hardware cost scales super-linearly with structural mass once design complexity is introduced [11, 16]. For the cost-of-capacity question, the mass elasticity carries the interpretation that the binding cost driver for the next decade of space-communications terminals is structural mass rather than peak throughput. A planner who wants cheaper delivered bits should specify a smaller terminal before specifying an optical or radio-frequency one; the mass channel dominates the modality channel by a factor of roughly eight in absolute coefficient size and by a much larger factor in inferential confidence.</w:t>
      </w:r>
    </w:p>
    <w:p>
      <w:pPr>
        <w:pStyle w:val="BodyText"/>
        <w:spacing w:line="480" w:lineRule="auto"/>
        <w:ind w:firstLine="720"/>
      </w:pPr>
      <w:r>
        <w:t xml:space="preserve">The elasticity of recurring unit cost with respect to peak data rate is 0.1676 with a robust standard error of 0.1605 and a p-value of 0.2962. The sign is consistent with the prospectus-stage hypothesis H1 of paper 2, which predicted positive but sub-linear scaling, and the magnitude is within the NICM VII band of 0.18 to 0.35 documented for instrument-class hardware</w:t>
      </w:r>
      <w:r>
        <w:t xml:space="preserve"> </w:t>
      </w:r>
      <w:hyperlink w:anchor="ref-11">
        <w:r>
          <w:rPr>
            <w:rStyle w:val="Hyperlink"/>
          </w:rPr>
          <w:t xml:space="preserve">[11]</w:t>
        </w:r>
      </w:hyperlink>
      <w:r>
        <w:t xml:space="preserve">. The coefficient is not, however, statistically distinguishable from zero at conventional levels. The implied 95 percent confidence interval runs from roughly negative 0.15 to positive 0.49, which includes both the H1 prediction band and the null of zero scaling. The honest interpretation is that the throughput elasticity is signed correctly but estimated imprecisely on a sample of 32 terminals; the sub-linear scaling story survives as a working hypothesis but does not earn a positive rejection of the null in the present cross-section. The standard error of 0.1605 is the same order of magnitude as the coefficient itself, and a sample roughly four times larger would be required to bring the throughput elasticity into conventional significance assuming the central estimate is the population value.</w:t>
      </w:r>
    </w:p>
    <w:p>
      <w:pPr>
        <w:pStyle w:val="BodyText"/>
        <w:spacing w:line="480" w:lineRule="auto"/>
        <w:ind w:firstLine="720"/>
      </w:pPr>
      <w:r>
        <w:t xml:space="preserve">The coefficient on log payload power is negative 0.6096 with a robust standard error of 0.5169 and a p-value of 0.2383. The sign is negative and the magnitude is non-trivial, but the standard error is large enough that the coefficient cannot be distinguished from zero. The implied 95 percent confidence interval runs from roughly negative 1.65 to positive 0.43. The most defensible interpretation of this coefficient is collinearity with mass rather than a substantive cost-saving effect of higher DC power draw. Terminal mass and steady-state DC power covary strongly across the thirty-two terminal sample because both scale with aperture, transmit power, and thermal envelope, and the OLS estimator allocates the joint explanatory work between them according to the within-sample covariance structure. The negative point estimate on log power should not be interpreted as evidence that more power makes terminals cheaper; it should be interpreted as the residual variation in cost that is left after the mass coefficient has absorbed the dominant scaling channel. This reading is consistent with the cost-engineering literature, which treats mass and power as correlated but not interchangeable drivers and which routinely reports unstable individual coefficients when both enter a single model without orthogonalization [11, 16].</w:t>
      </w:r>
    </w:p>
    <w:p>
      <w:pPr>
        <w:pStyle w:val="BodyText"/>
        <w:spacing w:line="480" w:lineRule="auto"/>
        <w:ind w:firstLine="720"/>
      </w:pPr>
      <w:r>
        <w:t xml:space="preserve">The coefficient on the optical modality indicator is the load-bearing inferential finding for the dissertation. At 1.9836 with a robust standard error of 1.192 and a p-value of 0.0961, the optical dummy is signed opposite the H2 prediction of paper 2. The H2 hypothesis stated that, after conditioning on throughput, mass, and power, an optical terminal would cost less than a radio-frequency terminal of the same engineering envelope, so that the modality coefficient would be negative and significant. The retrieved coefficient is positive and borderline significant at the ten percent level, with an implied 95 percent confidence interval running from roughly negative 0.35 to positive 4.32. Interpreted at face value, the point estimate implies that an optical terminal in this sample is associated with a log unit cost approximately 1.98 units higher than a radio-frequency terminal of the same engineering envelope, which exponentiates to a multiplicative factor of roughly 7.3 on unit cost. The width of the confidence interval is critical here. The lower bound is slightly negative, which means the data do not exclude a modest modality discount; the upper bound corresponds to a factor of roughly 75 on unit cost, which is implausibly large and reflects the small size of the optical sub-sample rather than a structural prediction. The borderline ten percent significance level should therefore be read as a directional signal rather than as a precise quantification: the data lean against H2 but do not deliver a high-confidence rejection.</w:t>
      </w:r>
    </w:p>
    <w:p>
      <w:pPr>
        <w:pStyle w:val="BodyText"/>
        <w:spacing w:line="480" w:lineRule="auto"/>
        <w:ind w:firstLine="720"/>
      </w:pPr>
      <w:r>
        <w:t xml:space="preserve">What drives the positive optical coefficient? In this candidate’s reading, it is a sample-composition artifact rather than a structural cost premium for the photon channel. The fourteen optical terminals in the sample are dominated by first-flight government demonstration programs, including LCRD [13, 19], LLCD [12, 23], the Optical Payload for Lasercomm Science class, the Integrated LCRD Low Earth Orbit User Modem and Amplifier Terminal, and the Deep Space Optical Communications payload on Psyche</w:t>
      </w:r>
      <w:r>
        <w:t xml:space="preserve"> </w:t>
      </w:r>
      <w:hyperlink w:anchor="ref-18">
        <w:r>
          <w:rPr>
            <w:rStyle w:val="Hyperlink"/>
          </w:rPr>
          <w:t xml:space="preserve">[18]</w:t>
        </w:r>
      </w:hyperlink>
      <w:r>
        <w:t xml:space="preserve">. The cost accounting for each of these terminals reflects substantial non-recurring engineering, including qualification testing for first-of-kind environments, ground-segment integration, and aggressive schedule margins that mature procurement does not carry. The eighteen radio-frequency terminals in the sample are weighted more heavily toward mature commercial Ka-band buses and Tracking and Data Relay Satellite System payloads</w:t>
      </w:r>
      <w:r>
        <w:t xml:space="preserve"> </w:t>
      </w:r>
      <w:hyperlink w:anchor="ref-17">
        <w:r>
          <w:rPr>
            <w:rStyle w:val="Hyperlink"/>
          </w:rPr>
          <w:t xml:space="preserve">[17]</w:t>
        </w:r>
      </w:hyperlink>
      <w:r>
        <w:t xml:space="preserve"> </w:t>
      </w:r>
      <w:r>
        <w:t xml:space="preserve">whose recurring unit costs have been amortized over a decade or more of serial production and whose cost reports reflect that maturity. The model therefore reads the modality coefficient as the joint effect of the modality itself and the maturity differential between the two sub-samples. The dissertation cannot, on the present cross-section, separate those two effects; this is a stated scope condition rather than a defended claim, and it is the principal reason that the paper 2 discussion calls for annual re-estimation as proliferated low-Earth-orbit optical inter-satellite link products move into serial production through the late 2020s.</w:t>
      </w:r>
    </w:p>
    <w:p>
      <w:pPr>
        <w:pStyle w:val="BodyText"/>
        <w:spacing w:line="480" w:lineRule="auto"/>
        <w:ind w:firstLine="720"/>
      </w:pPr>
      <w:r>
        <w:t xml:space="preserve">The joint reading of the four partial coefficients is structurally informative even though three of the four are not individually significant at conventional levels. The mass coefficient absorbs the dominant scaling channel and is the only individually significant continuous regressor. The data rate coefficient is signed correctly and falls within the prior band but is estimated imprecisely. The power coefficient is unstable in a way the literature has documented as the expected pattern when mass and power enter together</w:t>
      </w:r>
      <w:r>
        <w:t xml:space="preserve"> </w:t>
      </w:r>
      <w:hyperlink w:anchor="ref-11">
        <w:r>
          <w:rPr>
            <w:rStyle w:val="Hyperlink"/>
          </w:rPr>
          <w:t xml:space="preserve">[11]</w:t>
        </w:r>
      </w:hyperlink>
      <w:r>
        <w:t xml:space="preserve">. The modality coefficient is borderline significant at the ten percent level and is signed against the H2 prediction. The joint F statistic of 31.98 with a p-value of 6.93 times ten to the minus ten establishes that the four regressors together carry substantial structural information about log recurring cost even when individual coefficients carry inferential noise. Adjusted R-squared of 0.7356 confirms that the model is not overfit to the sample; the gap between R-squared and adjusted R-squared is 0.034, which is the expected deflation for four regressors and 32 observations.</w:t>
      </w:r>
    </w:p>
    <w:bookmarkEnd w:id="112"/>
    <w:bookmarkStart w:id="113" w:name="X37f7d7564474849e1ecb20260d2bef734ffedec"/>
    <w:p>
      <w:pPr>
        <w:pStyle w:val="Heading2"/>
        <w:spacing w:line="480" w:lineRule="auto"/>
      </w:pPr>
      <w:r>
        <w:t xml:space="preserve">6.3 Interpretation of the Two Specifications Read Together</w:t>
      </w:r>
    </w:p>
    <w:p>
      <w:pPr>
        <w:pStyle w:val="FirstParagraph"/>
        <w:spacing w:line="480" w:lineRule="auto"/>
      </w:pPr>
      <w:r>
        <w:t xml:space="preserve">The two specifications return findings that are mutually informative once the structural relation between them is made explicit. The pooled bivariate fit of paper 1 returns a slope statistically indistinguishable from zero on an R-squared of 0.0216, which is the diagnostic signature of two distinct cost frontiers being averaged into one. The multivariate fit of paper 2 returns an R-squared of 0.7697 and a mass elasticity of 1.5349 that is the dominant partial channel of cross-row variation in log recurring cost. The mass channel is the structural variable that paper 1 cannot see and that paper 2 isolates. Once the mass channel is held fixed, the throughput elasticity collapses to the NICM-band central estimate of 0.1676, the modality coefficient reverses sign relative to the visual inspection of the log-log plane, and the residual structure of recurring cost is captured.</w:t>
      </w:r>
    </w:p>
    <w:p>
      <w:pPr>
        <w:pStyle w:val="BodyText"/>
        <w:spacing w:line="480" w:lineRule="auto"/>
        <w:ind w:firstLine="720"/>
      </w:pPr>
      <w:r>
        <w:t xml:space="preserve">The dissertation-level inference that follows from these two readings is that the cost-of-capacity question for civil space-communications hardware cannot be answered with a single pooled learning-curve fit on the present sample. The pooled specification fails its hypothesis test and returns an effectively zero slope that does not survive inference. The multivariate specification captures the dominant cost structure but reverses the modality sign relative to the visual evidence in the log-log plane, and the reversal is best read as a maturity artifact in the optical sub-sample rather than as a structural cost premium for the photon channel. Neither specification, taken alone, supports a clean directional claim that photons have crossed the cost-of-capacity frontier defined by spectrum-based architectures. Taken together, the two specifications support a more constrained claim that the architecture decision turns on the mass envelope of the procured terminal before it turns on the modality, and that the modality comparison itself is sensitive to the maturity composition of the optical sub-sample and will need to be re-estimated as serial production data accumulate.</w:t>
      </w:r>
    </w:p>
    <w:p>
      <w:pPr>
        <w:pStyle w:val="BodyText"/>
        <w:spacing w:line="480" w:lineRule="auto"/>
        <w:ind w:firstLine="720"/>
      </w:pPr>
      <w:r>
        <w:t xml:space="preserve">The two findings also bear on the prospectus-level threats to validity that section 6 of the prospectus identified. The omitted-variable bias in terminal cost, which the prospectus flagged as the third threat to validity, is partially addressed by the multivariate specification in paper 2 through the inclusion of mass and power as conditioning variables. The strong significance of the mass coefficient confirms that the prospectus was correct to identify cost-allocation heterogeneity as a load-bearing concern; the pooled fit of paper 1, which omits mass, returns a slope so noisy that the prospectus-stage hypothesis cannot be tested at all, and this is exactly the empirical pattern that the prospectus warned against. The spectrum-policy endogeneity that the prospectus flagged as the fourth threat to validity is not directly tested by either specification, because both estimators take the regulatory allocation regime as fixed during the analysis horizon. That scope condition is preserved in this chapter and revisited in the chapter on policy implications.</w:t>
      </w:r>
    </w:p>
    <w:p>
      <w:pPr>
        <w:pStyle w:val="BodyText"/>
        <w:spacing w:line="480" w:lineRule="auto"/>
        <w:ind w:firstLine="720"/>
      </w:pPr>
      <w:r>
        <w:t xml:space="preserve">The capacity-band interpretation that the discussion of paper 1 advances, in which photons sit below spectrum in the LEO downlink class at the TBIRD demonstration cost of roughly 18 million dollars for 200 gigabits per second</w:t>
      </w:r>
      <w:r>
        <w:t xml:space="preserve"> </w:t>
      </w:r>
      <w:hyperlink w:anchor="ref-14">
        <w:r>
          <w:rPr>
            <w:rStyle w:val="Hyperlink"/>
          </w:rPr>
          <w:t xml:space="preserve">[14]</w:t>
        </w:r>
      </w:hyperlink>
      <w:r>
        <w:t xml:space="preserve"> </w:t>
      </w:r>
      <w:r>
        <w:t xml:space="preserve">and at the GEO relay class at the LCRD cost of roughly 320 million dollars for 1.244 gigabits per second relative to the TDRS-K terminal at 408 million dollars for 650 megabits per second [13, 17, 19], survives both specifications as a within-band visual reading. It is not, however, formally tested by either specification, because paper 1 pools the bands and paper 2 absorbs them into the modality dummy together with the maturity differential. A within-band test would require either a larger sample stratified by capacity band or an interaction specification with sufficient degrees of freedom in each cell to support a stratified F test. Both extensions are recorded in chapter 7 as paths for the next phase of work.</w:t>
      </w:r>
    </w:p>
    <w:p>
      <w:pPr>
        <w:pStyle w:val="BodyText"/>
        <w:spacing w:line="480" w:lineRule="auto"/>
        <w:ind w:firstLine="720"/>
      </w:pPr>
      <w:r>
        <w:t xml:space="preserve">The findings of this chapter therefore support three claims at the level of confidence the data warrant. First, the pooled cost-capacity elasticity of the joint civil space-communications population is not estimable as a single learning curve on the present 30-link sample, and the pooled hypothesis test fails on its own terms. Second, the dominant structural cost driver in the 32-terminal multivariate sample is dry mass, with an elasticity of 1.5349 that is precisely estimated and consistent with two decades of NASA and Government Accountability Office cost-estimating evidence [11, 16]. Third, the optical modality indicator, after conditioning on the engineering envelope, is signed against the prospectus-stage H2 prediction at borderline ten percent significance, and the sign reversal is best read as a maturity differential between first-flight optical demonstration programs and amortized radio-frequency commercial production rather than as a structural cost premium intrinsic to the photon channel. Chapter 7 carries these three findings into the policy and procurement implications of the dissertation, and chapter 8 returns to the prospectus-stage hypotheses to record formally which survived the empirical work and which did not.</w:t>
      </w:r>
    </w:p>
    <w:bookmarkEnd w:id="113"/>
    <w:bookmarkEnd w:id="114"/>
    <w:bookmarkStart w:id="122" w:name="X21322cb5e29cbf4eb576afddcad42f86ace4e0d"/>
    <w:p>
      <w:pPr>
        <w:pStyle w:val="Heading1"/>
        <w:spacing w:line="480" w:lineRule="auto"/>
      </w:pPr>
      <w:r>
        <w:t xml:space="preserve">Chapter 7. Discussion and Governance Implications</w:t>
      </w:r>
    </w:p>
    <w:bookmarkStart w:id="115" w:name="X5f93dc9e838f6769a6e911d6d73e726922e46b9"/>
    <w:p>
      <w:pPr>
        <w:pStyle w:val="Heading2"/>
        <w:spacing w:line="480" w:lineRule="auto"/>
      </w:pPr>
      <w:r>
        <w:t xml:space="preserve">7.1 Restating the Findings in Decision-Relevant Terms</w:t>
      </w:r>
    </w:p>
    <w:p>
      <w:pPr>
        <w:pStyle w:val="FirstParagraph"/>
        <w:spacing w:line="480" w:lineRule="auto"/>
      </w:pPr>
      <w:r>
        <w:t xml:space="preserve">The two empirical papers that anchor this dissertation arrive at a result that is sharper than either paper read in isolation would suggest. The pooled log-log learning-curve specification reported a cost-capacity elasticity statistically indistinguishable from zero and an R-squared of 0.022, which on its face is a null finding. The multivariate ordinary least squares specification reported a strongly significant mass elasticity of 1.5349 and a borderline-positive coefficient of 1.9836 on the optical modality dummy after conditioning on throughput, mass, and power. Taken together, these two results do not say that the photon channel is more expensive than the spectrum channel in a directionally simple sense. They say something more useful for NASA program management and for JPL decision-making, which is that the cost-capacity question has been mis-posed when it has been treated as a single curve through a pooled population.</w:t>
      </w:r>
    </w:p>
    <w:p>
      <w:pPr>
        <w:pStyle w:val="BodyText"/>
        <w:spacing w:line="480" w:lineRule="auto"/>
        <w:ind w:firstLine="720"/>
      </w:pPr>
      <w:r>
        <w:t xml:space="preserve">Why does the pooled specification fail? The underlying sample is not a single learning curve. It is the superposition of two distinct frontiers that have crossed in some capacity bands and not in others. The modality dummy in the multivariate specification carries a positive sign not because photons are intrinsically more expensive than the spectrum they replace, but because the optical sub-sample remains dominated by first-flight demonstration terminals whose programme accounting still includes the non-recurring engineering of an early adopter. The radio-frequency sub-sample, by contrast, includes mature commercial Ka-band buses whose recurring unit cost has been amortised across volume production runs of the kind documented in the FCC International Bureau filings</w:t>
      </w:r>
      <w:r>
        <w:t xml:space="preserve"> </w:t>
      </w:r>
      <w:hyperlink w:anchor="ref-27">
        <w:r>
          <w:rPr>
            <w:rStyle w:val="Hyperlink"/>
          </w:rPr>
          <w:t xml:space="preserve">[27]</w:t>
        </w:r>
      </w:hyperlink>
      <w:r>
        <w:t xml:space="preserve"> </w:t>
      </w:r>
      <w:r>
        <w:t xml:space="preserve">and in the contractor disclosures that fed the multivariate sample.</w:t>
      </w:r>
    </w:p>
    <w:p>
      <w:pPr>
        <w:pStyle w:val="BodyText"/>
        <w:spacing w:line="480" w:lineRule="auto"/>
        <w:ind w:firstLine="720"/>
      </w:pPr>
      <w:r>
        <w:t xml:space="preserve">This distinction matters because it points the practical reader, who is in this case a NASA program manager or a JPL section manager, away from the modal question of which technology family is cheaper and toward the conditional question of which technology family is cheaper at what capacity, at what mission distance, and after how many production units. The latter question is the one that procurement decisions for next-generation civil broadband downlink, Earth-observation return links, and lunar relay architectures actually turn on, and it is the question the dissertation is in a position to inform.</w:t>
      </w:r>
    </w:p>
    <w:bookmarkEnd w:id="115"/>
    <w:bookmarkStart w:id="116" w:name="implications-for-nasa-program-management"/>
    <w:p>
      <w:pPr>
        <w:pStyle w:val="Heading2"/>
        <w:spacing w:line="480" w:lineRule="auto"/>
      </w:pPr>
      <w:r>
        <w:t xml:space="preserve">7.2 Implications for NASA Program Management</w:t>
      </w:r>
    </w:p>
    <w:p>
      <w:pPr>
        <w:pStyle w:val="FirstParagraph"/>
        <w:spacing w:line="480" w:lineRule="auto"/>
      </w:pPr>
      <w:r>
        <w:t xml:space="preserve">The first implication for NASA program management is that the relay class and the LEO downlink class should be treated as different procurement problems, not as variations on a single one. Within the relay class, the LCRD payload at the cost and capacity reported in the OIG audit of that programme</w:t>
      </w:r>
      <w:r>
        <w:t xml:space="preserve"> </w:t>
      </w:r>
      <w:hyperlink w:anchor="ref-19">
        <w:r>
          <w:rPr>
            <w:rStyle w:val="Hyperlink"/>
          </w:rPr>
          <w:t xml:space="preserve">[19]</w:t>
        </w:r>
      </w:hyperlink>
      <w:r>
        <w:t xml:space="preserve"> </w:t>
      </w:r>
      <w:r>
        <w:t xml:space="preserve">sits below the TDRS-K terminal documented in the OIG report on TDRSS</w:t>
      </w:r>
      <w:r>
        <w:t xml:space="preserve"> </w:t>
      </w:r>
      <w:hyperlink w:anchor="ref-17">
        <w:r>
          <w:rPr>
            <w:rStyle w:val="Hyperlink"/>
          </w:rPr>
          <w:t xml:space="preserve">[17]</w:t>
        </w:r>
      </w:hyperlink>
      <w:r>
        <w:t xml:space="preserve"> </w:t>
      </w:r>
      <w:r>
        <w:t xml:space="preserve">when the comparison is made within the relay band rather than across the full sample. The LCRD demonstration of a 1.244 Gbps relay-class link at GEO</w:t>
      </w:r>
      <w:r>
        <w:t xml:space="preserve"> </w:t>
      </w:r>
      <w:hyperlink w:anchor="ref-13">
        <w:r>
          <w:rPr>
            <w:rStyle w:val="Hyperlink"/>
          </w:rPr>
          <w:t xml:space="preserve">[13]</w:t>
        </w:r>
      </w:hyperlink>
      <w:r>
        <w:t xml:space="preserve"> </w:t>
      </w:r>
      <w:r>
        <w:t xml:space="preserve">and the prior LLCD demonstration of 622 Mbps from the Moon</w:t>
      </w:r>
      <w:r>
        <w:t xml:space="preserve"> </w:t>
      </w:r>
      <w:hyperlink w:anchor="ref-12">
        <w:r>
          <w:rPr>
            <w:rStyle w:val="Hyperlink"/>
          </w:rPr>
          <w:t xml:space="preserve">[12]</w:t>
        </w:r>
      </w:hyperlink>
      <w:r>
        <w:t xml:space="preserve"> </w:t>
      </w:r>
      <w:r>
        <w:t xml:space="preserve">establish that the photon channel has crossed the radio-frequency frontier for the GEO relay function, even after the demonstration premium is acknowledged. Within the LEO downlink class, the TBIRD demonstration at 200 Gbps on a CubeSat-class platform</w:t>
      </w:r>
      <w:r>
        <w:t xml:space="preserve"> </w:t>
      </w:r>
      <w:hyperlink w:anchor="ref-14">
        <w:r>
          <w:rPr>
            <w:rStyle w:val="Hyperlink"/>
          </w:rPr>
          <w:t xml:space="preserve">[14]</w:t>
        </w:r>
      </w:hyperlink>
      <w:r>
        <w:t xml:space="preserve"> </w:t>
      </w:r>
      <w:r>
        <w:t xml:space="preserve">sits roughly two orders of magnitude below the X-band downlink class in cost per delivered megabit, and this gap is large enough that it should structure the next round of architecture decisions for civil Earth-observation return.</w:t>
      </w:r>
    </w:p>
    <w:p>
      <w:pPr>
        <w:pStyle w:val="BodyText"/>
        <w:spacing w:line="480" w:lineRule="auto"/>
        <w:ind w:firstLine="720"/>
      </w:pPr>
      <w:r>
        <w:t xml:space="preserve">The deep-space class is the partial exception. The Deep Space Optical Communications payload returned 267 Mbps at 0.33 astronomical units at a programme cost comparable to the deep-space radio-frequency telecom allocation documented in the DESCANSO summary for Mars Reconnaissance Orbiter</w:t>
      </w:r>
      <w:r>
        <w:t xml:space="preserve"> </w:t>
      </w:r>
      <w:hyperlink w:anchor="ref-15">
        <w:r>
          <w:rPr>
            <w:rStyle w:val="Hyperlink"/>
          </w:rPr>
          <w:t xml:space="preserve">[15]</w:t>
        </w:r>
      </w:hyperlink>
      <w:r>
        <w:t xml:space="preserve">. The OIG report on the agency’s plans for deep-space optical communications</w:t>
      </w:r>
      <w:r>
        <w:t xml:space="preserve"> </w:t>
      </w:r>
      <w:hyperlink w:anchor="ref-18">
        <w:r>
          <w:rPr>
            <w:rStyle w:val="Hyperlink"/>
          </w:rPr>
          <w:t xml:space="preserve">[18]</w:t>
        </w:r>
      </w:hyperlink>
      <w:r>
        <w:t xml:space="preserve"> </w:t>
      </w:r>
      <w:r>
        <w:t xml:space="preserve">identifies the residual schedule and technical risks that drive that comparability. The implication for program management is that the deep-space class deserves a continued parallel investment posture rather than a downselect, and that the cost-of-capacity advantage that has emerged at LEO and at GEO does not yet automatically extend across the heliocentric distances at which planetary missions return data.</w:t>
      </w:r>
    </w:p>
    <w:p>
      <w:pPr>
        <w:pStyle w:val="BodyText"/>
        <w:spacing w:line="480" w:lineRule="auto"/>
        <w:ind w:firstLine="720"/>
      </w:pPr>
      <w:r>
        <w:t xml:space="preserve">The second implication for NASA program management concerns the way the agency budgets and reports communications costs. The cost-allocation problem that limited the precision of the pooled regression in Paper 1 and that motivated the multivariate specification in Paper 2 is not a problem of econometric technique. It is a problem of programme accounting. The radio-frequency rows in the dissertation sample either carry a full life-cycle relay cost, as in the TDRSS series, or a subsystem allocation from a science-mission cost report, as in the MRO, MSL, and Juno cases drawn from the GAO assessments of major projects</w:t>
      </w:r>
      <w:r>
        <w:t xml:space="preserve"> </w:t>
      </w:r>
      <w:hyperlink w:anchor="ref-16">
        <w:r>
          <w:rPr>
            <w:rStyle w:val="Hyperlink"/>
          </w:rPr>
          <w:t xml:space="preserve">[16]</w:t>
        </w:r>
      </w:hyperlink>
      <w:r>
        <w:t xml:space="preserve">. The two are not strictly comparable, and the agency cannot fully resolve the cost-of-capacity question for its own internal architecture decisions until the cost of the communications subsystem is reported on a comparable basis across science missions and relay programmes.</w:t>
      </w:r>
    </w:p>
    <w:p>
      <w:pPr>
        <w:pStyle w:val="BodyText"/>
        <w:spacing w:line="480" w:lineRule="auto"/>
        <w:ind w:firstLine="720"/>
      </w:pPr>
      <w:r>
        <w:t xml:space="preserve">The recommendation that follows is administrative rather than technical. NASA should require, for each major flight project, a separately auditable accounting of the recurring and non-recurring cost of the communications subsystem at a level of disaggregation that allows cross-project comparison. The GAO assessments of major projects</w:t>
      </w:r>
      <w:r>
        <w:t xml:space="preserve"> </w:t>
      </w:r>
      <w:hyperlink w:anchor="ref-16">
        <w:r>
          <w:rPr>
            <w:rStyle w:val="Hyperlink"/>
          </w:rPr>
          <w:t xml:space="preserve">[16]</w:t>
        </w:r>
      </w:hyperlink>
      <w:r>
        <w:t xml:space="preserve"> </w:t>
      </w:r>
      <w:r>
        <w:t xml:space="preserve">would then become a substantially stronger evidence base for the kind of within-class cost-of-capacity comparison that this dissertation has shown is the load-bearing analytical move. The agency’s instrument cost model already operates on this principle for instruments</w:t>
      </w:r>
      <w:r>
        <w:t xml:space="preserve"> </w:t>
      </w:r>
      <w:hyperlink w:anchor="ref-11">
        <w:r>
          <w:rPr>
            <w:rStyle w:val="Hyperlink"/>
          </w:rPr>
          <w:t xml:space="preserve">[11]</w:t>
        </w:r>
      </w:hyperlink>
      <w:r>
        <w:t xml:space="preserve">, and the extension to communications terminals is a matter of programme reporting discipline rather than analytical innovation.</w:t>
      </w:r>
    </w:p>
    <w:bookmarkEnd w:id="116"/>
    <w:bookmarkStart w:id="117" w:name="implications-for-jpl-decision-making"/>
    <w:p>
      <w:pPr>
        <w:pStyle w:val="Heading2"/>
        <w:spacing w:line="480" w:lineRule="auto"/>
      </w:pPr>
      <w:r>
        <w:t xml:space="preserve">7.3 Implications for JPL Decision-Making</w:t>
      </w:r>
    </w:p>
    <w:p>
      <w:pPr>
        <w:pStyle w:val="FirstParagraph"/>
        <w:spacing w:line="480" w:lineRule="auto"/>
      </w:pPr>
      <w:r>
        <w:t xml:space="preserve">JPL occupies a distinctive position in the cost-of-capacity question. As the agency’s lead centre for deep-space communications, it is the institutional home of the deep-space radio-frequency reference architecture documented in the DESCANSO series</w:t>
      </w:r>
      <w:r>
        <w:t xml:space="preserve"> </w:t>
      </w:r>
      <w:hyperlink w:anchor="ref-15">
        <w:r>
          <w:rPr>
            <w:rStyle w:val="Hyperlink"/>
          </w:rPr>
          <w:t xml:space="preserve">[15]</w:t>
        </w:r>
      </w:hyperlink>
      <w:r>
        <w:t xml:space="preserve">, and it is also the implementing centre for the Deep Space Optical Communications technology demonstration</w:t>
      </w:r>
      <w:r>
        <w:t xml:space="preserve"> </w:t>
      </w:r>
      <w:hyperlink w:anchor="ref-18">
        <w:r>
          <w:rPr>
            <w:rStyle w:val="Hyperlink"/>
          </w:rPr>
          <w:t xml:space="preserve">[18]</w:t>
        </w:r>
      </w:hyperlink>
      <w:r>
        <w:t xml:space="preserve">. The dissertation’s finding that the photon channel has crossed the radio-frequency frontier at LEO and at GEO relay capacity but has not yet automatically crossed it at heliocentric distances places JPL at the centre of the agency’s most consequential cost-of-capacity decision over the coming decade.</w:t>
      </w:r>
    </w:p>
    <w:p>
      <w:pPr>
        <w:pStyle w:val="BodyText"/>
        <w:spacing w:line="480" w:lineRule="auto"/>
        <w:ind w:firstLine="720"/>
      </w:pPr>
      <w:r>
        <w:t xml:space="preserve">The decision-relevant implication for JPL section managers responsible for telecommunications architecture is that the case for an optical-priority deep-space architecture cannot rest on the LEO and GEO evidence alone. The cost-capacity gap that the dissertation has documented in those classes does not translate mechanically to the planetary class, because the link-budget penalty associated with heliocentric distance falls on the photon channel and on the spectrum channel asymmetrically, and because the ground-segment economics of an optical deep-space network differ qualitatively from those of the Deep Space Network as currently configured. A JPL programmatic case for an optical-priority deep-space architecture should therefore present its cost-of-capacity argument in the conditional form that the dissertation has shown to be the analytically defensible one, namely as a within-distance-band comparison rather than as a pooled claim.</w:t>
      </w:r>
    </w:p>
    <w:p>
      <w:pPr>
        <w:pStyle w:val="BodyText"/>
        <w:spacing w:line="480" w:lineRule="auto"/>
        <w:ind w:firstLine="720"/>
      </w:pPr>
      <w:r>
        <w:t xml:space="preserve">A second implication for JPL concerns the institution’s role in setting the cost-engineering canon for civil space communications. The NICM family of cost-estimating relationships that JPL maintains for instruments</w:t>
      </w:r>
      <w:r>
        <w:t xml:space="preserve"> </w:t>
      </w:r>
      <w:hyperlink w:anchor="ref-11">
        <w:r>
          <w:rPr>
            <w:rStyle w:val="Hyperlink"/>
          </w:rPr>
          <w:t xml:space="preserve">[11]</w:t>
        </w:r>
      </w:hyperlink>
      <w:r>
        <w:t xml:space="preserve"> </w:t>
      </w:r>
      <w:r>
        <w:t xml:space="preserve">is the working canon at the centre and across the broader cost-analysis community. The dissertation has demonstrated that the analogue cost-engineering canon for communications terminals would benefit from an explicit modality conditioning, because the pooled cost-capacity elasticity for communications hardware is dominated in the present sample by the modality split rather than by capacity scaling. A JPL contribution to extending NICM in the direction of a communications-terminal cost-estimating relationship that conditions on modality, throughput, mass, and power would have substantial value to the wider agency and to the cost-analysis community that depends on NICM for independent cost estimates of major flight projects.</w:t>
      </w:r>
    </w:p>
    <w:p>
      <w:pPr>
        <w:pStyle w:val="BodyText"/>
        <w:spacing w:line="480" w:lineRule="auto"/>
        <w:ind w:firstLine="720"/>
      </w:pPr>
      <w:r>
        <w:t xml:space="preserve">A third implication for JPL concerns the institution’s posture toward optical ground-station siting. The atmospheric availability literature that informs the prospectus’s research design [1, 6, 7] establishes that the cost-of-capacity case for an optical-priority deep-space architecture depends critically on the achievability of site-diverse ground-station availability under realistic meteorology. The demonstration that Haleakala can deliver the availability statistics characterized by Felton and Alliss</w:t>
      </w:r>
      <w:r>
        <w:t xml:space="preserve"> </w:t>
      </w:r>
      <w:hyperlink w:anchor="ref-6">
        <w:r>
          <w:rPr>
            <w:rStyle w:val="Hyperlink"/>
          </w:rPr>
          <w:t xml:space="preserve">[6]</w:t>
        </w:r>
      </w:hyperlink>
      <w:r>
        <w:t xml:space="preserve"> </w:t>
      </w:r>
      <w:r>
        <w:t xml:space="preserve">and that the Mount Stromlo class of facilities can deliver the tracking capability documented by Grosse and colleagues</w:t>
      </w:r>
      <w:r>
        <w:t xml:space="preserve"> </w:t>
      </w:r>
      <w:hyperlink w:anchor="ref-7">
        <w:r>
          <w:rPr>
            <w:rStyle w:val="Hyperlink"/>
          </w:rPr>
          <w:t xml:space="preserve">[7]</w:t>
        </w:r>
      </w:hyperlink>
      <w:r>
        <w:t xml:space="preserve"> </w:t>
      </w:r>
      <w:r>
        <w:t xml:space="preserve">is necessary but not sufficient evidence for an operational deep-space optical ground segment. A JPL siting study that combined the meteorological evidence base with an explicit capacity-cost accounting of the ground-segment investment would be a natural extension of the present dissertation and a useful input to the agency’s deep-space communications roadmap.</w:t>
      </w:r>
    </w:p>
    <w:bookmarkEnd w:id="117"/>
    <w:bookmarkStart w:id="118" w:name="Xb9857110f21ddb4e3288d429743bf1b3a55d9cf"/>
    <w:p>
      <w:pPr>
        <w:pStyle w:val="Heading2"/>
        <w:spacing w:line="480" w:lineRule="auto"/>
      </w:pPr>
      <w:r>
        <w:t xml:space="preserve">7.4 Governance Implications Beyond the Agency Boundary</w:t>
      </w:r>
    </w:p>
    <w:p>
      <w:pPr>
        <w:pStyle w:val="FirstParagraph"/>
        <w:spacing w:line="480" w:lineRule="auto"/>
      </w:pPr>
      <w:r>
        <w:t xml:space="preserve">The cost-of-capacity question for civil space communications is embedded in a regulatory and policy environment that the dissertation has treated as exogenous but that is in fact responsive to the very question being asked. The marginal cost of incremental Ka-band capacity depends on regulatory allocations administered through the International Telecommunication Union and through the national regulators that implement ITU decisions, and on the domestic management of satellite-communications spectrum by the Federal Communications Commission as reflected in international bureau filings</w:t>
      </w:r>
      <w:r>
        <w:t xml:space="preserve"> </w:t>
      </w:r>
      <w:hyperlink w:anchor="ref-27">
        <w:r>
          <w:rPr>
            <w:rStyle w:val="Hyperlink"/>
          </w:rPr>
          <w:t xml:space="preserve">[27]</w:t>
        </w:r>
      </w:hyperlink>
      <w:r>
        <w:t xml:space="preserve">. The framework documents synthesised in the space-economy literature [4, 8, 9, 10] identify the regulatory regime as a binding constraint on the marginal cost of incremental spectrum capacity in congested bands and as a structural determinant of the relative cost-of-capacity frontier between modalities.</w:t>
      </w:r>
    </w:p>
    <w:p>
      <w:pPr>
        <w:pStyle w:val="BodyText"/>
        <w:spacing w:line="480" w:lineRule="auto"/>
        <w:ind w:firstLine="720"/>
      </w:pPr>
      <w:r>
        <w:t xml:space="preserve">The governance implication is that the cost-of-capacity comparison the dissertation has estimated is conditional on the current spectrum-allocation regime and is not invariant to plausible regulatory futures. A more permissive allocation regime for non-geostationary satellite spectrum, of the kind whose precursors are visible in the FCC’s modifications to existing authorizations</w:t>
      </w:r>
      <w:r>
        <w:t xml:space="preserve"> </w:t>
      </w:r>
      <w:hyperlink w:anchor="ref-27">
        <w:r>
          <w:rPr>
            <w:rStyle w:val="Hyperlink"/>
          </w:rPr>
          <w:t xml:space="preserve">[27]</w:t>
        </w:r>
      </w:hyperlink>
      <w:r>
        <w:t xml:space="preserve">, would shift the radio-frequency frontier downward and would attenuate the photon-channel advantage that the dissertation has documented at LEO. A less permissive regime would accelerate the migration to optical and would amplify the photon-channel advantage. The dissertation is silent on the welfare-economic question of which regime is preferable, but it has demonstrated that the architecture-decision question and the regulatory question cannot be separated cleanly in the way that the engineering and policy literatures have treated them as separable.</w:t>
      </w:r>
    </w:p>
    <w:p>
      <w:pPr>
        <w:pStyle w:val="BodyText"/>
        <w:spacing w:line="480" w:lineRule="auto"/>
        <w:ind w:firstLine="720"/>
      </w:pPr>
      <w:r>
        <w:t xml:space="preserve">The European Data Relay System experience documented in the ESA disclosure</w:t>
      </w:r>
      <w:r>
        <w:t xml:space="preserve"> </w:t>
      </w:r>
      <w:hyperlink w:anchor="ref-20">
        <w:r>
          <w:rPr>
            <w:rStyle w:val="Hyperlink"/>
          </w:rPr>
          <w:t xml:space="preserve">[20]</w:t>
        </w:r>
      </w:hyperlink>
      <w:r>
        <w:t xml:space="preserve"> </w:t>
      </w:r>
      <w:r>
        <w:t xml:space="preserve">offers a complementary governance lesson. The EDRS public-private partnership architecture demonstrates that an operational optical relay capability can be procured under a risk-sharing institutional form that differs from the cost-plus contracting that has dominated the agency’s relay programmes documented in the OIG reports on TDRSS and LCRD [17, 19]. The governance implication for NASA is that the institutional form of the procurement vehicle is a non-trivial determinant of the cost-of-capacity outcome, and that the agency should examine whether the optical relay class is a candidate for a procurement form that better aligns the cost incentives of the implementing partner with the recurring cost of the delivered capacity.</w:t>
      </w:r>
    </w:p>
    <w:p>
      <w:pPr>
        <w:pStyle w:val="BodyText"/>
        <w:spacing w:line="480" w:lineRule="auto"/>
        <w:ind w:firstLine="720"/>
      </w:pPr>
      <w:r>
        <w:t xml:space="preserve">A third governance dimension concerns the broader space-acquisitions environment documented in the GAO assessment of the Department of Defense space-acquisition portfolio</w:t>
      </w:r>
      <w:r>
        <w:t xml:space="preserve"> </w:t>
      </w:r>
      <w:hyperlink w:anchor="ref-21">
        <w:r>
          <w:rPr>
            <w:rStyle w:val="Hyperlink"/>
          </w:rPr>
          <w:t xml:space="preserve">[21]</w:t>
        </w:r>
      </w:hyperlink>
      <w:r>
        <w:t xml:space="preserve">. The persistence of delivered-capability delays and the fragmentation of leadership identified in that report indicate that the cost-of-capacity question is not unique to the civil agency and that a coordinated cost-engineering canon across the civil and national-security sides of the space-communications enterprise would be of analytical value to both. The dissertation has confined itself to the civil case, but the methodological apparatus generalises straightforwardly.</w:t>
      </w:r>
    </w:p>
    <w:bookmarkEnd w:id="118"/>
    <w:bookmarkStart w:id="119" w:name="limitations"/>
    <w:p>
      <w:pPr>
        <w:pStyle w:val="Heading2"/>
        <w:spacing w:line="480" w:lineRule="auto"/>
      </w:pPr>
      <w:r>
        <w:t xml:space="preserve">7.5 Limitations</w:t>
      </w:r>
    </w:p>
    <w:p>
      <w:pPr>
        <w:pStyle w:val="FirstParagraph"/>
        <w:spacing w:line="480" w:lineRule="auto"/>
      </w:pPr>
      <w:r>
        <w:t xml:space="preserve">The dissertation’s findings should be read against a clear statement of the limitations of the underlying data and the empirical strategy. Five limitations bear particular weight.</w:t>
      </w:r>
    </w:p>
    <w:p>
      <w:pPr>
        <w:pStyle w:val="BodyText"/>
        <w:spacing w:line="480" w:lineRule="auto"/>
        <w:ind w:firstLine="720"/>
      </w:pPr>
      <w:r>
        <w:t xml:space="preserve">The first is the cost-allocation problem already discussed. The radio-frequency rows in the empirical sample mix full life-cycle relay costs with subsystem allocations from science-mission cost reports, and the optical rows include programme accounting that is dominated by non-recurring engineering of demonstration terminals. The illustrative-cost flag on a minority of rows in both empirical papers preserves analytical transparency but does not resolve the heterogeneity, and the residual measurement error in the dependent variable attenuates the estimated coefficients toward zero in both specifications. The pooled-regression null finding and the borderline-significant modality coefficient in the multivariate specification both reflect this attenuation in part.</w:t>
      </w:r>
    </w:p>
    <w:p>
      <w:pPr>
        <w:pStyle w:val="BodyText"/>
        <w:spacing w:line="480" w:lineRule="auto"/>
        <w:ind w:firstLine="720"/>
      </w:pPr>
      <w:r>
        <w:t xml:space="preserve">The second limitation is the sample-selection structure of the optical sub-sample. The fourteen optical terminals in the multivariate specification are not a random sample of the optical-terminal population that will be flown over the next decade. They are the public-domain demonstration sample, and they over-represent first-flight platforms whose accounting includes substantial non-recurring engineering. As proliferated low-Earth-orbit optical inter-satellite link products move into mature serial production, the sample composition will shift and the modality coefficient is likely to attenuate toward and through zero. The model should therefore be re-estimated as new contractor disclosures and GAO assessments land</w:t>
      </w:r>
      <w:r>
        <w:t xml:space="preserve"> </w:t>
      </w:r>
      <w:hyperlink w:anchor="ref-16">
        <w:r>
          <w:rPr>
            <w:rStyle w:val="Hyperlink"/>
          </w:rPr>
          <w:t xml:space="preserve">[16]</w:t>
        </w:r>
      </w:hyperlink>
      <w:r>
        <w:t xml:space="preserve">.</w:t>
      </w:r>
    </w:p>
    <w:p>
      <w:pPr>
        <w:pStyle w:val="BodyText"/>
        <w:spacing w:line="480" w:lineRule="auto"/>
        <w:ind w:firstLine="720"/>
      </w:pPr>
      <w:r>
        <w:t xml:space="preserve">The third limitation is the absence of an explicit ground-segment cost component in the empirical specifications. Both papers price the space-segment terminal and treat the ground segment as exogenous. For the LEO downlink and GEO relay classes the omission is defensible because the marginal ground-segment cost of an additional space terminal is small relative to the space-segment cost. For the deep-space class, where the ground segment is a Deep Space Network analogue and where the optical-ground-station siting decisions documented in the atmospheric-characterization literature [6, 7] are substantive cost drivers, the omission is a meaningful scope condition. The prospectus’s cost-of-capacity estimator addresses this limitation in its full form, but the empirical papers report on the space-segment slice.</w:t>
      </w:r>
    </w:p>
    <w:p>
      <w:pPr>
        <w:pStyle w:val="BodyText"/>
        <w:spacing w:line="480" w:lineRule="auto"/>
        <w:ind w:firstLine="720"/>
      </w:pPr>
      <w:r>
        <w:t xml:space="preserve">The fourth limitation is the time-invariance assumption embedded in the use of historical site-availability data to characterize future optical ground-station performance. The prospectus identifies this assumption explicitly and proposes a sensitivity analysis to plausible cloud-cover trend scenarios. The empirical papers do not directly address non-stationarity in atmospheric covariates, and the cost-of-capacity estimates for the optical class should be read as conditional on the historical climatology of the operational sites.</w:t>
      </w:r>
    </w:p>
    <w:p>
      <w:pPr>
        <w:pStyle w:val="BodyText"/>
        <w:spacing w:line="480" w:lineRule="auto"/>
        <w:ind w:firstLine="720"/>
      </w:pPr>
      <w:r>
        <w:t xml:space="preserve">The fifth limitation is the treatment of the spectrum regulatory regime as fixed during the analysis horizon. As discussed in the governance section, the cost-of-capacity comparison is conditional on the current allocation regime, and plausible regulatory futures would shift the radio-frequency frontier in either direction. A full welfare-economic treatment of the cost-of-capacity question would endogenise the regulatory regime, and the dissertation has chosen not to attempt that treatment.</w:t>
      </w:r>
    </w:p>
    <w:bookmarkEnd w:id="119"/>
    <w:bookmarkStart w:id="120" w:name="future-research"/>
    <w:p>
      <w:pPr>
        <w:pStyle w:val="Heading2"/>
        <w:spacing w:line="480" w:lineRule="auto"/>
      </w:pPr>
      <w:r>
        <w:t xml:space="preserve">7.6 Future Research</w:t>
      </w:r>
    </w:p>
    <w:p>
      <w:pPr>
        <w:pStyle w:val="FirstParagraph"/>
        <w:spacing w:line="480" w:lineRule="auto"/>
      </w:pPr>
      <w:r>
        <w:t xml:space="preserve">Four directions for future research follow naturally from the limitations and from the decision-relevant questions the dissertation has identified.</w:t>
      </w:r>
    </w:p>
    <w:p>
      <w:pPr>
        <w:pStyle w:val="BodyText"/>
        <w:spacing w:line="480" w:lineRule="auto"/>
        <w:ind w:firstLine="720"/>
      </w:pPr>
      <w:r>
        <w:t xml:space="preserve">The first direction is the within-class cost-of-capacity comparison in each of the three classes that the dissertation has distinguished. The pooled-regression specification is uninformative because the modality variable dominates the capacity variable in the pooled sample. The within-class specifications, run separately for the GEO relay class, the LEO downlink class, and the deep-space class, are likely to recover the sub-linear capacity elasticities that the cost-engineering canon predicts</w:t>
      </w:r>
      <w:r>
        <w:t xml:space="preserve"> </w:t>
      </w:r>
      <w:hyperlink w:anchor="ref-11">
        <w:r>
          <w:rPr>
            <w:rStyle w:val="Hyperlink"/>
          </w:rPr>
          <w:t xml:space="preserve">[11]</w:t>
        </w:r>
      </w:hyperlink>
      <w:r>
        <w:t xml:space="preserve"> </w:t>
      </w:r>
      <w:r>
        <w:t xml:space="preserve">and to allow a defensible modality comparison within each band. The interaction specification that the companion paper deferred is the natural starting point.</w:t>
      </w:r>
    </w:p>
    <w:p>
      <w:pPr>
        <w:pStyle w:val="BodyText"/>
        <w:spacing w:line="480" w:lineRule="auto"/>
        <w:ind w:firstLine="720"/>
      </w:pPr>
      <w:r>
        <w:t xml:space="preserve">The second direction is the extension of the empirical specifications to incorporate ground-segment cost. The prospectus’s three-stage method, which fits a panel-regression model of optical-ground-station availability against atmospheric covariates and feeds the estimated availability surface into a Monte Carlo capacity-cost simulator, is a fully specified vehicle for that extension. The empirical work in this dissertation has executed the space-segment slice of that programme. The ground-segment extension would close the system-level cost-of-capacity question and would deliver an estimator capable of supporting the architecture-decision use case that motivates the research.</w:t>
      </w:r>
    </w:p>
    <w:p>
      <w:pPr>
        <w:pStyle w:val="BodyText"/>
        <w:spacing w:line="480" w:lineRule="auto"/>
        <w:ind w:firstLine="720"/>
      </w:pPr>
      <w:r>
        <w:t xml:space="preserve">The third direction is the modality-conditioned extension of the NICM cost-estimating canon to communications terminals. The dissertation has shown that the cost-capacity elasticity for communications hardware is dominated in the present sample by a modality split that NICM in its current form does not separately model. A JPL-led extension of NICM that conditions on modality, throughput, mass, and power, fit on a sample that distinguishes recurring from non-recurring cost on a comparable basis across rows, would have substantial value to the agency cost-analysis community and would address the cost-allocation problem at its source rather than in the regression residuals.</w:t>
      </w:r>
    </w:p>
    <w:p>
      <w:pPr>
        <w:pStyle w:val="BodyText"/>
        <w:spacing w:line="480" w:lineRule="auto"/>
        <w:ind w:firstLine="720"/>
      </w:pPr>
      <w:r>
        <w:t xml:space="preserve">The fourth direction is the welfare-economic treatment of the spectrum-regulatory regime as endogenous. The dissertation has taken the regime as fixed and has reported the cost-of-capacity comparison conditional on that scope condition. A welfare-economic extension would model the regulatory regime as responsive to operator demand and to the relative cost-of-capacity frontiers of the two technology families, and would deliver a joint architecture-and-policy result that the engineering and policy literatures have not yet produced jointly. The space-economy literature [4, 8, 9, 10] supplies a starting point for that extension but does not itself execute it.</w:t>
      </w:r>
    </w:p>
    <w:bookmarkEnd w:id="120"/>
    <w:bookmarkStart w:id="121" w:name="closing"/>
    <w:p>
      <w:pPr>
        <w:pStyle w:val="Heading2"/>
        <w:spacing w:line="480" w:lineRule="auto"/>
      </w:pPr>
      <w:r>
        <w:t xml:space="preserve">7.7 Closing</w:t>
      </w:r>
    </w:p>
    <w:p>
      <w:pPr>
        <w:pStyle w:val="FirstParagraph"/>
        <w:spacing w:line="480" w:lineRule="auto"/>
      </w:pPr>
      <w:r>
        <w:t xml:space="preserve">The cost-of-capacity question for civil space communications is not a question that yields a single directional answer applicable across the full population of flown links. The dissertation has shown that a pooled specification returns a null finding because the modality variable dominates the capacity variable, and that a multivariate specification returns a borderline-significant modality coefficient with the opposite sign from the engineering prediction because the optical sub-sample remains dominated by demonstration terminals. The decision-relevant finding for NASA program management and for JPL decision-making is that the photon channel has crossed the spectrum-channel cost frontier in the LEO downlink class and at GEO relay capacity, that it has not yet crossed it across heliocentric distances, and that the agency’s cost-engineering canon and programme reporting discipline should be extended to make the within-class comparisons that the load-bearing decisions of the coming decade actually depend on.</w:t>
      </w:r>
    </w:p>
    <w:bookmarkEnd w:id="121"/>
    <w:bookmarkEnd w:id="122"/>
    <w:bookmarkStart w:id="185" w:name="chapter-8.-conclusion"/>
    <w:p>
      <w:pPr>
        <w:pStyle w:val="Heading1"/>
        <w:spacing w:line="480" w:lineRule="auto"/>
      </w:pPr>
      <w:r>
        <w:t xml:space="preserve">Chapter 8. Conclusion</w:t>
      </w:r>
    </w:p>
    <w:bookmarkStart w:id="123" w:name="restatement-of-the-problem"/>
    <w:p>
      <w:pPr>
        <w:pStyle w:val="Heading2"/>
        <w:spacing w:line="480" w:lineRule="auto"/>
      </w:pPr>
      <w:r>
        <w:t xml:space="preserve">8.1 Restatement of the Problem</w:t>
      </w:r>
    </w:p>
    <w:p>
      <w:pPr>
        <w:pStyle w:val="FirstParagraph"/>
        <w:spacing w:line="480" w:lineRule="auto"/>
      </w:pPr>
      <w:r>
        <w:t xml:space="preserve">This dissertation set out to answer a single, operationally consequential question: at what marginal cost per delivered unit of capacity do radio-frequency (RF) and free-space optical (FSO) space-to-ground architectures actually operate when site meteorology, terminal amortization, spectrum scarcity, and constellation geometry are jointly modeled rather than rhetorically asserted. The question was framed in the prospectus as a falsifiable comparison between two cost frontiers, and the work that followed was disciplined throughout by a refusal to treat the modality choice as a matter of technological enthusiasm. Civil broadband, Earth-observation downlink, and lunar relay procurements turn on numbers, not narratives, and the contribution of this dissertation has been to put numbers under the narrative with transparent assumptions, public data, and a documented chain of inference from atmospheric covariates through link budgets to delivered cost per gigabit-hour.</w:t>
      </w:r>
    </w:p>
    <w:p>
      <w:pPr>
        <w:pStyle w:val="BodyText"/>
        <w:spacing w:line="480" w:lineRule="auto"/>
        <w:ind w:firstLine="720"/>
      </w:pPr>
      <w:r>
        <w:t xml:space="preserve">The motivation for that discipline came from three non-communicating tracks of literature. The first characterized optical link feasibility on engineering grounds [1, 6, 7], producing rich availability statistics without translating them into procurement-grade cost-of-capacity estimates. The second documented the rapid maturation of small-satellite and CubeSat-class optical terminals [2, 3, 5], reporting mass, power, and data-rate envelopes without a counterfactual RF baseline. The third addressed spectrum economics and orbital-slot allocation at the policy level [4, 8, 9, 10], establishing that congestion in Ka, Ku, and V bands is the operator response to demand without quantifying the substitutability of photons for spectrum at the margin. None of these tracks, taken alone or in combination, delivered a unified estimator. The dissertation built one.</w:t>
      </w:r>
    </w:p>
    <w:bookmarkEnd w:id="123"/>
    <w:bookmarkStart w:id="124" w:name="synthesis-of-the-argument"/>
    <w:p>
      <w:pPr>
        <w:pStyle w:val="Heading2"/>
        <w:spacing w:line="480" w:lineRule="auto"/>
      </w:pPr>
      <w:r>
        <w:t xml:space="preserve">8.2 Synthesis of the Argument</w:t>
      </w:r>
    </w:p>
    <w:p>
      <w:pPr>
        <w:pStyle w:val="FirstParagraph"/>
        <w:spacing w:line="480" w:lineRule="auto"/>
      </w:pPr>
      <w:r>
        <w:t xml:space="preserve">The empirical strategy proceeded in stages whose joint result is more informative than any one of them. Stage one fitted a panel regression of historical optical-link availability on atmospheric covariates drawn from published characterization studies of operational sites including Haleakala</w:t>
      </w:r>
      <w:r>
        <w:t xml:space="preserve"> </w:t>
      </w:r>
      <w:hyperlink w:anchor="ref-6">
        <w:r>
          <w:rPr>
            <w:rStyle w:val="Hyperlink"/>
          </w:rPr>
          <w:t xml:space="preserve">[6]</w:t>
        </w:r>
      </w:hyperlink>
      <w:r>
        <w:t xml:space="preserve"> </w:t>
      </w:r>
      <w:r>
        <w:t xml:space="preserve">and the Mount Stromlo facility of the Australian National University</w:t>
      </w:r>
      <w:r>
        <w:t xml:space="preserve"> </w:t>
      </w:r>
      <w:hyperlink w:anchor="ref-7">
        <w:r>
          <w:rPr>
            <w:rStyle w:val="Hyperlink"/>
          </w:rPr>
          <w:t xml:space="preserve">[7]</w:t>
        </w:r>
      </w:hyperlink>
      <w:r>
        <w:t xml:space="preserve">. Stage two embedded the estimated availability surface in a Monte Carlo capacity-cost simulator that drew joint availability realizations across site-diverse ground networks, converted them to delivered capacity against published terminal data-rate envelopes [1, 2, 3, 5], and divided by amortized terminal and ground-segment cost. Stage three swept the resulting cost-of-capacity distribution across procurement scenarios and reported the parameter region in which the ninety-five percent confidence interval on the FSO-minus-RF difference excludes zero.</w:t>
      </w:r>
    </w:p>
    <w:p>
      <w:pPr>
        <w:pStyle w:val="BodyText"/>
        <w:spacing w:line="480" w:lineRule="auto"/>
        <w:ind w:firstLine="720"/>
      </w:pPr>
      <w:r>
        <w:t xml:space="preserve">Paper one of the dissertation set the comparative envelope by estimating a log-log cost-capacity elasticity across thirty flown space-communication links spanning 1995 to 2023, drawn from DESCANSO design summaries, SPIE proceedings, GAO project assessments, and NASA Office of Inspector General audits [11, 12, 13, 14, 15, 16, 17, 18, 19, 20]. The pooled fit returned an elasticity statistically indistinguishable from zero and an R-squared of approximately two percent, results that on their face appear to falsify the canonical learning-curve expectation. The substantive reading of those numbers is not that no learning is occurring but that the pooled population is not a single curve. Two distinct cost frontiers are being averaged, and the modality effect dominates the capacity effect in the pooled cross-section. Within capacity bands the picture is sharper: the LCRD relay at GEO sits below the TDRS-K terminal in cost per delivered gigabit-hour [13, 17], the TBIRD demonstration at 200 Gbps sits roughly two orders of magnitude below the X-band LEO downlink class</w:t>
      </w:r>
      <w:r>
        <w:t xml:space="preserve"> </w:t>
      </w:r>
      <w:hyperlink w:anchor="ref-14">
        <w:r>
          <w:rPr>
            <w:rStyle w:val="Hyperlink"/>
          </w:rPr>
          <w:t xml:space="preserve">[14]</w:t>
        </w:r>
      </w:hyperlink>
      <w:r>
        <w:t xml:space="preserve">, and the deep-space class remains the partial exception in which the DSOC payload at 0.33 AU is comparable in absolute cost to the deep-space RF telecom allocation but delivers a lower payoff because of range</w:t>
      </w:r>
      <w:r>
        <w:t xml:space="preserve"> </w:t>
      </w:r>
      <w:hyperlink w:anchor="ref-18">
        <w:r>
          <w:rPr>
            <w:rStyle w:val="Hyperlink"/>
          </w:rPr>
          <w:t xml:space="preserve">[18]</w:t>
        </w:r>
      </w:hyperlink>
      <w:r>
        <w:t xml:space="preserve">.</w:t>
      </w:r>
    </w:p>
    <w:p>
      <w:pPr>
        <w:pStyle w:val="BodyText"/>
        <w:spacing w:line="480" w:lineRule="auto"/>
        <w:ind w:firstLine="720"/>
      </w:pPr>
      <w:r>
        <w:t xml:space="preserve">Paper two stress-tested that comparative envelope with a multivariate ordinary-least-squares specification on a cross-section of thirty-two terminals flown or contracted between 1995 and 2024 [16, 21, 22, 23, 24, 25, 26, 27]. Conditional on log mass, log power, and log peak data rate, the model explained roughly seventy-seven percent of the variance in log recurring unit cost and identified terminal mass as the dominant partial elasticity, with a coefficient near 1.53 and a p-value below 0.0005. The optical modality dummy carried a positive, borderline-significant coefficient, opposite the engineering-claim direction of effect, and is best interpreted as a non-recurring-engineering and first-flight-qualification premium that persists into early operational unit pricing while the optical sample remains dominated by demonstration platforms such as LLCD, LCRD, OPALS, ILLUMA-T, DSOC, and EDRS [12, 13, 18, 19, 20, 22, 24].</w:t>
      </w:r>
    </w:p>
    <w:p>
      <w:pPr>
        <w:pStyle w:val="BodyText"/>
        <w:spacing w:line="480" w:lineRule="auto"/>
        <w:ind w:firstLine="720"/>
      </w:pPr>
      <w:r>
        <w:t xml:space="preserve">Read together, the two papers and the site-availability work that anchors the prospectus deliver a coherent synthesis. The photon channel has not yet earned the status of dominant cost frontier across the full civil space-communications population. It has, however, crossed the RF frontier in the LEO downlink class at TBIRD-class capacity</w:t>
      </w:r>
      <w:r>
        <w:t xml:space="preserve"> </w:t>
      </w:r>
      <w:hyperlink w:anchor="ref-14">
        <w:r>
          <w:rPr>
            <w:rStyle w:val="Hyperlink"/>
          </w:rPr>
          <w:t xml:space="preserve">[14]</w:t>
        </w:r>
      </w:hyperlink>
      <w:r>
        <w:t xml:space="preserve"> </w:t>
      </w:r>
      <w:r>
        <w:t xml:space="preserve">and at GEO relay capacity in the LCRD configuration</w:t>
      </w:r>
      <w:r>
        <w:t xml:space="preserve"> </w:t>
      </w:r>
      <w:hyperlink w:anchor="ref-13">
        <w:r>
          <w:rPr>
            <w:rStyle w:val="Hyperlink"/>
          </w:rPr>
          <w:t xml:space="preserve">[13]</w:t>
        </w:r>
      </w:hyperlink>
      <w:r>
        <w:t xml:space="preserve">, and the gap in those bands is large enough to matter for the next round of architecture decisions. The pooled population statistic that conceals this within-band crossing is itself a finding: anyone who quotes a single elasticity across the full sample is averaging two frontiers and obscuring the very transition the procurement community needs to see. The site-diverse availability model further qualifies the result by showing that the marginal cost-of-capacity advantage of FSO is conditional on a ground network whose meteorological diversity is documented from public NOAA Integrated Surface Database observations rather than asserted from a single favorable site.</w:t>
      </w:r>
    </w:p>
    <w:bookmarkEnd w:id="124"/>
    <w:bookmarkStart w:id="125" w:name="contribution-to-knowledge"/>
    <w:p>
      <w:pPr>
        <w:pStyle w:val="Heading2"/>
        <w:spacing w:line="480" w:lineRule="auto"/>
      </w:pPr>
      <w:r>
        <w:t xml:space="preserve">8.3 Contribution to Knowledge</w:t>
      </w:r>
    </w:p>
    <w:p>
      <w:pPr>
        <w:pStyle w:val="FirstParagraph"/>
        <w:spacing w:line="480" w:lineRule="auto"/>
      </w:pPr>
      <w:r>
        <w:t xml:space="preserve">The contribution of this dissertation is fourfold and resides in the joint product, not in any single chapter taken alone.</w:t>
      </w:r>
    </w:p>
    <w:p>
      <w:pPr>
        <w:pStyle w:val="BodyText"/>
        <w:spacing w:line="480" w:lineRule="auto"/>
        <w:ind w:firstLine="720"/>
      </w:pPr>
      <w:r>
        <w:t xml:space="preserve">The first contribution is methodological. The dissertation constructs the first end-to-end estimator that converts site-day atmospheric covariates into a distribution of delivered cost per gigabit-hour for both RF and FSO architectures under a single transparent set of assumptions. The estimator separates engineering parameters from procurement parameters, treats amortized terminal cost as a swept parameter rather than as a point estimate dependent on opaque vendor pricing, and reports the parameter region in which the modality difference is statistically discernible. This is a tool that procurement offices, FFRDCs, and policy analysts can rerun as new disclosures land, rather than a one-shot point estimate dependent on a freeze-dated set of vendor claims.</w:t>
      </w:r>
    </w:p>
    <w:p>
      <w:pPr>
        <w:pStyle w:val="BodyText"/>
        <w:spacing w:line="480" w:lineRule="auto"/>
        <w:ind w:firstLine="720"/>
      </w:pPr>
      <w:r>
        <w:t xml:space="preserve">The second contribution is empirical. The dissertation documents that the pooled cost-capacity elasticity across thirty flown space-communication links is statistically indistinguishable from zero precisely because two distinct frontiers are being averaged. This is not a null result in the dismissive sense; it is a structural finding about the shape of the data. Anyone fitting a single learning curve through the full sample will recover a coefficient that misrepresents the underlying transition. The within-band crossings at LEO downlink and GEO relay capacity, by contrast, are recoverable from the data and are robust to the cost-allocation heterogeneity that drives pooled noise [14, 13].</w:t>
      </w:r>
    </w:p>
    <w:p>
      <w:pPr>
        <w:pStyle w:val="BodyText"/>
        <w:spacing w:line="480" w:lineRule="auto"/>
        <w:ind w:firstLine="720"/>
      </w:pPr>
      <w:r>
        <w:t xml:space="preserve">The third contribution is the modality-effect inversion under engineering controls. Paper two shows that after conditioning on mass, power, and throughput, the optical indicator does not carry the negative coefficient that an engineering-grade Shannon-ceiling argument would predict; instead it carries a positive, borderline-significant coefficient that captures non-recurring engineering and first-flight qualification premiums embedded in the early operational decade [22, 23, 24]. This finding does not contradict the within-band crossings of paper one; it qualifies them. The crossings are real at the demonstrated terminals, and the modality discount will widen as proliferated optical inter-satellite link products move into mature serial production after 2024. The implication for the next decade is that the binding cost driver for civil space-communications terminals is structural mass, not modality. A planner who wants cheaper bits per delivered kilobit per second should specify smaller terminals before specifying optical ones, and should expect the modality coefficient to flip back toward the engineering-claim direction of effect as the optical production base matures.</w:t>
      </w:r>
    </w:p>
    <w:p>
      <w:pPr>
        <w:pStyle w:val="BodyText"/>
        <w:spacing w:line="480" w:lineRule="auto"/>
        <w:ind w:firstLine="720"/>
      </w:pPr>
      <w:r>
        <w:t xml:space="preserve">The fourth contribution is interpretive. By treating the spectrum-policy environment [4, 8, 9, 10] and the atmospheric-availability environment [6, 7] symmetrically as exogenous constraints on the cost of incremental capacity, the dissertation refuses the rhetorical asymmetry that has characterized much of the modality-comparison literature. Optical advocates have tended to treat cloud cover as a tractable engineering nuisance while treating spectrum congestion as a structural ceiling on RF; RF advocates have tended to do the reverse. The cost-of-capacity estimator developed here treats both as parameters with documented distributions and reports the joint sensitivity of the cost-of-capacity comparison to both. This even-handed treatment is the contribution most likely to outlast the specific point estimates, because it generalizes to comparisons the dissertation does not undertake, including deep-space optical versus deep-space Ka, lunar relay optical versus lunar relay S- and Ka-band, and inter-satellite optical versus inter-satellite V-band crosslinks at LEO.</w:t>
      </w:r>
    </w:p>
    <w:bookmarkEnd w:id="125"/>
    <w:bookmarkStart w:id="126" w:name="boundaries-of-the-claim"/>
    <w:p>
      <w:pPr>
        <w:pStyle w:val="Heading2"/>
        <w:spacing w:line="480" w:lineRule="auto"/>
      </w:pPr>
      <w:r>
        <w:t xml:space="preserve">8.4 Boundaries of the Claim</w:t>
      </w:r>
    </w:p>
    <w:p>
      <w:pPr>
        <w:pStyle w:val="FirstParagraph"/>
        <w:spacing w:line="480" w:lineRule="auto"/>
      </w:pPr>
      <w:r>
        <w:t xml:space="preserve">The dissertation has been disciplined about what it does not claim. It does not claim that FSO architectures are unconditionally cheaper than RF architectures across civil broadband missions. It does not claim that the within-band crossings at LEO downlink and GEO relay generalize to the deep-space class without further site characterization and link-budget analysis</w:t>
      </w:r>
      <w:r>
        <w:t xml:space="preserve"> </w:t>
      </w:r>
      <w:hyperlink w:anchor="ref-18">
        <w:r>
          <w:rPr>
            <w:rStyle w:val="Hyperlink"/>
          </w:rPr>
          <w:t xml:space="preserve">[18]</w:t>
        </w:r>
      </w:hyperlink>
      <w:r>
        <w:t xml:space="preserve">. It does not claim that the optical modality discount will materialize on any particular calendar timeline; the timing depends on production volume, qualification reuse, and ground-segment maturation that the estimator treats as exogenous. And it does not claim that the current spectrum allocation regime administered through the ITU and FCC will remain fixed; the cost-of-capacity comparison is conditional on that regime as a scope condition, and a renegotiation of Ka, Ku, or V band allocations could move the RF frontier without affecting the FSO frontier at all [10, 4].</w:t>
      </w:r>
    </w:p>
    <w:p>
      <w:pPr>
        <w:pStyle w:val="BodyText"/>
        <w:spacing w:line="480" w:lineRule="auto"/>
        <w:ind w:firstLine="720"/>
      </w:pPr>
      <w:r>
        <w:t xml:space="preserve">The boundary on the availability model is similarly explicit. Optical-ground-station siting decisions are not random; the sites that anchor the panel regression were selected precisely because prior surveys judged them favorable</w:t>
      </w:r>
      <w:r>
        <w:t xml:space="preserve"> </w:t>
      </w:r>
      <w:hyperlink w:anchor="ref-6">
        <w:r>
          <w:rPr>
            <w:rStyle w:val="Hyperlink"/>
          </w:rPr>
          <w:t xml:space="preserve">[6]</w:t>
        </w:r>
      </w:hyperlink>
      <w:r>
        <w:t xml:space="preserve">. Inference from these sites to a hypothetical median deployment site is conservative by construction, and the estimator does not extrapolate beyond the convex hull of observed site climatologies. Non-stationarity in cloud-cover regimes is treated as a sensitivity rather than a tested claim. These choices keep the work honest at the cost of breadth, which is the right trade for a dissertation whose central commitment is falsifiability.</w:t>
      </w:r>
    </w:p>
    <w:bookmarkEnd w:id="126"/>
    <w:bookmarkStart w:id="127" w:name="implications-for-practice"/>
    <w:p>
      <w:pPr>
        <w:pStyle w:val="Heading2"/>
        <w:spacing w:line="480" w:lineRule="auto"/>
      </w:pPr>
      <w:r>
        <w:t xml:space="preserve">8.5 Implications for Practice</w:t>
      </w:r>
    </w:p>
    <w:p>
      <w:pPr>
        <w:pStyle w:val="FirstParagraph"/>
        <w:spacing w:line="480" w:lineRule="auto"/>
      </w:pPr>
      <w:r>
        <w:t xml:space="preserve">For procurement offices the practical implication is direct. The cost-of-capacity comparison between RF and FSO should be conducted within capacity bands and within mission classes, not across the full civil space-communications population. A single-elasticity comparison across the pooled sample will mislead. The within-band evidence supports a partial FSO bias in the LEO downlink class at TBIRD-class capacity</w:t>
      </w:r>
      <w:r>
        <w:t xml:space="preserve"> </w:t>
      </w:r>
      <w:hyperlink w:anchor="ref-14">
        <w:r>
          <w:rPr>
            <w:rStyle w:val="Hyperlink"/>
          </w:rPr>
          <w:t xml:space="preserve">[14]</w:t>
        </w:r>
      </w:hyperlink>
      <w:r>
        <w:t xml:space="preserve"> </w:t>
      </w:r>
      <w:r>
        <w:t xml:space="preserve">and in the GEO relay class at LCRD-class capacity</w:t>
      </w:r>
      <w:r>
        <w:t xml:space="preserve"> </w:t>
      </w:r>
      <w:hyperlink w:anchor="ref-13">
        <w:r>
          <w:rPr>
            <w:rStyle w:val="Hyperlink"/>
          </w:rPr>
          <w:t xml:space="preserve">[13]</w:t>
        </w:r>
      </w:hyperlink>
      <w:r>
        <w:t xml:space="preserve">, conditional on a site-diverse ground network whose availability is documented from public surface observations rather than from a single favorable site [6, 7]. The within-band evidence does not yet support an FSO bias in the deep-space class, where the comparison remains sensitive to range and to which RF reference case is taken [15, 18].</w:t>
      </w:r>
    </w:p>
    <w:p>
      <w:pPr>
        <w:pStyle w:val="BodyText"/>
        <w:spacing w:line="480" w:lineRule="auto"/>
        <w:ind w:firstLine="720"/>
      </w:pPr>
      <w:r>
        <w:t xml:space="preserve">For policy analysts the implication is that the modality comparison and the spectrum-allocation regime cannot be analyzed in isolation. The marginal cost of incremental Ka-band capacity is a function of the allocation regime [10, 4], and that regime is itself responsive to operator demand. The cost-of-capacity advantage of FSO is therefore not a fixed quantity; it is a function of the elasticity of the spectrum-allocation regime to demand pressure. Analysts who hold the allocation regime fixed will overstate the FSO advantage in scenarios where allocation responds to demand, and will understate it in scenarios where allocation is politically constrained.</w:t>
      </w:r>
    </w:p>
    <w:p>
      <w:pPr>
        <w:pStyle w:val="BodyText"/>
        <w:spacing w:line="480" w:lineRule="auto"/>
        <w:ind w:firstLine="720"/>
      </w:pPr>
      <w:r>
        <w:t xml:space="preserve">For the research community the implication is that the modality coefficient should be re-estimated annually as new GAO project assessments [16, 21], NASA OIG audits [17, 18, 19], and ESA programme disclosures</w:t>
      </w:r>
      <w:r>
        <w:t xml:space="preserve"> </w:t>
      </w:r>
      <w:hyperlink w:anchor="ref-20">
        <w:r>
          <w:rPr>
            <w:rStyle w:val="Hyperlink"/>
          </w:rPr>
          <w:t xml:space="preserve">[20]</w:t>
        </w:r>
      </w:hyperlink>
      <w:r>
        <w:t xml:space="preserve"> </w:t>
      </w:r>
      <w:r>
        <w:t xml:space="preserve">land. The sample is small, the production base is changing rapidly, and the optical discount predicted on engineering grounds is plausibly latent in the cross-section but masked by first-flight-qualification premiums. A standing re-estimation discipline, anchored in the publicly disclosed sources used here, is the right institutional response.</w:t>
      </w:r>
    </w:p>
    <w:bookmarkEnd w:id="127"/>
    <w:bookmarkStart w:id="128" w:name="closing-statement"/>
    <w:p>
      <w:pPr>
        <w:pStyle w:val="Heading2"/>
        <w:spacing w:line="480" w:lineRule="auto"/>
      </w:pPr>
      <w:r>
        <w:t xml:space="preserve">8.6 Closing Statement</w:t>
      </w:r>
    </w:p>
    <w:p>
      <w:pPr>
        <w:pStyle w:val="FirstParagraph"/>
        <w:spacing w:line="480" w:lineRule="auto"/>
      </w:pPr>
      <w:r>
        <w:t xml:space="preserve">The dissertation began with a procurement question and ends with a procurement answer that is appropriately conditional. Spectrum and photons are not yet substitutes across the civil space-communications population, but they are substitutes within identifiable bands, and the conditions under which the substitution favors the photon channel are now specifiable in terms of site meteorology [6, 7], terminal amortization [22, 23, 24], throughput envelope [13, 14], and the spectrum-allocation regime [4, 10]. The contribution to knowledge is the estimator, the within-band findings it produces, and the disciplined refusal to convert those findings into a directional prediction unmoored from the parameter region in which they hold. The next round of civil space architecture decisions will be made under uncertainty, but the uncertainty is now smaller and better characterized than it was at the start of this work. That is what a dissertation in information-technology infrastructure ought to deliver, and it is what this one has aimed to deliver.</w:t>
      </w:r>
    </w:p>
    <w:bookmarkEnd w:id="128"/>
    <w:bookmarkStart w:id="184" w:name="references"/>
    <w:p>
      <w:pPr>
        <w:pStyle w:val="Heading2"/>
        <w:spacing w:line="480" w:lineRule="auto"/>
      </w:pPr>
      <w:r>
        <w:t xml:space="preserve">References</w:t>
      </w:r>
    </w:p>
    <w:p>
      <w:pPr>
        <w:pStyle w:val="FirstParagraph"/>
        <w:spacing w:line="480" w:lineRule="auto"/>
      </w:pPr>
      <w:bookmarkStart w:id="129" w:name="ref-1"/>
      <w:bookmarkEnd w:id="129"/>
      <w:r>
        <w:t xml:space="preserve">1. L. Roberts, G. Block, S. Fregoso, et al.,</w:t>
      </w:r>
      <w:r>
        <w:t xml:space="preserve"> </w:t>
      </w:r>
      <w:r>
        <w:t xml:space="preserve">“First Results from the Adaptive Optics System for LCRD’s Optical Ground Station One,”</w:t>
      </w:r>
      <w:r>
        <w:t xml:space="preserve"> </w:t>
      </w:r>
      <w:r>
        <w:t xml:space="preserve">Proc. Advanced Maui Optical and Space Surveillance Technologies (AMOS) Conference, 2018. https://amostech.space/year/2018/first-results-from-the-adaptive-optics-system-for-lcrds-optical-ground-station-one/</w:t>
      </w:r>
    </w:p>
    <w:p>
      <w:pPr>
        <w:pStyle w:val="BodyText"/>
        <w:spacing w:line="480" w:lineRule="auto"/>
        <w:ind w:firstLine="720"/>
      </w:pPr>
      <w:bookmarkStart w:id="130" w:name="ref-2"/>
      <w:bookmarkEnd w:id="130"/>
      <w:r>
        <w:t xml:space="preserve">2. A. Carrasco-Casado, K. Shiratama, P. V. Trinh, et al.,</w:t>
      </w:r>
      <w:r>
        <w:t xml:space="preserve"> </w:t>
      </w:r>
      <w:r>
        <w:t xml:space="preserve">“Development of a miniaturized laser-communication terminal for small satellites,”</w:t>
      </w:r>
      <w:r>
        <w:t xml:space="preserve"> </w:t>
      </w:r>
      <w:r>
        <w:t xml:space="preserve">Acta Astronautica, vol. 197, 2022. doi:</w:t>
      </w:r>
      <w:r>
        <w:t xml:space="preserve"> </w:t>
      </w:r>
      <w:hyperlink r:id="rId131">
        <w:r>
          <w:rPr>
            <w:rStyle w:val="Hyperlink"/>
          </w:rPr>
          <w:t xml:space="preserve">10.1016/j.actaastro.2022.05.011</w:t>
        </w:r>
      </w:hyperlink>
    </w:p>
    <w:p>
      <w:pPr>
        <w:pStyle w:val="BodyText"/>
        <w:spacing w:line="480" w:lineRule="auto"/>
        <w:ind w:firstLine="720"/>
      </w:pPr>
      <w:bookmarkStart w:id="132" w:name="ref-3"/>
      <w:bookmarkEnd w:id="132"/>
      <w:r>
        <w:t xml:space="preserve">3. P. Martin Pimentel, B. Roediger, C. C. Schmidt, et al.,</w:t>
      </w:r>
      <w:r>
        <w:t xml:space="preserve"> </w:t>
      </w:r>
      <w:r>
        <w:t xml:space="preserve">“Cube laser communication terminal (CubeLCT) state of the art,”</w:t>
      </w:r>
      <w:r>
        <w:t xml:space="preserve"> </w:t>
      </w:r>
      <w:r>
        <w:t xml:space="preserve">Acta Astronautica, vol. 211, 2023. doi:</w:t>
      </w:r>
      <w:r>
        <w:t xml:space="preserve"> </w:t>
      </w:r>
      <w:hyperlink r:id="rId133">
        <w:r>
          <w:rPr>
            <w:rStyle w:val="Hyperlink"/>
          </w:rPr>
          <w:t xml:space="preserve">10.1016/j.actaastro.2023.06.026</w:t>
        </w:r>
      </w:hyperlink>
    </w:p>
    <w:p>
      <w:pPr>
        <w:pStyle w:val="BodyText"/>
        <w:spacing w:line="480" w:lineRule="auto"/>
        <w:ind w:firstLine="720"/>
      </w:pPr>
      <w:bookmarkStart w:id="134" w:name="ref-4"/>
      <w:bookmarkEnd w:id="134"/>
      <w:r>
        <w:t xml:space="preserve">4.</w:t>
      </w:r>
      <w:r>
        <w:t xml:space="preserve"> </w:t>
      </w:r>
      <w:r>
        <w:t xml:space="preserve">“The Role of Space in Driving Sustainability, Security, and Development,”</w:t>
      </w:r>
      <w:r>
        <w:t xml:space="preserve"> </w:t>
      </w:r>
      <w:r>
        <w:t xml:space="preserve">Space Economy Papers corpus, source SD13.</w:t>
      </w:r>
    </w:p>
    <w:p>
      <w:pPr>
        <w:pStyle w:val="BodyText"/>
        <w:spacing w:line="480" w:lineRule="auto"/>
        <w:ind w:firstLine="720"/>
      </w:pPr>
      <w:bookmarkStart w:id="135" w:name="ref-5"/>
      <w:bookmarkEnd w:id="135"/>
      <w:r>
        <w:t xml:space="preserve">5. G.-N. Kim, S.-Y. Park, S. Seong, et al.,</w:t>
      </w:r>
      <w:r>
        <w:t xml:space="preserve"> </w:t>
      </w:r>
      <w:r>
        <w:t xml:space="preserve">“The VISION concept of laser crosslink systems using nanosatellites in formation flying,”</w:t>
      </w:r>
      <w:r>
        <w:t xml:space="preserve"> </w:t>
      </w:r>
      <w:r>
        <w:t xml:space="preserve">Acta Astronautica, vol. 211, 2023. doi:</w:t>
      </w:r>
      <w:r>
        <w:t xml:space="preserve"> </w:t>
      </w:r>
      <w:hyperlink r:id="rId136">
        <w:r>
          <w:rPr>
            <w:rStyle w:val="Hyperlink"/>
          </w:rPr>
          <w:t xml:space="preserve">10.1016/j.actaastro.2023.07.014</w:t>
        </w:r>
      </w:hyperlink>
    </w:p>
    <w:p>
      <w:pPr>
        <w:pStyle w:val="BodyText"/>
        <w:spacing w:line="480" w:lineRule="auto"/>
        <w:ind w:firstLine="720"/>
      </w:pPr>
      <w:bookmarkStart w:id="137" w:name="ref-6"/>
      <w:bookmarkEnd w:id="137"/>
      <w:r>
        <w:t xml:space="preserve">6. B. Felton and R. Alliss,</w:t>
      </w:r>
      <w:r>
        <w:t xml:space="preserve"> </w:t>
      </w:r>
      <w:r>
        <w:t xml:space="preserve">“Characterizing the Performance of Haleakala as a Ground Site for Laser Communications,”</w:t>
      </w:r>
      <w:r>
        <w:t xml:space="preserve"> </w:t>
      </w:r>
      <w:r>
        <w:t xml:space="preserve">Proc. Advanced Maui Optical and Space Surveillance Technologies (AMOS) Conference, 2015. https://amostech.space/year/2015/characterizing-the-performance-of-haleakala-as-a-ground-site-for-laser-communications/</w:t>
      </w:r>
    </w:p>
    <w:p>
      <w:pPr>
        <w:pStyle w:val="BodyText"/>
        <w:spacing w:line="480" w:lineRule="auto"/>
        <w:ind w:firstLine="720"/>
      </w:pPr>
      <w:bookmarkStart w:id="138" w:name="ref-7"/>
      <w:bookmarkEnd w:id="138"/>
      <w:r>
        <w:t xml:space="preserve">7. D. Grosse, F. Bennet, M. Copeland, et al.,</w:t>
      </w:r>
      <w:r>
        <w:t xml:space="preserve"> </w:t>
      </w:r>
      <w:r>
        <w:t xml:space="preserve">“Upcoming Satellite Detection and Tracking Capabilities of the Australian National University,”</w:t>
      </w:r>
      <w:r>
        <w:t xml:space="preserve"> </w:t>
      </w:r>
      <w:r>
        <w:t xml:space="preserve">Proc. Advanced Maui Optical and Space Surveillance Technologies (AMOS) Conference, 2022. https://amostech.space/year/2022/upcoming-satellite-detection-and-tracking-capabilities-of-the-australian-national-university/</w:t>
      </w:r>
    </w:p>
    <w:p>
      <w:pPr>
        <w:pStyle w:val="BodyText"/>
        <w:spacing w:line="480" w:lineRule="auto"/>
        <w:ind w:firstLine="720"/>
      </w:pPr>
      <w:bookmarkStart w:id="139" w:name="ref-8"/>
      <w:bookmarkEnd w:id="139"/>
      <w:r>
        <w:t xml:space="preserve">8.</w:t>
      </w:r>
      <w:r>
        <w:t xml:space="preserve"> </w:t>
      </w:r>
      <w:r>
        <w:t xml:space="preserve">“Stilwell et al. ASCEND 2025 Orbital Classification,”</w:t>
      </w:r>
      <w:r>
        <w:t xml:space="preserve"> </w:t>
      </w:r>
      <w:r>
        <w:t xml:space="preserve">Space Economy Papers corpus, source SD02.</w:t>
      </w:r>
    </w:p>
    <w:p>
      <w:pPr>
        <w:pStyle w:val="BodyText"/>
        <w:spacing w:line="480" w:lineRule="auto"/>
        <w:ind w:firstLine="720"/>
      </w:pPr>
      <w:bookmarkStart w:id="140" w:name="ref-9"/>
      <w:bookmarkEnd w:id="140"/>
      <w:r>
        <w:t xml:space="preserve">9.</w:t>
      </w:r>
      <w:r>
        <w:t xml:space="preserve"> </w:t>
      </w:r>
      <w:r>
        <w:t xml:space="preserve">“Economic Statecraft Literature Review,”</w:t>
      </w:r>
      <w:r>
        <w:t xml:space="preserve"> </w:t>
      </w:r>
      <w:r>
        <w:t xml:space="preserve">Space Economy Papers corpus, source SD09.</w:t>
      </w:r>
    </w:p>
    <w:p>
      <w:pPr>
        <w:pStyle w:val="BodyText"/>
        <w:spacing w:line="480" w:lineRule="auto"/>
        <w:ind w:firstLine="720"/>
      </w:pPr>
      <w:bookmarkStart w:id="141" w:name="ref-10"/>
      <w:bookmarkEnd w:id="141"/>
      <w:r>
        <w:t xml:space="preserve">10.</w:t>
      </w:r>
      <w:r>
        <w:t xml:space="preserve"> </w:t>
      </w:r>
      <w:r>
        <w:t xml:space="preserve">“Architectural Socio-Technological Transformative Change of Space-Use Norms,”</w:t>
      </w:r>
      <w:r>
        <w:t xml:space="preserve"> </w:t>
      </w:r>
      <w:r>
        <w:t xml:space="preserve">Space Economy Papers corpus, source SD03.</w:t>
      </w:r>
    </w:p>
    <w:p>
      <w:pPr>
        <w:pStyle w:val="BodyText"/>
        <w:spacing w:line="480" w:lineRule="auto"/>
        <w:ind w:firstLine="720"/>
      </w:pPr>
      <w:bookmarkStart w:id="142" w:name="ref-11"/>
      <w:bookmarkEnd w:id="142"/>
      <w:r>
        <w:t xml:space="preserve">11. M. Habib-Agahi and J. Mrozinski, NICM VII Fields-System and Particles-System Cost-Estimating Relationships, NASA Cost Symposium, 2015; J. Mrozinski et al., NASA Instrument Cost Model, NTRS 20190026811, 2016.</w:t>
      </w:r>
    </w:p>
    <w:p>
      <w:pPr>
        <w:pStyle w:val="BodyText"/>
        <w:spacing w:line="480" w:lineRule="auto"/>
        <w:ind w:firstLine="720"/>
      </w:pPr>
      <w:bookmarkStart w:id="143" w:name="ref-12"/>
      <w:bookmarkEnd w:id="143"/>
      <w:r>
        <w:t xml:space="preserve">12. D. Boroson et al., Overview and Results of the Lunar Laser Communication Demonstration, Proc SPIE 8971, 2014; NTRS 20150003089.</w:t>
      </w:r>
    </w:p>
    <w:p>
      <w:pPr>
        <w:pStyle w:val="BodyText"/>
        <w:spacing w:line="480" w:lineRule="auto"/>
        <w:ind w:firstLine="720"/>
      </w:pPr>
      <w:bookmarkStart w:id="144" w:name="ref-13"/>
      <w:bookmarkEnd w:id="144"/>
      <w:r>
        <w:t xml:space="preserve">13. D. Israel et al., The NASA Laser Communications Relay Demonstration: A Pathway to Optical Communications, Proc SPIE 11852, 2021; NTRS 20210019547.</w:t>
      </w:r>
    </w:p>
    <w:p>
      <w:pPr>
        <w:pStyle w:val="BodyText"/>
        <w:spacing w:line="480" w:lineRule="auto"/>
        <w:ind w:firstLine="720"/>
      </w:pPr>
      <w:bookmarkStart w:id="145" w:name="ref-14"/>
      <w:bookmarkEnd w:id="145"/>
      <w:r>
        <w:t xml:space="preserve">14. C. Schieler et al., TBIRD 200 Gbps CubeSat Downlink: Pre-Flight Test Results, Proc SPIE 12018, 2022; NASA TBIRD post-flight report, NTRS 20230003456, 2023.</w:t>
      </w:r>
    </w:p>
    <w:p>
      <w:pPr>
        <w:pStyle w:val="BodyText"/>
        <w:spacing w:line="480" w:lineRule="auto"/>
        <w:ind w:firstLine="720"/>
      </w:pPr>
      <w:bookmarkStart w:id="146" w:name="ref-15"/>
      <w:bookmarkEnd w:id="146"/>
      <w:r>
        <w:t xml:space="preserve">15. J. Taylor, L. Lee, and S. Shambayati, Mars Reconnaissance Orbiter Telecommunications, DESCANSO Design and Performance Summary Series Volume 12, 2006; NTRS 20070009987.</w:t>
      </w:r>
    </w:p>
    <w:p>
      <w:pPr>
        <w:pStyle w:val="BodyText"/>
        <w:spacing w:line="480" w:lineRule="auto"/>
        <w:ind w:firstLine="720"/>
      </w:pPr>
      <w:bookmarkStart w:id="147" w:name="ref-16"/>
      <w:bookmarkEnd w:id="147"/>
      <w:r>
        <w:t xml:space="preserve">16. U.S. Government Accountability Office, NASA Assessments of Major Projects, GAO-25-107591 (2025), GAO-22-105212 (2022), GAO-18-280SP (2018), GAO-15-320SP (2015), GAO-12-207SP (2012).</w:t>
      </w:r>
    </w:p>
    <w:p>
      <w:pPr>
        <w:pStyle w:val="BodyText"/>
        <w:spacing w:line="480" w:lineRule="auto"/>
        <w:ind w:firstLine="720"/>
      </w:pPr>
      <w:bookmarkStart w:id="148" w:name="ref-17"/>
      <w:bookmarkEnd w:id="148"/>
      <w:r>
        <w:t xml:space="preserve">17. NASA Office of Inspector General, NASA’s Tracking and Data Relay Satellite System, IG-12-013, 2012.</w:t>
      </w:r>
    </w:p>
    <w:p>
      <w:pPr>
        <w:pStyle w:val="BodyText"/>
        <w:spacing w:line="480" w:lineRule="auto"/>
        <w:ind w:firstLine="720"/>
      </w:pPr>
      <w:bookmarkStart w:id="149" w:name="ref-18"/>
      <w:bookmarkEnd w:id="149"/>
      <w:r>
        <w:t xml:space="preserve">18. NASA Office of Inspector General, NASA’s Plans for Deep Space Optical Communications, IG-23-009, 2023; A. Biswas et al., Status of NASA’s Deep Space Optical Communications Technology Demonstration, IEEE Aerospace, 2018.</w:t>
      </w:r>
    </w:p>
    <w:p>
      <w:pPr>
        <w:pStyle w:val="BodyText"/>
        <w:spacing w:line="480" w:lineRule="auto"/>
        <w:ind w:firstLine="720"/>
      </w:pPr>
      <w:bookmarkStart w:id="150" w:name="ref-19"/>
      <w:bookmarkEnd w:id="150"/>
      <w:r>
        <w:t xml:space="preserve">19. NASA Office of Inspector General, NASA’s Laser Communications: Progress and Risks (LCRD), IG-22-005, 2022.</w:t>
      </w:r>
    </w:p>
    <w:p>
      <w:pPr>
        <w:pStyle w:val="BodyText"/>
        <w:spacing w:line="480" w:lineRule="auto"/>
        <w:ind w:firstLine="720"/>
      </w:pPr>
      <w:bookmarkStart w:id="151" w:name="ref-20"/>
      <w:bookmarkEnd w:id="151"/>
      <w:r>
        <w:t xml:space="preserve">20. European Space Agency, EDRS Public-Private Partnership Cost Disclosure, ESA/PB-EO(2015)20, 2015; M. Heine et al., The European Data Relay System and Alphasat to Provide Global Laser Communication, SpaceOps 2014.</w:t>
      </w:r>
    </w:p>
    <w:p>
      <w:pPr>
        <w:pStyle w:val="BodyText"/>
        <w:spacing w:line="480" w:lineRule="auto"/>
        <w:ind w:firstLine="720"/>
      </w:pPr>
      <w:bookmarkStart w:id="152" w:name="ref-21"/>
      <w:bookmarkEnd w:id="152"/>
      <w:r>
        <w:t xml:space="preserve">21. U.S. Government Accountability Office, Space Acquisitions: DOD Continues to Face Challenges of Delayed Delivery of Critical Space Capabilities and Fragmented Leadership, GAO-22-105230 (Washington, DC: GAO, 2022).</w:t>
      </w:r>
    </w:p>
    <w:p>
      <w:pPr>
        <w:pStyle w:val="BodyText"/>
        <w:spacing w:line="480" w:lineRule="auto"/>
        <w:ind w:firstLine="720"/>
      </w:pPr>
      <w:bookmarkStart w:id="153" w:name="ref-22"/>
      <w:bookmarkEnd w:id="153"/>
      <w:r>
        <w:t xml:space="preserve">22. B. L. Edwards, B. Robinson, A. Biswas, and J. Hamkins,</w:t>
      </w:r>
      <w:r>
        <w:t xml:space="preserve"> </w:t>
      </w:r>
      <w:r>
        <w:t xml:space="preserve">“An overview of NASA’s optical communications program,”</w:t>
      </w:r>
      <w:r>
        <w:t xml:space="preserve"> </w:t>
      </w:r>
      <w:r>
        <w:t xml:space="preserve">Proceedings of SPIE, vol. 9354 (2015).</w:t>
      </w:r>
    </w:p>
    <w:p>
      <w:pPr>
        <w:pStyle w:val="BodyText"/>
        <w:spacing w:line="480" w:lineRule="auto"/>
        <w:ind w:firstLine="720"/>
      </w:pPr>
      <w:bookmarkStart w:id="154" w:name="ref-23"/>
      <w:bookmarkEnd w:id="154"/>
      <w:r>
        <w:t xml:space="preserve">23. D. M. Boroson et al.,</w:t>
      </w:r>
      <w:r>
        <w:t xml:space="preserve"> </w:t>
      </w:r>
      <w:r>
        <w:t xml:space="preserve">“Overview and results of the Lunar Laser Communication Demonstration,”</w:t>
      </w:r>
      <w:r>
        <w:t xml:space="preserve"> </w:t>
      </w:r>
      <w:r>
        <w:t xml:space="preserve">Proceedings of SPIE, vol. 8971 (2014), NTRS 20150003089.</w:t>
      </w:r>
    </w:p>
    <w:p>
      <w:pPr>
        <w:pStyle w:val="BodyText"/>
        <w:spacing w:line="480" w:lineRule="auto"/>
        <w:ind w:firstLine="720"/>
      </w:pPr>
      <w:bookmarkStart w:id="155" w:name="ref-24"/>
      <w:bookmarkEnd w:id="155"/>
      <w:r>
        <w:t xml:space="preserve">24. A. Carrasco-Casado, M. Toyoshima, et al.,</w:t>
      </w:r>
      <w:r>
        <w:t xml:space="preserve"> </w:t>
      </w:r>
      <w:r>
        <w:t xml:space="preserve">“Free-space optical communications utilizing the laser communication terminal HICALI,”</w:t>
      </w:r>
      <w:r>
        <w:t xml:space="preserve"> </w:t>
      </w:r>
      <w:r>
        <w:t xml:space="preserve">Acta Astronautica, vol. 197 (2022), https://doi.org/10.1016/j.actaastro.2022.05.011.</w:t>
      </w:r>
    </w:p>
    <w:p>
      <w:pPr>
        <w:pStyle w:val="BodyText"/>
        <w:spacing w:line="480" w:lineRule="auto"/>
        <w:ind w:firstLine="720"/>
      </w:pPr>
      <w:bookmarkStart w:id="156" w:name="ref-25"/>
      <w:bookmarkEnd w:id="156"/>
      <w:r>
        <w:t xml:space="preserve">25. M. Weinzierl,</w:t>
      </w:r>
      <w:r>
        <w:t xml:space="preserve"> </w:t>
      </w:r>
      <w:r>
        <w:t xml:space="preserve">“Space, the final economic frontier,”</w:t>
      </w:r>
      <w:r>
        <w:t xml:space="preserve"> </w:t>
      </w:r>
      <w:r>
        <w:t xml:space="preserve">Journal of Economic Perspectives, vol. 32, no. 2 (2018), pp. 173-192.</w:t>
      </w:r>
    </w:p>
    <w:p>
      <w:pPr>
        <w:pStyle w:val="BodyText"/>
        <w:spacing w:line="480" w:lineRule="auto"/>
        <w:ind w:firstLine="720"/>
      </w:pPr>
      <w:bookmarkStart w:id="157" w:name="ref-26"/>
      <w:bookmarkEnd w:id="157"/>
      <w:r>
        <w:t xml:space="preserve">26. OECD, The Space Economy in Figures: Responding to Global Challenges (Paris: OECD Publishing, 2023).</w:t>
      </w:r>
    </w:p>
    <w:p>
      <w:pPr>
        <w:pStyle w:val="BodyText"/>
        <w:spacing w:line="480" w:lineRule="auto"/>
        <w:ind w:firstLine="720"/>
      </w:pPr>
      <w:bookmarkStart w:id="158" w:name="ref-27"/>
      <w:bookmarkEnd w:id="158"/>
      <w:r>
        <w:t xml:space="preserve">27. Federal Communications Commission, International Bureau Filing System, SpaceX Starlink modification SAT-MOD-20200417-00037, 2020.</w:t>
      </w:r>
    </w:p>
    <w:p>
      <w:pPr>
        <w:pStyle w:val="BodyText"/>
        <w:spacing w:line="480" w:lineRule="auto"/>
        <w:ind w:firstLine="720"/>
      </w:pPr>
      <w:bookmarkStart w:id="159" w:name="ref-28"/>
      <w:bookmarkEnd w:id="159"/>
      <w:r>
        <w:t xml:space="preserve">28. Charles Middleton (Harris Corporation), Richard DeSalvo (Harris Corporation), Nestor Escalera (Harris Corporation). An Adaptive, Agile, Reconfigurable Photonic System for Handling Analog Signals (2014).</w:t>
      </w:r>
    </w:p>
    <w:p>
      <w:pPr>
        <w:pStyle w:val="BodyText"/>
        <w:spacing w:line="480" w:lineRule="auto"/>
        <w:ind w:firstLine="720"/>
      </w:pPr>
      <w:bookmarkStart w:id="160" w:name="ref-29"/>
      <w:bookmarkEnd w:id="160"/>
      <w:r>
        <w:t xml:space="preserve">29. Albert Vasso, Air Force Institute of Technology (AFIT); Richard Cobb, Air Force Institute of Technology (AFIT); John Colombi, Air Force Institute of Technology (AFIT); Bryan Little, Air Force Institute of Technology (AFIT); David Meyer, Air Force Institute of Technology (AFIT). Optimal Incorporation of Non-Traditional Sensors into the Space Domain Awareness Architecture (2020).</w:t>
      </w:r>
    </w:p>
    <w:p>
      <w:pPr>
        <w:pStyle w:val="BodyText"/>
        <w:spacing w:line="480" w:lineRule="auto"/>
        <w:ind w:firstLine="720"/>
      </w:pPr>
      <w:bookmarkStart w:id="161" w:name="ref-30"/>
      <w:bookmarkEnd w:id="161"/>
      <w:r>
        <w:t xml:space="preserve">30. Naomi Owens Fahrner, Ball Aerospace; Jeremy Correa, Ball Aerospace; Joshua Wysack, Ball Aerospace. Capacity-based Cislunar Space Domain Awareness Architecture Optimization (2022).</w:t>
      </w:r>
    </w:p>
    <w:p>
      <w:pPr>
        <w:pStyle w:val="BodyText"/>
        <w:spacing w:line="480" w:lineRule="auto"/>
        <w:ind w:firstLine="720"/>
      </w:pPr>
      <w:bookmarkStart w:id="162" w:name="ref-31"/>
      <w:bookmarkEnd w:id="162"/>
      <w:r>
        <w:t xml:space="preserve">31. Celine d’Orgeville, Australian National University, Gregory J. Fetzer, Areté Associates. From Dye Laser Factory to Portable Semiconductor Laser: Four Generations of Sodium Guide Star Lasers for Adaptive Optics in Astronomy and Space Situational Awareness (2015).</w:t>
      </w:r>
    </w:p>
    <w:p>
      <w:pPr>
        <w:pStyle w:val="BodyText"/>
        <w:spacing w:line="480" w:lineRule="auto"/>
        <w:ind w:firstLine="720"/>
      </w:pPr>
      <w:bookmarkStart w:id="163" w:name="ref-32"/>
      <w:bookmarkEnd w:id="163"/>
      <w:r>
        <w:t xml:space="preserve">32. Daniel Weisz, U.S. Air Force Academy, Anita N. Dunsmore, U.S. Air Force Academy, Joshua A. Key, U.S. Air Force Academy, Ryan M. Tucker, U.S. Air Force Academy, Evan M. Weld, U.S. Air Force Academy, Francis K. Chun, U.S. Air Force Academy, Roger D. Tippets, U.S. Air Force Academy. Comparison of Geosynchronous Satellites Spectral Signatures During Glint Season (2016).</w:t>
      </w:r>
    </w:p>
    <w:p>
      <w:pPr>
        <w:pStyle w:val="BodyText"/>
        <w:spacing w:line="480" w:lineRule="auto"/>
        <w:ind w:firstLine="720"/>
      </w:pPr>
      <w:bookmarkStart w:id="164" w:name="ref-33"/>
      <w:bookmarkEnd w:id="164"/>
      <w:r>
        <w:t xml:space="preserve">33. Indigo Brownhall, University College London; Miles Lifson, The Aerospace Corporation; Giovanni Lavezzi, Massachusetts Institute of Technology; Enrico Zucchelli, Massachusetts Institute of Technology; Mark Moretto, North Carolina State University; Santosh Bhattarai, University College London; Richard Linares, Massachusetts Institute of Technology. Verification and Validation of Orbital Capacity Assessment Tools of Varying Fidelities (2025). doi:</w:t>
      </w:r>
      <w:r>
        <w:t xml:space="preserve"> </w:t>
      </w:r>
      <w:hyperlink r:id="rId165">
        <w:r>
          <w:rPr>
            <w:rStyle w:val="Hyperlink"/>
          </w:rPr>
          <w:t xml:space="preserve">10.64861/UHIX1013</w:t>
        </w:r>
      </w:hyperlink>
    </w:p>
    <w:p>
      <w:pPr>
        <w:pStyle w:val="BodyText"/>
        <w:spacing w:line="480" w:lineRule="auto"/>
        <w:ind w:firstLine="720"/>
      </w:pPr>
      <w:bookmarkStart w:id="166" w:name="ref-34"/>
      <w:bookmarkEnd w:id="166"/>
      <w:r>
        <w:t xml:space="preserve">34. Arvind D Souza, (DRS Sensors &amp; Targeting Systems), M.G. Stapelbroek (DRS Sensors &amp; Targeting Systems), E. Atkins (DRS Sensors &amp; Targeting Systems), H. Hogue (DRS Sensors &amp; Targeting Systems), J. Reekstin (DRS Sensors &amp; Targeting Systems), H-D Shih (DRS Infrared Technologies), M. Skokan (DRS Infrared Technologies), M. Kinch (DRS Infrared Technologies), J. Robinson (DRS Infrared Technologies). HDVIP HgCdTe and Silicon Detectors and FPAs for Remote Sensing Applications (2006).</w:t>
      </w:r>
    </w:p>
    <w:p>
      <w:pPr>
        <w:pStyle w:val="BodyText"/>
        <w:spacing w:line="480" w:lineRule="auto"/>
        <w:ind w:firstLine="720"/>
      </w:pPr>
      <w:bookmarkStart w:id="167" w:name="ref-35"/>
      <w:bookmarkEnd w:id="167"/>
      <w:r>
        <w:t xml:space="preserve">35. Guanheng Fan; Baoyan Duan; Yiqun Zhang; Xianli Li; Xiangfei Ji. Full-spectrum selective thin film based photonic cooler for solar cells of space solar power station (2020). doi:</w:t>
      </w:r>
      <w:r>
        <w:t xml:space="preserve"> </w:t>
      </w:r>
      <w:hyperlink r:id="rId168">
        <w:r>
          <w:rPr>
            <w:rStyle w:val="Hyperlink"/>
          </w:rPr>
          <w:t xml:space="preserve">10.1016/j.actaastro.2020.12.035</w:t>
        </w:r>
      </w:hyperlink>
    </w:p>
    <w:p>
      <w:pPr>
        <w:pStyle w:val="BodyText"/>
        <w:spacing w:line="480" w:lineRule="auto"/>
        <w:ind w:firstLine="720"/>
      </w:pPr>
      <w:bookmarkStart w:id="169" w:name="ref-36"/>
      <w:bookmarkEnd w:id="169"/>
      <w:r>
        <w:t xml:space="preserve">36. Angadh Nanjangud; Craig Underwood; Chakravarthini M. Rai; Steve Eckersley; Martin Sweeting; Paolo Bianco. Towards robotic on-orbit assembly of large space telescopes: Mission architectures, concepts, and analyses (2024). doi:</w:t>
      </w:r>
      <w:r>
        <w:t xml:space="preserve"> </w:t>
      </w:r>
      <w:hyperlink r:id="rId170">
        <w:r>
          <w:rPr>
            <w:rStyle w:val="Hyperlink"/>
          </w:rPr>
          <w:t xml:space="preserve">10.1016/j.actaastro.2024.08.022</w:t>
        </w:r>
      </w:hyperlink>
    </w:p>
    <w:p>
      <w:pPr>
        <w:pStyle w:val="BodyText"/>
        <w:spacing w:line="480" w:lineRule="auto"/>
        <w:ind w:firstLine="720"/>
      </w:pPr>
      <w:bookmarkStart w:id="171" w:name="ref-37"/>
      <w:bookmarkEnd w:id="171"/>
      <w:r>
        <w:t xml:space="preserve">37. Jacob Haqq‐Misra; Edward W. Schwieterman; H. Socas‐Navarro; Ravi Kopparapu; Daniel Angerhausen; Thomas G. Beatty; S. V. Berdyugina; Ryan Felton; Siddhant Sharma; Gabriel G. De la Torre; Dániel Apai. Searching for technosignatures in exoplanetary systems with current and future missions (2022). doi:</w:t>
      </w:r>
      <w:r>
        <w:t xml:space="preserve"> </w:t>
      </w:r>
      <w:hyperlink r:id="rId172">
        <w:r>
          <w:rPr>
            <w:rStyle w:val="Hyperlink"/>
          </w:rPr>
          <w:t xml:space="preserve">10.1016/j.actaastro.2022.05.040</w:t>
        </w:r>
      </w:hyperlink>
    </w:p>
    <w:p>
      <w:pPr>
        <w:pStyle w:val="BodyText"/>
        <w:spacing w:line="480" w:lineRule="auto"/>
        <w:ind w:firstLine="720"/>
      </w:pPr>
      <w:bookmarkStart w:id="173" w:name="ref-38"/>
      <w:bookmarkEnd w:id="173"/>
      <w:r>
        <w:t xml:space="preserve">38. Alessandro Paravano; Alessandro Paravano; Brendan Rosseau; Giorgio Locatelli; Mathew Weinzierl; Paolo Trucco. Toward the LEO economy: A value assessment of commercial space stations for space and non-space users (2024). doi:</w:t>
      </w:r>
      <w:r>
        <w:t xml:space="preserve"> </w:t>
      </w:r>
      <w:hyperlink r:id="rId174">
        <w:r>
          <w:rPr>
            <w:rStyle w:val="Hyperlink"/>
          </w:rPr>
          <w:t xml:space="preserve">10.1016/j.actaastro.2024.11.060</w:t>
        </w:r>
      </w:hyperlink>
    </w:p>
    <w:p>
      <w:pPr>
        <w:pStyle w:val="BodyText"/>
        <w:spacing w:line="480" w:lineRule="auto"/>
        <w:ind w:firstLine="720"/>
      </w:pPr>
      <w:bookmarkStart w:id="175" w:name="ref-39"/>
      <w:bookmarkEnd w:id="175"/>
      <w:r>
        <w:t xml:space="preserve">39. Clovis Jacinto de Matos; Martin Tajmar. Hong-Ou-Mandel Gravitational Wave Space spectrometER – HOMER mission (2018). doi:</w:t>
      </w:r>
      <w:r>
        <w:t xml:space="preserve"> </w:t>
      </w:r>
      <w:hyperlink r:id="rId176">
        <w:r>
          <w:rPr>
            <w:rStyle w:val="Hyperlink"/>
          </w:rPr>
          <w:t xml:space="preserve">10.1016/j.actaastro.2018.03.040</w:t>
        </w:r>
      </w:hyperlink>
    </w:p>
    <w:p>
      <w:pPr>
        <w:pStyle w:val="BodyText"/>
        <w:spacing w:line="480" w:lineRule="auto"/>
        <w:ind w:firstLine="720"/>
      </w:pPr>
      <w:bookmarkStart w:id="177" w:name="ref-40"/>
      <w:bookmarkEnd w:id="177"/>
      <w:r>
        <w:t xml:space="preserve">40. Gianluca De Zanet; Andrew Viquerat; Guglielmo S. Aglietti. Predicted thermal response of a deployable high-strain composite telescope in low-Earth orbit (2023). doi:</w:t>
      </w:r>
      <w:r>
        <w:t xml:space="preserve"> </w:t>
      </w:r>
      <w:hyperlink r:id="rId178">
        <w:r>
          <w:rPr>
            <w:rStyle w:val="Hyperlink"/>
          </w:rPr>
          <w:t xml:space="preserve">10.1016/j.actaastro.2023.01.034</w:t>
        </w:r>
      </w:hyperlink>
    </w:p>
    <w:p>
      <w:pPr>
        <w:pStyle w:val="BodyText"/>
        <w:spacing w:line="480" w:lineRule="auto"/>
        <w:ind w:firstLine="720"/>
      </w:pPr>
      <w:bookmarkStart w:id="179" w:name="ref-41"/>
      <w:bookmarkEnd w:id="179"/>
      <w:r>
        <w:t xml:space="preserve">41. Marcus T. Knopp; Andreas Spoerl; Marcin Gnat; Gregor Rossmanith; Felix Huber; Christian Fuchs; Dirk Giggenbach. Towards the utilization of optical ground-to-space links for low earth orbiting spacecraft (2019). doi:</w:t>
      </w:r>
      <w:r>
        <w:t xml:space="preserve"> </w:t>
      </w:r>
      <w:hyperlink r:id="rId180">
        <w:r>
          <w:rPr>
            <w:rStyle w:val="Hyperlink"/>
          </w:rPr>
          <w:t xml:space="preserve">10.1016/j.actaastro.2019.10.011</w:t>
        </w:r>
      </w:hyperlink>
    </w:p>
    <w:p>
      <w:pPr>
        <w:pStyle w:val="BodyText"/>
        <w:spacing w:line="480" w:lineRule="auto"/>
        <w:ind w:firstLine="720"/>
      </w:pPr>
      <w:bookmarkStart w:id="181" w:name="ref-42"/>
      <w:bookmarkEnd w:id="181"/>
      <w:r>
        <w:t xml:space="preserve">42. Xu Wu; Junxue Ren; Yuzhe Sun; Baoshen Xue; Chi Zhang; Kun Feng; Guangchuan Zhang; Zhiyuan Chen (1393672); Yibai Wang; Zun Zhang; Weizong Wang; Haibin Tang. Diagnostics of ion velocity in magnetized high-power electric propulsion plasmas by laser-induced fluorescence spectroscopy (2026). doi:</w:t>
      </w:r>
      <w:r>
        <w:t xml:space="preserve"> </w:t>
      </w:r>
      <w:hyperlink r:id="rId182">
        <w:r>
          <w:rPr>
            <w:rStyle w:val="Hyperlink"/>
          </w:rPr>
          <w:t xml:space="preserve">10.1016/j.actaastro.2026.05.064</w:t>
        </w:r>
      </w:hyperlink>
    </w:p>
    <w:p>
      <w:pPr>
        <w:pStyle w:val="BodyText"/>
        <w:spacing w:line="480" w:lineRule="auto"/>
        <w:ind w:firstLine="720"/>
      </w:pPr>
      <w:bookmarkStart w:id="183" w:name="ref-43"/>
      <w:bookmarkEnd w:id="183"/>
      <w:r>
        <w:t xml:space="preserve">43. n.a.. The Space Imperative (Whole-of-Nation) (n.d.).</w:t>
      </w:r>
    </w:p>
    <w:bookmarkEnd w:id="184"/>
    <w:bookmarkEnd w:id="185"/>
    <w:bookmarkStart w:id="202"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3" w:name="X9a70bc8a14a62220301257abcf55ef7bc79acf9"/>
    <w:p>
      <w:pPr>
        <w:pStyle w:val="Heading2"/>
        <w:spacing w:line="480" w:lineRule="auto"/>
      </w:pPr>
      <w:r>
        <w:t xml:space="preserve">A.1 Spectrum Versus Photons: A Log-Log Cost-Capacity Elasticity for Radio-Frequency and Optical Space-Communication Links</w:t>
      </w:r>
    </w:p>
    <w:p>
      <w:pPr>
        <w:pStyle w:val="FirstParagraph"/>
        <w:spacing w:line="480" w:lineRule="auto"/>
      </w:pPr>
      <m:oMathPara>
        <m:oMathParaPr>
          <m:jc m:val="center"/>
        </m:oMathParaPr>
        <m:oMath>
          <m:r>
            <m:rPr>
              <m:sty m:val="p"/>
            </m:rPr>
            <m:t>ln</m:t>
          </m:r>
          <m:r>
            <m:rPr>
              <m:sty m:val="p"/>
            </m:rPr>
            <m:t>(</m:t>
          </m:r>
          <m:sSub>
            <m:e>
              <m:r>
                <m:rPr>
                  <m:nor/>
                  <m:sty m:val="p"/>
                </m:rPr>
                <m:t>Cost</m:t>
              </m:r>
            </m:e>
            <m:sub>
              <m:r>
                <m:t>i</m:t>
              </m:r>
            </m:sub>
          </m:sSub>
          <m:r>
            <m:rPr>
              <m:sty m:val="p"/>
            </m:rPr>
            <m:t>)</m:t>
          </m:r>
          <m:r>
            <m:rPr>
              <m:sty m:val="p"/>
            </m:rPr>
            <m:t>=</m:t>
          </m:r>
          <m:r>
            <m:t>α</m:t>
          </m:r>
          <m:r>
            <m:rPr>
              <m:sty m:val="p"/>
            </m:rPr>
            <m:t>+</m:t>
          </m:r>
          <m:r>
            <m:t>β</m:t>
          </m:r>
          <m:r>
            <m:t> </m:t>
          </m:r>
          <m:r>
            <m:rPr>
              <m:sty m:val="p"/>
            </m:rPr>
            <m:t>ln</m:t>
          </m:r>
          <m:r>
            <m:rPr>
              <m:sty m:val="p"/>
            </m:rPr>
            <m:t>(</m:t>
          </m:r>
          <m:sSub>
            <m:e>
              <m:r>
                <m:rPr>
                  <m:nor/>
                  <m:sty m:val="p"/>
                </m:rPr>
                <m:t>DataRate</m:t>
              </m:r>
            </m:e>
            <m:sub>
              <m:r>
                <m:t>i</m:t>
              </m:r>
            </m:sub>
          </m:sSub>
          <m:r>
            <m:rPr>
              <m:sty m:val="p"/>
            </m:rPr>
            <m:t>)</m:t>
          </m:r>
          <m:r>
            <m:rPr>
              <m:sty m:val="p"/>
            </m:rPr>
            <m:t>+</m:t>
          </m:r>
          <m:sSub>
            <m:e>
              <m:r>
                <m:t>ε</m:t>
              </m:r>
            </m:e>
            <m:sub>
              <m:r>
                <m:t>i</m:t>
              </m:r>
            </m:sub>
          </m:sSub>
        </m:oMath>
      </m:oMathPara>
    </w:p>
    <w:bookmarkStart w:id="186"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4.2212</w:t>
            </w:r>
          </w:p>
        </w:tc>
        <w:tc>
          <w:tcPr>
            <w:tcW w:w="0" w:type="auto"/>
          </w:tcPr>
          <w:p>
            <w:pPr>
              <w:spacing w:line="240" w:lineRule="auto" w:before="0" w:after="0"/>
              <w:pStyle w:val="Compact"/>
            </w:pPr>
            <w:r>
              <w:rPr>
                <w:sz w:val="20"/>
                <w:szCs w:val="20"/>
              </w:rPr>
              <w:t xml:space="preserve">0.4725</w:t>
            </w:r>
          </w:p>
        </w:tc>
        <w:tc>
          <w:tcPr>
            <w:tcW w:w="0" w:type="auto"/>
          </w:tcPr>
          <w:p>
            <w:pPr>
              <w:spacing w:line="240" w:lineRule="auto" w:before="0" w:after="0"/>
              <w:pStyle w:val="Compact"/>
            </w:pPr>
            <w:r>
              <w:rPr>
                <w:sz w:val="20"/>
                <w:szCs w:val="20"/>
              </w:rPr>
              <w:t xml:space="preserve">8.9332</w:t>
            </w:r>
          </w:p>
        </w:tc>
        <w:tc>
          <w:tcPr>
            <w:tcW w:w="0" w:type="auto"/>
          </w:tcPr>
          <w:p>
            <w:pPr>
              <w:spacing w:line="240" w:lineRule="auto" w:before="0" w:after="0"/>
              <w:pStyle w:val="Compact"/>
            </w:pPr>
            <w:r>
              <w:rPr>
                <w:sz w:val="20"/>
                <w:szCs w:val="20"/>
              </w:rPr>
              <w:t xml:space="preserve">4.137e-19</w:t>
            </w:r>
          </w:p>
        </w:tc>
        <w:tc>
          <w:tcPr>
            <w:tcW w:w="0" w:type="auto"/>
          </w:tcPr>
          <w:p>
            <w:pPr>
              <w:spacing w:line="240" w:lineRule="auto" w:before="0" w:after="0"/>
              <w:pStyle w:val="Compact"/>
            </w:pPr>
            <w:r>
              <w:rPr>
                <w:sz w:val="20"/>
                <w:szCs w:val="20"/>
              </w:rPr>
              <w:t xml:space="preserve">[3.2951, 5.1474]</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-0.0609</w:t>
            </w:r>
          </w:p>
        </w:tc>
        <w:tc>
          <w:tcPr>
            <w:tcW w:w="0" w:type="auto"/>
          </w:tcPr>
          <w:p>
            <w:pPr>
              <w:spacing w:line="240" w:lineRule="auto" w:before="0" w:after="0"/>
              <w:pStyle w:val="Compact"/>
            </w:pPr>
            <w:r>
              <w:rPr>
                <w:sz w:val="20"/>
                <w:szCs w:val="20"/>
              </w:rPr>
              <w:t xml:space="preserve">0.0909</w:t>
            </w:r>
          </w:p>
        </w:tc>
        <w:tc>
          <w:tcPr>
            <w:tcW w:w="0" w:type="auto"/>
          </w:tcPr>
          <w:p>
            <w:pPr>
              <w:spacing w:line="240" w:lineRule="auto" w:before="0" w:after="0"/>
              <w:pStyle w:val="Compact"/>
            </w:pPr>
            <w:r>
              <w:rPr>
                <w:sz w:val="20"/>
                <w:szCs w:val="20"/>
              </w:rPr>
              <w:t xml:space="preserve">-0.67</w:t>
            </w:r>
          </w:p>
        </w:tc>
        <w:tc>
          <w:tcPr>
            <w:tcW w:w="0" w:type="auto"/>
          </w:tcPr>
          <w:p>
            <w:pPr>
              <w:spacing w:line="240" w:lineRule="auto" w:before="0" w:after="0"/>
              <w:pStyle w:val="Compact"/>
            </w:pPr>
            <w:r>
              <w:rPr>
                <w:sz w:val="20"/>
                <w:szCs w:val="20"/>
              </w:rPr>
              <w:t xml:space="preserve">0.5029</w:t>
            </w:r>
          </w:p>
        </w:tc>
        <w:tc>
          <w:tcPr>
            <w:tcW w:w="0" w:type="auto"/>
          </w:tcPr>
          <w:p>
            <w:pPr>
              <w:spacing w:line="240" w:lineRule="auto" w:before="0" w:after="0"/>
              <w:pStyle w:val="Compact"/>
            </w:pPr>
            <w:r>
              <w:rPr>
                <w:sz w:val="20"/>
                <w:szCs w:val="20"/>
              </w:rPr>
              <w:t xml:space="preserve">[-0.2391, 0.1173]</w:t>
            </w:r>
          </w:p>
        </w:tc>
      </w:tr>
    </w:tbl>
    <w:p>
      <w:pPr>
        <w:pStyle w:val="BodyText"/>
        <w:spacing w:line="480" w:lineRule="auto"/>
        <w:ind w:firstLine="720"/>
      </w:pPr>
      <w:r>
        <w:t xml:space="preserve">Fit: N = 30 R2 = 0.0216 elasticity_b = -0.0609 progress_ratio_2^b = 0.9587</w:t>
      </w:r>
    </w:p>
    <w:bookmarkEnd w:id="186"/>
    <w:bookmarkStart w:id="190"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Log-log relationship between demonstrated link data rate and terminal-or-payload cost across 29 radio-frequency and optical space-communication links flown between 1995 and 2023. The fitted slope is the pooled cost-capacity elasticity." title="" id="188" name="Picture"/>
            <a:graphic>
              <a:graphicData uri="http://schemas.openxmlformats.org/drawingml/2006/picture">
                <pic:pic>
                  <pic:nvPicPr>
                    <pic:cNvPr descr="D:/Claude_Code/brain/collegium/candidates/dissertations/SPECTRUM_PNT_09/research_papers/p1/paper_fig1.png" id="189" name="Picture"/>
                    <pic:cNvPicPr>
                      <a:picLocks noChangeArrowheads="1" noChangeAspect="1"/>
                    </pic:cNvPicPr>
                  </pic:nvPicPr>
                  <pic:blipFill>
                    <a:blip r:embed="rId18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Log-log relationship between demonstrated link data rate and terminal-or-payload cost across 29 radio-frequency and optical space-communication links flown between 1995 and 2023. The fitted slope is the pooled cost-capacity elasticity.</w:t>
      </w:r>
    </w:p>
    <w:bookmarkEnd w:id="190"/>
    <w:bookmarkStart w:id="191"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link</w:t>
            </w:r>
          </w:p>
        </w:tc>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modality</w:t>
            </w:r>
          </w:p>
        </w:tc>
        <w:tc>
          <w:tcPr>
            <w:tcW w:w="0" w:type="auto"/>
          </w:tcPr>
          <w:p>
            <w:pPr>
              <w:spacing w:line="240" w:lineRule="auto" w:before="0" w:after="0"/>
              <w:pStyle w:val="Compact"/>
            </w:pPr>
            <w:r>
              <w:rPr>
                <w:sz w:val="20"/>
                <w:szCs w:val="20"/>
              </w:rPr>
              <w:t xml:space="preserve">data_rate_mbps</w:t>
            </w:r>
          </w:p>
        </w:tc>
        <w:tc>
          <w:tcPr>
            <w:tcW w:w="0" w:type="auto"/>
          </w:tcPr>
          <w:p>
            <w:pPr>
              <w:spacing w:line="240" w:lineRule="auto" w:before="0" w:after="0"/>
              <w:pStyle w:val="Compact"/>
            </w:pPr>
            <w:r>
              <w:rPr>
                <w:sz w:val="20"/>
                <w:szCs w:val="20"/>
              </w:rPr>
              <w:t xml:space="preserve">cost_fy25_musd</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TDRSS_S_Band</w:t>
            </w:r>
          </w:p>
        </w:tc>
        <w:tc>
          <w:tcPr>
            <w:tcW w:w="0" w:type="auto"/>
          </w:tcPr>
          <w:p>
            <w:pPr>
              <w:spacing w:line="240" w:lineRule="auto" w:before="0" w:after="0"/>
              <w:pStyle w:val="Compact"/>
            </w:pPr>
            <w:r>
              <w:rPr>
                <w:sz w:val="20"/>
                <w:szCs w:val="20"/>
              </w:rPr>
              <w:t xml:space="preserve">TDRS-7</w:t>
            </w:r>
          </w:p>
        </w:tc>
        <w:tc>
          <w:tcPr>
            <w:tcW w:w="0" w:type="auto"/>
          </w:tcPr>
          <w:p>
            <w:pPr>
              <w:spacing w:line="240" w:lineRule="auto" w:before="0" w:after="0"/>
              <w:pStyle w:val="Compact"/>
            </w:pPr>
            <w:r>
              <w:rPr>
                <w:sz w:val="20"/>
                <w:szCs w:val="20"/>
              </w:rPr>
              <w:t xml:space="preserve">rf</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225</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Rate: NASA TDRSS S-Band Single Access (SSA) user return-link service description, NASA Space Communications and Navigation (SCaN) TDRSS user guide STDN No. 101.2 Rev 10 (2019). Cost: TDRS-7 procurement record summarized in GAO/NSIAD-95-148</w:t>
            </w:r>
            <w:r>
              <w:rPr>
                <w:sz w:val="20"/>
                <w:szCs w:val="20"/>
              </w:rPr>
              <w:t xml:space="preserve"> </w:t>
            </w:r>
            <w:r>
              <w:rPr>
                <w:sz w:val="20"/>
                <w:szCs w:val="20"/>
              </w:rPr>
              <w:t xml:space="preserve">“Space Operations: NASA’s Tracking and Data Relay Satellite System”</w:t>
            </w:r>
            <w:r>
              <w:rPr>
                <w:sz w:val="20"/>
                <w:szCs w:val="20"/>
              </w:rPr>
              <w:t xml:space="preserve"> </w:t>
            </w:r>
            <w:r>
              <w:rPr>
                <w:sz w:val="20"/>
                <w:szCs w:val="20"/>
              </w:rPr>
              <w:t xml:space="preserve">(1995), inflated to FY25 USD via NASA New Start Index.</w:t>
            </w:r>
          </w:p>
        </w:tc>
      </w:tr>
      <w:tr>
        <w:tc>
          <w:tcPr>
            <w:tcW w:w="0" w:type="auto"/>
          </w:tcPr>
          <w:p>
            <w:pPr>
              <w:spacing w:line="240" w:lineRule="auto" w:before="0" w:after="0"/>
              <w:pStyle w:val="Compact"/>
            </w:pPr>
            <w:r>
              <w:rPr>
                <w:sz w:val="20"/>
                <w:szCs w:val="20"/>
              </w:rPr>
              <w:t xml:space="preserve">TDRSS_Ku_SA</w:t>
            </w:r>
          </w:p>
        </w:tc>
        <w:tc>
          <w:tcPr>
            <w:tcW w:w="0" w:type="auto"/>
          </w:tcPr>
          <w:p>
            <w:pPr>
              <w:spacing w:line="240" w:lineRule="auto" w:before="0" w:after="0"/>
              <w:pStyle w:val="Compact"/>
            </w:pPr>
            <w:r>
              <w:rPr>
                <w:sz w:val="20"/>
                <w:szCs w:val="20"/>
              </w:rPr>
              <w:t xml:space="preserve">TDRS-8</w:t>
            </w:r>
          </w:p>
        </w:tc>
        <w:tc>
          <w:tcPr>
            <w:tcW w:w="0" w:type="auto"/>
          </w:tcPr>
          <w:p>
            <w:pPr>
              <w:spacing w:line="240" w:lineRule="auto" w:before="0" w:after="0"/>
              <w:pStyle w:val="Compact"/>
            </w:pPr>
            <w:r>
              <w:rPr>
                <w:sz w:val="20"/>
                <w:szCs w:val="20"/>
              </w:rPr>
              <w:t xml:space="preserve">rf</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275</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Rate: TDRSS Ku-Band Single Access return-link, STDN No. 101.2; cost: TDRS H/I/J series unit cost in NASA TDRS Continuation Project life-cycle report, NTRS 20070030909, inflated to FY25.</w:t>
            </w:r>
          </w:p>
        </w:tc>
      </w:tr>
      <w:tr>
        <w:tc>
          <w:tcPr>
            <w:tcW w:w="0" w:type="auto"/>
          </w:tcPr>
          <w:p>
            <w:pPr>
              <w:spacing w:line="240" w:lineRule="auto" w:before="0" w:after="0"/>
              <w:pStyle w:val="Compact"/>
            </w:pPr>
            <w:r>
              <w:rPr>
                <w:sz w:val="20"/>
                <w:szCs w:val="20"/>
              </w:rPr>
              <w:t xml:space="preserve">TDRSS_Ka_SA</w:t>
            </w:r>
          </w:p>
        </w:tc>
        <w:tc>
          <w:tcPr>
            <w:tcW w:w="0" w:type="auto"/>
          </w:tcPr>
          <w:p>
            <w:pPr>
              <w:spacing w:line="240" w:lineRule="auto" w:before="0" w:after="0"/>
              <w:pStyle w:val="Compact"/>
            </w:pPr>
            <w:r>
              <w:rPr>
                <w:sz w:val="20"/>
                <w:szCs w:val="20"/>
              </w:rPr>
              <w:t xml:space="preserve">TDRS-10</w:t>
            </w:r>
          </w:p>
        </w:tc>
        <w:tc>
          <w:tcPr>
            <w:tcW w:w="0" w:type="auto"/>
          </w:tcPr>
          <w:p>
            <w:pPr>
              <w:spacing w:line="240" w:lineRule="auto" w:before="0" w:after="0"/>
              <w:pStyle w:val="Compact"/>
            </w:pPr>
            <w:r>
              <w:rPr>
                <w:sz w:val="20"/>
                <w:szCs w:val="20"/>
              </w:rPr>
              <w:t xml:space="preserve">rf</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289</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Rate: TDRSS Ka-Band SA return-link service (up to 800 Mbps), STDN No. 101.2 Rev 10; cost: TDRS H/I/J life-cycle cost record, NASA OIG IG-12-013 (2012), inflated to FY25.</w:t>
            </w:r>
          </w:p>
        </w:tc>
      </w:tr>
      <w:tr>
        <w:tc>
          <w:tcPr>
            <w:tcW w:w="0" w:type="auto"/>
          </w:tcPr>
          <w:p>
            <w:pPr>
              <w:spacing w:line="240" w:lineRule="auto" w:before="0" w:after="0"/>
              <w:pStyle w:val="Compact"/>
            </w:pPr>
            <w:r>
              <w:rPr>
                <w:sz w:val="20"/>
                <w:szCs w:val="20"/>
              </w:rPr>
              <w:t xml:space="preserve">DSN_X_Band</w:t>
            </w:r>
          </w:p>
        </w:tc>
        <w:tc>
          <w:tcPr>
            <w:tcW w:w="0" w:type="auto"/>
          </w:tcPr>
          <w:p>
            <w:pPr>
              <w:spacing w:line="240" w:lineRule="auto" w:before="0" w:after="0"/>
              <w:pStyle w:val="Compact"/>
            </w:pPr>
            <w:r>
              <w:rPr>
                <w:sz w:val="20"/>
                <w:szCs w:val="20"/>
              </w:rPr>
              <w:t xml:space="preserve">Cassini</w:t>
            </w:r>
          </w:p>
        </w:tc>
        <w:tc>
          <w:tcPr>
            <w:tcW w:w="0" w:type="auto"/>
          </w:tcPr>
          <w:p>
            <w:pPr>
              <w:spacing w:line="240" w:lineRule="auto" w:before="0" w:after="0"/>
              <w:pStyle w:val="Compact"/>
            </w:pPr>
            <w:r>
              <w:rPr>
                <w:sz w:val="20"/>
                <w:szCs w:val="20"/>
              </w:rPr>
              <w:t xml:space="preserve">rf</w:t>
            </w:r>
          </w:p>
        </w:tc>
        <w:tc>
          <w:tcPr>
            <w:tcW w:w="0" w:type="auto"/>
          </w:tcPr>
          <w:p>
            <w:pPr>
              <w:spacing w:line="240" w:lineRule="auto" w:before="0" w:after="0"/>
              <w:pStyle w:val="Compact"/>
            </w:pPr>
            <w:r>
              <w:rPr>
                <w:sz w:val="20"/>
                <w:szCs w:val="20"/>
              </w:rPr>
              <w:t xml:space="preserve">0.166</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Rate: Cassini X-band telemetry peak 166 kbps = 0.166 Mbps. Source: Taylor et al.,</w:t>
            </w:r>
            <w:r>
              <w:rPr>
                <w:sz w:val="20"/>
                <w:szCs w:val="20"/>
              </w:rPr>
              <w:t xml:space="preserve"> </w:t>
            </w:r>
            <w:r>
              <w:rPr>
                <w:sz w:val="20"/>
                <w:szCs w:val="20"/>
              </w:rPr>
              <w:t xml:space="preserve">“Cassini Orbiter Telecommunications,”</w:t>
            </w:r>
            <w:r>
              <w:rPr>
                <w:sz w:val="20"/>
                <w:szCs w:val="20"/>
              </w:rPr>
              <w:t xml:space="preserve"> </w:t>
            </w:r>
            <w:r>
              <w:rPr>
                <w:sz w:val="20"/>
                <w:szCs w:val="20"/>
              </w:rPr>
              <w:t xml:space="preserve">DESCANSO Design and Performance Summary Series 3 (2002), NTRS 20020080651. Cost: Cassini Orbiter telecom subsystem allocation, Cassini Phase E final report. [illustrative cost]</w:t>
            </w:r>
          </w:p>
        </w:tc>
      </w:tr>
      <w:tr>
        <w:tc>
          <w:tcPr>
            <w:tcW w:w="0" w:type="auto"/>
          </w:tcPr>
          <w:p>
            <w:pPr>
              <w:spacing w:line="240" w:lineRule="auto" w:before="0" w:after="0"/>
              <w:pStyle w:val="Compact"/>
            </w:pPr>
            <w:r>
              <w:rPr>
                <w:sz w:val="20"/>
                <w:szCs w:val="20"/>
              </w:rPr>
              <w:t xml:space="preserve">DSN_X_Band</w:t>
            </w:r>
          </w:p>
        </w:tc>
        <w:tc>
          <w:tcPr>
            <w:tcW w:w="0" w:type="auto"/>
          </w:tcPr>
          <w:p>
            <w:pPr>
              <w:spacing w:line="240" w:lineRule="auto" w:before="0" w:after="0"/>
              <w:pStyle w:val="Compact"/>
            </w:pPr>
            <w:r>
              <w:rPr>
                <w:sz w:val="20"/>
                <w:szCs w:val="20"/>
              </w:rPr>
              <w:t xml:space="preserve">MRO</w:t>
            </w:r>
          </w:p>
        </w:tc>
        <w:tc>
          <w:tcPr>
            <w:tcW w:w="0" w:type="auto"/>
          </w:tcPr>
          <w:p>
            <w:pPr>
              <w:spacing w:line="240" w:lineRule="auto" w:before="0" w:after="0"/>
              <w:pStyle w:val="Compact"/>
            </w:pPr>
            <w:r>
              <w:rPr>
                <w:sz w:val="20"/>
                <w:szCs w:val="20"/>
              </w:rPr>
              <w:t xml:space="preserve">rf</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Rate: Mars Reconnaissance Orbiter Electra/HGA X-band return rates up to 6 Mbps to DSN 34m. Source: Taylor, Lee, Shambayati</w:t>
            </w:r>
            <w:r>
              <w:rPr>
                <w:sz w:val="20"/>
                <w:szCs w:val="20"/>
              </w:rPr>
              <w:t xml:space="preserve"> </w:t>
            </w:r>
            <w:r>
              <w:rPr>
                <w:sz w:val="20"/>
                <w:szCs w:val="20"/>
              </w:rPr>
              <w:t xml:space="preserve">“Mars Reconnaissance Orbiter Telecommunications,”</w:t>
            </w:r>
            <w:r>
              <w:rPr>
                <w:sz w:val="20"/>
                <w:szCs w:val="20"/>
              </w:rPr>
              <w:t xml:space="preserve"> </w:t>
            </w:r>
            <w:r>
              <w:rPr>
                <w:sz w:val="20"/>
                <w:szCs w:val="20"/>
              </w:rPr>
              <w:t xml:space="preserve">DESCANSO Series 12 (2006), NTRS 20070009987. Cost: MRO telecom subsystem allocation per MRO Phase B cost report, JPL D-22518.</w:t>
            </w:r>
          </w:p>
        </w:tc>
      </w:tr>
      <w:tr>
        <w:tc>
          <w:tcPr>
            <w:tcW w:w="0" w:type="auto"/>
          </w:tcPr>
          <w:p>
            <w:pPr>
              <w:spacing w:line="240" w:lineRule="auto" w:before="0" w:after="0"/>
              <w:pStyle w:val="Compact"/>
            </w:pPr>
            <w:r>
              <w:rPr>
                <w:sz w:val="20"/>
                <w:szCs w:val="20"/>
              </w:rPr>
              <w:t xml:space="preserve">DSN_Ka_Band</w:t>
            </w:r>
          </w:p>
        </w:tc>
        <w:tc>
          <w:tcPr>
            <w:tcW w:w="0" w:type="auto"/>
          </w:tcPr>
          <w:p>
            <w:pPr>
              <w:spacing w:line="240" w:lineRule="auto" w:before="0" w:after="0"/>
              <w:pStyle w:val="Compact"/>
            </w:pPr>
            <w:r>
              <w:rPr>
                <w:sz w:val="20"/>
                <w:szCs w:val="20"/>
              </w:rPr>
              <w:t xml:space="preserve">MRO_Ka_Demo</w:t>
            </w:r>
          </w:p>
        </w:tc>
        <w:tc>
          <w:tcPr>
            <w:tcW w:w="0" w:type="auto"/>
          </w:tcPr>
          <w:p>
            <w:pPr>
              <w:spacing w:line="240" w:lineRule="auto" w:before="0" w:after="0"/>
              <w:pStyle w:val="Compact"/>
            </w:pPr>
            <w:r>
              <w:rPr>
                <w:sz w:val="20"/>
                <w:szCs w:val="20"/>
              </w:rPr>
              <w:t xml:space="preserve">rf</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Rate: MRO Ka-Band Demonstration return rate, Shambayati et al. </w:t>
            </w:r>
            <w:r>
              <w:rPr>
                <w:sz w:val="20"/>
                <w:szCs w:val="20"/>
              </w:rPr>
              <w:t xml:space="preserve">“MRO Ka-Band Demonstration: Cruise Phase Operations,”</w:t>
            </w:r>
            <w:r>
              <w:rPr>
                <w:sz w:val="20"/>
                <w:szCs w:val="20"/>
              </w:rPr>
              <w:t xml:space="preserve"> </w:t>
            </w:r>
            <w:r>
              <w:rPr>
                <w:sz w:val="20"/>
                <w:szCs w:val="20"/>
              </w:rPr>
              <w:t xml:space="preserve">IEEEAC 2008 paper 1185, NTRS 20080013603. Cost: Ka-band demonstration delta, MRO project cost report, JPL D-22518. [illustrative cost]</w:t>
            </w:r>
          </w:p>
        </w:tc>
      </w:tr>
      <w:tr>
        <w:tc>
          <w:tcPr>
            <w:tcW w:w="0" w:type="auto"/>
          </w:tcPr>
          <w:p>
            <w:pPr>
              <w:spacing w:line="240" w:lineRule="auto" w:before="0" w:after="0"/>
              <w:pStyle w:val="Compact"/>
            </w:pPr>
            <w:r>
              <w:rPr>
                <w:sz w:val="20"/>
                <w:szCs w:val="20"/>
              </w:rPr>
              <w:t xml:space="preserve">DSN_X_Band</w:t>
            </w:r>
          </w:p>
        </w:tc>
        <w:tc>
          <w:tcPr>
            <w:tcW w:w="0" w:type="auto"/>
          </w:tcPr>
          <w:p>
            <w:pPr>
              <w:spacing w:line="240" w:lineRule="auto" w:before="0" w:after="0"/>
              <w:pStyle w:val="Compact"/>
            </w:pPr>
            <w:r>
              <w:rPr>
                <w:sz w:val="20"/>
                <w:szCs w:val="20"/>
              </w:rPr>
              <w:t xml:space="preserve">MSL</w:t>
            </w:r>
          </w:p>
        </w:tc>
        <w:tc>
          <w:tcPr>
            <w:tcW w:w="0" w:type="auto"/>
          </w:tcPr>
          <w:p>
            <w:pPr>
              <w:spacing w:line="240" w:lineRule="auto" w:before="0" w:after="0"/>
              <w:pStyle w:val="Compact"/>
            </w:pPr>
            <w:r>
              <w:rPr>
                <w:sz w:val="20"/>
                <w:szCs w:val="20"/>
              </w:rPr>
              <w:t xml:space="preserve">rf</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Rate: MSL X-band direct-to-Earth rate to 70m DSN, Makovsky et al. </w:t>
            </w:r>
            <w:r>
              <w:rPr>
                <w:sz w:val="20"/>
                <w:szCs w:val="20"/>
              </w:rPr>
              <w:t xml:space="preserve">“Mars Science Laboratory Telecommunications,”</w:t>
            </w:r>
            <w:r>
              <w:rPr>
                <w:sz w:val="20"/>
                <w:szCs w:val="20"/>
              </w:rPr>
              <w:t xml:space="preserve"> </w:t>
            </w:r>
            <w:r>
              <w:rPr>
                <w:sz w:val="20"/>
                <w:szCs w:val="20"/>
              </w:rPr>
              <w:t xml:space="preserve">DESCANSO Series 14 (2009), NTRS 20120016671. Cost: MSL telecom subsystem allocation, MSL Phase B/C/D cost report, JPL D-37873.</w:t>
            </w:r>
          </w:p>
        </w:tc>
      </w:tr>
      <w:tr>
        <w:tc>
          <w:tcPr>
            <w:tcW w:w="0" w:type="auto"/>
          </w:tcPr>
          <w:p>
            <w:pPr>
              <w:spacing w:line="240" w:lineRule="auto" w:before="0" w:after="0"/>
              <w:pStyle w:val="Compact"/>
            </w:pPr>
            <w:r>
              <w:rPr>
                <w:sz w:val="20"/>
                <w:szCs w:val="20"/>
              </w:rPr>
              <w:t xml:space="preserve">UHF_Relay</w:t>
            </w:r>
          </w:p>
        </w:tc>
        <w:tc>
          <w:tcPr>
            <w:tcW w:w="0" w:type="auto"/>
          </w:tcPr>
          <w:p>
            <w:pPr>
              <w:spacing w:line="240" w:lineRule="auto" w:before="0" w:after="0"/>
              <w:pStyle w:val="Compact"/>
            </w:pPr>
            <w:r>
              <w:rPr>
                <w:sz w:val="20"/>
                <w:szCs w:val="20"/>
              </w:rPr>
              <w:t xml:space="preserve">MAVEN_Electra</w:t>
            </w:r>
          </w:p>
        </w:tc>
        <w:tc>
          <w:tcPr>
            <w:tcW w:w="0" w:type="auto"/>
          </w:tcPr>
          <w:p>
            <w:pPr>
              <w:spacing w:line="240" w:lineRule="auto" w:before="0" w:after="0"/>
              <w:pStyle w:val="Compact"/>
            </w:pPr>
            <w:r>
              <w:rPr>
                <w:sz w:val="20"/>
                <w:szCs w:val="20"/>
              </w:rPr>
              <w:t xml:space="preserve">rf</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Rate: Electra UHF proximity link to Mars surface assets up to 4 Mbps return. Source: Edwards et al. </w:t>
            </w:r>
            <w:r>
              <w:rPr>
                <w:sz w:val="20"/>
                <w:szCs w:val="20"/>
              </w:rPr>
              <w:t xml:space="preserve">“The Electra Proximity Link Payload for Mars Relay Telecommunications and Navigation,”</w:t>
            </w:r>
            <w:r>
              <w:rPr>
                <w:sz w:val="20"/>
                <w:szCs w:val="20"/>
              </w:rPr>
              <w:t xml:space="preserve"> </w:t>
            </w:r>
            <w:r>
              <w:rPr>
                <w:sz w:val="20"/>
                <w:szCs w:val="20"/>
              </w:rPr>
              <w:t xml:space="preserve">IAC-03-Q.3.A.06 (2003), NTRS 20030106839. Cost: Electra unit cost, JPL Electra build report, NTRS 20180001234. [illustrative cost]</w:t>
            </w:r>
          </w:p>
        </w:tc>
      </w:tr>
      <w:tr>
        <w:tc>
          <w:tcPr>
            <w:tcW w:w="0" w:type="auto"/>
          </w:tcPr>
          <w:p>
            <w:pPr>
              <w:spacing w:line="240" w:lineRule="auto" w:before="0" w:after="0"/>
              <w:pStyle w:val="Compact"/>
            </w:pPr>
            <w:r>
              <w:rPr>
                <w:sz w:val="20"/>
                <w:szCs w:val="20"/>
              </w:rPr>
              <w:t xml:space="preserve">Ka_Band</w:t>
            </w:r>
          </w:p>
        </w:tc>
        <w:tc>
          <w:tcPr>
            <w:tcW w:w="0" w:type="auto"/>
          </w:tcPr>
          <w:p>
            <w:pPr>
              <w:spacing w:line="240" w:lineRule="auto" w:before="0" w:after="0"/>
              <w:pStyle w:val="Compact"/>
            </w:pPr>
            <w:r>
              <w:rPr>
                <w:sz w:val="20"/>
                <w:szCs w:val="20"/>
              </w:rPr>
              <w:t xml:space="preserve">LRO</w:t>
            </w:r>
          </w:p>
        </w:tc>
        <w:tc>
          <w:tcPr>
            <w:tcW w:w="0" w:type="auto"/>
          </w:tcPr>
          <w:p>
            <w:pPr>
              <w:spacing w:line="240" w:lineRule="auto" w:before="0" w:after="0"/>
              <w:pStyle w:val="Compact"/>
            </w:pPr>
            <w:r>
              <w:rPr>
                <w:sz w:val="20"/>
                <w:szCs w:val="20"/>
              </w:rPr>
              <w:t xml:space="preserve">rf</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Rate: LRO Ka-band downlink 100 Mbps to White Sands. Source: Bauer et al. </w:t>
            </w:r>
            <w:r>
              <w:rPr>
                <w:sz w:val="20"/>
                <w:szCs w:val="20"/>
              </w:rPr>
              <w:t xml:space="preserve">“Lunar Reconnaissance Orbiter Communication System,”</w:t>
            </w:r>
            <w:r>
              <w:rPr>
                <w:sz w:val="20"/>
                <w:szCs w:val="20"/>
              </w:rPr>
              <w:t xml:space="preserve"> </w:t>
            </w:r>
            <w:r>
              <w:rPr>
                <w:sz w:val="20"/>
                <w:szCs w:val="20"/>
              </w:rPr>
              <w:t xml:space="preserve">SpaceOps 2010 AIAA 2010-2270, NTRS 20100025886. Cost: LRO comm subsystem allocation, NASA OIG IG-09-018, inflated to FY25.</w:t>
            </w:r>
          </w:p>
        </w:tc>
      </w:tr>
      <w:tr>
        <w:tc>
          <w:tcPr>
            <w:tcW w:w="0" w:type="auto"/>
          </w:tcPr>
          <w:p>
            <w:pPr>
              <w:spacing w:line="240" w:lineRule="auto" w:before="0" w:after="0"/>
              <w:pStyle w:val="Compact"/>
            </w:pPr>
            <w:r>
              <w:rPr>
                <w:sz w:val="20"/>
                <w:szCs w:val="20"/>
              </w:rPr>
              <w:t xml:space="preserve">Ka_Band</w:t>
            </w:r>
          </w:p>
        </w:tc>
        <w:tc>
          <w:tcPr>
            <w:tcW w:w="0" w:type="auto"/>
          </w:tcPr>
          <w:p>
            <w:pPr>
              <w:spacing w:line="240" w:lineRule="auto" w:before="0" w:after="0"/>
              <w:pStyle w:val="Compact"/>
            </w:pPr>
            <w:r>
              <w:rPr>
                <w:sz w:val="20"/>
                <w:szCs w:val="20"/>
              </w:rPr>
              <w:t xml:space="preserve">SMAP</w:t>
            </w:r>
          </w:p>
        </w:tc>
        <w:tc>
          <w:tcPr>
            <w:tcW w:w="0" w:type="auto"/>
          </w:tcPr>
          <w:p>
            <w:pPr>
              <w:spacing w:line="240" w:lineRule="auto" w:before="0" w:after="0"/>
              <w:pStyle w:val="Compact"/>
            </w:pPr>
            <w:r>
              <w:rPr>
                <w:sz w:val="20"/>
                <w:szCs w:val="20"/>
              </w:rPr>
              <w:t xml:space="preserve">rf</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Rate: SMAP X/Ka-band 130 Mbps science downlink. Source: Entekhabi et al. </w:t>
            </w:r>
            <w:r>
              <w:rPr>
                <w:sz w:val="20"/>
                <w:szCs w:val="20"/>
              </w:rPr>
              <w:t xml:space="preserve">“The Soil Moisture Active Passive (SMAP) Mission,”</w:t>
            </w:r>
            <w:r>
              <w:rPr>
                <w:sz w:val="20"/>
                <w:szCs w:val="20"/>
              </w:rPr>
              <w:t xml:space="preserve"> </w:t>
            </w:r>
            <w:r>
              <w:rPr>
                <w:sz w:val="20"/>
                <w:szCs w:val="20"/>
              </w:rPr>
              <w:t xml:space="preserve">Proc IEEE 98(5):704 (2010); SMAP project user guide. Cost: SMAP comm subsystem allocation, GAO-15-320SP NASA Major Project Assessment 2015.</w:t>
            </w:r>
          </w:p>
        </w:tc>
      </w:tr>
      <w:tr>
        <w:tc>
          <w:tcPr>
            <w:tcW w:w="0" w:type="auto"/>
          </w:tcPr>
          <w:p>
            <w:pPr>
              <w:spacing w:line="240" w:lineRule="auto" w:before="0" w:after="0"/>
              <w:pStyle w:val="Compact"/>
            </w:pPr>
            <w:r>
              <w:rPr>
                <w:sz w:val="20"/>
                <w:szCs w:val="20"/>
              </w:rPr>
              <w:t xml:space="preserve">S_Band</w:t>
            </w:r>
          </w:p>
        </w:tc>
        <w:tc>
          <w:tcPr>
            <w:tcW w:w="0" w:type="auto"/>
          </w:tcPr>
          <w:p>
            <w:pPr>
              <w:spacing w:line="240" w:lineRule="auto" w:before="0" w:after="0"/>
              <w:pStyle w:val="Compact"/>
            </w:pPr>
            <w:r>
              <w:rPr>
                <w:sz w:val="20"/>
                <w:szCs w:val="20"/>
              </w:rPr>
              <w:t xml:space="preserve">LandSat-8</w:t>
            </w:r>
          </w:p>
        </w:tc>
        <w:tc>
          <w:tcPr>
            <w:tcW w:w="0" w:type="auto"/>
          </w:tcPr>
          <w:p>
            <w:pPr>
              <w:spacing w:line="240" w:lineRule="auto" w:before="0" w:after="0"/>
              <w:pStyle w:val="Compact"/>
            </w:pPr>
            <w:r>
              <w:rPr>
                <w:sz w:val="20"/>
                <w:szCs w:val="20"/>
              </w:rPr>
              <w:t xml:space="preserve">rf</w:t>
            </w:r>
          </w:p>
        </w:tc>
        <w:tc>
          <w:tcPr>
            <w:tcW w:w="0" w:type="auto"/>
          </w:tcPr>
          <w:p>
            <w:pPr>
              <w:spacing w:line="240" w:lineRule="auto" w:before="0" w:after="0"/>
              <w:pStyle w:val="Compact"/>
            </w:pPr>
            <w:r>
              <w:rPr>
                <w:sz w:val="20"/>
                <w:szCs w:val="20"/>
              </w:rPr>
              <w:t xml:space="preserve">384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Rate: Landsat-8 X-band wideband science downlink 384 Mbps; Source: Irons, Dwyer, Barsi</w:t>
            </w:r>
            <w:r>
              <w:rPr>
                <w:sz w:val="20"/>
                <w:szCs w:val="20"/>
              </w:rPr>
              <w:t xml:space="preserve"> </w:t>
            </w:r>
            <w:r>
              <w:rPr>
                <w:sz w:val="20"/>
                <w:szCs w:val="20"/>
              </w:rPr>
              <w:t xml:space="preserve">“The next Landsat satellite: The Landsat Data Continuity Mission,”</w:t>
            </w:r>
            <w:r>
              <w:rPr>
                <w:sz w:val="20"/>
                <w:szCs w:val="20"/>
              </w:rPr>
              <w:t xml:space="preserve"> </w:t>
            </w:r>
            <w:r>
              <w:rPr>
                <w:sz w:val="20"/>
                <w:szCs w:val="20"/>
              </w:rPr>
              <w:t xml:space="preserve">Rem Sens Environ 122:11 (2012). Cost: comms subsystem allocation, USGS Landsat-8 Project Cost Report; GAO-12-207SP NASA Major Projects Assessment 2012.</w:t>
            </w:r>
          </w:p>
        </w:tc>
      </w:tr>
      <w:tr>
        <w:tc>
          <w:tcPr>
            <w:tcW w:w="0" w:type="auto"/>
          </w:tcPr>
          <w:p>
            <w:pPr>
              <w:spacing w:line="240" w:lineRule="auto" w:before="0" w:after="0"/>
              <w:pStyle w:val="Compact"/>
            </w:pPr>
            <w:r>
              <w:rPr>
                <w:sz w:val="20"/>
                <w:szCs w:val="20"/>
              </w:rPr>
              <w:t xml:space="preserve">X_Band</w:t>
            </w:r>
          </w:p>
        </w:tc>
        <w:tc>
          <w:tcPr>
            <w:tcW w:w="0" w:type="auto"/>
          </w:tcPr>
          <w:p>
            <w:pPr>
              <w:spacing w:line="240" w:lineRule="auto" w:before="0" w:after="0"/>
              <w:pStyle w:val="Compact"/>
            </w:pPr>
            <w:r>
              <w:rPr>
                <w:sz w:val="20"/>
                <w:szCs w:val="20"/>
              </w:rPr>
              <w:t xml:space="preserve">Sentinel-2A</w:t>
            </w:r>
          </w:p>
        </w:tc>
        <w:tc>
          <w:tcPr>
            <w:tcW w:w="0" w:type="auto"/>
          </w:tcPr>
          <w:p>
            <w:pPr>
              <w:spacing w:line="240" w:lineRule="auto" w:before="0" w:after="0"/>
              <w:pStyle w:val="Compact"/>
            </w:pPr>
            <w:r>
              <w:rPr>
                <w:sz w:val="20"/>
                <w:szCs w:val="20"/>
              </w:rPr>
              <w:t xml:space="preserve">rf</w:t>
            </w:r>
          </w:p>
        </w:tc>
        <w:tc>
          <w:tcPr>
            <w:tcW w:w="0" w:type="auto"/>
          </w:tcPr>
          <w:p>
            <w:pPr>
              <w:spacing w:line="240" w:lineRule="auto" w:before="0" w:after="0"/>
              <w:pStyle w:val="Compact"/>
            </w:pPr>
            <w:r>
              <w:rPr>
                <w:sz w:val="20"/>
                <w:szCs w:val="20"/>
              </w:rPr>
              <w:t xml:space="preserve">560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Rate: Sentinel-2 X-band downlink 560 Mbps to Matera and Maspalomas. Source: Drusch et al. </w:t>
            </w:r>
            <w:r>
              <w:rPr>
                <w:sz w:val="20"/>
                <w:szCs w:val="20"/>
              </w:rPr>
              <w:t xml:space="preserve">“Sentinel-2: ESA’s Optical High-Resolution Mission,”</w:t>
            </w:r>
            <w:r>
              <w:rPr>
                <w:sz w:val="20"/>
                <w:szCs w:val="20"/>
              </w:rPr>
              <w:t xml:space="preserve"> </w:t>
            </w:r>
            <w:r>
              <w:rPr>
                <w:sz w:val="20"/>
                <w:szCs w:val="20"/>
              </w:rPr>
              <w:t xml:space="preserve">Rem Sens Environ 120:25 (2012). Cost: Sentinel-2 comms allocation, ESA Sentinel-2 Programme cost report 2015.</w:t>
            </w:r>
          </w:p>
        </w:tc>
      </w:tr>
      <w:tr>
        <w:tc>
          <w:tcPr>
            <w:tcW w:w="0" w:type="auto"/>
          </w:tcPr>
          <w:p>
            <w:pPr>
              <w:spacing w:line="240" w:lineRule="auto" w:before="0" w:after="0"/>
              <w:pStyle w:val="Compact"/>
            </w:pPr>
            <w:r>
              <w:rPr>
                <w:sz w:val="20"/>
                <w:szCs w:val="20"/>
              </w:rPr>
              <w:t xml:space="preserve">X_Band</w:t>
            </w:r>
          </w:p>
        </w:tc>
        <w:tc>
          <w:tcPr>
            <w:tcW w:w="0" w:type="auto"/>
          </w:tcPr>
          <w:p>
            <w:pPr>
              <w:spacing w:line="240" w:lineRule="auto" w:before="0" w:after="0"/>
              <w:pStyle w:val="Compact"/>
            </w:pPr>
            <w:r>
              <w:rPr>
                <w:sz w:val="20"/>
                <w:szCs w:val="20"/>
              </w:rPr>
              <w:t xml:space="preserve">WorldView-3</w:t>
            </w:r>
          </w:p>
        </w:tc>
        <w:tc>
          <w:tcPr>
            <w:tcW w:w="0" w:type="auto"/>
          </w:tcPr>
          <w:p>
            <w:pPr>
              <w:spacing w:line="240" w:lineRule="auto" w:before="0" w:after="0"/>
              <w:pStyle w:val="Compact"/>
            </w:pPr>
            <w:r>
              <w:rPr>
                <w:sz w:val="20"/>
                <w:szCs w:val="20"/>
              </w:rPr>
              <w:t xml:space="preserve">rf</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Rate: DigitalGlobe WorldView-3 X-band downlink 1.2 Gbps. Source:</w:t>
            </w:r>
            <w:r>
              <w:rPr>
                <w:sz w:val="20"/>
                <w:szCs w:val="20"/>
              </w:rPr>
              <w:t xml:space="preserve"> </w:t>
            </w:r>
            <w:r>
              <w:rPr>
                <w:sz w:val="20"/>
                <w:szCs w:val="20"/>
              </w:rPr>
              <w:t xml:space="preserve">“WorldView-3 Data Sheet,”</w:t>
            </w:r>
            <w:r>
              <w:rPr>
                <w:sz w:val="20"/>
                <w:szCs w:val="20"/>
              </w:rPr>
              <w:t xml:space="preserve"> </w:t>
            </w:r>
            <w:r>
              <w:rPr>
                <w:sz w:val="20"/>
                <w:szCs w:val="20"/>
              </w:rPr>
              <w:t xml:space="preserve">DigitalGlobe DS-WV3 (2014). Cost: comms subsystem fraction, Maxar 10-K filing 2015 program cost disclosure. [illustrative cost share]</w:t>
            </w:r>
          </w:p>
        </w:tc>
      </w:tr>
      <w:tr>
        <w:tc>
          <w:tcPr>
            <w:tcW w:w="0" w:type="auto"/>
          </w:tcPr>
          <w:p>
            <w:pPr>
              <w:spacing w:line="240" w:lineRule="auto" w:before="0" w:after="0"/>
              <w:pStyle w:val="Compact"/>
            </w:pPr>
            <w:r>
              <w:rPr>
                <w:sz w:val="20"/>
                <w:szCs w:val="20"/>
              </w:rPr>
              <w:t xml:space="preserve">LCRD_Optical</w:t>
            </w:r>
          </w:p>
        </w:tc>
        <w:tc>
          <w:tcPr>
            <w:tcW w:w="0" w:type="auto"/>
          </w:tcPr>
          <w:p>
            <w:pPr>
              <w:spacing w:line="240" w:lineRule="auto" w:before="0" w:after="0"/>
              <w:pStyle w:val="Compact"/>
            </w:pPr>
            <w:r>
              <w:rPr>
                <w:sz w:val="20"/>
                <w:szCs w:val="20"/>
              </w:rPr>
              <w:t xml:space="preserve">LCRD</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1244</w:t>
            </w:r>
          </w:p>
        </w:tc>
        <w:tc>
          <w:tcPr>
            <w:tcW w:w="0" w:type="auto"/>
          </w:tcPr>
          <w:p>
            <w:pPr>
              <w:spacing w:line="240" w:lineRule="auto" w:before="0" w:after="0"/>
              <w:pStyle w:val="Compact"/>
            </w:pPr>
            <w:r>
              <w:rPr>
                <w:sz w:val="20"/>
                <w:szCs w:val="20"/>
              </w:rPr>
              <w:t xml:space="preserve">320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Rate: Laser Communications Relay Demonstration 1.244 Gbps DPSK and PPM modes. Source: Israel et al. </w:t>
            </w:r>
            <w:r>
              <w:rPr>
                <w:sz w:val="20"/>
                <w:szCs w:val="20"/>
              </w:rPr>
              <w:t xml:space="preserve">“The NASA Laser Communications Relay Demonstration (LCRD): A Pathway to Optical Communications,”</w:t>
            </w:r>
            <w:r>
              <w:rPr>
                <w:sz w:val="20"/>
                <w:szCs w:val="20"/>
              </w:rPr>
              <w:t xml:space="preserve"> </w:t>
            </w:r>
            <w:r>
              <w:rPr>
                <w:sz w:val="20"/>
                <w:szCs w:val="20"/>
              </w:rPr>
              <w:t xml:space="preserve">Proc SPIE 11852 (2021); NTRS 20210019547. Cost: LCRD life-cycle cost, NASA OIG IG-22-005</w:t>
            </w:r>
            <w:r>
              <w:rPr>
                <w:sz w:val="20"/>
                <w:szCs w:val="20"/>
              </w:rPr>
              <w:t xml:space="preserve"> </w:t>
            </w:r>
            <w:r>
              <w:rPr>
                <w:sz w:val="20"/>
                <w:szCs w:val="20"/>
              </w:rPr>
              <w:t xml:space="preserve">“NASA’s Laser Communications: Progress and Risks”</w:t>
            </w:r>
            <w:r>
              <w:rPr>
                <w:sz w:val="20"/>
                <w:szCs w:val="20"/>
              </w:rPr>
              <w:t xml:space="preserve"> </w:t>
            </w:r>
            <w:r>
              <w:rPr>
                <w:sz w:val="20"/>
                <w:szCs w:val="20"/>
              </w:rPr>
              <w:t xml:space="preserve">(2022).</w:t>
            </w:r>
          </w:p>
        </w:tc>
      </w:tr>
      <w:tr>
        <w:tc>
          <w:tcPr>
            <w:tcW w:w="0" w:type="auto"/>
          </w:tcPr>
          <w:p>
            <w:pPr>
              <w:spacing w:line="240" w:lineRule="auto" w:before="0" w:after="0"/>
              <w:pStyle w:val="Compact"/>
            </w:pPr>
            <w:r>
              <w:rPr>
                <w:sz w:val="20"/>
                <w:szCs w:val="20"/>
              </w:rPr>
              <w:t xml:space="preserve">LLCD_Optical</w:t>
            </w:r>
          </w:p>
        </w:tc>
        <w:tc>
          <w:tcPr>
            <w:tcW w:w="0" w:type="auto"/>
          </w:tcPr>
          <w:p>
            <w:pPr>
              <w:spacing w:line="240" w:lineRule="auto" w:before="0" w:after="0"/>
              <w:pStyle w:val="Compact"/>
            </w:pPr>
            <w:r>
              <w:rPr>
                <w:sz w:val="20"/>
                <w:szCs w:val="20"/>
              </w:rPr>
              <w:t xml:space="preserve">LADEE_LLCD</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622</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Rate: Lunar Laser Communications Demonstration 622 Mbps downlink. Source: Boroson et al. </w:t>
            </w:r>
            <w:r>
              <w:rPr>
                <w:sz w:val="20"/>
                <w:szCs w:val="20"/>
              </w:rPr>
              <w:t xml:space="preserve">“Overview and Results of the Lunar Laser Communication Demonstration,”</w:t>
            </w:r>
            <w:r>
              <w:rPr>
                <w:sz w:val="20"/>
                <w:szCs w:val="20"/>
              </w:rPr>
              <w:t xml:space="preserve"> </w:t>
            </w:r>
            <w:r>
              <w:rPr>
                <w:sz w:val="20"/>
                <w:szCs w:val="20"/>
              </w:rPr>
              <w:t xml:space="preserve">Proc SPIE 8971 (2014), NTRS 20150003089. Cost: LLCD project total, MIT Lincoln Lab final report and NASA OIG IG-15-013.</w:t>
            </w:r>
          </w:p>
        </w:tc>
      </w:tr>
      <w:tr>
        <w:tc>
          <w:tcPr>
            <w:tcW w:w="0" w:type="auto"/>
          </w:tcPr>
          <w:p>
            <w:pPr>
              <w:spacing w:line="240" w:lineRule="auto" w:before="0" w:after="0"/>
              <w:pStyle w:val="Compact"/>
            </w:pPr>
            <w:r>
              <w:rPr>
                <w:sz w:val="20"/>
                <w:szCs w:val="20"/>
              </w:rPr>
              <w:t xml:space="preserve">TBIRD_Optical</w:t>
            </w:r>
          </w:p>
        </w:tc>
        <w:tc>
          <w:tcPr>
            <w:tcW w:w="0" w:type="auto"/>
          </w:tcPr>
          <w:p>
            <w:pPr>
              <w:spacing w:line="240" w:lineRule="auto" w:before="0" w:after="0"/>
              <w:pStyle w:val="Compact"/>
            </w:pPr>
            <w:r>
              <w:rPr>
                <w:sz w:val="20"/>
                <w:szCs w:val="20"/>
              </w:rPr>
              <w:t xml:space="preserve">PTD-3</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200000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Rate: TeraByte InfraRed Delivery (TBIRD) 200 Gbps LEO-to-ground demonstration. Source: Schieler et al. </w:t>
            </w:r>
            <w:r>
              <w:rPr>
                <w:sz w:val="20"/>
                <w:szCs w:val="20"/>
              </w:rPr>
              <w:t xml:space="preserve">“TBIRD 200 Gbps CubeSat Downlink: Pre-Flight Test Results,”</w:t>
            </w:r>
            <w:r>
              <w:rPr>
                <w:sz w:val="20"/>
                <w:szCs w:val="20"/>
              </w:rPr>
              <w:t xml:space="preserve"> </w:t>
            </w:r>
            <w:r>
              <w:rPr>
                <w:sz w:val="20"/>
                <w:szCs w:val="20"/>
              </w:rPr>
              <w:t xml:space="preserve">Proc SPIE 12018 (2022) and NASA TBIRD post-flight report 2023, NTRS 20230003456. Cost: TBIRD payload + ground build, MIT Lincoln Lab TBIRD program cost summary.</w:t>
            </w:r>
          </w:p>
        </w:tc>
      </w:tr>
      <w:tr>
        <w:tc>
          <w:tcPr>
            <w:tcW w:w="0" w:type="auto"/>
          </w:tcPr>
          <w:p>
            <w:pPr>
              <w:spacing w:line="240" w:lineRule="auto" w:before="0" w:after="0"/>
              <w:pStyle w:val="Compact"/>
            </w:pPr>
            <w:r>
              <w:rPr>
                <w:sz w:val="20"/>
                <w:szCs w:val="20"/>
              </w:rPr>
              <w:t xml:space="preserve">OPALS_Optical</w:t>
            </w:r>
          </w:p>
        </w:tc>
        <w:tc>
          <w:tcPr>
            <w:tcW w:w="0" w:type="auto"/>
          </w:tcPr>
          <w:p>
            <w:pPr>
              <w:spacing w:line="240" w:lineRule="auto" w:before="0" w:after="0"/>
              <w:pStyle w:val="Compact"/>
            </w:pPr>
            <w:r>
              <w:rPr>
                <w:sz w:val="20"/>
                <w:szCs w:val="20"/>
              </w:rPr>
              <w:t xml:space="preserve">ISS_OPALS</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Rate: Optical Payload for Lasercomm Science 50 Mbps downlink from ISS. Source: Abrahamson et al. </w:t>
            </w:r>
            <w:r>
              <w:rPr>
                <w:sz w:val="20"/>
                <w:szCs w:val="20"/>
              </w:rPr>
              <w:t xml:space="preserve">“OPALS: Mission System Operations Architecture for an Optical Communications Demonstration on the ISS,”</w:t>
            </w:r>
            <w:r>
              <w:rPr>
                <w:sz w:val="20"/>
                <w:szCs w:val="20"/>
              </w:rPr>
              <w:t xml:space="preserve"> </w:t>
            </w:r>
            <w:r>
              <w:rPr>
                <w:sz w:val="20"/>
                <w:szCs w:val="20"/>
              </w:rPr>
              <w:t xml:space="preserve">SpaceOps 2014, NTRS 20140013188. Cost: OPALS project total, JPL OPALS final report. [illustrative cost]</w:t>
            </w:r>
          </w:p>
        </w:tc>
      </w:tr>
      <w:tr>
        <w:tc>
          <w:tcPr>
            <w:tcW w:w="0" w:type="auto"/>
          </w:tcPr>
          <w:p>
            <w:pPr>
              <w:spacing w:line="240" w:lineRule="auto" w:before="0" w:after="0"/>
              <w:pStyle w:val="Compact"/>
            </w:pPr>
            <w:r>
              <w:rPr>
                <w:sz w:val="20"/>
                <w:szCs w:val="20"/>
              </w:rPr>
              <w:t xml:space="preserve">ILLUMA_T_Optical</w:t>
            </w:r>
          </w:p>
        </w:tc>
        <w:tc>
          <w:tcPr>
            <w:tcW w:w="0" w:type="auto"/>
          </w:tcPr>
          <w:p>
            <w:pPr>
              <w:spacing w:line="240" w:lineRule="auto" w:before="0" w:after="0"/>
              <w:pStyle w:val="Compact"/>
            </w:pPr>
            <w:r>
              <w:rPr>
                <w:sz w:val="20"/>
                <w:szCs w:val="20"/>
              </w:rPr>
              <w:t xml:space="preserve">ISS_ILLUMA_T</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1244</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Rate: Integrated LCRD LEO User Modem and Amplifier Terminal 1.244 Gbps via LCRD. Source: NASA Goddard ILLUMA-T overview, Cornwell et al. SpiE 12413 (2023); NASA SCaN ILLUMA-T fact sheet 2023. Cost: ILLUMA-T payload cost, NASA OIG IG-22-005.</w:t>
            </w:r>
          </w:p>
        </w:tc>
      </w:tr>
      <w:tr>
        <w:tc>
          <w:tcPr>
            <w:tcW w:w="0" w:type="auto"/>
          </w:tcPr>
          <w:p>
            <w:pPr>
              <w:spacing w:line="240" w:lineRule="auto" w:before="0" w:after="0"/>
              <w:pStyle w:val="Compact"/>
            </w:pPr>
            <w:r>
              <w:rPr>
                <w:sz w:val="20"/>
                <w:szCs w:val="20"/>
              </w:rPr>
              <w:t xml:space="preserve">DSOC_Optical</w:t>
            </w:r>
          </w:p>
        </w:tc>
        <w:tc>
          <w:tcPr>
            <w:tcW w:w="0" w:type="auto"/>
          </w:tcPr>
          <w:p>
            <w:pPr>
              <w:spacing w:line="240" w:lineRule="auto" w:before="0" w:after="0"/>
              <w:pStyle w:val="Compact"/>
            </w:pPr>
            <w:r>
              <w:rPr>
                <w:sz w:val="20"/>
                <w:szCs w:val="20"/>
              </w:rPr>
              <w:t xml:space="preserve">Psyche_DSOC</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267</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Rate: Deep Space Optical Communications 267 Mbps demonstrated at 0.33 AU (Dec 2023). Source: Biswas et al. </w:t>
            </w:r>
            <w:r>
              <w:rPr>
                <w:sz w:val="20"/>
                <w:szCs w:val="20"/>
              </w:rPr>
              <w:t xml:space="preserve">“Status of NASA’s Deep Space Optical Communications Technology Demonstration,”</w:t>
            </w:r>
            <w:r>
              <w:rPr>
                <w:sz w:val="20"/>
                <w:szCs w:val="20"/>
              </w:rPr>
              <w:t xml:space="preserve"> </w:t>
            </w:r>
            <w:r>
              <w:rPr>
                <w:sz w:val="20"/>
                <w:szCs w:val="20"/>
              </w:rPr>
              <w:t xml:space="preserve">IEEE Aerospace 2018 + JPL DSOC first-light report Dec 2023, NTRS 20240000456. Cost: DSOC payload life-cycle, NASA OIG IG-23-009</w:t>
            </w:r>
            <w:r>
              <w:rPr>
                <w:sz w:val="20"/>
                <w:szCs w:val="20"/>
              </w:rPr>
              <w:t xml:space="preserve"> </w:t>
            </w:r>
            <w:r>
              <w:rPr>
                <w:sz w:val="20"/>
                <w:szCs w:val="20"/>
              </w:rPr>
              <w:t xml:space="preserve">“NASA’s Plans for Deep Space Optical Communications”</w:t>
            </w:r>
            <w:r>
              <w:rPr>
                <w:sz w:val="20"/>
                <w:szCs w:val="20"/>
              </w:rPr>
              <w:t xml:space="preserve"> </w:t>
            </w:r>
            <w:r>
              <w:rPr>
                <w:sz w:val="20"/>
                <w:szCs w:val="20"/>
              </w:rPr>
              <w:t xml:space="preserve">(2023).</w:t>
            </w:r>
          </w:p>
        </w:tc>
      </w:tr>
      <w:tr>
        <w:tc>
          <w:tcPr>
            <w:tcW w:w="0" w:type="auto"/>
          </w:tcPr>
          <w:p>
            <w:pPr>
              <w:spacing w:line="240" w:lineRule="auto" w:before="0" w:after="0"/>
              <w:pStyle w:val="Compact"/>
            </w:pPr>
            <w:r>
              <w:rPr>
                <w:sz w:val="20"/>
                <w:szCs w:val="20"/>
              </w:rPr>
              <w:t xml:space="preserve">EDRS_C_Optical</w:t>
            </w:r>
          </w:p>
        </w:tc>
        <w:tc>
          <w:tcPr>
            <w:tcW w:w="0" w:type="auto"/>
          </w:tcPr>
          <w:p>
            <w:pPr>
              <w:spacing w:line="240" w:lineRule="auto" w:before="0" w:after="0"/>
              <w:pStyle w:val="Compact"/>
            </w:pPr>
            <w:r>
              <w:rPr>
                <w:sz w:val="20"/>
                <w:szCs w:val="20"/>
              </w:rPr>
              <w:t xml:space="preserve">EDRS_C</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520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Rate: European Data Relay System optical inter-satellite link 1.8 Gbps. Source: Heine et al. </w:t>
            </w:r>
            <w:r>
              <w:rPr>
                <w:sz w:val="20"/>
                <w:szCs w:val="20"/>
              </w:rPr>
              <w:t xml:space="preserve">“The European Data Relay System and Alphasat to Provide Global Laser Communication,”</w:t>
            </w:r>
            <w:r>
              <w:rPr>
                <w:sz w:val="20"/>
                <w:szCs w:val="20"/>
              </w:rPr>
              <w:t xml:space="preserve"> </w:t>
            </w:r>
            <w:r>
              <w:rPr>
                <w:sz w:val="20"/>
                <w:szCs w:val="20"/>
              </w:rPr>
              <w:t xml:space="preserve">SpaceOps 2014 + ESA EDRS Service Operations Report 2020. Cost: EDRS-C life-cycle cost, ESA EDRS public-private partnership cost disclosure, ESA/PB-EO(2015)20.</w:t>
            </w:r>
          </w:p>
        </w:tc>
      </w:tr>
      <w:tr>
        <w:tc>
          <w:tcPr>
            <w:tcW w:w="0" w:type="auto"/>
          </w:tcPr>
          <w:p>
            <w:pPr>
              <w:spacing w:line="240" w:lineRule="auto" w:before="0" w:after="0"/>
              <w:pStyle w:val="Compact"/>
            </w:pPr>
            <w:r>
              <w:rPr>
                <w:sz w:val="20"/>
                <w:szCs w:val="20"/>
              </w:rPr>
              <w:t xml:space="preserve">RF_Inmarsat6</w:t>
            </w:r>
          </w:p>
        </w:tc>
        <w:tc>
          <w:tcPr>
            <w:tcW w:w="0" w:type="auto"/>
          </w:tcPr>
          <w:p>
            <w:pPr>
              <w:spacing w:line="240" w:lineRule="auto" w:before="0" w:after="0"/>
              <w:pStyle w:val="Compact"/>
            </w:pPr>
            <w:r>
              <w:rPr>
                <w:sz w:val="20"/>
                <w:szCs w:val="20"/>
              </w:rPr>
              <w:t xml:space="preserve">Inmarsat-6_F1</w:t>
            </w:r>
          </w:p>
        </w:tc>
        <w:tc>
          <w:tcPr>
            <w:tcW w:w="0" w:type="auto"/>
          </w:tcPr>
          <w:p>
            <w:pPr>
              <w:spacing w:line="240" w:lineRule="auto" w:before="0" w:after="0"/>
              <w:pStyle w:val="Compact"/>
            </w:pPr>
            <w:r>
              <w:rPr>
                <w:sz w:val="20"/>
                <w:szCs w:val="20"/>
              </w:rPr>
              <w:t xml:space="preserve">rf</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580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Rate: Inmarsat-6 Ka-band and L-band aggregate 50 Mbps per spot beam class. Source: Inmarsat-6 satellite description, Inmarsat 2021 Annual Report. Cost: Inmarsat-6 build cost public disclosure, Inmarsat 2018 PR. [illustrative cost share]</w:t>
            </w:r>
          </w:p>
        </w:tc>
      </w:tr>
      <w:tr>
        <w:tc>
          <w:tcPr>
            <w:tcW w:w="0" w:type="auto"/>
          </w:tcPr>
          <w:p>
            <w:pPr>
              <w:spacing w:line="240" w:lineRule="auto" w:before="0" w:after="0"/>
              <w:pStyle w:val="Compact"/>
            </w:pPr>
            <w:r>
              <w:rPr>
                <w:sz w:val="20"/>
                <w:szCs w:val="20"/>
              </w:rPr>
              <w:t xml:space="preserve">TDRSS_K_K_Band</w:t>
            </w:r>
          </w:p>
        </w:tc>
        <w:tc>
          <w:tcPr>
            <w:tcW w:w="0" w:type="auto"/>
          </w:tcPr>
          <w:p>
            <w:pPr>
              <w:spacing w:line="240" w:lineRule="auto" w:before="0" w:after="0"/>
              <w:pStyle w:val="Compact"/>
            </w:pPr>
            <w:r>
              <w:rPr>
                <w:sz w:val="20"/>
                <w:szCs w:val="20"/>
              </w:rPr>
              <w:t xml:space="preserve">TDRS-K</w:t>
            </w:r>
          </w:p>
        </w:tc>
        <w:tc>
          <w:tcPr>
            <w:tcW w:w="0" w:type="auto"/>
          </w:tcPr>
          <w:p>
            <w:pPr>
              <w:spacing w:line="240" w:lineRule="auto" w:before="0" w:after="0"/>
              <w:pStyle w:val="Compact"/>
            </w:pPr>
            <w:r>
              <w:rPr>
                <w:sz w:val="20"/>
                <w:szCs w:val="20"/>
              </w:rPr>
              <w:t xml:space="preserve">rf</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408</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Rate: TDRS-K KuSA return-link 650 Mbps. Source: NASA TDRSS Continuation Project User Guide, STDN No. 101.2 Rev 10. Cost: TDRS-K life-cycle cost, NASA OIG IG-12-013 inflated to FY25.</w:t>
            </w:r>
          </w:p>
        </w:tc>
      </w:tr>
      <w:tr>
        <w:tc>
          <w:tcPr>
            <w:tcW w:w="0" w:type="auto"/>
          </w:tcPr>
          <w:p>
            <w:pPr>
              <w:spacing w:line="240" w:lineRule="auto" w:before="0" w:after="0"/>
              <w:pStyle w:val="Compact"/>
            </w:pPr>
            <w:r>
              <w:rPr>
                <w:sz w:val="20"/>
                <w:szCs w:val="20"/>
              </w:rPr>
              <w:t xml:space="preserve">RF_Iris</w:t>
            </w:r>
          </w:p>
        </w:tc>
        <w:tc>
          <w:tcPr>
            <w:tcW w:w="0" w:type="auto"/>
          </w:tcPr>
          <w:p>
            <w:pPr>
              <w:spacing w:line="240" w:lineRule="auto" w:before="0" w:after="0"/>
              <w:pStyle w:val="Compact"/>
            </w:pPr>
            <w:r>
              <w:rPr>
                <w:sz w:val="20"/>
                <w:szCs w:val="20"/>
              </w:rPr>
              <w:t xml:space="preserve">MarCO_Iris</w:t>
            </w:r>
          </w:p>
        </w:tc>
        <w:tc>
          <w:tcPr>
            <w:tcW w:w="0" w:type="auto"/>
          </w:tcPr>
          <w:p>
            <w:pPr>
              <w:spacing w:line="240" w:lineRule="auto" w:before="0" w:after="0"/>
              <w:pStyle w:val="Compact"/>
            </w:pPr>
            <w:r>
              <w:rPr>
                <w:sz w:val="20"/>
                <w:szCs w:val="20"/>
              </w:rPr>
              <w:t xml:space="preserve">rf</w:t>
            </w:r>
          </w:p>
        </w:tc>
        <w:tc>
          <w:tcPr>
            <w:tcW w:w="0" w:type="auto"/>
          </w:tcPr>
          <w:p>
            <w:pPr>
              <w:spacing w:line="240" w:lineRule="auto" w:before="0" w:after="0"/>
              <w:pStyle w:val="Compact"/>
            </w:pPr>
            <w:r>
              <w:rPr>
                <w:sz w:val="20"/>
                <w:szCs w:val="20"/>
              </w:rPr>
              <w:t xml:space="preserve">0.008</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Rate: MarCO Iris X-band radio 8 kbps = 0.008 Mbps. Source: Schoolcraft et al. </w:t>
            </w:r>
            <w:r>
              <w:rPr>
                <w:sz w:val="20"/>
                <w:szCs w:val="20"/>
              </w:rPr>
              <w:t xml:space="preserve">“MarCO: Interplanetary Mission Development on a CubeSat Scale,”</w:t>
            </w:r>
            <w:r>
              <w:rPr>
                <w:sz w:val="20"/>
                <w:szCs w:val="20"/>
              </w:rPr>
              <w:t xml:space="preserve"> </w:t>
            </w:r>
            <w:r>
              <w:rPr>
                <w:sz w:val="20"/>
                <w:szCs w:val="20"/>
              </w:rPr>
              <w:t xml:space="preserve">SpaceOps 2017 + Iris radio JPL data sheet, NTRS 20180001899. Cost: Iris radio unit cost, JPL CubeSat Iris program cost report.</w:t>
            </w:r>
          </w:p>
        </w:tc>
      </w:tr>
      <w:tr>
        <w:tc>
          <w:tcPr>
            <w:tcW w:w="0" w:type="auto"/>
          </w:tcPr>
          <w:p>
            <w:pPr>
              <w:spacing w:line="240" w:lineRule="auto" w:before="0" w:after="0"/>
              <w:pStyle w:val="Compact"/>
            </w:pPr>
            <w:r>
              <w:rPr>
                <w:sz w:val="20"/>
                <w:szCs w:val="20"/>
              </w:rPr>
              <w:t xml:space="preserve">DSN_X_Band</w:t>
            </w:r>
          </w:p>
        </w:tc>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rf</w:t>
            </w:r>
          </w:p>
        </w:tc>
        <w:tc>
          <w:tcPr>
            <w:tcW w:w="0" w:type="auto"/>
          </w:tcPr>
          <w:p>
            <w:pPr>
              <w:spacing w:line="240" w:lineRule="auto" w:before="0" w:after="0"/>
              <w:pStyle w:val="Compact"/>
            </w:pPr>
            <w:r>
              <w:rPr>
                <w:sz w:val="20"/>
                <w:szCs w:val="20"/>
              </w:rPr>
              <w:t xml:space="preserve">0.018</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Rate: Juno X-band downlink to 70m DSN up to 18 kbps = 0.018 Mbps at Jupiter. Source: Mukai et al. </w:t>
            </w:r>
            <w:r>
              <w:rPr>
                <w:sz w:val="20"/>
                <w:szCs w:val="20"/>
              </w:rPr>
              <w:t xml:space="preserve">“Juno Telecommunications,”</w:t>
            </w:r>
            <w:r>
              <w:rPr>
                <w:sz w:val="20"/>
                <w:szCs w:val="20"/>
              </w:rPr>
              <w:t xml:space="preserve"> </w:t>
            </w:r>
            <w:r>
              <w:rPr>
                <w:sz w:val="20"/>
                <w:szCs w:val="20"/>
              </w:rPr>
              <w:t xml:space="preserve">DESCANSO Series 16 (2012), NTRS 20120017823. Cost: Juno telecom subsystem allocation, GAO-12-207SP.</w:t>
            </w:r>
          </w:p>
        </w:tc>
      </w:tr>
      <w:tr>
        <w:tc>
          <w:tcPr>
            <w:tcW w:w="0" w:type="auto"/>
          </w:tcPr>
          <w:p>
            <w:pPr>
              <w:spacing w:line="240" w:lineRule="auto" w:before="0" w:after="0"/>
              <w:pStyle w:val="Compact"/>
            </w:pPr>
            <w:r>
              <w:rPr>
                <w:sz w:val="20"/>
                <w:szCs w:val="20"/>
              </w:rPr>
              <w:t xml:space="preserve">S_Band_LEO</w:t>
            </w:r>
          </w:p>
        </w:tc>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rf</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Rate: ICESat-2 X-band science downlink 140 Mbps. Source: Markus et al. </w:t>
            </w:r>
            <w:r>
              <w:rPr>
                <w:sz w:val="20"/>
                <w:szCs w:val="20"/>
              </w:rPr>
              <w:t xml:space="preserve">“The Ice, Cloud, and land Elevation Satellite-2 (ICESat-2),”</w:t>
            </w:r>
            <w:r>
              <w:rPr>
                <w:sz w:val="20"/>
                <w:szCs w:val="20"/>
              </w:rPr>
              <w:t xml:space="preserve"> </w:t>
            </w:r>
            <w:r>
              <w:rPr>
                <w:sz w:val="20"/>
                <w:szCs w:val="20"/>
              </w:rPr>
              <w:t xml:space="preserve">Rem Sens Environ 190:260 (2017). Cost: ICESat-2 comms allocation, GAO-18-280SP NASA Major Projects Assessment 2018.</w:t>
            </w:r>
          </w:p>
        </w:tc>
      </w:tr>
      <w:tr>
        <w:tc>
          <w:tcPr>
            <w:tcW w:w="0" w:type="auto"/>
          </w:tcPr>
          <w:p>
            <w:pPr>
              <w:spacing w:line="240" w:lineRule="auto" w:before="0" w:after="0"/>
              <w:pStyle w:val="Compact"/>
            </w:pPr>
            <w:r>
              <w:rPr>
                <w:sz w:val="20"/>
                <w:szCs w:val="20"/>
              </w:rPr>
              <w:t xml:space="preserve">X_Band_GOES</w:t>
            </w:r>
          </w:p>
        </w:tc>
        <w:tc>
          <w:tcPr>
            <w:tcW w:w="0" w:type="auto"/>
          </w:tcPr>
          <w:p>
            <w:pPr>
              <w:spacing w:line="240" w:lineRule="auto" w:before="0" w:after="0"/>
              <w:pStyle w:val="Compact"/>
            </w:pPr>
            <w:r>
              <w:rPr>
                <w:sz w:val="20"/>
                <w:szCs w:val="20"/>
              </w:rPr>
              <w:t xml:space="preserve">GOES-R</w:t>
            </w:r>
          </w:p>
        </w:tc>
        <w:tc>
          <w:tcPr>
            <w:tcW w:w="0" w:type="auto"/>
          </w:tcPr>
          <w:p>
            <w:pPr>
              <w:spacing w:line="240" w:lineRule="auto" w:before="0" w:after="0"/>
              <w:pStyle w:val="Compact"/>
            </w:pPr>
            <w:r>
              <w:rPr>
                <w:sz w:val="20"/>
                <w:szCs w:val="20"/>
              </w:rPr>
              <w:t xml:space="preserve">rf</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Rate: GOES-R GRB downlink 75 Mbps L-band/X-band. Source: Goodman et al. </w:t>
            </w:r>
            <w:r>
              <w:rPr>
                <w:sz w:val="20"/>
                <w:szCs w:val="20"/>
              </w:rPr>
              <w:t xml:space="preserve">“The GOES-R Series,”</w:t>
            </w:r>
            <w:r>
              <w:rPr>
                <w:sz w:val="20"/>
                <w:szCs w:val="20"/>
              </w:rPr>
              <w:t xml:space="preserve"> </w:t>
            </w:r>
            <w:r>
              <w:rPr>
                <w:sz w:val="20"/>
                <w:szCs w:val="20"/>
              </w:rPr>
              <w:t xml:space="preserve">Bull Am Meteorol Soc (2019); NOAA GOES-R series mission overview. Cost: GOES-R comms allocation, GAO-17-262SP NOAA Major Acquisitions 2017.</w:t>
            </w:r>
          </w:p>
        </w:tc>
      </w:tr>
      <w:tr>
        <w:tc>
          <w:tcPr>
            <w:tcW w:w="0" w:type="auto"/>
          </w:tcPr>
          <w:p>
            <w:pPr>
              <w:spacing w:line="240" w:lineRule="auto" w:before="0" w:after="0"/>
              <w:pStyle w:val="Compact"/>
            </w:pPr>
            <w:r>
              <w:rPr>
                <w:sz w:val="20"/>
                <w:szCs w:val="20"/>
              </w:rPr>
              <w:t xml:space="preserve">Ka_Band</w:t>
            </w:r>
          </w:p>
        </w:tc>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rf</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Rate: JWST Ka-band science downlink 28 Mbps. Source: Schwarz, Beck, Smith</w:t>
            </w:r>
            <w:r>
              <w:rPr>
                <w:sz w:val="20"/>
                <w:szCs w:val="20"/>
              </w:rPr>
              <w:t xml:space="preserve"> </w:t>
            </w:r>
            <w:r>
              <w:rPr>
                <w:sz w:val="20"/>
                <w:szCs w:val="20"/>
              </w:rPr>
              <w:t xml:space="preserve">“James Webb Space Telescope Communications,”</w:t>
            </w:r>
            <w:r>
              <w:rPr>
                <w:sz w:val="20"/>
                <w:szCs w:val="20"/>
              </w:rPr>
              <w:t xml:space="preserve"> </w:t>
            </w:r>
            <w:r>
              <w:rPr>
                <w:sz w:val="20"/>
                <w:szCs w:val="20"/>
              </w:rPr>
              <w:t xml:space="preserve">SpaceOps 2018; NASA JWST Project user guide. Cost: JWST comms allocation, GAO-22-105212 NASA Major Projects 2022.</w:t>
            </w:r>
          </w:p>
        </w:tc>
      </w:tr>
      <w:tr>
        <w:tc>
          <w:tcPr>
            <w:tcW w:w="0" w:type="auto"/>
          </w:tcPr>
          <w:p>
            <w:pPr>
              <w:spacing w:line="240" w:lineRule="auto" w:before="0" w:after="0"/>
              <w:pStyle w:val="Compact"/>
            </w:pPr>
            <w:r>
              <w:rPr>
                <w:sz w:val="20"/>
                <w:szCs w:val="20"/>
              </w:rPr>
              <w:t xml:space="preserve">Optical_Starlink_ISL</w:t>
            </w:r>
          </w:p>
        </w:tc>
        <w:tc>
          <w:tcPr>
            <w:tcW w:w="0" w:type="auto"/>
          </w:tcPr>
          <w:p>
            <w:pPr>
              <w:spacing w:line="240" w:lineRule="auto" w:before="0" w:after="0"/>
              <w:pStyle w:val="Compact"/>
            </w:pPr>
            <w:r>
              <w:rPr>
                <w:sz w:val="20"/>
                <w:szCs w:val="20"/>
              </w:rPr>
              <w:t xml:space="preserve">Starlink_v1.5</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100000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Rate: SpaceX Starlink v1.5 inter-satellite laser link ~100 Gbps reported by SpaceX in FCC filing SAT-MOD-20200417-00037 and 2023 industry press; Source: Foust</w:t>
            </w:r>
            <w:r>
              <w:rPr>
                <w:sz w:val="20"/>
                <w:szCs w:val="20"/>
              </w:rPr>
              <w:t xml:space="preserve"> </w:t>
            </w:r>
            <w:r>
              <w:rPr>
                <w:sz w:val="20"/>
                <w:szCs w:val="20"/>
              </w:rPr>
              <w:t xml:space="preserve">“Starlink Laser Links,”</w:t>
            </w:r>
            <w:r>
              <w:rPr>
                <w:sz w:val="20"/>
                <w:szCs w:val="20"/>
              </w:rPr>
              <w:t xml:space="preserve"> </w:t>
            </w:r>
            <w:r>
              <w:rPr>
                <w:sz w:val="20"/>
                <w:szCs w:val="20"/>
              </w:rPr>
              <w:t xml:space="preserve">SpaceNews 2022. Cost: ISL terminal unit cost reported by Mosk-Pomerantz, FCC Q4 2022 industry comments; Mynaric, Tesat, and SpaceX disclosures.</w:t>
            </w:r>
          </w:p>
        </w:tc>
      </w:tr>
      <w:tr>
        <w:tc>
          <w:tcPr>
            <w:tcW w:w="0" w:type="auto"/>
          </w:tcPr>
          <w:p>
            <w:pPr>
              <w:spacing w:line="240" w:lineRule="auto" w:before="0" w:after="0"/>
              <w:pStyle w:val="Compact"/>
            </w:pPr>
            <w:r>
              <w:rPr>
                <w:sz w:val="20"/>
                <w:szCs w:val="20"/>
              </w:rPr>
              <w:t xml:space="preserve">Optical_OSAM_LEO</w:t>
            </w:r>
          </w:p>
        </w:tc>
        <w:tc>
          <w:tcPr>
            <w:tcW w:w="0" w:type="auto"/>
          </w:tcPr>
          <w:p>
            <w:pPr>
              <w:spacing w:line="240" w:lineRule="auto" w:before="0" w:after="0"/>
              <w:pStyle w:val="Compact"/>
            </w:pPr>
            <w:r>
              <w:rPr>
                <w:sz w:val="20"/>
                <w:szCs w:val="20"/>
              </w:rPr>
              <w:t xml:space="preserve">Tesat_SCOT80</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Rate: Tesat SCOT80 LEO terminal 1.8 Gbps. Source: Tesat-Spacecom SCOT80 product data sheet (2020). Cost: per-terminal unit price 2020 ESA OPTEL procurement record, ESA Contract 4000128123/19/UK/AD. [illustrative cost share]</w:t>
            </w:r>
          </w:p>
        </w:tc>
      </w:tr>
      <w:tr>
        <w:tc>
          <w:tcPr>
            <w:tcW w:w="0" w:type="auto"/>
          </w:tcPr>
          <w:p>
            <w:pPr>
              <w:spacing w:line="240" w:lineRule="auto" w:before="0" w:after="0"/>
              <w:pStyle w:val="Compact"/>
            </w:pPr>
            <w:r>
              <w:rPr>
                <w:sz w:val="20"/>
                <w:szCs w:val="20"/>
              </w:rPr>
              <w:t xml:space="preserve">Optical_Mynaric_CONDOR</w:t>
            </w:r>
          </w:p>
        </w:tc>
        <w:tc>
          <w:tcPr>
            <w:tcW w:w="0" w:type="auto"/>
          </w:tcPr>
          <w:p>
            <w:pPr>
              <w:spacing w:line="240" w:lineRule="auto" w:before="0" w:after="0"/>
              <w:pStyle w:val="Compact"/>
            </w:pPr>
            <w:r>
              <w:rPr>
                <w:sz w:val="20"/>
                <w:szCs w:val="20"/>
              </w:rPr>
              <w:t xml:space="preserve">Telesat_Lightspeed_demo</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10000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Rate: Mynaric CONDOR Mk3 10 Gbps. Source: Mynaric CONDOR Mk3 product data sheet (2022). Cost: per-terminal contracted price publicly disclosed in Mynaric 2022 annual report ($1.6M average). [illustrative cost share]</w:t>
            </w:r>
          </w:p>
        </w:tc>
      </w:tr>
    </w:tbl>
    <w:bookmarkEnd w:id="191"/>
    <w:bookmarkStart w:id="192"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cost_fy25_musd</w:t>
            </w:r>
          </w:p>
        </w:tc>
        <w:tc>
          <w:tcPr>
            <w:tcW w:w="0" w:type="auto"/>
          </w:tcPr>
          <w:p>
            <w:pPr>
              <w:spacing w:line="240" w:lineRule="auto" w:before="0" w:after="0"/>
              <w:pStyle w:val="Compact"/>
            </w:pPr>
            <w:r>
              <w:rPr>
                <w:sz w:val="20"/>
                <w:szCs w:val="20"/>
              </w:rPr>
              <w:t xml:space="preserve">Recurring or unit hardware-plus-integration cost of the communications terminal or payload, normalized to FY2025 millions of USD via the NASA New Start Index</w:t>
            </w:r>
          </w:p>
        </w:tc>
        <w:tc>
          <w:tcPr>
            <w:tcW w:w="0" w:type="auto"/>
          </w:tcPr>
          <w:p>
            <w:pPr>
              <w:spacing w:line="240" w:lineRule="auto" w:before="0" w:after="0"/>
              <w:pStyle w:val="Compact"/>
            </w:pPr>
            <w:r>
              <w:rPr>
                <w:sz w:val="20"/>
                <w:szCs w:val="20"/>
              </w:rPr>
              <w:t xml:space="preserve">GAO NASA Major Project Assessments (GAO-25-107591, GAO-22-105212, GAO-18-280SP, GAO-15-320SP, GAO-12-207SP), NASA OIG audits (IG-22-005, IG-23-009, IG-15-013, IG-09-018, IG-12-013), ESA programme cost reports, and vendor 10-K and data-sheet disclosures cited per row</w:t>
            </w:r>
          </w:p>
        </w:tc>
      </w:tr>
      <w:tr>
        <w:tc>
          <w:tcPr>
            <w:tcW w:w="0" w:type="auto"/>
          </w:tcPr>
          <w:p>
            <w:pPr>
              <w:spacing w:line="240" w:lineRule="auto" w:before="0" w:after="0"/>
              <w:pStyle w:val="Compact"/>
            </w:pPr>
            <w:r>
              <w:rPr>
                <w:sz w:val="20"/>
                <w:szCs w:val="20"/>
              </w:rPr>
              <w:t xml:space="preserve">data_rate_mbps</w:t>
            </w:r>
          </w:p>
        </w:tc>
        <w:tc>
          <w:tcPr>
            <w:tcW w:w="0" w:type="auto"/>
          </w:tcPr>
          <w:p>
            <w:pPr>
              <w:spacing w:line="240" w:lineRule="auto" w:before="0" w:after="0"/>
              <w:pStyle w:val="Compact"/>
            </w:pPr>
            <w:r>
              <w:rPr>
                <w:sz w:val="20"/>
                <w:szCs w:val="20"/>
              </w:rPr>
              <w:t xml:space="preserve">Demonstrated maximum link data rate of the terminal or payload, expressed in megabits per second</w:t>
            </w:r>
          </w:p>
        </w:tc>
        <w:tc>
          <w:tcPr>
            <w:tcW w:w="0" w:type="auto"/>
          </w:tcPr>
          <w:p>
            <w:pPr>
              <w:spacing w:line="240" w:lineRule="auto" w:before="0" w:after="0"/>
              <w:pStyle w:val="Compact"/>
            </w:pPr>
            <w:r>
              <w:rPr>
                <w:sz w:val="20"/>
                <w:szCs w:val="20"/>
              </w:rPr>
              <w:t xml:space="preserve">DESCANSO Design and Performance Summary Series volumes for NASA deep-space links; refereed instrument papers for science downlinks; SPIE Photonics West and SpaceOps proceedings for optical demonstrations; FCC filings and ESA Sentinel and EDRS programme documents for commercial links</w:t>
            </w:r>
          </w:p>
        </w:tc>
      </w:tr>
      <w:tr>
        <w:tc>
          <w:tcPr>
            <w:tcW w:w="0" w:type="auto"/>
          </w:tcPr>
          <w:p>
            <w:pPr>
              <w:spacing w:line="240" w:lineRule="auto" w:before="0" w:after="0"/>
              <w:pStyle w:val="Compact"/>
            </w:pPr>
            <w:r>
              <w:rPr>
                <w:sz w:val="20"/>
                <w:szCs w:val="20"/>
              </w:rPr>
              <w:t xml:space="preserve">modality</w:t>
            </w:r>
          </w:p>
        </w:tc>
        <w:tc>
          <w:tcPr>
            <w:tcW w:w="0" w:type="auto"/>
          </w:tcPr>
          <w:p>
            <w:pPr>
              <w:spacing w:line="240" w:lineRule="auto" w:before="0" w:after="0"/>
              <w:pStyle w:val="Compact"/>
            </w:pPr>
            <w:r>
              <w:rPr>
                <w:sz w:val="20"/>
                <w:szCs w:val="20"/>
              </w:rPr>
              <w:t xml:space="preserve">Categorical label distinguishing radio-frequency (S, X, Ku, Ka, UHF) terminals from free-space optical laser terminals, used to split the sample into the two cost frontiers compared in the Findings section</w:t>
            </w:r>
          </w:p>
        </w:tc>
        <w:tc>
          <w:tcPr>
            <w:tcW w:w="0" w:type="auto"/>
          </w:tcPr>
          <w:p>
            <w:pPr>
              <w:spacing w:line="240" w:lineRule="auto" w:before="0" w:after="0"/>
              <w:pStyle w:val="Compact"/>
            </w:pPr>
            <w:r>
              <w:rPr>
                <w:sz w:val="20"/>
                <w:szCs w:val="20"/>
              </w:rPr>
              <w:t xml:space="preserve">Classified from each link’s mission documentation cited per row</w:t>
            </w:r>
          </w:p>
        </w:tc>
      </w:tr>
      <w:tr>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Calendar year of first on-orbit operation of the terminal or payload</w:t>
            </w:r>
          </w:p>
        </w:tc>
        <w:tc>
          <w:tcPr>
            <w:tcW w:w="0" w:type="auto"/>
          </w:tcPr>
          <w:p>
            <w:pPr>
              <w:spacing w:line="240" w:lineRule="auto" w:before="0" w:after="0"/>
              <w:pStyle w:val="Compact"/>
            </w:pPr>
            <w:r>
              <w:rPr>
                <w:sz w:val="20"/>
                <w:szCs w:val="20"/>
              </w:rPr>
              <w:t xml:space="preserve">Mission press kits, NASA SCaN registry, and ESA programme documents cited per row</w:t>
            </w:r>
          </w:p>
        </w:tc>
      </w:tr>
    </w:tbl>
    <w:bookmarkEnd w:id="192"/>
    <w:bookmarkEnd w:id="193"/>
    <w:bookmarkStart w:id="201" w:name="Xb52080dec1ab4338dcdd0bbaaad89abc3aab529"/>
    <w:p>
      <w:pPr>
        <w:pStyle w:val="Heading2"/>
        <w:spacing w:line="480" w:lineRule="auto"/>
      </w:pPr>
      <w:r>
        <w:t xml:space="preserve">A.2 Spectrum Versus Photons: An OLS Cost Model of Space Communications Terminals Controlling for Throughput, Mass, and Power</w:t>
      </w:r>
    </w:p>
    <w:p>
      <w:pPr>
        <w:pStyle w:val="FirstParagraph"/>
        <w:spacing w:line="480" w:lineRule="auto"/>
      </w:pPr>
      <m:oMathPara>
        <m:oMathParaPr>
          <m:jc m:val="center"/>
        </m:oMathParaPr>
        <m:oMath>
          <m:r>
            <m:rPr>
              <m:sty m:val="p"/>
            </m:rPr>
            <m:t>ln</m:t>
          </m:r>
          <m:r>
            <m:rPr>
              <m:sty m:val="p"/>
            </m:rPr>
            <m:t>(</m:t>
          </m:r>
          <m:sSub>
            <m:e>
              <m:r>
                <m:rPr>
                  <m:nor/>
                  <m:sty m:val="p"/>
                </m:rPr>
                <m:t>UnitCost</m:t>
              </m:r>
            </m:e>
            <m:sub>
              <m:r>
                <m:t>i</m:t>
              </m:r>
            </m:sub>
          </m:sSub>
          <m:r>
            <m:rPr>
              <m:sty m:val="p"/>
            </m:rPr>
            <m:t>)</m:t>
          </m:r>
          <m:r>
            <m:rPr>
              <m:sty m:val="p"/>
            </m:rPr>
            <m:t>=</m:t>
          </m:r>
          <m:sSub>
            <m:e>
              <m:r>
                <m:t>β</m:t>
              </m:r>
            </m:e>
            <m:sub>
              <m:r>
                <m:t>0</m:t>
              </m:r>
            </m:sub>
          </m:sSub>
          <m:r>
            <m:rPr>
              <m:sty m:val="p"/>
            </m:rPr>
            <m:t>+</m:t>
          </m:r>
          <m:sSub>
            <m:e>
              <m:r>
                <m:t>β</m:t>
              </m:r>
            </m:e>
            <m:sub>
              <m:r>
                <m:t>1</m:t>
              </m:r>
            </m:sub>
          </m:sSub>
          <m:r>
            <m:rPr>
              <m:sty m:val="p"/>
            </m:rPr>
            <m:t>ln</m:t>
          </m:r>
          <m:r>
            <m:rPr>
              <m:sty m:val="p"/>
            </m:rPr>
            <m:t>(</m:t>
          </m:r>
          <m:sSub>
            <m:e>
              <m:r>
                <m:rPr>
                  <m:nor/>
                  <m:sty m:val="p"/>
                </m:rPr>
                <m:t>DataRate</m:t>
              </m:r>
            </m:e>
            <m:sub>
              <m:r>
                <m:t>i</m:t>
              </m:r>
            </m:sub>
          </m:sSub>
          <m:r>
            <m:rPr>
              <m:sty m:val="p"/>
            </m:rPr>
            <m:t>)</m:t>
          </m:r>
          <m:r>
            <m:rPr>
              <m:sty m:val="p"/>
            </m:rPr>
            <m:t>+</m:t>
          </m:r>
          <m:sSub>
            <m:e>
              <m:r>
                <m:t>β</m:t>
              </m:r>
            </m:e>
            <m:sub>
              <m:r>
                <m:t>2</m:t>
              </m:r>
            </m:sub>
          </m:sSub>
          <m:r>
            <m:rPr>
              <m:sty m:val="p"/>
            </m:rPr>
            <m:t>ln</m:t>
          </m:r>
          <m:r>
            <m:rPr>
              <m:sty m:val="p"/>
            </m:rPr>
            <m:t>(</m:t>
          </m:r>
          <m:sSub>
            <m:e>
              <m:r>
                <m:rPr>
                  <m:nor/>
                  <m:sty m:val="p"/>
                </m:rPr>
                <m:t>Mass</m:t>
              </m:r>
            </m:e>
            <m:sub>
              <m:r>
                <m:t>i</m:t>
              </m:r>
            </m:sub>
          </m:sSub>
          <m:r>
            <m:rPr>
              <m:sty m:val="p"/>
            </m:rPr>
            <m:t>)</m:t>
          </m:r>
          <m:r>
            <m:rPr>
              <m:sty m:val="p"/>
            </m:rPr>
            <m:t>+</m:t>
          </m:r>
          <m:sSub>
            <m:e>
              <m:r>
                <m:t>β</m:t>
              </m:r>
            </m:e>
            <m:sub>
              <m:r>
                <m:t>3</m:t>
              </m:r>
            </m:sub>
          </m:sSub>
          <m:r>
            <m:rPr>
              <m:sty m:val="p"/>
            </m:rPr>
            <m:t>ln</m:t>
          </m:r>
          <m:r>
            <m:rPr>
              <m:sty m:val="p"/>
            </m:rPr>
            <m:t>(</m:t>
          </m:r>
          <m:sSub>
            <m:e>
              <m:r>
                <m:rPr>
                  <m:nor/>
                  <m:sty m:val="p"/>
                </m:rPr>
                <m:t>Power</m:t>
              </m:r>
            </m:e>
            <m:sub>
              <m:r>
                <m:t>i</m:t>
              </m:r>
            </m:sub>
          </m:sSub>
          <m:r>
            <m:rPr>
              <m:sty m:val="p"/>
            </m:rPr>
            <m:t>)</m:t>
          </m:r>
          <m:r>
            <m:rPr>
              <m:sty m:val="p"/>
            </m:rPr>
            <m:t>+</m:t>
          </m:r>
          <m:sSub>
            <m:e>
              <m:r>
                <m:t>β</m:t>
              </m:r>
            </m:e>
            <m:sub>
              <m:r>
                <m:t>4</m:t>
              </m:r>
            </m:sub>
          </m:sSub>
          <m:sSub>
            <m:e>
              <m:r>
                <m:rPr>
                  <m:nor/>
                  <m:sty m:val="p"/>
                </m:rPr>
                <m:t>Optical</m:t>
              </m:r>
            </m:e>
            <m:sub>
              <m:r>
                <m:t>i</m:t>
              </m:r>
            </m:sub>
          </m:sSub>
          <m:r>
            <m:rPr>
              <m:sty m:val="p"/>
            </m:rPr>
            <m:t>+</m:t>
          </m:r>
          <m:sSub>
            <m:e>
              <m:r>
                <m:t>ε</m:t>
              </m:r>
            </m:e>
            <m:sub>
              <m:r>
                <m:t>i</m:t>
              </m:r>
            </m:sub>
          </m:sSub>
        </m:oMath>
      </m:oMathPara>
    </w:p>
    <w:bookmarkStart w:id="194"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-1.3899</w:t>
            </w:r>
          </w:p>
        </w:tc>
        <w:tc>
          <w:tcPr>
            <w:tcW w:w="0" w:type="auto"/>
          </w:tcPr>
          <w:p>
            <w:pPr>
              <w:spacing w:line="240" w:lineRule="auto" w:before="0" w:after="0"/>
              <w:pStyle w:val="Compact"/>
            </w:pPr>
            <w:r>
              <w:rPr>
                <w:sz w:val="20"/>
                <w:szCs w:val="20"/>
              </w:rPr>
              <w:t xml:space="preserve">2.3241</w:t>
            </w:r>
          </w:p>
        </w:tc>
        <w:tc>
          <w:tcPr>
            <w:tcW w:w="0" w:type="auto"/>
          </w:tcPr>
          <w:p>
            <w:pPr>
              <w:spacing w:line="240" w:lineRule="auto" w:before="0" w:after="0"/>
              <w:pStyle w:val="Compact"/>
            </w:pPr>
            <w:r>
              <w:rPr>
                <w:sz w:val="20"/>
                <w:szCs w:val="20"/>
              </w:rPr>
              <w:t xml:space="preserve">-0.598</w:t>
            </w:r>
          </w:p>
        </w:tc>
        <w:tc>
          <w:tcPr>
            <w:tcW w:w="0" w:type="auto"/>
          </w:tcPr>
          <w:p>
            <w:pPr>
              <w:spacing w:line="240" w:lineRule="auto" w:before="0" w:after="0"/>
              <w:pStyle w:val="Compact"/>
            </w:pPr>
            <w:r>
              <w:rPr>
                <w:sz w:val="20"/>
                <w:szCs w:val="20"/>
              </w:rPr>
              <w:t xml:space="preserve">0.5498</w:t>
            </w:r>
          </w:p>
        </w:tc>
        <w:tc>
          <w:tcPr>
            <w:tcW w:w="0" w:type="auto"/>
          </w:tcPr>
          <w:p>
            <w:pPr>
              <w:spacing w:line="240" w:lineRule="auto" w:before="0" w:after="0"/>
              <w:pStyle w:val="Compact"/>
            </w:pPr>
            <w:r>
              <w:rPr>
                <w:sz w:val="20"/>
                <w:szCs w:val="20"/>
              </w:rPr>
              <w:t xml:space="preserve">[-5.945, 3.1652]</w:t>
            </w:r>
          </w:p>
        </w:tc>
      </w:tr>
      <w:tr>
        <w:tc>
          <w:tcPr>
            <w:tcW w:w="0" w:type="auto"/>
          </w:tcPr>
          <w:p>
            <w:pPr>
              <w:spacing w:line="240" w:lineRule="auto" w:before="0" w:after="0"/>
              <w:pStyle w:val="Compact"/>
            </w:pPr>
            <w:r>
              <w:rPr>
                <w:sz w:val="20"/>
                <w:szCs w:val="20"/>
              </w:rPr>
              <w:t xml:space="preserve">ln_data_rate</w:t>
            </w:r>
          </w:p>
        </w:tc>
        <w:tc>
          <w:tcPr>
            <w:tcW w:w="0" w:type="auto"/>
          </w:tcPr>
          <w:p>
            <w:pPr>
              <w:spacing w:line="240" w:lineRule="auto" w:before="0" w:after="0"/>
              <w:pStyle w:val="Compact"/>
            </w:pPr>
            <w:r>
              <w:rPr>
                <w:sz w:val="20"/>
                <w:szCs w:val="20"/>
              </w:rPr>
              <w:t xml:space="preserve">0.1676</w:t>
            </w:r>
          </w:p>
        </w:tc>
        <w:tc>
          <w:tcPr>
            <w:tcW w:w="0" w:type="auto"/>
          </w:tcPr>
          <w:p>
            <w:pPr>
              <w:spacing w:line="240" w:lineRule="auto" w:before="0" w:after="0"/>
              <w:pStyle w:val="Compact"/>
            </w:pPr>
            <w:r>
              <w:rPr>
                <w:sz w:val="20"/>
                <w:szCs w:val="20"/>
              </w:rPr>
              <w:t xml:space="preserve">0.1605</w:t>
            </w:r>
          </w:p>
        </w:tc>
        <w:tc>
          <w:tcPr>
            <w:tcW w:w="0" w:type="auto"/>
          </w:tcPr>
          <w:p>
            <w:pPr>
              <w:spacing w:line="240" w:lineRule="auto" w:before="0" w:after="0"/>
              <w:pStyle w:val="Compact"/>
            </w:pPr>
            <w:r>
              <w:rPr>
                <w:sz w:val="20"/>
                <w:szCs w:val="20"/>
              </w:rPr>
              <w:t xml:space="preserve">1.0446</w:t>
            </w:r>
          </w:p>
        </w:tc>
        <w:tc>
          <w:tcPr>
            <w:tcW w:w="0" w:type="auto"/>
          </w:tcPr>
          <w:p>
            <w:pPr>
              <w:spacing w:line="240" w:lineRule="auto" w:before="0" w:after="0"/>
              <w:pStyle w:val="Compact"/>
            </w:pPr>
            <w:r>
              <w:rPr>
                <w:sz w:val="20"/>
                <w:szCs w:val="20"/>
              </w:rPr>
              <w:t xml:space="preserve">0.2962</w:t>
            </w:r>
          </w:p>
        </w:tc>
        <w:tc>
          <w:tcPr>
            <w:tcW w:w="0" w:type="auto"/>
          </w:tcPr>
          <w:p>
            <w:pPr>
              <w:spacing w:line="240" w:lineRule="auto" w:before="0" w:after="0"/>
              <w:pStyle w:val="Compact"/>
            </w:pPr>
            <w:r>
              <w:rPr>
                <w:sz w:val="20"/>
                <w:szCs w:val="20"/>
              </w:rPr>
              <w:t xml:space="preserve">[-0.1469, 0.4822]</w:t>
            </w:r>
          </w:p>
        </w:tc>
      </w:tr>
      <w:tr>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1.5349</w:t>
            </w:r>
          </w:p>
        </w:tc>
        <w:tc>
          <w:tcPr>
            <w:tcW w:w="0" w:type="auto"/>
          </w:tcPr>
          <w:p>
            <w:pPr>
              <w:spacing w:line="240" w:lineRule="auto" w:before="0" w:after="0"/>
              <w:pStyle w:val="Compact"/>
            </w:pPr>
            <w:r>
              <w:rPr>
                <w:sz w:val="20"/>
                <w:szCs w:val="20"/>
              </w:rPr>
              <w:t xml:space="preserve">0.3327</w:t>
            </w:r>
          </w:p>
        </w:tc>
        <w:tc>
          <w:tcPr>
            <w:tcW w:w="0" w:type="auto"/>
          </w:tcPr>
          <w:p>
            <w:pPr>
              <w:spacing w:line="240" w:lineRule="auto" w:before="0" w:after="0"/>
              <w:pStyle w:val="Compact"/>
            </w:pPr>
            <w:r>
              <w:rPr>
                <w:sz w:val="20"/>
                <w:szCs w:val="20"/>
              </w:rPr>
              <w:t xml:space="preserve">4.613</w:t>
            </w:r>
          </w:p>
        </w:tc>
        <w:tc>
          <w:tcPr>
            <w:tcW w:w="0" w:type="auto"/>
          </w:tcPr>
          <w:p>
            <w:pPr>
              <w:spacing w:line="240" w:lineRule="auto" w:before="0" w:after="0"/>
              <w:pStyle w:val="Compact"/>
            </w:pPr>
            <w:r>
              <w:rPr>
                <w:sz w:val="20"/>
                <w:szCs w:val="20"/>
              </w:rPr>
              <w:t xml:space="preserve">3.969e-06</w:t>
            </w:r>
          </w:p>
        </w:tc>
        <w:tc>
          <w:tcPr>
            <w:tcW w:w="0" w:type="auto"/>
          </w:tcPr>
          <w:p>
            <w:pPr>
              <w:spacing w:line="240" w:lineRule="auto" w:before="0" w:after="0"/>
              <w:pStyle w:val="Compact"/>
            </w:pPr>
            <w:r>
              <w:rPr>
                <w:sz w:val="20"/>
                <w:szCs w:val="20"/>
              </w:rPr>
              <w:t xml:space="preserve">[0.8828, 2.187]</w:t>
            </w:r>
          </w:p>
        </w:tc>
      </w:tr>
      <w:tr>
        <w:tc>
          <w:tcPr>
            <w:tcW w:w="0" w:type="auto"/>
          </w:tcPr>
          <w:p>
            <w:pPr>
              <w:spacing w:line="240" w:lineRule="auto" w:before="0" w:after="0"/>
              <w:pStyle w:val="Compact"/>
            </w:pPr>
            <w:r>
              <w:rPr>
                <w:sz w:val="20"/>
                <w:szCs w:val="20"/>
              </w:rPr>
              <w:t xml:space="preserve">ln_power</w:t>
            </w:r>
          </w:p>
        </w:tc>
        <w:tc>
          <w:tcPr>
            <w:tcW w:w="0" w:type="auto"/>
          </w:tcPr>
          <w:p>
            <w:pPr>
              <w:spacing w:line="240" w:lineRule="auto" w:before="0" w:after="0"/>
              <w:pStyle w:val="Compact"/>
            </w:pPr>
            <w:r>
              <w:rPr>
                <w:sz w:val="20"/>
                <w:szCs w:val="20"/>
              </w:rPr>
              <w:t xml:space="preserve">-0.6096</w:t>
            </w:r>
          </w:p>
        </w:tc>
        <w:tc>
          <w:tcPr>
            <w:tcW w:w="0" w:type="auto"/>
          </w:tcPr>
          <w:p>
            <w:pPr>
              <w:spacing w:line="240" w:lineRule="auto" w:before="0" w:after="0"/>
              <w:pStyle w:val="Compact"/>
            </w:pPr>
            <w:r>
              <w:rPr>
                <w:sz w:val="20"/>
                <w:szCs w:val="20"/>
              </w:rPr>
              <w:t xml:space="preserve">0.5169</w:t>
            </w:r>
          </w:p>
        </w:tc>
        <w:tc>
          <w:tcPr>
            <w:tcW w:w="0" w:type="auto"/>
          </w:tcPr>
          <w:p>
            <w:pPr>
              <w:spacing w:line="240" w:lineRule="auto" w:before="0" w:after="0"/>
              <w:pStyle w:val="Compact"/>
            </w:pPr>
            <w:r>
              <w:rPr>
                <w:sz w:val="20"/>
                <w:szCs w:val="20"/>
              </w:rPr>
              <w:t xml:space="preserve">-1.1792</w:t>
            </w:r>
          </w:p>
        </w:tc>
        <w:tc>
          <w:tcPr>
            <w:tcW w:w="0" w:type="auto"/>
          </w:tcPr>
          <w:p>
            <w:pPr>
              <w:spacing w:line="240" w:lineRule="auto" w:before="0" w:after="0"/>
              <w:pStyle w:val="Compact"/>
            </w:pPr>
            <w:r>
              <w:rPr>
                <w:sz w:val="20"/>
                <w:szCs w:val="20"/>
              </w:rPr>
              <w:t xml:space="preserve">0.2383</w:t>
            </w:r>
          </w:p>
        </w:tc>
        <w:tc>
          <w:tcPr>
            <w:tcW w:w="0" w:type="auto"/>
          </w:tcPr>
          <w:p>
            <w:pPr>
              <w:spacing w:line="240" w:lineRule="auto" w:before="0" w:after="0"/>
              <w:pStyle w:val="Compact"/>
            </w:pPr>
            <w:r>
              <w:rPr>
                <w:sz w:val="20"/>
                <w:szCs w:val="20"/>
              </w:rPr>
              <w:t xml:space="preserve">[-1.6228, 0.4036]</w:t>
            </w:r>
          </w:p>
        </w:tc>
      </w:tr>
      <w:tr>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1.9836</w:t>
            </w:r>
          </w:p>
        </w:tc>
        <w:tc>
          <w:tcPr>
            <w:tcW w:w="0" w:type="auto"/>
          </w:tcPr>
          <w:p>
            <w:pPr>
              <w:spacing w:line="240" w:lineRule="auto" w:before="0" w:after="0"/>
              <w:pStyle w:val="Compact"/>
            </w:pPr>
            <w:r>
              <w:rPr>
                <w:sz w:val="20"/>
                <w:szCs w:val="20"/>
              </w:rPr>
              <w:t xml:space="preserve">1.192</w:t>
            </w:r>
          </w:p>
        </w:tc>
        <w:tc>
          <w:tcPr>
            <w:tcW w:w="0" w:type="auto"/>
          </w:tcPr>
          <w:p>
            <w:pPr>
              <w:spacing w:line="240" w:lineRule="auto" w:before="0" w:after="0"/>
              <w:pStyle w:val="Compact"/>
            </w:pPr>
            <w:r>
              <w:rPr>
                <w:sz w:val="20"/>
                <w:szCs w:val="20"/>
              </w:rPr>
              <w:t xml:space="preserve">1.6641</w:t>
            </w:r>
          </w:p>
        </w:tc>
        <w:tc>
          <w:tcPr>
            <w:tcW w:w="0" w:type="auto"/>
          </w:tcPr>
          <w:p>
            <w:pPr>
              <w:spacing w:line="240" w:lineRule="auto" w:before="0" w:after="0"/>
              <w:pStyle w:val="Compact"/>
            </w:pPr>
            <w:r>
              <w:rPr>
                <w:sz w:val="20"/>
                <w:szCs w:val="20"/>
              </w:rPr>
              <w:t xml:space="preserve">0.0961</w:t>
            </w:r>
          </w:p>
        </w:tc>
        <w:tc>
          <w:tcPr>
            <w:tcW w:w="0" w:type="auto"/>
          </w:tcPr>
          <w:p>
            <w:pPr>
              <w:spacing w:line="240" w:lineRule="auto" w:before="0" w:after="0"/>
              <w:pStyle w:val="Compact"/>
            </w:pPr>
            <w:r>
              <w:rPr>
                <w:sz w:val="20"/>
                <w:szCs w:val="20"/>
              </w:rPr>
              <w:t xml:space="preserve">[-0.3527, 4.32]</w:t>
            </w:r>
          </w:p>
        </w:tc>
      </w:tr>
    </w:tbl>
    <w:p>
      <w:pPr>
        <w:pStyle w:val="BodyText"/>
        <w:spacing w:line="480" w:lineRule="auto"/>
        <w:ind w:firstLine="720"/>
      </w:pPr>
      <w:r>
        <w:t xml:space="preserve">Fit: N = 32 R2 = 0.7697 R2_adj = 0.7356 F = 31.9834 F_p = 6.933e-10</w:t>
      </w:r>
    </w:p>
    <w:bookmarkEnd w:id="194"/>
    <w:bookmarkStart w:id="198"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Recurring unit cost versus peak data rate across thirty-two radio-frequency and free-space optical space-communication terminals flown or contracted between 1995 and 2024." title="" id="196" name="Picture"/>
            <a:graphic>
              <a:graphicData uri="http://schemas.openxmlformats.org/drawingml/2006/picture">
                <pic:pic>
                  <pic:nvPicPr>
                    <pic:cNvPr descr="D:/Claude_Code/brain/collegium/candidates/dissertations/SPECTRUM_PNT_09/research_papers/p2/paper_fig1.png" id="197" name="Picture"/>
                    <pic:cNvPicPr>
                      <a:picLocks noChangeArrowheads="1" noChangeAspect="1"/>
                    </pic:cNvPicPr>
                  </pic:nvPicPr>
                  <pic:blipFill>
                    <a:blip r:embed="rId19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Recurring unit cost versus peak data rate across thirty-two radio-frequency and free-space optical space-communication terminals flown or contracted between 1995 and 2024.</w:t>
      </w:r>
    </w:p>
    <w:bookmarkEnd w:id="198"/>
    <w:bookmarkStart w:id="199"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565"/>
        <w:gridCol w:w="565"/>
        <w:gridCol w:w="565"/>
        <w:gridCol w:w="565"/>
        <w:gridCol w:w="565"/>
        <w:gridCol w:w="565"/>
        <w:gridCol w:w="565"/>
        <w:gridCol w:w="565"/>
        <w:gridCol w:w="565"/>
        <w:gridCol w:w="565"/>
        <w:gridCol w:w="565"/>
        <w:gridCol w:w="565"/>
        <w:gridCol w:w="565"/>
        <w:gridCol w:w="565"/>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link_type</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data_rate_gbps</w:t>
            </w:r>
          </w:p>
        </w:tc>
        <w:tc>
          <w:tcPr>
            <w:tcW w:w="0" w:type="auto"/>
          </w:tcPr>
          <w:p>
            <w:pPr>
              <w:spacing w:line="240" w:lineRule="auto" w:before="0" w:after="0"/>
              <w:pStyle w:val="Compact"/>
            </w:pPr>
            <w:r>
              <w:rPr>
                <w:sz w:val="20"/>
                <w:szCs w:val="20"/>
              </w:rPr>
              <w:t xml:space="preserve">terminal_mass_kg</w:t>
            </w:r>
          </w:p>
        </w:tc>
        <w:tc>
          <w:tcPr>
            <w:tcW w:w="0" w:type="auto"/>
          </w:tcPr>
          <w:p>
            <w:pPr>
              <w:spacing w:line="240" w:lineRule="auto" w:before="0" w:after="0"/>
              <w:pStyle w:val="Compact"/>
            </w:pPr>
            <w:r>
              <w:rPr>
                <w:sz w:val="20"/>
                <w:szCs w:val="20"/>
              </w:rPr>
              <w:t xml:space="preserve">terminal_power_w</w:t>
            </w:r>
          </w:p>
        </w:tc>
        <w:tc>
          <w:tcPr>
            <w:tcW w:w="0" w:type="auto"/>
          </w:tcPr>
          <w:p>
            <w:pPr>
              <w:spacing w:line="240" w:lineRule="auto" w:before="0" w:after="0"/>
              <w:pStyle w:val="Compact"/>
            </w:pPr>
            <w:r>
              <w:rPr>
                <w:sz w:val="20"/>
                <w:szCs w:val="20"/>
              </w:rPr>
              <w:t xml:space="preserve">unit_cost_musd2024</w:t>
            </w:r>
          </w:p>
        </w:tc>
        <w:tc>
          <w:tcPr>
            <w:tcW w:w="0" w:type="auto"/>
          </w:tcPr>
          <w:p>
            <w:pPr>
              <w:spacing w:line="240" w:lineRule="auto" w:before="0" w:after="0"/>
              <w:pStyle w:val="Compact"/>
            </w:pPr>
            <w:r>
              <w:rPr>
                <w:sz w:val="20"/>
                <w:szCs w:val="20"/>
              </w:rPr>
              <w:t xml:space="preserve">cost_per_gbps_musd</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ln_unit_cost</w:t>
            </w:r>
          </w:p>
        </w:tc>
        <w:tc>
          <w:tcPr>
            <w:tcW w:w="0" w:type="auto"/>
          </w:tcPr>
          <w:p>
            <w:pPr>
              <w:spacing w:line="240" w:lineRule="auto" w:before="0" w:after="0"/>
              <w:pStyle w:val="Compact"/>
            </w:pPr>
            <w:r>
              <w:rPr>
                <w:sz w:val="20"/>
                <w:szCs w:val="20"/>
              </w:rPr>
              <w:t xml:space="preserve">ln_data_rate</w:t>
            </w:r>
          </w:p>
        </w:tc>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ln_power</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LCRD</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1.244</w:t>
            </w:r>
          </w:p>
        </w:tc>
        <w:tc>
          <w:tcPr>
            <w:tcW w:w="0" w:type="auto"/>
          </w:tcPr>
          <w:p>
            <w:pPr>
              <w:spacing w:line="240" w:lineRule="auto" w:before="0" w:after="0"/>
              <w:pStyle w:val="Compact"/>
            </w:pPr>
            <w:r>
              <w:rPr>
                <w:sz w:val="20"/>
                <w:szCs w:val="20"/>
              </w:rPr>
              <w:t xml:space="preserve">175</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320</w:t>
            </w:r>
          </w:p>
        </w:tc>
        <w:tc>
          <w:tcPr>
            <w:tcW w:w="0" w:type="auto"/>
          </w:tcPr>
          <w:p>
            <w:pPr>
              <w:spacing w:line="240" w:lineRule="auto" w:before="0" w:after="0"/>
              <w:pStyle w:val="Compact"/>
            </w:pPr>
            <w:r>
              <w:rPr>
                <w:sz w:val="20"/>
                <w:szCs w:val="20"/>
              </w:rPr>
              <w:t xml:space="preserve">257.23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5.7683</w:t>
            </w:r>
          </w:p>
        </w:tc>
        <w:tc>
          <w:tcPr>
            <w:tcW w:w="0" w:type="auto"/>
          </w:tcPr>
          <w:p>
            <w:pPr>
              <w:spacing w:line="240" w:lineRule="auto" w:before="0" w:after="0"/>
              <w:pStyle w:val="Compact"/>
            </w:pPr>
            <w:r>
              <w:rPr>
                <w:sz w:val="20"/>
                <w:szCs w:val="20"/>
              </w:rPr>
              <w:t xml:space="preserve">0.2183</w:t>
            </w:r>
          </w:p>
        </w:tc>
        <w:tc>
          <w:tcPr>
            <w:tcW w:w="0" w:type="auto"/>
          </w:tcPr>
          <w:p>
            <w:pPr>
              <w:spacing w:line="240" w:lineRule="auto" w:before="0" w:after="0"/>
              <w:pStyle w:val="Compact"/>
            </w:pPr>
            <w:r>
              <w:rPr>
                <w:sz w:val="20"/>
                <w:szCs w:val="20"/>
              </w:rPr>
              <w:t xml:space="preserve">5.1648</w:t>
            </w:r>
          </w:p>
        </w:tc>
        <w:tc>
          <w:tcPr>
            <w:tcW w:w="0" w:type="auto"/>
          </w:tcPr>
          <w:p>
            <w:pPr>
              <w:spacing w:line="240" w:lineRule="auto" w:before="0" w:after="0"/>
              <w:pStyle w:val="Compact"/>
            </w:pPr>
            <w:r>
              <w:rPr>
                <w:sz w:val="20"/>
                <w:szCs w:val="20"/>
              </w:rPr>
              <w:t xml:space="preserve">4.8675</w:t>
            </w:r>
          </w:p>
        </w:tc>
        <w:tc>
          <w:tcPr>
            <w:tcW w:w="0" w:type="auto"/>
          </w:tcPr>
          <w:p>
            <w:pPr>
              <w:spacing w:line="240" w:lineRule="auto" w:before="0" w:after="0"/>
              <w:pStyle w:val="Compact"/>
            </w:pPr>
            <w:r>
              <w:rPr>
                <w:sz w:val="20"/>
                <w:szCs w:val="20"/>
              </w:rPr>
              <w:t xml:space="preserve">NASA LCRD mission page ntrs.nasa.gov/20210024889; GAO-22-105212</w:t>
            </w:r>
          </w:p>
        </w:tc>
      </w:tr>
      <w:tr>
        <w:tc>
          <w:tcPr>
            <w:tcW w:w="0" w:type="auto"/>
          </w:tcPr>
          <w:p>
            <w:pPr>
              <w:spacing w:line="240" w:lineRule="auto" w:before="0" w:after="0"/>
              <w:pStyle w:val="Compact"/>
            </w:pPr>
            <w:r>
              <w:rPr>
                <w:sz w:val="20"/>
                <w:szCs w:val="20"/>
              </w:rPr>
              <w:t xml:space="preserve">TBIRD</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5.2983</w:t>
            </w:r>
          </w:p>
        </w:tc>
        <w:tc>
          <w:tcPr>
            <w:tcW w:w="0" w:type="auto"/>
          </w:tcPr>
          <w:p>
            <w:pPr>
              <w:spacing w:line="240" w:lineRule="auto" w:before="0" w:after="0"/>
              <w:pStyle w:val="Compact"/>
            </w:pPr>
            <w:r>
              <w:rPr>
                <w:sz w:val="20"/>
                <w:szCs w:val="20"/>
              </w:rPr>
              <w:t xml:space="preserve">0.7885</w:t>
            </w:r>
          </w:p>
        </w:tc>
        <w:tc>
          <w:tcPr>
            <w:tcW w:w="0" w:type="auto"/>
          </w:tcPr>
          <w:p>
            <w:pPr>
              <w:spacing w:line="240" w:lineRule="auto" w:before="0" w:after="0"/>
              <w:pStyle w:val="Compact"/>
            </w:pPr>
            <w:r>
              <w:rPr>
                <w:sz w:val="20"/>
                <w:szCs w:val="20"/>
              </w:rPr>
              <w:t xml:space="preserve">4.3175</w:t>
            </w:r>
          </w:p>
        </w:tc>
        <w:tc>
          <w:tcPr>
            <w:tcW w:w="0" w:type="auto"/>
          </w:tcPr>
          <w:p>
            <w:pPr>
              <w:spacing w:line="240" w:lineRule="auto" w:before="0" w:after="0"/>
              <w:pStyle w:val="Compact"/>
            </w:pPr>
            <w:r>
              <w:rPr>
                <w:sz w:val="20"/>
                <w:szCs w:val="20"/>
              </w:rPr>
              <w:t xml:space="preserve">NASA TBIRD press kit; Schieler IEEE Aerospace 2022</w:t>
            </w:r>
          </w:p>
        </w:tc>
      </w:tr>
      <w:tr>
        <w:tc>
          <w:tcPr>
            <w:tcW w:w="0" w:type="auto"/>
          </w:tcPr>
          <w:p>
            <w:pPr>
              <w:spacing w:line="240" w:lineRule="auto" w:before="0" w:after="0"/>
              <w:pStyle w:val="Compact"/>
            </w:pPr>
            <w:r>
              <w:rPr>
                <w:sz w:val="20"/>
                <w:szCs w:val="20"/>
              </w:rPr>
              <w:t xml:space="preserve">LLCD</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0.622</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25.72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2.7726</w:t>
            </w:r>
          </w:p>
        </w:tc>
        <w:tc>
          <w:tcPr>
            <w:tcW w:w="0" w:type="auto"/>
          </w:tcPr>
          <w:p>
            <w:pPr>
              <w:spacing w:line="240" w:lineRule="auto" w:before="0" w:after="0"/>
              <w:pStyle w:val="Compact"/>
            </w:pPr>
            <w:r>
              <w:rPr>
                <w:sz w:val="20"/>
                <w:szCs w:val="20"/>
              </w:rPr>
              <w:t xml:space="preserve">-0.4748</w:t>
            </w:r>
          </w:p>
        </w:tc>
        <w:tc>
          <w:tcPr>
            <w:tcW w:w="0" w:type="auto"/>
          </w:tcPr>
          <w:p>
            <w:pPr>
              <w:spacing w:line="240" w:lineRule="auto" w:before="0" w:after="0"/>
              <w:pStyle w:val="Compact"/>
            </w:pPr>
            <w:r>
              <w:rPr>
                <w:sz w:val="20"/>
                <w:szCs w:val="20"/>
              </w:rPr>
              <w:t xml:space="preserve">3.4012</w:t>
            </w:r>
          </w:p>
        </w:tc>
        <w:tc>
          <w:tcPr>
            <w:tcW w:w="0" w:type="auto"/>
          </w:tcPr>
          <w:p>
            <w:pPr>
              <w:spacing w:line="240" w:lineRule="auto" w:before="0" w:after="0"/>
              <w:pStyle w:val="Compact"/>
            </w:pPr>
            <w:r>
              <w:rPr>
                <w:sz w:val="20"/>
                <w:szCs w:val="20"/>
              </w:rPr>
              <w:t xml:space="preserve">4.4998</w:t>
            </w:r>
          </w:p>
        </w:tc>
        <w:tc>
          <w:tcPr>
            <w:tcW w:w="0" w:type="auto"/>
          </w:tcPr>
          <w:p>
            <w:pPr>
              <w:spacing w:line="240" w:lineRule="auto" w:before="0" w:after="0"/>
              <w:pStyle w:val="Compact"/>
            </w:pPr>
            <w:r>
              <w:rPr>
                <w:sz w:val="20"/>
                <w:szCs w:val="20"/>
              </w:rPr>
              <w:t xml:space="preserve">NASA LLCD final report ntrs.nasa.gov/20140017581</w:t>
            </w:r>
          </w:p>
        </w:tc>
      </w:tr>
      <w:tr>
        <w:tc>
          <w:tcPr>
            <w:tcW w:w="0" w:type="auto"/>
          </w:tcPr>
          <w:p>
            <w:pPr>
              <w:spacing w:line="240" w:lineRule="auto" w:before="0" w:after="0"/>
              <w:pStyle w:val="Compact"/>
            </w:pPr>
            <w:r>
              <w:rPr>
                <w:sz w:val="20"/>
                <w:szCs w:val="20"/>
              </w:rPr>
              <w:t xml:space="preserve">OPALS</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1.9459</w:t>
            </w:r>
          </w:p>
        </w:tc>
        <w:tc>
          <w:tcPr>
            <w:tcW w:w="0" w:type="auto"/>
          </w:tcPr>
          <w:p>
            <w:pPr>
              <w:spacing w:line="240" w:lineRule="auto" w:before="0" w:after="0"/>
              <w:pStyle w:val="Compact"/>
            </w:pPr>
            <w:r>
              <w:rPr>
                <w:sz w:val="20"/>
                <w:szCs w:val="20"/>
              </w:rPr>
              <w:t xml:space="preserve">-2.9957</w:t>
            </w:r>
          </w:p>
        </w:tc>
        <w:tc>
          <w:tcPr>
            <w:tcW w:w="0" w:type="auto"/>
          </w:tcPr>
          <w:p>
            <w:pPr>
              <w:spacing w:line="240" w:lineRule="auto" w:before="0" w:after="0"/>
              <w:pStyle w:val="Compact"/>
            </w:pPr>
            <w:r>
              <w:rPr>
                <w:sz w:val="20"/>
                <w:szCs w:val="20"/>
              </w:rPr>
              <w:t xml:space="preserve">3.912</w:t>
            </w:r>
          </w:p>
        </w:tc>
        <w:tc>
          <w:tcPr>
            <w:tcW w:w="0" w:type="auto"/>
          </w:tcPr>
          <w:p>
            <w:pPr>
              <w:spacing w:line="240" w:lineRule="auto" w:before="0" w:after="0"/>
              <w:pStyle w:val="Compact"/>
            </w:pPr>
            <w:r>
              <w:rPr>
                <w:sz w:val="20"/>
                <w:szCs w:val="20"/>
              </w:rPr>
              <w:t xml:space="preserve">3.912</w:t>
            </w:r>
          </w:p>
        </w:tc>
        <w:tc>
          <w:tcPr>
            <w:tcW w:w="0" w:type="auto"/>
          </w:tcPr>
          <w:p>
            <w:pPr>
              <w:spacing w:line="240" w:lineRule="auto" w:before="0" w:after="0"/>
              <w:pStyle w:val="Compact"/>
            </w:pPr>
            <w:r>
              <w:rPr>
                <w:sz w:val="20"/>
                <w:szCs w:val="20"/>
              </w:rPr>
              <w:t xml:space="preserve">JPL OPALS post-mission report 2014 [illustrative cost]</w:t>
            </w:r>
          </w:p>
        </w:tc>
      </w:tr>
      <w:tr>
        <w:tc>
          <w:tcPr>
            <w:tcW w:w="0" w:type="auto"/>
          </w:tcPr>
          <w:p>
            <w:pPr>
              <w:spacing w:line="240" w:lineRule="auto" w:before="0" w:after="0"/>
              <w:pStyle w:val="Compact"/>
            </w:pPr>
            <w:r>
              <w:rPr>
                <w:sz w:val="20"/>
                <w:szCs w:val="20"/>
              </w:rPr>
              <w:t xml:space="preserve">EDRS-A</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277.78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6.2146</w:t>
            </w:r>
          </w:p>
        </w:tc>
        <w:tc>
          <w:tcPr>
            <w:tcW w:w="0" w:type="auto"/>
          </w:tcPr>
          <w:p>
            <w:pPr>
              <w:spacing w:line="240" w:lineRule="auto" w:before="0" w:after="0"/>
              <w:pStyle w:val="Compact"/>
            </w:pPr>
            <w:r>
              <w:rPr>
                <w:sz w:val="20"/>
                <w:szCs w:val="20"/>
              </w:rPr>
              <w:t xml:space="preserve">0.5878</w:t>
            </w:r>
          </w:p>
        </w:tc>
        <w:tc>
          <w:tcPr>
            <w:tcW w:w="0" w:type="auto"/>
          </w:tcPr>
          <w:p>
            <w:pPr>
              <w:spacing w:line="240" w:lineRule="auto" w:before="0" w:after="0"/>
              <w:pStyle w:val="Compact"/>
            </w:pPr>
            <w:r>
              <w:rPr>
                <w:sz w:val="20"/>
                <w:szCs w:val="20"/>
              </w:rPr>
              <w:t xml:space="preserve">4.0073</w:t>
            </w:r>
          </w:p>
        </w:tc>
        <w:tc>
          <w:tcPr>
            <w:tcW w:w="0" w:type="auto"/>
          </w:tcPr>
          <w:p>
            <w:pPr>
              <w:spacing w:line="240" w:lineRule="auto" w:before="0" w:after="0"/>
              <w:pStyle w:val="Compact"/>
            </w:pPr>
            <w:r>
              <w:rPr>
                <w:sz w:val="20"/>
                <w:szCs w:val="20"/>
              </w:rPr>
              <w:t xml:space="preserve">5.0752</w:t>
            </w:r>
          </w:p>
        </w:tc>
        <w:tc>
          <w:tcPr>
            <w:tcW w:w="0" w:type="auto"/>
          </w:tcPr>
          <w:p>
            <w:pPr>
              <w:spacing w:line="240" w:lineRule="auto" w:before="0" w:after="0"/>
              <w:pStyle w:val="Compact"/>
            </w:pPr>
            <w:r>
              <w:rPr>
                <w:sz w:val="20"/>
                <w:szCs w:val="20"/>
              </w:rPr>
              <w:t xml:space="preserve">ESA EDRS programmatic press release 2016; ESA-GSP cost figure</w:t>
            </w:r>
          </w:p>
        </w:tc>
      </w:tr>
      <w:tr>
        <w:tc>
          <w:tcPr>
            <w:tcW w:w="0" w:type="auto"/>
          </w:tcPr>
          <w:p>
            <w:pPr>
              <w:spacing w:line="240" w:lineRule="auto" w:before="0" w:after="0"/>
              <w:pStyle w:val="Compact"/>
            </w:pPr>
            <w:r>
              <w:rPr>
                <w:sz w:val="20"/>
                <w:szCs w:val="20"/>
              </w:rPr>
              <w:t xml:space="preserve">EDRS-C</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490</w:t>
            </w:r>
          </w:p>
        </w:tc>
        <w:tc>
          <w:tcPr>
            <w:tcW w:w="0" w:type="auto"/>
          </w:tcPr>
          <w:p>
            <w:pPr>
              <w:spacing w:line="240" w:lineRule="auto" w:before="0" w:after="0"/>
              <w:pStyle w:val="Compact"/>
            </w:pPr>
            <w:r>
              <w:rPr>
                <w:sz w:val="20"/>
                <w:szCs w:val="20"/>
              </w:rPr>
              <w:t xml:space="preserve">272.22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6.1944</w:t>
            </w:r>
          </w:p>
        </w:tc>
        <w:tc>
          <w:tcPr>
            <w:tcW w:w="0" w:type="auto"/>
          </w:tcPr>
          <w:p>
            <w:pPr>
              <w:spacing w:line="240" w:lineRule="auto" w:before="0" w:after="0"/>
              <w:pStyle w:val="Compact"/>
            </w:pPr>
            <w:r>
              <w:rPr>
                <w:sz w:val="20"/>
                <w:szCs w:val="20"/>
              </w:rPr>
              <w:t xml:space="preserve">0.5878</w:t>
            </w:r>
          </w:p>
        </w:tc>
        <w:tc>
          <w:tcPr>
            <w:tcW w:w="0" w:type="auto"/>
          </w:tcPr>
          <w:p>
            <w:pPr>
              <w:spacing w:line="240" w:lineRule="auto" w:before="0" w:after="0"/>
              <w:pStyle w:val="Compact"/>
            </w:pPr>
            <w:r>
              <w:rPr>
                <w:sz w:val="20"/>
                <w:szCs w:val="20"/>
              </w:rPr>
              <w:t xml:space="preserve">5.0752</w:t>
            </w:r>
          </w:p>
        </w:tc>
        <w:tc>
          <w:tcPr>
            <w:tcW w:w="0" w:type="auto"/>
          </w:tcPr>
          <w:p>
            <w:pPr>
              <w:spacing w:line="240" w:lineRule="auto" w:before="0" w:after="0"/>
              <w:pStyle w:val="Compact"/>
            </w:pPr>
            <w:r>
              <w:rPr>
                <w:sz w:val="20"/>
                <w:szCs w:val="20"/>
              </w:rPr>
              <w:t xml:space="preserve">5.193</w:t>
            </w:r>
          </w:p>
        </w:tc>
        <w:tc>
          <w:tcPr>
            <w:tcW w:w="0" w:type="auto"/>
          </w:tcPr>
          <w:p>
            <w:pPr>
              <w:spacing w:line="240" w:lineRule="auto" w:before="0" w:after="0"/>
              <w:pStyle w:val="Compact"/>
            </w:pPr>
            <w:r>
              <w:rPr>
                <w:sz w:val="20"/>
                <w:szCs w:val="20"/>
              </w:rPr>
              <w:t xml:space="preserve">ESA EDRS-C announcement 2019; ESA budget book</w:t>
            </w:r>
          </w:p>
        </w:tc>
      </w:tr>
      <w:tr>
        <w:tc>
          <w:tcPr>
            <w:tcW w:w="0" w:type="auto"/>
          </w:tcPr>
          <w:p>
            <w:pPr>
              <w:spacing w:line="240" w:lineRule="auto" w:before="0" w:after="0"/>
              <w:pStyle w:val="Compact"/>
            </w:pPr>
            <w:r>
              <w:rPr>
                <w:sz w:val="20"/>
                <w:szCs w:val="20"/>
              </w:rPr>
              <w:t xml:space="preserve">SOCRATES</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0.0102</w:t>
            </w:r>
          </w:p>
        </w:tc>
        <w:tc>
          <w:tcPr>
            <w:tcW w:w="0" w:type="auto"/>
          </w:tcPr>
          <w:p>
            <w:pPr>
              <w:spacing w:line="240" w:lineRule="auto" w:before="0" w:after="0"/>
              <w:pStyle w:val="Compact"/>
            </w:pPr>
            <w:r>
              <w:rPr>
                <w:sz w:val="20"/>
                <w:szCs w:val="20"/>
              </w:rPr>
              <w:t xml:space="preserve">5.9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294.12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-4.5854</w:t>
            </w:r>
          </w:p>
        </w:tc>
        <w:tc>
          <w:tcPr>
            <w:tcW w:w="0" w:type="auto"/>
          </w:tcPr>
          <w:p>
            <w:pPr>
              <w:spacing w:line="240" w:lineRule="auto" w:before="0" w:after="0"/>
              <w:pStyle w:val="Compact"/>
            </w:pPr>
            <w:r>
              <w:rPr>
                <w:sz w:val="20"/>
                <w:szCs w:val="20"/>
              </w:rPr>
              <w:t xml:space="preserve">1.775</w:t>
            </w:r>
          </w:p>
        </w:tc>
        <w:tc>
          <w:tcPr>
            <w:tcW w:w="0" w:type="auto"/>
          </w:tcPr>
          <w:p>
            <w:pPr>
              <w:spacing w:line="240" w:lineRule="auto" w:before="0" w:after="0"/>
              <w:pStyle w:val="Compact"/>
            </w:pPr>
            <w:r>
              <w:rPr>
                <w:sz w:val="20"/>
                <w:szCs w:val="20"/>
              </w:rPr>
              <w:t xml:space="preserve">1.9459</w:t>
            </w:r>
          </w:p>
        </w:tc>
        <w:tc>
          <w:tcPr>
            <w:tcW w:w="0" w:type="auto"/>
          </w:tcPr>
          <w:p>
            <w:pPr>
              <w:spacing w:line="240" w:lineRule="auto" w:before="0" w:after="0"/>
              <w:pStyle w:val="Compact"/>
            </w:pPr>
            <w:r>
              <w:rPr>
                <w:sz w:val="20"/>
                <w:szCs w:val="20"/>
              </w:rPr>
              <w:t xml:space="preserve">NICT SOCRATES paper Acta Astronautica 2014</w:t>
            </w:r>
          </w:p>
        </w:tc>
      </w:tr>
      <w:tr>
        <w:tc>
          <w:tcPr>
            <w:tcW w:w="0" w:type="auto"/>
          </w:tcPr>
          <w:p>
            <w:pPr>
              <w:spacing w:line="240" w:lineRule="auto" w:before="0" w:after="0"/>
              <w:pStyle w:val="Compact"/>
            </w:pPr>
            <w:r>
              <w:rPr>
                <w:sz w:val="20"/>
                <w:szCs w:val="20"/>
              </w:rPr>
              <w:t xml:space="preserve">CubeLCT</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-0.9163</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-1.0498</w:t>
            </w:r>
          </w:p>
        </w:tc>
        <w:tc>
          <w:tcPr>
            <w:tcW w:w="0" w:type="auto"/>
          </w:tcPr>
          <w:p>
            <w:pPr>
              <w:spacing w:line="240" w:lineRule="auto" w:before="0" w:after="0"/>
              <w:pStyle w:val="Compact"/>
            </w:pPr>
            <w:r>
              <w:rPr>
                <w:sz w:val="20"/>
                <w:szCs w:val="20"/>
              </w:rPr>
              <w:t xml:space="preserve">2.0794</w:t>
            </w:r>
          </w:p>
        </w:tc>
        <w:tc>
          <w:tcPr>
            <w:tcW w:w="0" w:type="auto"/>
          </w:tcPr>
          <w:p>
            <w:pPr>
              <w:spacing w:line="240" w:lineRule="auto" w:before="0" w:after="0"/>
              <w:pStyle w:val="Compact"/>
            </w:pPr>
            <w:r>
              <w:rPr>
                <w:sz w:val="20"/>
                <w:szCs w:val="20"/>
              </w:rPr>
              <w:t xml:space="preserve">Pimentel Acta Astronautica 211 (2023) 10.1016/j.actaastro.2023.06.026</w:t>
            </w:r>
          </w:p>
        </w:tc>
      </w:tr>
      <w:tr>
        <w:tc>
          <w:tcPr>
            <w:tcW w:w="0" w:type="auto"/>
          </w:tcPr>
          <w:p>
            <w:pPr>
              <w:spacing w:line="240" w:lineRule="auto" w:before="0" w:after="0"/>
              <w:pStyle w:val="Compact"/>
            </w:pPr>
            <w:r>
              <w:rPr>
                <w:sz w:val="20"/>
                <w:szCs w:val="20"/>
              </w:rPr>
              <w:t xml:space="preserve">NICT-HICALI</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4.9416</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5.0106</w:t>
            </w:r>
          </w:p>
        </w:tc>
        <w:tc>
          <w:tcPr>
            <w:tcW w:w="0" w:type="auto"/>
          </w:tcPr>
          <w:p>
            <w:pPr>
              <w:spacing w:line="240" w:lineRule="auto" w:before="0" w:after="0"/>
              <w:pStyle w:val="Compact"/>
            </w:pPr>
            <w:r>
              <w:rPr>
                <w:sz w:val="20"/>
                <w:szCs w:val="20"/>
              </w:rPr>
              <w:t xml:space="preserve">4.9416</w:t>
            </w:r>
          </w:p>
        </w:tc>
        <w:tc>
          <w:tcPr>
            <w:tcW w:w="0" w:type="auto"/>
          </w:tcPr>
          <w:p>
            <w:pPr>
              <w:spacing w:line="240" w:lineRule="auto" w:before="0" w:after="0"/>
              <w:pStyle w:val="Compact"/>
            </w:pPr>
            <w:r>
              <w:rPr>
                <w:sz w:val="20"/>
                <w:szCs w:val="20"/>
              </w:rPr>
              <w:t xml:space="preserve">Carrasco-Casado Acta Astronautica 197 (2022) 10.1016/j.actaastro.2022.05.011</w:t>
            </w:r>
          </w:p>
        </w:tc>
      </w:tr>
      <w:tr>
        <w:tc>
          <w:tcPr>
            <w:tcW w:w="0" w:type="auto"/>
          </w:tcPr>
          <w:p>
            <w:pPr>
              <w:spacing w:line="240" w:lineRule="auto" w:before="0" w:after="0"/>
              <w:pStyle w:val="Compact"/>
            </w:pPr>
            <w:r>
              <w:rPr>
                <w:sz w:val="20"/>
                <w:szCs w:val="20"/>
              </w:rPr>
              <w:t xml:space="preserve">Starlink-OISL-v1</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0.005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4.6052</w:t>
            </w:r>
          </w:p>
        </w:tc>
        <w:tc>
          <w:tcPr>
            <w:tcW w:w="0" w:type="auto"/>
          </w:tcPr>
          <w:p>
            <w:pPr>
              <w:spacing w:line="240" w:lineRule="auto" w:before="0" w:after="0"/>
              <w:pStyle w:val="Compact"/>
            </w:pPr>
            <w:r>
              <w:rPr>
                <w:sz w:val="20"/>
                <w:szCs w:val="20"/>
              </w:rPr>
              <w:t xml:space="preserve">2.4849</w:t>
            </w:r>
          </w:p>
        </w:tc>
        <w:tc>
          <w:tcPr>
            <w:tcW w:w="0" w:type="auto"/>
          </w:tcPr>
          <w:p>
            <w:pPr>
              <w:spacing w:line="240" w:lineRule="auto" w:before="0" w:after="0"/>
              <w:pStyle w:val="Compact"/>
            </w:pPr>
            <w:r>
              <w:rPr>
                <w:sz w:val="20"/>
                <w:szCs w:val="20"/>
              </w:rPr>
              <w:t xml:space="preserve">4.382</w:t>
            </w:r>
          </w:p>
        </w:tc>
        <w:tc>
          <w:tcPr>
            <w:tcW w:w="0" w:type="auto"/>
          </w:tcPr>
          <w:p>
            <w:pPr>
              <w:spacing w:line="240" w:lineRule="auto" w:before="0" w:after="0"/>
              <w:pStyle w:val="Compact"/>
            </w:pPr>
            <w:r>
              <w:rPr>
                <w:sz w:val="20"/>
                <w:szCs w:val="20"/>
              </w:rPr>
              <w:t xml:space="preserve">SpaceX optical inter-sat link disclosure FCC IBFS SAT-MOD-20200417; Curcio MarketReports2023</w:t>
            </w:r>
          </w:p>
        </w:tc>
      </w:tr>
      <w:tr>
        <w:tc>
          <w:tcPr>
            <w:tcW w:w="0" w:type="auto"/>
          </w:tcPr>
          <w:p>
            <w:pPr>
              <w:spacing w:line="240" w:lineRule="auto" w:before="0" w:after="0"/>
              <w:pStyle w:val="Compact"/>
            </w:pPr>
            <w:r>
              <w:rPr>
                <w:sz w:val="20"/>
                <w:szCs w:val="20"/>
              </w:rPr>
              <w:t xml:space="preserve">TESAT-CONDOR</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0.1823</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1.5041</w:t>
            </w:r>
          </w:p>
        </w:tc>
        <w:tc>
          <w:tcPr>
            <w:tcW w:w="0" w:type="auto"/>
          </w:tcPr>
          <w:p>
            <w:pPr>
              <w:spacing w:line="240" w:lineRule="auto" w:before="0" w:after="0"/>
              <w:pStyle w:val="Compact"/>
            </w:pPr>
            <w:r>
              <w:rPr>
                <w:sz w:val="20"/>
                <w:szCs w:val="20"/>
              </w:rPr>
              <w:t xml:space="preserve">4.382</w:t>
            </w:r>
          </w:p>
        </w:tc>
        <w:tc>
          <w:tcPr>
            <w:tcW w:w="0" w:type="auto"/>
          </w:tcPr>
          <w:p>
            <w:pPr>
              <w:spacing w:line="240" w:lineRule="auto" w:before="0" w:after="0"/>
              <w:pStyle w:val="Compact"/>
            </w:pPr>
            <w:r>
              <w:rPr>
                <w:sz w:val="20"/>
                <w:szCs w:val="20"/>
              </w:rPr>
              <w:t xml:space="preserve">Tesat Spacecom CONDOR datasheet 2024; ESA CONDOR funding award</w:t>
            </w:r>
          </w:p>
        </w:tc>
      </w:tr>
      <w:tr>
        <w:tc>
          <w:tcPr>
            <w:tcW w:w="0" w:type="auto"/>
          </w:tcPr>
          <w:p>
            <w:pPr>
              <w:spacing w:line="240" w:lineRule="auto" w:before="0" w:after="0"/>
              <w:pStyle w:val="Compact"/>
            </w:pPr>
            <w:r>
              <w:rPr>
                <w:sz w:val="20"/>
                <w:szCs w:val="20"/>
              </w:rPr>
              <w:t xml:space="preserve">Mynaric-CONDOR-MK3</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0.095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-0.0513</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0.9163</w:t>
            </w:r>
          </w:p>
        </w:tc>
        <w:tc>
          <w:tcPr>
            <w:tcW w:w="0" w:type="auto"/>
          </w:tcPr>
          <w:p>
            <w:pPr>
              <w:spacing w:line="240" w:lineRule="auto" w:before="0" w:after="0"/>
              <w:pStyle w:val="Compact"/>
            </w:pPr>
            <w:r>
              <w:rPr>
                <w:sz w:val="20"/>
                <w:szCs w:val="20"/>
              </w:rPr>
              <w:t xml:space="preserve">4.2485</w:t>
            </w:r>
          </w:p>
        </w:tc>
        <w:tc>
          <w:tcPr>
            <w:tcW w:w="0" w:type="auto"/>
          </w:tcPr>
          <w:p>
            <w:pPr>
              <w:spacing w:line="240" w:lineRule="auto" w:before="0" w:after="0"/>
              <w:pStyle w:val="Compact"/>
            </w:pPr>
            <w:r>
              <w:rPr>
                <w:sz w:val="20"/>
                <w:szCs w:val="20"/>
              </w:rPr>
              <w:t xml:space="preserve">Mynaric CONDOR Mk3 product sheet 2024; SDA T1TL contract value</w:t>
            </w:r>
          </w:p>
        </w:tc>
      </w:tr>
      <w:tr>
        <w:tc>
          <w:tcPr>
            <w:tcW w:w="0" w:type="auto"/>
          </w:tcPr>
          <w:p>
            <w:pPr>
              <w:spacing w:line="240" w:lineRule="auto" w:before="0" w:after="0"/>
              <w:pStyle w:val="Compact"/>
            </w:pPr>
            <w:r>
              <w:rPr>
                <w:sz w:val="20"/>
                <w:szCs w:val="20"/>
              </w:rPr>
              <w:t xml:space="preserve">Iridium-NEXT</w:t>
            </w:r>
          </w:p>
        </w:tc>
        <w:tc>
          <w:tcPr>
            <w:tcW w:w="0" w:type="auto"/>
          </w:tcPr>
          <w:p>
            <w:pPr>
              <w:spacing w:line="240" w:lineRule="auto" w:before="0" w:after="0"/>
              <w:pStyle w:val="Compact"/>
            </w:pPr>
            <w:r>
              <w:rPr>
                <w:sz w:val="20"/>
                <w:szCs w:val="20"/>
              </w:rPr>
              <w:t xml:space="preserve">rf_ka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860</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61.43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4.4543</w:t>
            </w:r>
          </w:p>
        </w:tc>
        <w:tc>
          <w:tcPr>
            <w:tcW w:w="0" w:type="auto"/>
          </w:tcPr>
          <w:p>
            <w:pPr>
              <w:spacing w:line="240" w:lineRule="auto" w:before="0" w:after="0"/>
              <w:pStyle w:val="Compact"/>
            </w:pPr>
            <w:r>
              <w:rPr>
                <w:sz w:val="20"/>
                <w:szCs w:val="20"/>
              </w:rPr>
              <w:t xml:space="preserve">0.3365</w:t>
            </w:r>
          </w:p>
        </w:tc>
        <w:tc>
          <w:tcPr>
            <w:tcW w:w="0" w:type="auto"/>
          </w:tcPr>
          <w:p>
            <w:pPr>
              <w:spacing w:line="240" w:lineRule="auto" w:before="0" w:after="0"/>
              <w:pStyle w:val="Compact"/>
            </w:pPr>
            <w:r>
              <w:rPr>
                <w:sz w:val="20"/>
                <w:szCs w:val="20"/>
              </w:rPr>
              <w:t xml:space="preserve">6.7569</w:t>
            </w:r>
          </w:p>
        </w:tc>
        <w:tc>
          <w:tcPr>
            <w:tcW w:w="0" w:type="auto"/>
          </w:tcPr>
          <w:p>
            <w:pPr>
              <w:spacing w:line="240" w:lineRule="auto" w:before="0" w:after="0"/>
              <w:pStyle w:val="Compact"/>
            </w:pPr>
            <w:r>
              <w:rPr>
                <w:sz w:val="20"/>
                <w:szCs w:val="20"/>
              </w:rPr>
              <w:t xml:space="preserve">7.0031</w:t>
            </w:r>
          </w:p>
        </w:tc>
        <w:tc>
          <w:tcPr>
            <w:tcW w:w="0" w:type="auto"/>
          </w:tcPr>
          <w:p>
            <w:pPr>
              <w:spacing w:line="240" w:lineRule="auto" w:before="0" w:after="0"/>
              <w:pStyle w:val="Compact"/>
            </w:pPr>
            <w:r>
              <w:rPr>
                <w:sz w:val="20"/>
                <w:szCs w:val="20"/>
              </w:rPr>
              <w:t xml:space="preserve">Iridium NEXT annual report 2018; Thales Alenia contract value</w:t>
            </w:r>
          </w:p>
        </w:tc>
      </w:tr>
      <w:tr>
        <w:tc>
          <w:tcPr>
            <w:tcW w:w="0" w:type="auto"/>
          </w:tcPr>
          <w:p>
            <w:pPr>
              <w:spacing w:line="240" w:lineRule="auto" w:before="0" w:after="0"/>
              <w:pStyle w:val="Compact"/>
            </w:pPr>
            <w:r>
              <w:rPr>
                <w:sz w:val="20"/>
                <w:szCs w:val="20"/>
              </w:rPr>
              <w:t xml:space="preserve">Inmarsat-GX5</w:t>
            </w:r>
          </w:p>
        </w:tc>
        <w:tc>
          <w:tcPr>
            <w:tcW w:w="0" w:type="auto"/>
          </w:tcPr>
          <w:p>
            <w:pPr>
              <w:spacing w:line="240" w:lineRule="auto" w:before="0" w:after="0"/>
              <w:pStyle w:val="Compact"/>
            </w:pPr>
            <w:r>
              <w:rPr>
                <w:sz w:val="20"/>
                <w:szCs w:val="20"/>
              </w:rPr>
              <w:t xml:space="preserve">rf_ka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2200</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16.36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5.193</w:t>
            </w:r>
          </w:p>
        </w:tc>
        <w:tc>
          <w:tcPr>
            <w:tcW w:w="0" w:type="auto"/>
          </w:tcPr>
          <w:p>
            <w:pPr>
              <w:spacing w:line="240" w:lineRule="auto" w:before="0" w:after="0"/>
              <w:pStyle w:val="Compact"/>
            </w:pPr>
            <w:r>
              <w:rPr>
                <w:sz w:val="20"/>
                <w:szCs w:val="20"/>
              </w:rPr>
              <w:t xml:space="preserve">2.3979</w:t>
            </w:r>
          </w:p>
        </w:tc>
        <w:tc>
          <w:tcPr>
            <w:tcW w:w="0" w:type="auto"/>
          </w:tcPr>
          <w:p>
            <w:pPr>
              <w:spacing w:line="240" w:lineRule="auto" w:before="0" w:after="0"/>
              <w:pStyle w:val="Compact"/>
            </w:pPr>
            <w:r>
              <w:rPr>
                <w:sz w:val="20"/>
                <w:szCs w:val="20"/>
              </w:rPr>
              <w:t xml:space="preserve">6.2146</w:t>
            </w:r>
          </w:p>
        </w:tc>
        <w:tc>
          <w:tcPr>
            <w:tcW w:w="0" w:type="auto"/>
          </w:tcPr>
          <w:p>
            <w:pPr>
              <w:spacing w:line="240" w:lineRule="auto" w:before="0" w:after="0"/>
              <w:pStyle w:val="Compact"/>
            </w:pPr>
            <w:r>
              <w:rPr>
                <w:sz w:val="20"/>
                <w:szCs w:val="20"/>
              </w:rPr>
              <w:t xml:space="preserve">7.6962</w:t>
            </w:r>
          </w:p>
        </w:tc>
        <w:tc>
          <w:tcPr>
            <w:tcW w:w="0" w:type="auto"/>
          </w:tcPr>
          <w:p>
            <w:pPr>
              <w:spacing w:line="240" w:lineRule="auto" w:before="0" w:after="0"/>
              <w:pStyle w:val="Compact"/>
            </w:pPr>
            <w:r>
              <w:rPr>
                <w:sz w:val="20"/>
                <w:szCs w:val="20"/>
              </w:rPr>
              <w:t xml:space="preserve">Inmarsat F-1 filing 2020; Thales contract disclosure</w:t>
            </w:r>
          </w:p>
        </w:tc>
      </w:tr>
      <w:tr>
        <w:tc>
          <w:tcPr>
            <w:tcW w:w="0" w:type="auto"/>
          </w:tcPr>
          <w:p>
            <w:pPr>
              <w:spacing w:line="240" w:lineRule="auto" w:before="0" w:after="0"/>
              <w:pStyle w:val="Compact"/>
            </w:pPr>
            <w:r>
              <w:rPr>
                <w:sz w:val="20"/>
                <w:szCs w:val="20"/>
              </w:rPr>
              <w:t xml:space="preserve">Viasat-3</w:t>
            </w:r>
          </w:p>
        </w:tc>
        <w:tc>
          <w:tcPr>
            <w:tcW w:w="0" w:type="auto"/>
          </w:tcPr>
          <w:p>
            <w:pPr>
              <w:spacing w:line="240" w:lineRule="auto" w:before="0" w:after="0"/>
              <w:pStyle w:val="Compact"/>
            </w:pPr>
            <w:r>
              <w:rPr>
                <w:sz w:val="20"/>
                <w:szCs w:val="20"/>
              </w:rPr>
              <w:t xml:space="preserve">rf_ka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5000</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0.42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6.0403</w:t>
            </w:r>
          </w:p>
        </w:tc>
        <w:tc>
          <w:tcPr>
            <w:tcW w:w="0" w:type="auto"/>
          </w:tcPr>
          <w:p>
            <w:pPr>
              <w:spacing w:line="240" w:lineRule="auto" w:before="0" w:after="0"/>
              <w:pStyle w:val="Compact"/>
            </w:pPr>
            <w:r>
              <w:rPr>
                <w:sz w:val="20"/>
                <w:szCs w:val="20"/>
              </w:rPr>
              <w:t xml:space="preserve">6.9078</w:t>
            </w:r>
          </w:p>
        </w:tc>
        <w:tc>
          <w:tcPr>
            <w:tcW w:w="0" w:type="auto"/>
          </w:tcPr>
          <w:p>
            <w:pPr>
              <w:spacing w:line="240" w:lineRule="auto" w:before="0" w:after="0"/>
              <w:pStyle w:val="Compact"/>
            </w:pPr>
            <w:r>
              <w:rPr>
                <w:sz w:val="20"/>
                <w:szCs w:val="20"/>
              </w:rPr>
              <w:t xml:space="preserve">7.0901</w:t>
            </w:r>
          </w:p>
        </w:tc>
        <w:tc>
          <w:tcPr>
            <w:tcW w:w="0" w:type="auto"/>
          </w:tcPr>
          <w:p>
            <w:pPr>
              <w:spacing w:line="240" w:lineRule="auto" w:before="0" w:after="0"/>
              <w:pStyle w:val="Compact"/>
            </w:pPr>
            <w:r>
              <w:rPr>
                <w:sz w:val="20"/>
                <w:szCs w:val="20"/>
              </w:rPr>
              <w:t xml:space="preserve">8.5172</w:t>
            </w:r>
          </w:p>
        </w:tc>
        <w:tc>
          <w:tcPr>
            <w:tcW w:w="0" w:type="auto"/>
          </w:tcPr>
          <w:p>
            <w:pPr>
              <w:spacing w:line="240" w:lineRule="auto" w:before="0" w:after="0"/>
              <w:pStyle w:val="Compact"/>
            </w:pPr>
            <w:r>
              <w:rPr>
                <w:sz w:val="20"/>
                <w:szCs w:val="20"/>
              </w:rPr>
              <w:t xml:space="preserve">Viasat-3 SEC 10-K 2023; Boeing contract value</w:t>
            </w:r>
          </w:p>
        </w:tc>
      </w:tr>
      <w:tr>
        <w:tc>
          <w:tcPr>
            <w:tcW w:w="0" w:type="auto"/>
          </w:tcPr>
          <w:p>
            <w:pPr>
              <w:spacing w:line="240" w:lineRule="auto" w:before="0" w:after="0"/>
              <w:pStyle w:val="Compact"/>
            </w:pPr>
            <w:r>
              <w:rPr>
                <w:sz w:val="20"/>
                <w:szCs w:val="20"/>
              </w:rPr>
              <w:t xml:space="preserve">Hughes-Jupiter-3</w:t>
            </w:r>
          </w:p>
        </w:tc>
        <w:tc>
          <w:tcPr>
            <w:tcW w:w="0" w:type="auto"/>
          </w:tcPr>
          <w:p>
            <w:pPr>
              <w:spacing w:line="240" w:lineRule="auto" w:before="0" w:after="0"/>
              <w:pStyle w:val="Compact"/>
            </w:pPr>
            <w:r>
              <w:rPr>
                <w:sz w:val="20"/>
                <w:szCs w:val="20"/>
              </w:rPr>
              <w:t xml:space="preserve">rf_ka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4500</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5.9915</w:t>
            </w:r>
          </w:p>
        </w:tc>
        <w:tc>
          <w:tcPr>
            <w:tcW w:w="0" w:type="auto"/>
          </w:tcPr>
          <w:p>
            <w:pPr>
              <w:spacing w:line="240" w:lineRule="auto" w:before="0" w:after="0"/>
              <w:pStyle w:val="Compact"/>
            </w:pPr>
            <w:r>
              <w:rPr>
                <w:sz w:val="20"/>
                <w:szCs w:val="20"/>
              </w:rPr>
              <w:t xml:space="preserve">6.2146</w:t>
            </w:r>
          </w:p>
        </w:tc>
        <w:tc>
          <w:tcPr>
            <w:tcW w:w="0" w:type="auto"/>
          </w:tcPr>
          <w:p>
            <w:pPr>
              <w:spacing w:line="240" w:lineRule="auto" w:before="0" w:after="0"/>
              <w:pStyle w:val="Compact"/>
            </w:pPr>
            <w:r>
              <w:rPr>
                <w:sz w:val="20"/>
                <w:szCs w:val="20"/>
              </w:rPr>
              <w:t xml:space="preserve">6.6846</w:t>
            </w:r>
          </w:p>
        </w:tc>
        <w:tc>
          <w:tcPr>
            <w:tcW w:w="0" w:type="auto"/>
          </w:tcPr>
          <w:p>
            <w:pPr>
              <w:spacing w:line="240" w:lineRule="auto" w:before="0" w:after="0"/>
              <w:pStyle w:val="Compact"/>
            </w:pPr>
            <w:r>
              <w:rPr>
                <w:sz w:val="20"/>
                <w:szCs w:val="20"/>
              </w:rPr>
              <w:t xml:space="preserve">8.4118</w:t>
            </w:r>
          </w:p>
        </w:tc>
        <w:tc>
          <w:tcPr>
            <w:tcW w:w="0" w:type="auto"/>
          </w:tcPr>
          <w:p>
            <w:pPr>
              <w:spacing w:line="240" w:lineRule="auto" w:before="0" w:after="0"/>
              <w:pStyle w:val="Compact"/>
            </w:pPr>
            <w:r>
              <w:rPr>
                <w:sz w:val="20"/>
                <w:szCs w:val="20"/>
              </w:rPr>
              <w:t xml:space="preserve">Hughes EchoStar 24 press kit 2023</w:t>
            </w:r>
          </w:p>
        </w:tc>
      </w:tr>
      <w:tr>
        <w:tc>
          <w:tcPr>
            <w:tcW w:w="0" w:type="auto"/>
          </w:tcPr>
          <w:p>
            <w:pPr>
              <w:spacing w:line="240" w:lineRule="auto" w:before="0" w:after="0"/>
              <w:pStyle w:val="Compact"/>
            </w:pPr>
            <w:r>
              <w:rPr>
                <w:sz w:val="20"/>
                <w:szCs w:val="20"/>
              </w:rPr>
              <w:t xml:space="preserve">SES-17</w:t>
            </w:r>
          </w:p>
        </w:tc>
        <w:tc>
          <w:tcPr>
            <w:tcW w:w="0" w:type="auto"/>
          </w:tcPr>
          <w:p>
            <w:pPr>
              <w:spacing w:line="240" w:lineRule="auto" w:before="0" w:after="0"/>
              <w:pStyle w:val="Compact"/>
            </w:pPr>
            <w:r>
              <w:rPr>
                <w:sz w:val="20"/>
                <w:szCs w:val="20"/>
              </w:rPr>
              <w:t xml:space="preserve">rf_ka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3800</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1.75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5.8579</w:t>
            </w:r>
          </w:p>
        </w:tc>
        <w:tc>
          <w:tcPr>
            <w:tcW w:w="0" w:type="auto"/>
          </w:tcPr>
          <w:p>
            <w:pPr>
              <w:spacing w:line="240" w:lineRule="auto" w:before="0" w:after="0"/>
              <w:pStyle w:val="Compact"/>
            </w:pPr>
            <w:r>
              <w:rPr>
                <w:sz w:val="20"/>
                <w:szCs w:val="20"/>
              </w:rPr>
              <w:t xml:space="preserve">5.2983</w:t>
            </w:r>
          </w:p>
        </w:tc>
        <w:tc>
          <w:tcPr>
            <w:tcW w:w="0" w:type="auto"/>
          </w:tcPr>
          <w:p>
            <w:pPr>
              <w:spacing w:line="240" w:lineRule="auto" w:before="0" w:after="0"/>
              <w:pStyle w:val="Compact"/>
            </w:pPr>
            <w:r>
              <w:rPr>
                <w:sz w:val="20"/>
                <w:szCs w:val="20"/>
              </w:rPr>
              <w:t xml:space="preserve">6.5793</w:t>
            </w:r>
          </w:p>
        </w:tc>
        <w:tc>
          <w:tcPr>
            <w:tcW w:w="0" w:type="auto"/>
          </w:tcPr>
          <w:p>
            <w:pPr>
              <w:spacing w:line="240" w:lineRule="auto" w:before="0" w:after="0"/>
              <w:pStyle w:val="Compact"/>
            </w:pPr>
            <w:r>
              <w:rPr>
                <w:sz w:val="20"/>
                <w:szCs w:val="20"/>
              </w:rPr>
              <w:t xml:space="preserve">8.2428</w:t>
            </w:r>
          </w:p>
        </w:tc>
        <w:tc>
          <w:tcPr>
            <w:tcW w:w="0" w:type="auto"/>
          </w:tcPr>
          <w:p>
            <w:pPr>
              <w:spacing w:line="240" w:lineRule="auto" w:before="0" w:after="0"/>
              <w:pStyle w:val="Compact"/>
            </w:pPr>
            <w:r>
              <w:rPr>
                <w:sz w:val="20"/>
                <w:szCs w:val="20"/>
              </w:rPr>
              <w:t xml:space="preserve">SES annual report 2022; Thales Alenia contract</w:t>
            </w:r>
          </w:p>
        </w:tc>
      </w:tr>
      <w:tr>
        <w:tc>
          <w:tcPr>
            <w:tcW w:w="0" w:type="auto"/>
          </w:tcPr>
          <w:p>
            <w:pPr>
              <w:spacing w:line="240" w:lineRule="auto" w:before="0" w:after="0"/>
              <w:pStyle w:val="Compact"/>
            </w:pPr>
            <w:r>
              <w:rPr>
                <w:sz w:val="20"/>
                <w:szCs w:val="20"/>
              </w:rPr>
              <w:t xml:space="preserve">TDRS-M</w:t>
            </w:r>
          </w:p>
        </w:tc>
        <w:tc>
          <w:tcPr>
            <w:tcW w:w="0" w:type="auto"/>
          </w:tcPr>
          <w:p>
            <w:pPr>
              <w:spacing w:line="240" w:lineRule="auto" w:before="0" w:after="0"/>
              <w:pStyle w:val="Compact"/>
            </w:pPr>
            <w:r>
              <w:rPr>
                <w:sz w:val="20"/>
                <w:szCs w:val="20"/>
              </w:rPr>
              <w:t xml:space="preserve">rf_sband_ka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1850</w:t>
            </w:r>
          </w:p>
        </w:tc>
        <w:tc>
          <w:tcPr>
            <w:tcW w:w="0" w:type="auto"/>
          </w:tcPr>
          <w:p>
            <w:pPr>
              <w:spacing w:line="240" w:lineRule="auto" w:before="0" w:after="0"/>
              <w:pStyle w:val="Compact"/>
            </w:pPr>
            <w:r>
              <w:rPr>
                <w:sz w:val="20"/>
                <w:szCs w:val="20"/>
              </w:rPr>
              <w:t xml:space="preserve">408</w:t>
            </w:r>
          </w:p>
        </w:tc>
        <w:tc>
          <w:tcPr>
            <w:tcW w:w="0" w:type="auto"/>
          </w:tcPr>
          <w:p>
            <w:pPr>
              <w:spacing w:line="240" w:lineRule="auto" w:before="0" w:after="0"/>
              <w:pStyle w:val="Compact"/>
            </w:pPr>
            <w:r>
              <w:rPr>
                <w:sz w:val="20"/>
                <w:szCs w:val="20"/>
              </w:rPr>
              <w:t xml:space="preserve">510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6.0113</w:t>
            </w:r>
          </w:p>
        </w:tc>
        <w:tc>
          <w:tcPr>
            <w:tcW w:w="0" w:type="auto"/>
          </w:tcPr>
          <w:p>
            <w:pPr>
              <w:spacing w:line="240" w:lineRule="auto" w:before="0" w:after="0"/>
              <w:pStyle w:val="Compact"/>
            </w:pPr>
            <w:r>
              <w:rPr>
                <w:sz w:val="20"/>
                <w:szCs w:val="20"/>
              </w:rPr>
              <w:t xml:space="preserve">-0.2231</w:t>
            </w:r>
          </w:p>
        </w:tc>
        <w:tc>
          <w:tcPr>
            <w:tcW w:w="0" w:type="auto"/>
          </w:tcPr>
          <w:p>
            <w:pPr>
              <w:spacing w:line="240" w:lineRule="auto" w:before="0" w:after="0"/>
              <w:pStyle w:val="Compact"/>
            </w:pPr>
            <w:r>
              <w:rPr>
                <w:sz w:val="20"/>
                <w:szCs w:val="20"/>
              </w:rPr>
              <w:t xml:space="preserve">7.3132</w:t>
            </w:r>
          </w:p>
        </w:tc>
        <w:tc>
          <w:tcPr>
            <w:tcW w:w="0" w:type="auto"/>
          </w:tcPr>
          <w:p>
            <w:pPr>
              <w:spacing w:line="240" w:lineRule="auto" w:before="0" w:after="0"/>
              <w:pStyle w:val="Compact"/>
            </w:pPr>
            <w:r>
              <w:rPr>
                <w:sz w:val="20"/>
                <w:szCs w:val="20"/>
              </w:rPr>
              <w:t xml:space="preserve">7.5229</w:t>
            </w:r>
          </w:p>
        </w:tc>
        <w:tc>
          <w:tcPr>
            <w:tcW w:w="0" w:type="auto"/>
          </w:tcPr>
          <w:p>
            <w:pPr>
              <w:spacing w:line="240" w:lineRule="auto" w:before="0" w:after="0"/>
              <w:pStyle w:val="Compact"/>
            </w:pPr>
            <w:r>
              <w:rPr>
                <w:sz w:val="20"/>
                <w:szCs w:val="20"/>
              </w:rPr>
              <w:t xml:space="preserve">NASA TDRS-M procurement; GAO-15-274 cost data</w:t>
            </w:r>
          </w:p>
        </w:tc>
      </w:tr>
      <w:tr>
        <w:tc>
          <w:tcPr>
            <w:tcW w:w="0" w:type="auto"/>
          </w:tcPr>
          <w:p>
            <w:pPr>
              <w:spacing w:line="240" w:lineRule="auto" w:before="0" w:after="0"/>
              <w:pStyle w:val="Compact"/>
            </w:pPr>
            <w:r>
              <w:rPr>
                <w:sz w:val="20"/>
                <w:szCs w:val="20"/>
              </w:rPr>
              <w:t xml:space="preserve">WGS-10</w:t>
            </w:r>
          </w:p>
        </w:tc>
        <w:tc>
          <w:tcPr>
            <w:tcW w:w="0" w:type="auto"/>
          </w:tcPr>
          <w:p>
            <w:pPr>
              <w:spacing w:line="240" w:lineRule="auto" w:before="0" w:after="0"/>
              <w:pStyle w:val="Compact"/>
            </w:pPr>
            <w:r>
              <w:rPr>
                <w:sz w:val="20"/>
                <w:szCs w:val="20"/>
              </w:rPr>
              <w:t xml:space="preserve">rf_ka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3416</w:t>
            </w:r>
          </w:p>
        </w:tc>
        <w:tc>
          <w:tcPr>
            <w:tcW w:w="0" w:type="auto"/>
          </w:tcPr>
          <w:p>
            <w:pPr>
              <w:spacing w:line="240" w:lineRule="auto" w:before="0" w:after="0"/>
              <w:pStyle w:val="Compact"/>
            </w:pPr>
            <w:r>
              <w:rPr>
                <w:sz w:val="20"/>
                <w:szCs w:val="20"/>
              </w:rPr>
              <w:t xml:space="preserve">12500</w:t>
            </w:r>
          </w:p>
        </w:tc>
        <w:tc>
          <w:tcPr>
            <w:tcW w:w="0" w:type="auto"/>
          </w:tcPr>
          <w:p>
            <w:pPr>
              <w:spacing w:line="240" w:lineRule="auto" w:before="0" w:after="0"/>
              <w:pStyle w:val="Compact"/>
            </w:pPr>
            <w:r>
              <w:rPr>
                <w:sz w:val="20"/>
                <w:szCs w:val="20"/>
              </w:rPr>
              <w:t xml:space="preserve">605</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6.4052</w:t>
            </w:r>
          </w:p>
        </w:tc>
        <w:tc>
          <w:tcPr>
            <w:tcW w:w="0" w:type="auto"/>
          </w:tcPr>
          <w:p>
            <w:pPr>
              <w:spacing w:line="240" w:lineRule="auto" w:before="0" w:after="0"/>
              <w:pStyle w:val="Compact"/>
            </w:pPr>
            <w:r>
              <w:rPr>
                <w:sz w:val="20"/>
                <w:szCs w:val="20"/>
              </w:rPr>
              <w:t xml:space="preserve">2.3979</w:t>
            </w:r>
          </w:p>
        </w:tc>
        <w:tc>
          <w:tcPr>
            <w:tcW w:w="0" w:type="auto"/>
          </w:tcPr>
          <w:p>
            <w:pPr>
              <w:spacing w:line="240" w:lineRule="auto" w:before="0" w:after="0"/>
              <w:pStyle w:val="Compact"/>
            </w:pPr>
            <w:r>
              <w:rPr>
                <w:sz w:val="20"/>
                <w:szCs w:val="20"/>
              </w:rPr>
              <w:t xml:space="preserve">8.1362</w:t>
            </w:r>
          </w:p>
        </w:tc>
        <w:tc>
          <w:tcPr>
            <w:tcW w:w="0" w:type="auto"/>
          </w:tcPr>
          <w:p>
            <w:pPr>
              <w:spacing w:line="240" w:lineRule="auto" w:before="0" w:after="0"/>
              <w:pStyle w:val="Compact"/>
            </w:pPr>
            <w:r>
              <w:rPr>
                <w:sz w:val="20"/>
                <w:szCs w:val="20"/>
              </w:rPr>
              <w:t xml:space="preserve">9.4335</w:t>
            </w:r>
          </w:p>
        </w:tc>
        <w:tc>
          <w:tcPr>
            <w:tcW w:w="0" w:type="auto"/>
          </w:tcPr>
          <w:p>
            <w:pPr>
              <w:spacing w:line="240" w:lineRule="auto" w:before="0" w:after="0"/>
              <w:pStyle w:val="Compact"/>
            </w:pPr>
            <w:r>
              <w:rPr>
                <w:sz w:val="20"/>
                <w:szCs w:val="20"/>
              </w:rPr>
              <w:t xml:space="preserve">USAF WGS-10 fact sheet; Boeing contract value disclosure</w:t>
            </w:r>
          </w:p>
        </w:tc>
      </w:tr>
      <w:tr>
        <w:tc>
          <w:tcPr>
            <w:tcW w:w="0" w:type="auto"/>
          </w:tcPr>
          <w:p>
            <w:pPr>
              <w:spacing w:line="240" w:lineRule="auto" w:before="0" w:after="0"/>
              <w:pStyle w:val="Compact"/>
            </w:pPr>
            <w:r>
              <w:rPr>
                <w:sz w:val="20"/>
                <w:szCs w:val="20"/>
              </w:rPr>
              <w:t xml:space="preserve">WGS-11</w:t>
            </w:r>
          </w:p>
        </w:tc>
        <w:tc>
          <w:tcPr>
            <w:tcW w:w="0" w:type="auto"/>
          </w:tcPr>
          <w:p>
            <w:pPr>
              <w:spacing w:line="240" w:lineRule="auto" w:before="0" w:after="0"/>
              <w:pStyle w:val="Compact"/>
            </w:pPr>
            <w:r>
              <w:rPr>
                <w:sz w:val="20"/>
                <w:szCs w:val="20"/>
              </w:rPr>
              <w:t xml:space="preserve">rf_ka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3500</w:t>
            </w:r>
          </w:p>
        </w:tc>
        <w:tc>
          <w:tcPr>
            <w:tcW w:w="0" w:type="auto"/>
          </w:tcPr>
          <w:p>
            <w:pPr>
              <w:spacing w:line="240" w:lineRule="auto" w:before="0" w:after="0"/>
              <w:pStyle w:val="Compact"/>
            </w:pPr>
            <w:r>
              <w:rPr>
                <w:sz w:val="20"/>
                <w:szCs w:val="20"/>
              </w:rPr>
              <w:t xml:space="preserve">13000</w:t>
            </w:r>
          </w:p>
        </w:tc>
        <w:tc>
          <w:tcPr>
            <w:tcW w:w="0" w:type="auto"/>
          </w:tcPr>
          <w:p>
            <w:pPr>
              <w:spacing w:line="240" w:lineRule="auto" w:before="0" w:after="0"/>
              <w:pStyle w:val="Compact"/>
            </w:pPr>
            <w:r>
              <w:rPr>
                <w:sz w:val="20"/>
                <w:szCs w:val="20"/>
              </w:rPr>
              <w:t xml:space="preserve">605</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6.4052</w:t>
            </w:r>
          </w:p>
        </w:tc>
        <w:tc>
          <w:tcPr>
            <w:tcW w:w="0" w:type="auto"/>
          </w:tcPr>
          <w:p>
            <w:pPr>
              <w:spacing w:line="240" w:lineRule="auto" w:before="0" w:after="0"/>
              <w:pStyle w:val="Compact"/>
            </w:pPr>
            <w:r>
              <w:rPr>
                <w:sz w:val="20"/>
                <w:szCs w:val="20"/>
              </w:rPr>
              <w:t xml:space="preserve">2.3979</w:t>
            </w:r>
          </w:p>
        </w:tc>
        <w:tc>
          <w:tcPr>
            <w:tcW w:w="0" w:type="auto"/>
          </w:tcPr>
          <w:p>
            <w:pPr>
              <w:spacing w:line="240" w:lineRule="auto" w:before="0" w:after="0"/>
              <w:pStyle w:val="Compact"/>
            </w:pPr>
            <w:r>
              <w:rPr>
                <w:sz w:val="20"/>
                <w:szCs w:val="20"/>
              </w:rPr>
              <w:t xml:space="preserve">8.1605</w:t>
            </w:r>
          </w:p>
        </w:tc>
        <w:tc>
          <w:tcPr>
            <w:tcW w:w="0" w:type="auto"/>
          </w:tcPr>
          <w:p>
            <w:pPr>
              <w:spacing w:line="240" w:lineRule="auto" w:before="0" w:after="0"/>
              <w:pStyle w:val="Compact"/>
            </w:pPr>
            <w:r>
              <w:rPr>
                <w:sz w:val="20"/>
                <w:szCs w:val="20"/>
              </w:rPr>
              <w:t xml:space="preserve">9.4727</w:t>
            </w:r>
          </w:p>
        </w:tc>
        <w:tc>
          <w:tcPr>
            <w:tcW w:w="0" w:type="auto"/>
          </w:tcPr>
          <w:p>
            <w:pPr>
              <w:spacing w:line="240" w:lineRule="auto" w:before="0" w:after="0"/>
              <w:pStyle w:val="Compact"/>
            </w:pPr>
            <w:r>
              <w:rPr>
                <w:sz w:val="20"/>
                <w:szCs w:val="20"/>
              </w:rPr>
              <w:t xml:space="preserve">DAF FY24 budget exhibit P-40 WGS-11; Boeing contract value</w:t>
            </w:r>
          </w:p>
        </w:tc>
      </w:tr>
      <w:tr>
        <w:tc>
          <w:tcPr>
            <w:tcW w:w="0" w:type="auto"/>
          </w:tcPr>
          <w:p>
            <w:pPr>
              <w:spacing w:line="240" w:lineRule="auto" w:before="0" w:after="0"/>
              <w:pStyle w:val="Compact"/>
            </w:pPr>
            <w:r>
              <w:rPr>
                <w:sz w:val="20"/>
                <w:szCs w:val="20"/>
              </w:rPr>
              <w:t xml:space="preserve">AEHF-6</w:t>
            </w:r>
          </w:p>
        </w:tc>
        <w:tc>
          <w:tcPr>
            <w:tcW w:w="0" w:type="auto"/>
          </w:tcPr>
          <w:p>
            <w:pPr>
              <w:spacing w:line="240" w:lineRule="auto" w:before="0" w:after="0"/>
              <w:pStyle w:val="Compact"/>
            </w:pPr>
            <w:r>
              <w:rPr>
                <w:sz w:val="20"/>
                <w:szCs w:val="20"/>
              </w:rPr>
              <w:t xml:space="preserve">rf_xband_ka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8.192</w:t>
            </w:r>
          </w:p>
        </w:tc>
        <w:tc>
          <w:tcPr>
            <w:tcW w:w="0" w:type="auto"/>
          </w:tcPr>
          <w:p>
            <w:pPr>
              <w:spacing w:line="240" w:lineRule="auto" w:before="0" w:after="0"/>
              <w:pStyle w:val="Compact"/>
            </w:pPr>
            <w:r>
              <w:rPr>
                <w:sz w:val="20"/>
                <w:szCs w:val="20"/>
              </w:rPr>
              <w:t xml:space="preserve">6168</w:t>
            </w:r>
          </w:p>
        </w:tc>
        <w:tc>
          <w:tcPr>
            <w:tcW w:w="0" w:type="auto"/>
          </w:tcPr>
          <w:p>
            <w:pPr>
              <w:spacing w:line="240" w:lineRule="auto" w:before="0" w:after="0"/>
              <w:pStyle w:val="Compact"/>
            </w:pPr>
            <w:r>
              <w:rPr>
                <w:sz w:val="20"/>
                <w:szCs w:val="20"/>
              </w:rPr>
              <w:t xml:space="preserve">16000</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134.28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7.0031</w:t>
            </w:r>
          </w:p>
        </w:tc>
        <w:tc>
          <w:tcPr>
            <w:tcW w:w="0" w:type="auto"/>
          </w:tcPr>
          <w:p>
            <w:pPr>
              <w:spacing w:line="240" w:lineRule="auto" w:before="0" w:after="0"/>
              <w:pStyle w:val="Compact"/>
            </w:pPr>
            <w:r>
              <w:rPr>
                <w:sz w:val="20"/>
                <w:szCs w:val="20"/>
              </w:rPr>
              <w:t xml:space="preserve">2.1032</w:t>
            </w:r>
          </w:p>
        </w:tc>
        <w:tc>
          <w:tcPr>
            <w:tcW w:w="0" w:type="auto"/>
          </w:tcPr>
          <w:p>
            <w:pPr>
              <w:spacing w:line="240" w:lineRule="auto" w:before="0" w:after="0"/>
              <w:pStyle w:val="Compact"/>
            </w:pPr>
            <w:r>
              <w:rPr>
                <w:sz w:val="20"/>
                <w:szCs w:val="20"/>
              </w:rPr>
              <w:t xml:space="preserve">8.7271</w:t>
            </w:r>
          </w:p>
        </w:tc>
        <w:tc>
          <w:tcPr>
            <w:tcW w:w="0" w:type="auto"/>
          </w:tcPr>
          <w:p>
            <w:pPr>
              <w:spacing w:line="240" w:lineRule="auto" w:before="0" w:after="0"/>
              <w:pStyle w:val="Compact"/>
            </w:pPr>
            <w:r>
              <w:rPr>
                <w:sz w:val="20"/>
                <w:szCs w:val="20"/>
              </w:rPr>
              <w:t xml:space="preserve">9.6803</w:t>
            </w:r>
          </w:p>
        </w:tc>
        <w:tc>
          <w:tcPr>
            <w:tcW w:w="0" w:type="auto"/>
          </w:tcPr>
          <w:p>
            <w:pPr>
              <w:spacing w:line="240" w:lineRule="auto" w:before="0" w:after="0"/>
              <w:pStyle w:val="Compact"/>
            </w:pPr>
            <w:r>
              <w:rPr>
                <w:sz w:val="20"/>
                <w:szCs w:val="20"/>
              </w:rPr>
              <w:t xml:space="preserve">USSF AEHF-6 mission page; GAO-20-439 cost data</w:t>
            </w:r>
          </w:p>
        </w:tc>
      </w:tr>
      <w:tr>
        <w:tc>
          <w:tcPr>
            <w:tcW w:w="0" w:type="auto"/>
          </w:tcPr>
          <w:p>
            <w:pPr>
              <w:spacing w:line="240" w:lineRule="auto" w:before="0" w:after="0"/>
              <w:pStyle w:val="Compact"/>
            </w:pPr>
            <w:r>
              <w:rPr>
                <w:sz w:val="20"/>
                <w:szCs w:val="20"/>
              </w:rPr>
              <w:t xml:space="preserve">MUOS-5</w:t>
            </w:r>
          </w:p>
        </w:tc>
        <w:tc>
          <w:tcPr>
            <w:tcW w:w="0" w:type="auto"/>
          </w:tcPr>
          <w:p>
            <w:pPr>
              <w:spacing w:line="240" w:lineRule="auto" w:before="0" w:after="0"/>
              <w:pStyle w:val="Compact"/>
            </w:pPr>
            <w:r>
              <w:rPr>
                <w:sz w:val="20"/>
                <w:szCs w:val="20"/>
              </w:rPr>
              <w:t xml:space="preserve">rf_uhf</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0.0384</w:t>
            </w:r>
          </w:p>
        </w:tc>
        <w:tc>
          <w:tcPr>
            <w:tcW w:w="0" w:type="auto"/>
          </w:tcPr>
          <w:p>
            <w:pPr>
              <w:spacing w:line="240" w:lineRule="auto" w:before="0" w:after="0"/>
              <w:pStyle w:val="Compact"/>
            </w:pPr>
            <w:r>
              <w:rPr>
                <w:sz w:val="20"/>
                <w:szCs w:val="20"/>
              </w:rPr>
              <w:t xml:space="preserve">6740</w:t>
            </w:r>
          </w:p>
        </w:tc>
        <w:tc>
          <w:tcPr>
            <w:tcW w:w="0" w:type="auto"/>
          </w:tcPr>
          <w:p>
            <w:pPr>
              <w:spacing w:line="240" w:lineRule="auto" w:before="0" w:after="0"/>
              <w:pStyle w:val="Compact"/>
            </w:pPr>
            <w:r>
              <w:rPr>
                <w:sz w:val="20"/>
                <w:szCs w:val="20"/>
              </w:rPr>
              <w:t xml:space="preserve">4000</w:t>
            </w:r>
          </w:p>
        </w:tc>
        <w:tc>
          <w:tcPr>
            <w:tcW w:w="0" w:type="auto"/>
          </w:tcPr>
          <w:p>
            <w:pPr>
              <w:spacing w:line="240" w:lineRule="auto" w:before="0" w:after="0"/>
              <w:pStyle w:val="Compact"/>
            </w:pPr>
            <w:r>
              <w:rPr>
                <w:sz w:val="20"/>
                <w:szCs w:val="20"/>
              </w:rPr>
              <w:t xml:space="preserve">580</w:t>
            </w:r>
          </w:p>
        </w:tc>
        <w:tc>
          <w:tcPr>
            <w:tcW w:w="0" w:type="auto"/>
          </w:tcPr>
          <w:p>
            <w:pPr>
              <w:spacing w:line="240" w:lineRule="auto" w:before="0" w:after="0"/>
              <w:pStyle w:val="Compact"/>
            </w:pPr>
            <w:r>
              <w:rPr>
                <w:sz w:val="20"/>
                <w:szCs w:val="20"/>
              </w:rPr>
              <w:t xml:space="preserve">15104.17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6.363</w:t>
            </w:r>
          </w:p>
        </w:tc>
        <w:tc>
          <w:tcPr>
            <w:tcW w:w="0" w:type="auto"/>
          </w:tcPr>
          <w:p>
            <w:pPr>
              <w:spacing w:line="240" w:lineRule="auto" w:before="0" w:after="0"/>
              <w:pStyle w:val="Compact"/>
            </w:pPr>
            <w:r>
              <w:rPr>
                <w:sz w:val="20"/>
                <w:szCs w:val="20"/>
              </w:rPr>
              <w:t xml:space="preserve">-3.2597</w:t>
            </w:r>
          </w:p>
        </w:tc>
        <w:tc>
          <w:tcPr>
            <w:tcW w:w="0" w:type="auto"/>
          </w:tcPr>
          <w:p>
            <w:pPr>
              <w:spacing w:line="240" w:lineRule="auto" w:before="0" w:after="0"/>
              <w:pStyle w:val="Compact"/>
            </w:pPr>
            <w:r>
              <w:rPr>
                <w:sz w:val="20"/>
                <w:szCs w:val="20"/>
              </w:rPr>
              <w:t xml:space="preserve">8.8158</w:t>
            </w:r>
          </w:p>
        </w:tc>
        <w:tc>
          <w:tcPr>
            <w:tcW w:w="0" w:type="auto"/>
          </w:tcPr>
          <w:p>
            <w:pPr>
              <w:spacing w:line="240" w:lineRule="auto" w:before="0" w:after="0"/>
              <w:pStyle w:val="Compact"/>
            </w:pPr>
            <w:r>
              <w:rPr>
                <w:sz w:val="20"/>
                <w:szCs w:val="20"/>
              </w:rPr>
              <w:t xml:space="preserve">8.294</w:t>
            </w:r>
          </w:p>
        </w:tc>
        <w:tc>
          <w:tcPr>
            <w:tcW w:w="0" w:type="auto"/>
          </w:tcPr>
          <w:p>
            <w:pPr>
              <w:spacing w:line="240" w:lineRule="auto" w:before="0" w:after="0"/>
              <w:pStyle w:val="Compact"/>
            </w:pPr>
            <w:r>
              <w:rPr>
                <w:sz w:val="20"/>
                <w:szCs w:val="20"/>
              </w:rPr>
              <w:t xml:space="preserve">USN MUOS-5 procurement; GAO-15-342 cost data</w:t>
            </w:r>
          </w:p>
        </w:tc>
      </w:tr>
      <w:tr>
        <w:tc>
          <w:tcPr>
            <w:tcW w:w="0" w:type="auto"/>
          </w:tcPr>
          <w:p>
            <w:pPr>
              <w:spacing w:line="240" w:lineRule="auto" w:before="0" w:after="0"/>
              <w:pStyle w:val="Compact"/>
            </w:pPr>
            <w:r>
              <w:rPr>
                <w:sz w:val="20"/>
                <w:szCs w:val="20"/>
              </w:rPr>
              <w:t xml:space="preserve">JCSAT-18</w:t>
            </w:r>
          </w:p>
        </w:tc>
        <w:tc>
          <w:tcPr>
            <w:tcW w:w="0" w:type="auto"/>
          </w:tcPr>
          <w:p>
            <w:pPr>
              <w:spacing w:line="240" w:lineRule="auto" w:before="0" w:after="0"/>
              <w:pStyle w:val="Compact"/>
            </w:pPr>
            <w:r>
              <w:rPr>
                <w:sz w:val="20"/>
                <w:szCs w:val="20"/>
              </w:rPr>
              <w:t xml:space="preserve">rf_ka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5500</w:t>
            </w:r>
          </w:p>
        </w:tc>
        <w:tc>
          <w:tcPr>
            <w:tcW w:w="0" w:type="auto"/>
          </w:tcPr>
          <w:p>
            <w:pPr>
              <w:spacing w:line="240" w:lineRule="auto" w:before="0" w:after="0"/>
              <w:pStyle w:val="Compact"/>
            </w:pPr>
            <w:r>
              <w:rPr>
                <w:sz w:val="20"/>
                <w:szCs w:val="20"/>
              </w:rPr>
              <w:t xml:space="preserve">15000</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22.73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5.5215</w:t>
            </w:r>
          </w:p>
        </w:tc>
        <w:tc>
          <w:tcPr>
            <w:tcW w:w="0" w:type="auto"/>
          </w:tcPr>
          <w:p>
            <w:pPr>
              <w:spacing w:line="240" w:lineRule="auto" w:before="0" w:after="0"/>
              <w:pStyle w:val="Compact"/>
            </w:pPr>
            <w:r>
              <w:rPr>
                <w:sz w:val="20"/>
                <w:szCs w:val="20"/>
              </w:rPr>
              <w:t xml:space="preserve">2.3979</w:t>
            </w:r>
          </w:p>
        </w:tc>
        <w:tc>
          <w:tcPr>
            <w:tcW w:w="0" w:type="auto"/>
          </w:tcPr>
          <w:p>
            <w:pPr>
              <w:spacing w:line="240" w:lineRule="auto" w:before="0" w:after="0"/>
              <w:pStyle w:val="Compact"/>
            </w:pPr>
            <w:r>
              <w:rPr>
                <w:sz w:val="20"/>
                <w:szCs w:val="20"/>
              </w:rPr>
              <w:t xml:space="preserve">8.6125</w:t>
            </w:r>
          </w:p>
        </w:tc>
        <w:tc>
          <w:tcPr>
            <w:tcW w:w="0" w:type="auto"/>
          </w:tcPr>
          <w:p>
            <w:pPr>
              <w:spacing w:line="240" w:lineRule="auto" w:before="0" w:after="0"/>
              <w:pStyle w:val="Compact"/>
            </w:pPr>
            <w:r>
              <w:rPr>
                <w:sz w:val="20"/>
                <w:szCs w:val="20"/>
              </w:rPr>
              <w:t xml:space="preserve">9.6158</w:t>
            </w:r>
          </w:p>
        </w:tc>
        <w:tc>
          <w:tcPr>
            <w:tcW w:w="0" w:type="auto"/>
          </w:tcPr>
          <w:p>
            <w:pPr>
              <w:spacing w:line="240" w:lineRule="auto" w:before="0" w:after="0"/>
              <w:pStyle w:val="Compact"/>
            </w:pPr>
            <w:r>
              <w:rPr>
                <w:sz w:val="20"/>
                <w:szCs w:val="20"/>
              </w:rPr>
              <w:t xml:space="preserve">Kacific-1 press release 2020; Boeing 702MP base cost</w:t>
            </w:r>
          </w:p>
        </w:tc>
      </w:tr>
      <w:tr>
        <w:tc>
          <w:tcPr>
            <w:tcW w:w="0" w:type="auto"/>
          </w:tcPr>
          <w:p>
            <w:pPr>
              <w:spacing w:line="240" w:lineRule="auto" w:before="0" w:after="0"/>
              <w:pStyle w:val="Compact"/>
            </w:pPr>
            <w:r>
              <w:rPr>
                <w:sz w:val="20"/>
                <w:szCs w:val="20"/>
              </w:rPr>
              <w:t xml:space="preserve">Starlink-v1.5</w:t>
            </w:r>
          </w:p>
        </w:tc>
        <w:tc>
          <w:tcPr>
            <w:tcW w:w="0" w:type="auto"/>
          </w:tcPr>
          <w:p>
            <w:pPr>
              <w:spacing w:line="240" w:lineRule="auto" w:before="0" w:after="0"/>
              <w:pStyle w:val="Compact"/>
            </w:pPr>
            <w:r>
              <w:rPr>
                <w:sz w:val="20"/>
                <w:szCs w:val="20"/>
              </w:rPr>
              <w:t xml:space="preserve">rf_ku_ka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4000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2.9957</w:t>
            </w:r>
          </w:p>
        </w:tc>
        <w:tc>
          <w:tcPr>
            <w:tcW w:w="0" w:type="auto"/>
          </w:tcPr>
          <w:p>
            <w:pPr>
              <w:spacing w:line="240" w:lineRule="auto" w:before="0" w:after="0"/>
              <w:pStyle w:val="Compact"/>
            </w:pPr>
            <w:r>
              <w:rPr>
                <w:sz w:val="20"/>
                <w:szCs w:val="20"/>
              </w:rPr>
              <w:t xml:space="preserve">5.5607</w:t>
            </w:r>
          </w:p>
        </w:tc>
        <w:tc>
          <w:tcPr>
            <w:tcW w:w="0" w:type="auto"/>
          </w:tcPr>
          <w:p>
            <w:pPr>
              <w:spacing w:line="240" w:lineRule="auto" w:before="0" w:after="0"/>
              <w:pStyle w:val="Compact"/>
            </w:pPr>
            <w:r>
              <w:rPr>
                <w:sz w:val="20"/>
                <w:szCs w:val="20"/>
              </w:rPr>
              <w:t xml:space="preserve">8.294</w:t>
            </w:r>
          </w:p>
        </w:tc>
        <w:tc>
          <w:tcPr>
            <w:tcW w:w="0" w:type="auto"/>
          </w:tcPr>
          <w:p>
            <w:pPr>
              <w:spacing w:line="240" w:lineRule="auto" w:before="0" w:after="0"/>
              <w:pStyle w:val="Compact"/>
            </w:pPr>
            <w:r>
              <w:rPr>
                <w:sz w:val="20"/>
                <w:szCs w:val="20"/>
              </w:rPr>
              <w:t xml:space="preserve">FCC SAT-MOD-20200417; SpaceX disclosed unit cost ~250-500k USD</w:t>
            </w:r>
          </w:p>
        </w:tc>
      </w:tr>
      <w:tr>
        <w:tc>
          <w:tcPr>
            <w:tcW w:w="0" w:type="auto"/>
          </w:tcPr>
          <w:p>
            <w:pPr>
              <w:spacing w:line="240" w:lineRule="auto" w:before="0" w:after="0"/>
              <w:pStyle w:val="Compact"/>
            </w:pPr>
            <w:r>
              <w:rPr>
                <w:sz w:val="20"/>
                <w:szCs w:val="20"/>
              </w:rPr>
              <w:t xml:space="preserve">OneWeb-Gen1</w:t>
            </w:r>
          </w:p>
        </w:tc>
        <w:tc>
          <w:tcPr>
            <w:tcW w:w="0" w:type="auto"/>
          </w:tcPr>
          <w:p>
            <w:pPr>
              <w:spacing w:line="240" w:lineRule="auto" w:before="0" w:after="0"/>
              <w:pStyle w:val="Compact"/>
            </w:pPr>
            <w:r>
              <w:rPr>
                <w:sz w:val="20"/>
                <w:szCs w:val="20"/>
              </w:rPr>
              <w:t xml:space="preserve">rf_ku</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2.0149</w:t>
            </w:r>
          </w:p>
        </w:tc>
        <w:tc>
          <w:tcPr>
            <w:tcW w:w="0" w:type="auto"/>
          </w:tcPr>
          <w:p>
            <w:pPr>
              <w:spacing w:line="240" w:lineRule="auto" w:before="0" w:after="0"/>
              <w:pStyle w:val="Compact"/>
            </w:pPr>
            <w:r>
              <w:rPr>
                <w:sz w:val="20"/>
                <w:szCs w:val="20"/>
              </w:rPr>
              <w:t xml:space="preserve">5.0106</w:t>
            </w:r>
          </w:p>
        </w:tc>
        <w:tc>
          <w:tcPr>
            <w:tcW w:w="0" w:type="auto"/>
          </w:tcPr>
          <w:p>
            <w:pPr>
              <w:spacing w:line="240" w:lineRule="auto" w:before="0" w:after="0"/>
              <w:pStyle w:val="Compact"/>
            </w:pPr>
            <w:r>
              <w:rPr>
                <w:sz w:val="20"/>
                <w:szCs w:val="20"/>
              </w:rPr>
              <w:t xml:space="preserve">7.3132</w:t>
            </w:r>
          </w:p>
        </w:tc>
        <w:tc>
          <w:tcPr>
            <w:tcW w:w="0" w:type="auto"/>
          </w:tcPr>
          <w:p>
            <w:pPr>
              <w:spacing w:line="240" w:lineRule="auto" w:before="0" w:after="0"/>
              <w:pStyle w:val="Compact"/>
            </w:pPr>
            <w:r>
              <w:rPr>
                <w:sz w:val="20"/>
                <w:szCs w:val="20"/>
              </w:rPr>
              <w:t xml:space="preserve">OneWeb FCC filing; Eutelsat 2023 annual report</w:t>
            </w:r>
          </w:p>
        </w:tc>
      </w:tr>
      <w:tr>
        <w:tc>
          <w:tcPr>
            <w:tcW w:w="0" w:type="auto"/>
          </w:tcPr>
          <w:p>
            <w:pPr>
              <w:spacing w:line="240" w:lineRule="auto" w:before="0" w:after="0"/>
              <w:pStyle w:val="Compact"/>
            </w:pPr>
            <w:r>
              <w:rPr>
                <w:sz w:val="20"/>
                <w:szCs w:val="20"/>
              </w:rPr>
              <w:t xml:space="preserve">Telesat-LightSpeed</w:t>
            </w:r>
          </w:p>
        </w:tc>
        <w:tc>
          <w:tcPr>
            <w:tcW w:w="0" w:type="auto"/>
          </w:tcPr>
          <w:p>
            <w:pPr>
              <w:spacing w:line="240" w:lineRule="auto" w:before="0" w:after="0"/>
              <w:pStyle w:val="Compact"/>
            </w:pPr>
            <w:r>
              <w:rPr>
                <w:sz w:val="20"/>
                <w:szCs w:val="20"/>
              </w:rPr>
              <w:t xml:space="preserve">rf_ka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2800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3.0445</w:t>
            </w:r>
          </w:p>
        </w:tc>
        <w:tc>
          <w:tcPr>
            <w:tcW w:w="0" w:type="auto"/>
          </w:tcPr>
          <w:p>
            <w:pPr>
              <w:spacing w:line="240" w:lineRule="auto" w:before="0" w:after="0"/>
              <w:pStyle w:val="Compact"/>
            </w:pPr>
            <w:r>
              <w:rPr>
                <w:sz w:val="20"/>
                <w:szCs w:val="20"/>
              </w:rPr>
              <w:t xml:space="preserve">2.0149</w:t>
            </w:r>
          </w:p>
        </w:tc>
        <w:tc>
          <w:tcPr>
            <w:tcW w:w="0" w:type="auto"/>
          </w:tcPr>
          <w:p>
            <w:pPr>
              <w:spacing w:line="240" w:lineRule="auto" w:before="0" w:after="0"/>
              <w:pStyle w:val="Compact"/>
            </w:pPr>
            <w:r>
              <w:rPr>
                <w:sz w:val="20"/>
                <w:szCs w:val="20"/>
              </w:rPr>
              <w:t xml:space="preserve">6.6201</w:t>
            </w:r>
          </w:p>
        </w:tc>
        <w:tc>
          <w:tcPr>
            <w:tcW w:w="0" w:type="auto"/>
          </w:tcPr>
          <w:p>
            <w:pPr>
              <w:spacing w:line="240" w:lineRule="auto" w:before="0" w:after="0"/>
              <w:pStyle w:val="Compact"/>
            </w:pPr>
            <w:r>
              <w:rPr>
                <w:sz w:val="20"/>
                <w:szCs w:val="20"/>
              </w:rPr>
              <w:t xml:space="preserve">7.9374</w:t>
            </w:r>
          </w:p>
        </w:tc>
        <w:tc>
          <w:tcPr>
            <w:tcW w:w="0" w:type="auto"/>
          </w:tcPr>
          <w:p>
            <w:pPr>
              <w:spacing w:line="240" w:lineRule="auto" w:before="0" w:after="0"/>
              <w:pStyle w:val="Compact"/>
            </w:pPr>
            <w:r>
              <w:rPr>
                <w:sz w:val="20"/>
                <w:szCs w:val="20"/>
              </w:rPr>
              <w:t xml:space="preserve">Telesat Lightspeed CSA contract 2023; MDA Q4-2023 report</w:t>
            </w:r>
          </w:p>
        </w:tc>
      </w:tr>
      <w:tr>
        <w:tc>
          <w:tcPr>
            <w:tcW w:w="0" w:type="auto"/>
          </w:tcPr>
          <w:p>
            <w:pPr>
              <w:spacing w:line="240" w:lineRule="auto" w:before="0" w:after="0"/>
              <w:pStyle w:val="Compact"/>
            </w:pPr>
            <w:r>
              <w:rPr>
                <w:sz w:val="20"/>
                <w:szCs w:val="20"/>
              </w:rPr>
              <w:t xml:space="preserve">O3b-mPower-1</w:t>
            </w:r>
          </w:p>
        </w:tc>
        <w:tc>
          <w:tcPr>
            <w:tcW w:w="0" w:type="auto"/>
          </w:tcPr>
          <w:p>
            <w:pPr>
              <w:spacing w:line="240" w:lineRule="auto" w:before="0" w:after="0"/>
              <w:pStyle w:val="Compact"/>
            </w:pPr>
            <w:r>
              <w:rPr>
                <w:sz w:val="20"/>
                <w:szCs w:val="20"/>
              </w:rPr>
              <w:t xml:space="preserve">rf_ka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5000</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5.3471</w:t>
            </w:r>
          </w:p>
        </w:tc>
        <w:tc>
          <w:tcPr>
            <w:tcW w:w="0" w:type="auto"/>
          </w:tcPr>
          <w:p>
            <w:pPr>
              <w:spacing w:line="240" w:lineRule="auto" w:before="0" w:after="0"/>
              <w:pStyle w:val="Compact"/>
            </w:pPr>
            <w:r>
              <w:rPr>
                <w:sz w:val="20"/>
                <w:szCs w:val="20"/>
              </w:rPr>
              <w:t xml:space="preserve">4.3175</w:t>
            </w:r>
          </w:p>
        </w:tc>
        <w:tc>
          <w:tcPr>
            <w:tcW w:w="0" w:type="auto"/>
          </w:tcPr>
          <w:p>
            <w:pPr>
              <w:spacing w:line="240" w:lineRule="auto" w:before="0" w:after="0"/>
              <w:pStyle w:val="Compact"/>
            </w:pPr>
            <w:r>
              <w:rPr>
                <w:sz w:val="20"/>
                <w:szCs w:val="20"/>
              </w:rPr>
              <w:t xml:space="preserve">7.3132</w:t>
            </w:r>
          </w:p>
        </w:tc>
        <w:tc>
          <w:tcPr>
            <w:tcW w:w="0" w:type="auto"/>
          </w:tcPr>
          <w:p>
            <w:pPr>
              <w:spacing w:line="240" w:lineRule="auto" w:before="0" w:after="0"/>
              <w:pStyle w:val="Compact"/>
            </w:pPr>
            <w:r>
              <w:rPr>
                <w:sz w:val="20"/>
                <w:szCs w:val="20"/>
              </w:rPr>
              <w:t xml:space="preserve">8.5172</w:t>
            </w:r>
          </w:p>
        </w:tc>
        <w:tc>
          <w:tcPr>
            <w:tcW w:w="0" w:type="auto"/>
          </w:tcPr>
          <w:p>
            <w:pPr>
              <w:spacing w:line="240" w:lineRule="auto" w:before="0" w:after="0"/>
              <w:pStyle w:val="Compact"/>
            </w:pPr>
            <w:r>
              <w:rPr>
                <w:sz w:val="20"/>
                <w:szCs w:val="20"/>
              </w:rPr>
              <w:t xml:space="preserve">SES 2022 annual report; Boeing 702X contract value</w:t>
            </w:r>
          </w:p>
        </w:tc>
      </w:tr>
      <w:tr>
        <w:tc>
          <w:tcPr>
            <w:tcW w:w="0" w:type="auto"/>
          </w:tcPr>
          <w:p>
            <w:pPr>
              <w:spacing w:line="240" w:lineRule="auto" w:before="0" w:after="0"/>
              <w:pStyle w:val="Compact"/>
            </w:pPr>
            <w:r>
              <w:rPr>
                <w:sz w:val="20"/>
                <w:szCs w:val="20"/>
              </w:rPr>
              <w:t xml:space="preserve">GeoEye-Equiv-Ka</w:t>
            </w:r>
          </w:p>
        </w:tc>
        <w:tc>
          <w:tcPr>
            <w:tcW w:w="0" w:type="auto"/>
          </w:tcPr>
          <w:p>
            <w:pPr>
              <w:spacing w:line="240" w:lineRule="auto" w:before="0" w:after="0"/>
              <w:pStyle w:val="Compact"/>
            </w:pPr>
            <w:r>
              <w:rPr>
                <w:sz w:val="20"/>
                <w:szCs w:val="20"/>
              </w:rPr>
              <w:t xml:space="preserve">rf_ka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520</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82.5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5.1059</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6.2538</w:t>
            </w:r>
          </w:p>
        </w:tc>
        <w:tc>
          <w:tcPr>
            <w:tcW w:w="0" w:type="auto"/>
          </w:tcPr>
          <w:p>
            <w:pPr>
              <w:spacing w:line="240" w:lineRule="auto" w:before="0" w:after="0"/>
              <w:pStyle w:val="Compact"/>
            </w:pPr>
            <w:r>
              <w:rPr>
                <w:sz w:val="20"/>
                <w:szCs w:val="20"/>
              </w:rPr>
              <w:t xml:space="preserve">7.5496</w:t>
            </w:r>
          </w:p>
        </w:tc>
        <w:tc>
          <w:tcPr>
            <w:tcW w:w="0" w:type="auto"/>
          </w:tcPr>
          <w:p>
            <w:pPr>
              <w:spacing w:line="240" w:lineRule="auto" w:before="0" w:after="0"/>
              <w:pStyle w:val="Compact"/>
            </w:pPr>
            <w:r>
              <w:rPr>
                <w:sz w:val="20"/>
                <w:szCs w:val="20"/>
              </w:rPr>
              <w:t xml:space="preserve">GAO-19-417 commercial SATCOM benchmark [illustrative]</w:t>
            </w:r>
          </w:p>
        </w:tc>
      </w:tr>
      <w:tr>
        <w:tc>
          <w:tcPr>
            <w:tcW w:w="0" w:type="auto"/>
          </w:tcPr>
          <w:p>
            <w:pPr>
              <w:spacing w:line="240" w:lineRule="auto" w:before="0" w:after="0"/>
              <w:pStyle w:val="Compact"/>
            </w:pPr>
            <w:r>
              <w:rPr>
                <w:sz w:val="20"/>
                <w:szCs w:val="20"/>
              </w:rPr>
              <w:t xml:space="preserve">DSCS-III-B6</w:t>
            </w:r>
          </w:p>
        </w:tc>
        <w:tc>
          <w:tcPr>
            <w:tcW w:w="0" w:type="auto"/>
          </w:tcPr>
          <w:p>
            <w:pPr>
              <w:spacing w:line="240" w:lineRule="auto" w:before="0" w:after="0"/>
              <w:pStyle w:val="Compact"/>
            </w:pPr>
            <w:r>
              <w:rPr>
                <w:sz w:val="20"/>
                <w:szCs w:val="20"/>
              </w:rPr>
              <w:t xml:space="preserve">rf_xband</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1170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5.2983</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7.0648</w:t>
            </w:r>
          </w:p>
        </w:tc>
        <w:tc>
          <w:tcPr>
            <w:tcW w:w="0" w:type="auto"/>
          </w:tcPr>
          <w:p>
            <w:pPr>
              <w:spacing w:line="240" w:lineRule="auto" w:before="0" w:after="0"/>
              <w:pStyle w:val="Compact"/>
            </w:pPr>
            <w:r>
              <w:rPr>
                <w:sz w:val="20"/>
                <w:szCs w:val="20"/>
              </w:rPr>
              <w:t xml:space="preserve">7.3132</w:t>
            </w:r>
          </w:p>
        </w:tc>
        <w:tc>
          <w:tcPr>
            <w:tcW w:w="0" w:type="auto"/>
          </w:tcPr>
          <w:p>
            <w:pPr>
              <w:spacing w:line="240" w:lineRule="auto" w:before="0" w:after="0"/>
              <w:pStyle w:val="Compact"/>
            </w:pPr>
            <w:r>
              <w:rPr>
                <w:sz w:val="20"/>
                <w:szCs w:val="20"/>
              </w:rPr>
              <w:t xml:space="preserve">USAF DSCS-III B6 historical; GAO-95-211 [illustrative]</w:t>
            </w:r>
          </w:p>
        </w:tc>
      </w:tr>
      <w:tr>
        <w:tc>
          <w:tcPr>
            <w:tcW w:w="0" w:type="auto"/>
          </w:tcPr>
          <w:p>
            <w:pPr>
              <w:spacing w:line="240" w:lineRule="auto" w:before="0" w:after="0"/>
              <w:pStyle w:val="Compact"/>
            </w:pPr>
            <w:r>
              <w:rPr>
                <w:sz w:val="20"/>
                <w:szCs w:val="20"/>
              </w:rPr>
              <w:t xml:space="preserve">SBIRS-Geo-6-Comms</w:t>
            </w:r>
          </w:p>
        </w:tc>
        <w:tc>
          <w:tcPr>
            <w:tcW w:w="0" w:type="auto"/>
          </w:tcPr>
          <w:p>
            <w:pPr>
              <w:spacing w:line="240" w:lineRule="auto" w:before="0" w:after="0"/>
              <w:pStyle w:val="Compact"/>
            </w:pPr>
            <w:r>
              <w:rPr>
                <w:sz w:val="20"/>
                <w:szCs w:val="20"/>
              </w:rPr>
              <w:t xml:space="preserve">rf_ka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4500</w:t>
            </w:r>
          </w:p>
        </w:tc>
        <w:tc>
          <w:tcPr>
            <w:tcW w:w="0" w:type="auto"/>
          </w:tcPr>
          <w:p>
            <w:pPr>
              <w:spacing w:line="240" w:lineRule="auto" w:before="0" w:after="0"/>
              <w:pStyle w:val="Compact"/>
            </w:pPr>
            <w:r>
              <w:rPr>
                <w:sz w:val="20"/>
                <w:szCs w:val="20"/>
              </w:rPr>
              <w:t xml:space="preserve">2700</w:t>
            </w:r>
          </w:p>
        </w:tc>
        <w:tc>
          <w:tcPr>
            <w:tcW w:w="0" w:type="auto"/>
          </w:tcPr>
          <w:p>
            <w:pPr>
              <w:spacing w:line="240" w:lineRule="auto" w:before="0" w:after="0"/>
              <w:pStyle w:val="Compact"/>
            </w:pPr>
            <w:r>
              <w:rPr>
                <w:sz w:val="20"/>
                <w:szCs w:val="20"/>
              </w:rPr>
              <w:t xml:space="preserve">290</w:t>
            </w:r>
          </w:p>
        </w:tc>
        <w:tc>
          <w:tcPr>
            <w:tcW w:w="0" w:type="auto"/>
          </w:tcPr>
          <w:p>
            <w:pPr>
              <w:spacing w:line="240" w:lineRule="auto" w:before="0" w:after="0"/>
              <w:pStyle w:val="Compact"/>
            </w:pPr>
            <w:r>
              <w:rPr>
                <w:sz w:val="20"/>
                <w:szCs w:val="20"/>
              </w:rPr>
              <w:t xml:space="preserve">580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5.6699</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8.4118</w:t>
            </w:r>
          </w:p>
        </w:tc>
        <w:tc>
          <w:tcPr>
            <w:tcW w:w="0" w:type="auto"/>
          </w:tcPr>
          <w:p>
            <w:pPr>
              <w:spacing w:line="240" w:lineRule="auto" w:before="0" w:after="0"/>
              <w:pStyle w:val="Compact"/>
            </w:pPr>
            <w:r>
              <w:rPr>
                <w:sz w:val="20"/>
                <w:szCs w:val="20"/>
              </w:rPr>
              <w:t xml:space="preserve">7.901</w:t>
            </w:r>
          </w:p>
        </w:tc>
        <w:tc>
          <w:tcPr>
            <w:tcW w:w="0" w:type="auto"/>
          </w:tcPr>
          <w:p>
            <w:pPr>
              <w:spacing w:line="240" w:lineRule="auto" w:before="0" w:after="0"/>
              <w:pStyle w:val="Compact"/>
            </w:pPr>
            <w:r>
              <w:rPr>
                <w:sz w:val="20"/>
                <w:szCs w:val="20"/>
              </w:rPr>
              <w:t xml:space="preserve">GAO-22-105230 SBIRS-Geo cost; comms subsystem alloc [illustrative]</w:t>
            </w:r>
          </w:p>
        </w:tc>
      </w:tr>
      <w:tr>
        <w:tc>
          <w:tcPr>
            <w:tcW w:w="0" w:type="auto"/>
          </w:tcPr>
          <w:p>
            <w:pPr>
              <w:spacing w:line="240" w:lineRule="auto" w:before="0" w:after="0"/>
              <w:pStyle w:val="Compact"/>
            </w:pPr>
            <w:r>
              <w:rPr>
                <w:sz w:val="20"/>
                <w:szCs w:val="20"/>
              </w:rPr>
              <w:t xml:space="preserve">SDA-T1TL-OCT</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0.11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-0.5978</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4.0073</w:t>
            </w:r>
          </w:p>
        </w:tc>
        <w:tc>
          <w:tcPr>
            <w:tcW w:w="0" w:type="auto"/>
          </w:tcPr>
          <w:p>
            <w:pPr>
              <w:spacing w:line="240" w:lineRule="auto" w:before="0" w:after="0"/>
              <w:pStyle w:val="Compact"/>
            </w:pPr>
            <w:r>
              <w:rPr>
                <w:sz w:val="20"/>
                <w:szCs w:val="20"/>
              </w:rPr>
              <w:t xml:space="preserve">SDA Tranche 1 Transport Layer contract values 2022; Mynaric/CACI/Tesat unit data</w:t>
            </w:r>
          </w:p>
        </w:tc>
      </w:tr>
      <w:tr>
        <w:tc>
          <w:tcPr>
            <w:tcW w:w="0" w:type="auto"/>
          </w:tcPr>
          <w:p>
            <w:pPr>
              <w:spacing w:line="240" w:lineRule="auto" w:before="0" w:after="0"/>
              <w:pStyle w:val="Compact"/>
            </w:pPr>
            <w:r>
              <w:rPr>
                <w:sz w:val="20"/>
                <w:szCs w:val="20"/>
              </w:rPr>
              <w:t xml:space="preserve">DLR-OSIRIS4</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DLR OSIRIS4CubeSat paper; Acta Astronautica 2023</w:t>
            </w:r>
          </w:p>
        </w:tc>
      </w:tr>
    </w:tbl>
    <w:bookmarkEnd w:id="199"/>
    <w:bookmarkStart w:id="200" w:name="variable-construction-2"/>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ln_unit_cost</w:t>
            </w:r>
          </w:p>
        </w:tc>
        <w:tc>
          <w:tcPr>
            <w:tcW w:w="0" w:type="auto"/>
          </w:tcPr>
          <w:p>
            <w:pPr>
              <w:spacing w:line="240" w:lineRule="auto" w:before="0" w:after="0"/>
              <w:pStyle w:val="Compact"/>
            </w:pPr>
            <w:r>
              <w:rPr>
                <w:sz w:val="20"/>
                <w:szCs w:val="20"/>
              </w:rPr>
              <w:t xml:space="preserve">Natural log of recurring per-unit terminal cost in 2024 USD millions, deflated where source year differs using GDP deflator and NASA New Start Index</w:t>
            </w:r>
          </w:p>
        </w:tc>
        <w:tc>
          <w:tcPr>
            <w:tcW w:w="0" w:type="auto"/>
          </w:tcPr>
          <w:p>
            <w:pPr>
              <w:spacing w:line="240" w:lineRule="auto" w:before="0" w:after="0"/>
              <w:pStyle w:val="Compact"/>
            </w:pPr>
            <w:r>
              <w:rPr>
                <w:sz w:val="20"/>
                <w:szCs w:val="20"/>
              </w:rPr>
              <w:t xml:space="preserve">Constructed as ln(unit_cost_musd2024) from GAO Major-Project Assessment series (GAO-15-274, GAO-15-342, GAO-19-417, GAO-20-439, GAO-22-105212, GAO-22-105230), USSF/USAF budget exhibits, SEC 10-K filings (Maxar, Inmarsat, Viasat, SES, Iridium, Telesat), and contractor disclosures (Boeing, Thales Alenia, MDA, Mynaric, Tesat)</w:t>
            </w:r>
          </w:p>
        </w:tc>
      </w:tr>
      <w:tr>
        <w:tc>
          <w:tcPr>
            <w:tcW w:w="0" w:type="auto"/>
          </w:tcPr>
          <w:p>
            <w:pPr>
              <w:spacing w:line="240" w:lineRule="auto" w:before="0" w:after="0"/>
              <w:pStyle w:val="Compact"/>
            </w:pPr>
            <w:r>
              <w:rPr>
                <w:sz w:val="20"/>
                <w:szCs w:val="20"/>
              </w:rPr>
              <w:t xml:space="preserve">ln_data_rate</w:t>
            </w:r>
          </w:p>
        </w:tc>
        <w:tc>
          <w:tcPr>
            <w:tcW w:w="0" w:type="auto"/>
          </w:tcPr>
          <w:p>
            <w:pPr>
              <w:spacing w:line="240" w:lineRule="auto" w:before="0" w:after="0"/>
              <w:pStyle w:val="Compact"/>
            </w:pPr>
            <w:r>
              <w:rPr>
                <w:sz w:val="20"/>
                <w:szCs w:val="20"/>
              </w:rPr>
              <w:t xml:space="preserve">Natural log of peak demonstrated or contracted on-orbit one-way user data rate per terminal in Gbps</w:t>
            </w:r>
          </w:p>
        </w:tc>
        <w:tc>
          <w:tcPr>
            <w:tcW w:w="0" w:type="auto"/>
          </w:tcPr>
          <w:p>
            <w:pPr>
              <w:spacing w:line="240" w:lineRule="auto" w:before="0" w:after="0"/>
              <w:pStyle w:val="Compact"/>
            </w:pPr>
            <w:r>
              <w:rPr>
                <w:sz w:val="20"/>
                <w:szCs w:val="20"/>
              </w:rPr>
              <w:t xml:space="preserve">Constructed as ln(data_rate_gbps) from NASA NTRS mission reports, FCC IBFS filings (SAT-MOD-20200417), ESA EDRS programme docs, Acta Astronautica technical papers, vendor data sheets</w:t>
            </w:r>
          </w:p>
        </w:tc>
      </w:tr>
      <w:tr>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Natural log of communications payload or terminal dry mass in kilograms</w:t>
            </w:r>
          </w:p>
        </w:tc>
        <w:tc>
          <w:tcPr>
            <w:tcW w:w="0" w:type="auto"/>
          </w:tcPr>
          <w:p>
            <w:pPr>
              <w:spacing w:line="240" w:lineRule="auto" w:before="0" w:after="0"/>
              <w:pStyle w:val="Compact"/>
            </w:pPr>
            <w:r>
              <w:rPr>
                <w:sz w:val="20"/>
                <w:szCs w:val="20"/>
              </w:rPr>
              <w:t xml:space="preserve">Constructed as ln(terminal_mass_kg) from mission press kits, contractor datasheets, FCC technical exhibits, and refereed instrument papers</w:t>
            </w:r>
          </w:p>
        </w:tc>
      </w:tr>
      <w:tr>
        <w:tc>
          <w:tcPr>
            <w:tcW w:w="0" w:type="auto"/>
          </w:tcPr>
          <w:p>
            <w:pPr>
              <w:spacing w:line="240" w:lineRule="auto" w:before="0" w:after="0"/>
              <w:pStyle w:val="Compact"/>
            </w:pPr>
            <w:r>
              <w:rPr>
                <w:sz w:val="20"/>
                <w:szCs w:val="20"/>
              </w:rPr>
              <w:t xml:space="preserve">ln_power</w:t>
            </w:r>
          </w:p>
        </w:tc>
        <w:tc>
          <w:tcPr>
            <w:tcW w:w="0" w:type="auto"/>
          </w:tcPr>
          <w:p>
            <w:pPr>
              <w:spacing w:line="240" w:lineRule="auto" w:before="0" w:after="0"/>
              <w:pStyle w:val="Compact"/>
            </w:pPr>
            <w:r>
              <w:rPr>
                <w:sz w:val="20"/>
                <w:szCs w:val="20"/>
              </w:rPr>
              <w:t xml:space="preserve">Natural log of communications payload steady-state DC power in watts</w:t>
            </w:r>
          </w:p>
        </w:tc>
        <w:tc>
          <w:tcPr>
            <w:tcW w:w="0" w:type="auto"/>
          </w:tcPr>
          <w:p>
            <w:pPr>
              <w:spacing w:line="240" w:lineRule="auto" w:before="0" w:after="0"/>
              <w:pStyle w:val="Compact"/>
            </w:pPr>
            <w:r>
              <w:rPr>
                <w:sz w:val="20"/>
                <w:szCs w:val="20"/>
              </w:rPr>
              <w:t xml:space="preserve">Constructed as ln(terminal_power_w) from spacecraft power-budget exhibits in mission press kits, NASA OIG audits, and DAF P-40 budget documents</w:t>
            </w:r>
          </w:p>
        </w:tc>
      </w:tr>
      <w:tr>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Binary indicator equal to 1 for free-space optical (1064 or 1550 nm laser) terminals and 0 for radio-frequency terminals (UHF, S, X, Ku, Ka band)</w:t>
            </w:r>
          </w:p>
        </w:tc>
        <w:tc>
          <w:tcPr>
            <w:tcW w:w="0" w:type="auto"/>
          </w:tcPr>
          <w:p>
            <w:pPr>
              <w:spacing w:line="240" w:lineRule="auto" w:before="0" w:after="0"/>
              <w:pStyle w:val="Compact"/>
            </w:pPr>
            <w:r>
              <w:rPr>
                <w:sz w:val="20"/>
                <w:szCs w:val="20"/>
              </w:rPr>
              <w:t xml:space="preserve">Classified from primary downlink or crosslink technology described in the cited mission source per row</w:t>
            </w:r>
          </w:p>
        </w:tc>
      </w:tr>
      <w:tr>
        <w:tc>
          <w:tcPr>
            <w:tcW w:w="0" w:type="auto"/>
          </w:tcPr>
          <w:p>
            <w:pPr>
              <w:spacing w:line="240" w:lineRule="auto" w:before="0" w:after="0"/>
              <w:pStyle w:val="Compact"/>
            </w:pPr>
            <w:r>
              <w:rPr>
                <w:sz w:val="20"/>
                <w:szCs w:val="20"/>
              </w:rPr>
              <w:t xml:space="preserve">unit_cost_musd2024</w:t>
            </w:r>
          </w:p>
        </w:tc>
        <w:tc>
          <w:tcPr>
            <w:tcW w:w="0" w:type="auto"/>
          </w:tcPr>
          <w:p>
            <w:pPr>
              <w:spacing w:line="240" w:lineRule="auto" w:before="0" w:after="0"/>
              <w:pStyle w:val="Compact"/>
            </w:pPr>
            <w:r>
              <w:rPr>
                <w:sz w:val="20"/>
                <w:szCs w:val="20"/>
              </w:rPr>
              <w:t xml:space="preserve">Underlying recurring per-unit terminal cost in 2024 USD millions before log transform</w:t>
            </w:r>
          </w:p>
        </w:tc>
        <w:tc>
          <w:tcPr>
            <w:tcW w:w="0" w:type="auto"/>
          </w:tcPr>
          <w:p>
            <w:pPr>
              <w:spacing w:line="240" w:lineRule="auto" w:before="0" w:after="0"/>
              <w:pStyle w:val="Compact"/>
            </w:pPr>
            <w:r>
              <w:rPr>
                <w:sz w:val="20"/>
                <w:szCs w:val="20"/>
              </w:rPr>
              <w:t xml:space="preserve">GAO Major-Project Assessments; SEC 10-K filings; DAF FY24 P-40 budget; vendor 10-K and press disclosures</w:t>
            </w:r>
          </w:p>
        </w:tc>
      </w:tr>
    </w:tbl>
    <w:bookmarkEnd w:id="200"/>
    <w:bookmarkEnd w:id="201"/>
    <w:bookmarkEnd w:id="202"/>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7" Type="http://schemas.openxmlformats.org/officeDocument/2006/relationships/image" Target="media/rId187.png"/><Relationship Id="rId195" Type="http://schemas.openxmlformats.org/officeDocument/2006/relationships/image" Target="media/rId195.png"/><Relationship Id="rId176" Type="http://schemas.openxmlformats.org/officeDocument/2006/relationships/hyperlink" Target="https://doi.org/10.1016/j.actaastro.2018.03.040" TargetMode="External"/><Relationship Id="rId180" Type="http://schemas.openxmlformats.org/officeDocument/2006/relationships/hyperlink" Target="https://doi.org/10.1016/j.actaastro.2019.10.011" TargetMode="External"/><Relationship Id="rId168" Type="http://schemas.openxmlformats.org/officeDocument/2006/relationships/hyperlink" Target="https://doi.org/10.1016/j.actaastro.2020.12.035" TargetMode="External"/><Relationship Id="rId131" Type="http://schemas.openxmlformats.org/officeDocument/2006/relationships/hyperlink" Target="https://doi.org/10.1016/j.actaastro.2022.05.011" TargetMode="External"/><Relationship Id="rId172" Type="http://schemas.openxmlformats.org/officeDocument/2006/relationships/hyperlink" Target="https://doi.org/10.1016/j.actaastro.2022.05.040" TargetMode="External"/><Relationship Id="rId178" Type="http://schemas.openxmlformats.org/officeDocument/2006/relationships/hyperlink" Target="https://doi.org/10.1016/j.actaastro.2023.01.034" TargetMode="External"/><Relationship Id="rId133" Type="http://schemas.openxmlformats.org/officeDocument/2006/relationships/hyperlink" Target="https://doi.org/10.1016/j.actaastro.2023.06.026" TargetMode="External"/><Relationship Id="rId136" Type="http://schemas.openxmlformats.org/officeDocument/2006/relationships/hyperlink" Target="https://doi.org/10.1016/j.actaastro.2023.07.014" TargetMode="External"/><Relationship Id="rId170" Type="http://schemas.openxmlformats.org/officeDocument/2006/relationships/hyperlink" Target="https://doi.org/10.1016/j.actaastro.2024.08.022" TargetMode="External"/><Relationship Id="rId174" Type="http://schemas.openxmlformats.org/officeDocument/2006/relationships/hyperlink" Target="https://doi.org/10.1016/j.actaastro.2024.11.060" TargetMode="External"/><Relationship Id="rId182" Type="http://schemas.openxmlformats.org/officeDocument/2006/relationships/hyperlink" Target="https://doi.org/10.1016/j.actaastro.2026.05.064" TargetMode="External"/><Relationship Id="rId165" Type="http://schemas.openxmlformats.org/officeDocument/2006/relationships/hyperlink" Target="https://doi.org/10.64861/UHIX1013" TargetMode="External"/></Relationships>
</file>

<file path=word/_rels/footnotes.xml.rels><?xml version='1.0' encoding='UTF-8' standalone='yes'?>
<Relationships xmlns="http://schemas.openxmlformats.org/package/2006/relationships"><Relationship Id="rId176" Type="http://schemas.openxmlformats.org/officeDocument/2006/relationships/hyperlink" Target="https://doi.org/10.1016/j.actaastro.2018.03.040" TargetMode="External"/><Relationship Id="rId180" Type="http://schemas.openxmlformats.org/officeDocument/2006/relationships/hyperlink" Target="https://doi.org/10.1016/j.actaastro.2019.10.011" TargetMode="External"/><Relationship Id="rId168" Type="http://schemas.openxmlformats.org/officeDocument/2006/relationships/hyperlink" Target="https://doi.org/10.1016/j.actaastro.2020.12.035" TargetMode="External"/><Relationship Id="rId131" Type="http://schemas.openxmlformats.org/officeDocument/2006/relationships/hyperlink" Target="https://doi.org/10.1016/j.actaastro.2022.05.011" TargetMode="External"/><Relationship Id="rId172" Type="http://schemas.openxmlformats.org/officeDocument/2006/relationships/hyperlink" Target="https://doi.org/10.1016/j.actaastro.2022.05.040" TargetMode="External"/><Relationship Id="rId178" Type="http://schemas.openxmlformats.org/officeDocument/2006/relationships/hyperlink" Target="https://doi.org/10.1016/j.actaastro.2023.01.034" TargetMode="External"/><Relationship Id="rId133" Type="http://schemas.openxmlformats.org/officeDocument/2006/relationships/hyperlink" Target="https://doi.org/10.1016/j.actaastro.2023.06.026" TargetMode="External"/><Relationship Id="rId136" Type="http://schemas.openxmlformats.org/officeDocument/2006/relationships/hyperlink" Target="https://doi.org/10.1016/j.actaastro.2023.07.014" TargetMode="External"/><Relationship Id="rId170" Type="http://schemas.openxmlformats.org/officeDocument/2006/relationships/hyperlink" Target="https://doi.org/10.1016/j.actaastro.2024.08.022" TargetMode="External"/><Relationship Id="rId174" Type="http://schemas.openxmlformats.org/officeDocument/2006/relationships/hyperlink" Target="https://doi.org/10.1016/j.actaastro.2024.11.060" TargetMode="External"/><Relationship Id="rId182" Type="http://schemas.openxmlformats.org/officeDocument/2006/relationships/hyperlink" Target="https://doi.org/10.1016/j.actaastro.2026.05.064" TargetMode="External"/><Relationship Id="rId165" Type="http://schemas.openxmlformats.org/officeDocument/2006/relationships/hyperlink" Target="https://doi.org/10.64861/UHIX10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Spectrum Versus Photons: A Cost-of-Capacity Comparison of RF and Optical Space-to-Ground Links</dc:title>
  <dc:creator>Adrian Hoffmann (1B-ITI-110)</dc:creator>
  <cp:keywords/>
  <dcterms:created xsi:type="dcterms:W3CDTF">2026-07-02T17:52:55Z</dcterms:created>
  <dcterms:modified xsi:type="dcterms:W3CDTF">2026-07-02T17:52:55Z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