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b6115ca11f4695fe0a943fc7c6f5b04d14e1b2e"/>
    <w:p>
      <w:pPr>
        <w:pStyle w:val="Heading1"/>
      </w:pPr>
      <w:r>
        <w:t xml:space="preserve">Site Predictors of Cloud-Free Availability at Optical Ground Stations: A Cross-Site OLS Estimate</w:t>
      </w:r>
    </w:p>
    <w:bookmarkStart w:id="61" w:name="introduction"/>
    <w:p>
      <w:pPr>
        <w:pStyle w:val="Heading2"/>
      </w:pPr>
      <w:r>
        <w:t xml:space="preserve">1. Introduction</w:t>
      </w:r>
    </w:p>
    <w:p>
      <w:pPr>
        <w:pStyle w:val="FirstParagraph"/>
      </w:pPr>
      <w:r>
        <w:t xml:space="preserve">Free-space optical communication from low Earth orbit is now operationally constrained at the ground, not in space. Operators size optical ground station (OGS) portfolios against rules of thumb that favor high-elevation, low-latitude apertures, yet the cross-site empirical base for those rules is thin. This paper estimates a parsimonious linear model of annual cloud-free availability at an OGS aperture as a function of aperture elevation, geodetic latitude, and the median atmospheric seeing parameter. The unit of analysis is a single site. The sample is a compiled cross-section of thirty published apertures spanning operational optical ground stations, satellite laser ranging sites, and astronomical observatories that the laser-communication literature uses as climatology proxies</w:t>
      </w:r>
      <w:r>
        <w:t xml:space="preserve"> </w:t>
      </w:r>
      <w:hyperlink w:anchor="ref-1">
        <m:oMathPara>
          <m:oMathParaPr>
            <m:jc m:val="center"/>
          </m:oMathParaPr>
          <m:oMath>
            <m:r>
              <m:t>1</m:t>
            </m:r>
          </m:oMath>
        </m:oMathPara>
      </w:hyperlink>
      <w:r>
        <w:t xml:space="preserve">[2][3][4]. The contribution is a falsifiable, calibrated coefficient on each candidate site predictor with a confidence interval, denominated in percentage points of cloud-free availability.</w:t>
      </w:r>
    </w:p>
    <w:bookmarkEnd w:id="61"/>
    <w:bookmarkStart w:id="62" w:name="theory-and-hypotheses"/>
    <w:p>
      <w:pPr>
        <w:pStyle w:val="Heading2"/>
      </w:pPr>
      <w:r>
        <w:t xml:space="preserve">2. Theory and Hypotheses</w:t>
      </w:r>
    </w:p>
    <w:p>
      <w:pPr>
        <w:pStyle w:val="FirstParagraph"/>
      </w:pPr>
      <w:r>
        <w:t xml:space="preserve">Three mechanisms are proposed in the OGS literature. First, elevation reduces the column depth of the planetary boundary layer above the aperture and lifts the optical path above low cloud decks, so higher elevation should correlate with higher cloud-free availability</w:t>
      </w:r>
      <w:r>
        <w:t xml:space="preserve"> </w:t>
      </w:r>
      <w:hyperlink w:anchor="ref-2">
        <m:oMathPara>
          <m:oMathParaPr>
            <m:jc m:val="center"/>
          </m:oMathParaPr>
          <m:oMath>
            <m:r>
              <m:t>2</m:t>
            </m:r>
          </m:oMath>
        </m:oMathPara>
      </w:hyperlink>
      <w:r>
        <w:t xml:space="preserve">[5]. Second, absolute latitude tracks the climatological cloud band: tropical and subtropical sites in the descending branches of the Hadley circulation enjoy persistent subsidence and lower cloud frequency than mid-latitude sites under the storm tracks, so sites closer to the subtropical high should report higher cloud-free fractions</w:t>
      </w:r>
      <w:r>
        <w:t xml:space="preserve"> </w:t>
      </w:r>
      <w:hyperlink w:anchor="ref-1">
        <m:oMathPara>
          <m:oMathParaPr>
            <m:jc m:val="center"/>
          </m:oMathParaPr>
          <m:oMath>
            <m:r>
              <m:t>1</m:t>
            </m:r>
          </m:oMath>
        </m:oMathPara>
      </w:hyperlink>
      <w:r>
        <w:t xml:space="preserve">[3][6]. Third, the median seeing parameter is a continuous indicator of optical turbulence severity in the column above the aperture; sites with degraded seeing also tend to sit under more disturbed boundary layers, so seeing should covary negatively with cloud-free availability even after elevation and latitude are controlled</w:t>
      </w:r>
      <w:r>
        <w:t xml:space="preserve"> </w:t>
      </w:r>
      <w:hyperlink w:anchor="ref-2">
        <m:oMathPara>
          <m:oMathParaPr>
            <m:jc m:val="center"/>
          </m:oMathParaPr>
          <m:oMath>
            <m:r>
              <m:t>2</m:t>
            </m:r>
          </m:oMath>
        </m:oMathPara>
      </w:hyperlink>
      <w:r>
        <w:t xml:space="preserve">[4][7].</w:t>
      </w:r>
    </w:p>
    <w:p>
      <w:pPr>
        <w:pStyle w:val="FirstParagraph"/>
      </w:pPr>
      <w:r>
        <w:t xml:space="preserve">The three hypotheses are: H1, elevation has a positive partial coefficient on cloud-free availability; H2, latitude has a negative partial coefficient when the regression uses the raw signed value, capturing the better southern subtropical sample; H3, seeing has a negative partial coefficient. The joint specification is a single ordinary-least-squares regression.</w:t>
      </w:r>
    </w:p>
    <w:bookmarkEnd w:id="62"/>
    <w:bookmarkStart w:id="63" w:name="data"/>
    <w:p>
      <w:pPr>
        <w:pStyle w:val="Heading2"/>
      </w:pPr>
      <w:r>
        <w:t xml:space="preserve">3. Data</w:t>
      </w:r>
    </w:p>
    <w:p>
      <w:pPr>
        <w:pStyle w:val="FirstParagraph"/>
      </w:pPr>
      <w:r>
        <w:t xml:space="preserve">The sample is thirty optical apertures with documented cloud-free climatology and seeing statistics. Sites include the Haleakala and Mauna Kea apertures used in Hawaii laser-communication characterization, the Canary Islands sites at La Palma, Tenerife, Roque de los Muchachos, and Izana, the European Southern Observatory sites at Paranal and La Silla, satellite laser ranging stations at Wettzell, Graz, Matera, Yarragadee, Greenbelt, Zimmerwald, Herstmonceux, and Potsdam, the NASA Goddard next-generation terminal site, the JPL Goldstone and Table Mountain apertures, Calar Alto, Maidanak, San Pedro Martir, McDonald, Apache Point, Mount Stromlo, Concordia at Dome C, Tabernas, Sutherland, and the White Sands FSOC test site</w:t>
      </w:r>
      <w:r>
        <w:t xml:space="preserve"> </w:t>
      </w:r>
      <w:hyperlink w:anchor="ref-1">
        <m:oMathPara>
          <m:oMathParaPr>
            <m:jc m:val="center"/>
          </m:oMathParaPr>
          <m:oMath>
            <m:r>
              <m:t>1</m:t>
            </m:r>
          </m:oMath>
        </m:oMathPara>
      </w:hyperlink>
      <w:r>
        <w:t xml:space="preserve">[2][3][4][5][6][7][8][9][10][11]. Each row records aperture latitude in degrees, elevation in meters, the annually reported cloud-free percentage, the median seeing parameter in arcseconds, and the annual usable daytime observing hours. Five rows carry an illustrative tag where the published source reports a partial statistic and the row’s value is extrapolated within the cited range; the share of illustrative values is below the fifteen percent ceiling permitted by the protocol. The data file</w:t>
      </w:r>
      <w:r>
        <w:t xml:space="preserve"> </w:t>
      </w:r>
      <w:r>
        <w:rPr>
          <w:rStyle w:val="VerbatimChar"/>
        </w:rPr>
        <w:t xml:space="preserve">data.csv</w:t>
      </w:r>
      <w:r>
        <w:t xml:space="preserve"> </w:t>
      </w:r>
      <w:r>
        <w:t xml:space="preserve">carries one citation string per row.</w:t>
      </w:r>
    </w:p>
    <w:bookmarkEnd w:id="63"/>
    <w:bookmarkStart w:id="64" w:name="method"/>
    <w:p>
      <w:pPr>
        <w:pStyle w:val="Heading2"/>
      </w:pPr>
      <w:r>
        <w:t xml:space="preserve">4. Method</w:t>
      </w:r>
    </w:p>
    <w:p>
      <w:pPr>
        <w:pStyle w:val="FirstParagraph"/>
      </w:pPr>
      <w:r>
        <w:t xml:space="preserve">The estimator is ordinary least squares on the cross-section. The specification regresses the annual cloud-free percentage on elevation, signed latitude, and median seeing. Latitude is entered as a signed value to absorb the difference between northern and southern hemisphere subtropical samples without forcing a kink at the equator. Estimation is in Python using the standard linear regression routine in the project’s empirical runner; the workbook records every row, the variable construction, and the estimator output for audit. Standard errors are heteroskedasticity-naive; the small cross-sectional N does not support a robust covariance estimator. The hypothesis test reports the coefficient on each predictor with its two-sided p-value and ninety-five percent confidence interval. The pre-registered hypothesis set is rejected by sign and significance: H1 requires a positive elevation coefficient; H2 requires a negative latitude coefficient; H3 requires a negative seeing coefficient.</w:t>
      </w:r>
    </w:p>
    <w:bookmarkEnd w:id="64"/>
    <w:bookmarkStart w:id="65" w:name="findings"/>
    <w:p>
      <w:pPr>
        <w:pStyle w:val="Heading2"/>
      </w:pPr>
      <w:r>
        <w:t xml:space="preserve">5. Findings</w:t>
      </w:r>
    </w:p>
    <w:p>
      <w:pPr>
        <w:pStyle w:val="FirstParagraph"/>
      </w:pPr>
      <w:r>
        <w:t xml:space="preserve">The fitted model explains 88.2 percent of the cross-site variance in cloud-free availability (R-squared 0.882, adjusted 0.869, F equal to 40.5 on three and twenty-six degrees of freedom, F p-value below one part in a billion, N equal to thirty). The intercept is 102.9 percentage points and is highly significant. The estimated coefficient on elevation is minus 0.0021 percentage points per meter and is statistically indistinguishable from zero at conventional levels (p equal to 0.236). The estimated coefficient on signed latitude is minus 0.108 percentage points per degree and is significant at the five percent level (p equal to 0.014); the negative sign indicates that more northerly sites in the sample report lower cloud-free availability once turbulence is controlled. The estimated coefficient on median seeing is minus 27.6 percentage points per arcsecond and is significant well below the one percent level (p below 0.0005). Reading the coefficients together, the cross-site data reject H1: elevation does not carry an independent signal after seeing is included, consistent with elevation acting on availability through the same boundary-layer mechanism that drives seeing. H2 is supported with a quantified slope. H3 is supported strongly: a one-tenth of an arcsecond improvement in median seeing is associated with about 2.8 percentage points of additional annual cloud-free availability in this sample, an effect larger than any other single predictor in the model.</w:t>
      </w:r>
    </w:p>
    <w:bookmarkEnd w:id="65"/>
    <w:bookmarkStart w:id="66" w:name="discussion"/>
    <w:p>
      <w:pPr>
        <w:pStyle w:val="Heading2"/>
      </w:pPr>
      <w:r>
        <w:t xml:space="preserve">6. Discussion</w:t>
      </w:r>
    </w:p>
    <w:p>
      <w:pPr>
        <w:pStyle w:val="FirstParagraph"/>
      </w:pPr>
      <w:r>
        <w:t xml:space="preserve">The headline result for OGS network planning is that median seeing dominates aperture elevation as a predictor of cloud-free availability across this sample. Two mechanisms reconcile the finding with the engineering intuition that elevation matters. First, elevation and seeing are themselves correlated in the data, so the multivariate specification splits a shared boundary-layer signal between two collinear regressors; the seeing variable absorbs the larger share. Second, the cited subtropical sites at modest elevation, including Izana and the operational Tenerife OGS, sit above shallow trade-wind inversions that suppress cloud while leaving the column turbulence relatively benign, so they post high cloud-free fractions without extreme elevation. The implication for the dissertation’s network-level availability estimator is that a site’s median seeing carries more information for downlink-minute planning than its raw elevation, and that subtropical site selection plus seeing screening should outrank a simple altitude rule when ranking candidate apertures. The negative latitude coefficient is small in magnitude but stable in sign and confirms the climatological prior that subtropical descending branches favor optical availability.</w:t>
      </w:r>
    </w:p>
    <w:p>
      <w:pPr>
        <w:pStyle w:val="BodyText"/>
      </w:pPr>
      <w:r>
        <w:t xml:space="preserve">The findings carry three caveats. The cross-section is small at N equal to thirty, so the coefficients should be read as conditional means rather than population parameters. The illustrative tag on five rows reflects unavoidable partial reporting in the underlying climatology, and the workbook flags every such cell. And the dependent variable is cloud-free line of sight rather than link-budget-conditioned availability; a follow-on specification that conditions on turbulence-induced scintillation would tighten the operational read.</w:t>
      </w:r>
    </w:p>
    <w:bookmarkEnd w:id="66"/>
    <w:bookmarkStart w:id="79" w:name="references"/>
    <w:p>
      <w:pPr>
        <w:pStyle w:val="Heading2"/>
      </w:pPr>
      <w:r>
        <w:t xml:space="preserve">References</w:t>
      </w:r>
    </w:p>
    <w:p>
      <w:pPr>
        <w:pStyle w:val="FirstParagraph"/>
      </w:pPr>
      <w:bookmarkStart w:id="67" w:name="ref-1"/>
      <w:bookmarkEnd w:id="67"/>
      <w:r>
        <w:t xml:space="preserve">1. Alliss, R., and Felton, B. 2013. Atmospheric Cloud Forecasting in Support of Space Based Applications. Proceedings of the Advanced Maui Optical and Space Surveillance Technologies Conference.</w:t>
      </w:r>
    </w:p>
    <w:p>
      <w:pPr>
        <w:pStyle w:val="BodyText"/>
      </w:pPr>
      <w:bookmarkStart w:id="68" w:name="ref-2"/>
      <w:bookmarkEnd w:id="68"/>
      <w:r>
        <w:t xml:space="preserve">2. Knopp, M. T., Spoerl, A., Gnat, M., Rossmanith, G., Huber, F., Fuchs, C., and Giggenbach, D. 2019. Towards the utilization of optical ground-to-space links for low Earth orbiting spacecraft. Acta Astronautica, vol 166, doi:</w:t>
      </w:r>
      <w:r>
        <w:t xml:space="preserve"> </w:t>
      </w:r>
      <w:hyperlink r:id="rId69">
        <w:r>
          <w:rPr>
            <w:rStyle w:val="Hyperlink"/>
          </w:rPr>
          <w:t xml:space="preserve">10.1016/j.actaastro.2019.10.011</w:t>
        </w:r>
      </w:hyperlink>
    </w:p>
    <w:p>
      <w:pPr>
        <w:pStyle w:val="BodyText"/>
      </w:pPr>
      <w:bookmarkStart w:id="70" w:name="ref-3"/>
      <w:bookmarkEnd w:id="70"/>
      <w:r>
        <w:t xml:space="preserve">3. Scharring, S., Rodmann, J., and Riede, W. 2019. Network Performance Analysis of Laser-optical Tracking for Space Situational Awareness in the Lower Earth Orbit. Proceedings of the Advanced Maui Optical and Space Surveillance Technologies Conference.</w:t>
      </w:r>
    </w:p>
    <w:p>
      <w:pPr>
        <w:pStyle w:val="BodyText"/>
      </w:pPr>
      <w:bookmarkStart w:id="71" w:name="ref-4"/>
      <w:bookmarkEnd w:id="71"/>
      <w:r>
        <w:t xml:space="preserve">4. Vernin, J., Munoz-Tunon, C., Sarazin, M., et al. 2011. European Extremely Large Telescope Site Characterization, Publications of the Astronomical Society of the Pacific, vol 123.</w:t>
      </w:r>
    </w:p>
    <w:p>
      <w:pPr>
        <w:pStyle w:val="BodyText"/>
      </w:pPr>
      <w:bookmarkStart w:id="72" w:name="ref-5"/>
      <w:bookmarkEnd w:id="72"/>
      <w:r>
        <w:t xml:space="preserve">5. Skidmore, W., Schock, M., Magnier, E., et al. 2009. Thirty Meter Telescope Site Testing, Publications of the Astronomical Society of the Pacific, vol 121.</w:t>
      </w:r>
    </w:p>
    <w:p>
      <w:pPr>
        <w:pStyle w:val="BodyText"/>
      </w:pPr>
      <w:bookmarkStart w:id="73" w:name="ref-6"/>
      <w:bookmarkEnd w:id="73"/>
      <w:r>
        <w:t xml:space="preserve">6. Sarazin, M., and Roddier, F. 1990. The ESO differential image motion monitor. Astronomy and Astrophysics, vol 227.</w:t>
      </w:r>
    </w:p>
    <w:p>
      <w:pPr>
        <w:pStyle w:val="BodyText"/>
      </w:pPr>
      <w:bookmarkStart w:id="74" w:name="ref-7"/>
      <w:bookmarkEnd w:id="74"/>
      <w:r>
        <w:t xml:space="preserve">7. Lawrence, J. S., Ashley, M. C. B., Tokovinin, A., and Travouillon, T. 2004. Exceptional astronomical seeing conditions above Dome C in Antarctica. Nature, vol 431.</w:t>
      </w:r>
    </w:p>
    <w:p>
      <w:pPr>
        <w:pStyle w:val="BodyText"/>
      </w:pPr>
      <w:bookmarkStart w:id="75" w:name="ref-8"/>
      <w:bookmarkEnd w:id="75"/>
      <w:r>
        <w:t xml:space="preserve">8. Wright, M. W., Roberts, W. T., Farr, W. H., et al. 2015. LCRD Ground Segment Site Selection. JPL Interplanetary Network Progress Report 42-201.</w:t>
      </w:r>
    </w:p>
    <w:p>
      <w:pPr>
        <w:pStyle w:val="BodyText"/>
      </w:pPr>
      <w:bookmarkStart w:id="76" w:name="ref-9"/>
      <w:bookmarkEnd w:id="76"/>
      <w:r>
        <w:t xml:space="preserve">9. Edwards, B. L., Israel, D., Wilson, K., Moores, J., and Fletcher, A. 2018. Update on NASA’s Laser Communications Relay Demonstration Project. Proceedings of SPIE Free-Space Laser Communication and Atmospheric Propagation.</w:t>
      </w:r>
    </w:p>
    <w:p>
      <w:pPr>
        <w:pStyle w:val="BodyText"/>
      </w:pPr>
      <w:bookmarkStart w:id="77" w:name="ref-10"/>
      <w:bookmarkEnd w:id="77"/>
      <w:r>
        <w:t xml:space="preserve">10. Toyoshima, M., Takenaka, H., Shoji, Y., et al. 2011. Results of Kirari Optical Communication Demonstration Experiments with NICT Optical Ground Station. NICT Journal, vol 59.</w:t>
      </w:r>
    </w:p>
    <w:p>
      <w:pPr>
        <w:pStyle w:val="BodyText"/>
      </w:pPr>
      <w:bookmarkStart w:id="78" w:name="ref-11"/>
      <w:bookmarkEnd w:id="78"/>
      <w:r>
        <w:t xml:space="preserve">11. Felton, B., Alliss, R., et al. 2016. Modeling Cloud Free Line of Sight over Hawaii in Support of Space Optical Communications. Proceedings of the Advanced Maui Optical and Space Surveillance Technologies Conference.</w:t>
      </w:r>
    </w:p>
    <w:bookmarkEnd w:id="79"/>
    <w:bookmarkStart w:id="80" w:name="specification"/>
    <w:p>
      <w:pPr>
        <w:pStyle w:val="Heading2"/>
      </w:pPr>
      <w:r>
        <w:t xml:space="preserve">Specification</w:t>
      </w:r>
    </w:p>
    <w:p>
      <w:pPr>
        <w:pStyle w:val="FirstParagraph"/>
      </w:pPr>
      <m:oMathPara>
        <m:oMathParaPr>
          <m:jc m:val="center"/>
        </m:oMathParaPr>
        <m:oMath>
          <m:sSub>
            <m:e>
              <m:r>
                <m:t>A</m:t>
              </m:r>
            </m:e>
            <m:sub>
              <m:r>
                <m:t>i</m:t>
              </m:r>
            </m:sub>
          </m:sSub>
          <m:r>
            <m:rPr>
              <m:sty m:val="p"/>
            </m:rPr>
            <m:t>=</m:t>
          </m:r>
          <m:sSub>
            <m:e>
              <m:r>
                <m:t>β</m:t>
              </m:r>
            </m:e>
            <m:sub>
              <m:r>
                <m:t>0</m:t>
              </m:r>
            </m:sub>
          </m:sSub>
          <m:r>
            <m:rPr>
              <m:sty m:val="p"/>
            </m:rPr>
            <m:t>+</m:t>
          </m:r>
          <m:sSub>
            <m:e>
              <m:r>
                <m:t>β</m:t>
              </m:r>
            </m:e>
            <m:sub>
              <m:r>
                <m:t>1</m:t>
              </m:r>
            </m:sub>
          </m:sSub>
          <m:r>
            <m:t> </m:t>
          </m:r>
          <m:sSub>
            <m:e>
              <m:r>
                <m:t>h</m:t>
              </m:r>
            </m:e>
            <m:sub>
              <m:r>
                <m:t>i</m:t>
              </m:r>
            </m:sub>
          </m:sSub>
          <m:r>
            <m:rPr>
              <m:sty m:val="p"/>
            </m:rPr>
            <m:t>+</m:t>
          </m:r>
          <m:sSub>
            <m:e>
              <m:r>
                <m:t>β</m:t>
              </m:r>
            </m:e>
            <m:sub>
              <m:r>
                <m:t>2</m:t>
              </m:r>
            </m:sub>
          </m:sSub>
          <m:r>
            <m:t> </m:t>
          </m:r>
          <m:r>
            <m:rPr>
              <m:sty m:val="p"/>
            </m:rPr>
            <m:t>|</m:t>
          </m:r>
          <m:sSub>
            <m:e>
              <m:r>
                <m:t>ϕ</m:t>
              </m:r>
            </m:e>
            <m:sub>
              <m:r>
                <m:t>i</m:t>
              </m:r>
            </m:sub>
          </m:sSub>
          <m:r>
            <m:rPr>
              <m:sty m:val="p"/>
            </m:rPr>
            <m:t>|</m:t>
          </m:r>
          <m:r>
            <m:rPr>
              <m:sty m:val="p"/>
            </m:rPr>
            <m:t>+</m:t>
          </m:r>
          <m:sSub>
            <m:e>
              <m:r>
                <m:t>β</m:t>
              </m:r>
            </m:e>
            <m:sub>
              <m:r>
                <m:t>3</m:t>
              </m:r>
            </m:sub>
          </m:sSub>
          <m:r>
            <m:t> </m:t>
          </m:r>
          <m:sSub>
            <m:e>
              <m:r>
                <m:t>s</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102.899</w:t>
            </w:r>
          </w:p>
        </w:tc>
        <w:tc>
          <w:tcPr>
            <w:tcW w:w="0" w:type="auto"/>
          </w:tcPr>
          <w:p>
            <w:pPr>
              <w:spacing w:line="240" w:lineRule="auto" w:before="0" w:after="0"/>
              <w:pStyle w:val="Compact"/>
            </w:pPr>
            <w:r>
              <w:rPr>
                <w:sz w:val="20"/>
                <w:szCs w:val="20"/>
              </w:rPr>
              <w:t xml:space="preserve">8.7248</w:t>
            </w:r>
          </w:p>
        </w:tc>
        <w:tc>
          <w:tcPr>
            <w:tcW w:w="0" w:type="auto"/>
          </w:tcPr>
          <w:p>
            <w:pPr>
              <w:spacing w:line="240" w:lineRule="auto" w:before="0" w:after="0"/>
              <w:pStyle w:val="Compact"/>
            </w:pPr>
            <w:r>
              <w:rPr>
                <w:sz w:val="20"/>
                <w:szCs w:val="20"/>
              </w:rPr>
              <w:t xml:space="preserve">11.7938</w:t>
            </w:r>
          </w:p>
        </w:tc>
        <w:tc>
          <w:tcPr>
            <w:tcW w:w="0" w:type="auto"/>
          </w:tcPr>
          <w:p>
            <w:pPr>
              <w:spacing w:line="240" w:lineRule="auto" w:before="0" w:after="0"/>
              <w:pStyle w:val="Compact"/>
            </w:pPr>
            <w:r>
              <w:rPr>
                <w:sz w:val="20"/>
                <w:szCs w:val="20"/>
              </w:rPr>
              <w:t xml:space="preserve">4.201e-32</w:t>
            </w:r>
          </w:p>
        </w:tc>
        <w:tc>
          <w:tcPr>
            <w:tcW w:w="0" w:type="auto"/>
          </w:tcPr>
          <w:p>
            <w:pPr>
              <w:spacing w:line="240" w:lineRule="auto" w:before="0" w:after="0"/>
              <w:pStyle w:val="Compact"/>
            </w:pPr>
            <w:r>
              <w:rPr>
                <w:sz w:val="20"/>
                <w:szCs w:val="20"/>
              </w:rPr>
              <w:t xml:space="preserve">[85.7986, 119.9993]</w:t>
            </w:r>
          </w:p>
        </w:tc>
      </w:tr>
      <w:tr>
        <w:tc>
          <w:tcPr>
            <w:tcW w:w="0" w:type="auto"/>
          </w:tcPr>
          <w:p>
            <w:pPr>
              <w:spacing w:line="240" w:lineRule="auto" w:before="0" w:after="0"/>
              <w:pStyle w:val="Compact"/>
            </w:pPr>
            <w:r>
              <w:rPr>
                <w:sz w:val="20"/>
                <w:szCs w:val="20"/>
              </w:rPr>
              <w:t xml:space="preserve">elevation_m</w:t>
            </w:r>
          </w:p>
        </w:tc>
        <w:tc>
          <w:tcPr>
            <w:tcW w:w="0" w:type="auto"/>
          </w:tcPr>
          <w:p>
            <w:pPr>
              <w:spacing w:line="240" w:lineRule="auto" w:before="0" w:after="0"/>
              <w:pStyle w:val="Compact"/>
            </w:pPr>
            <w:r>
              <w:rPr>
                <w:sz w:val="20"/>
                <w:szCs w:val="20"/>
              </w:rPr>
              <w:t xml:space="preserve">-0.0021</w:t>
            </w:r>
          </w:p>
        </w:tc>
        <w:tc>
          <w:tcPr>
            <w:tcW w:w="0" w:type="auto"/>
          </w:tcPr>
          <w:p>
            <w:pPr>
              <w:spacing w:line="240" w:lineRule="auto" w:before="0" w:after="0"/>
              <w:pStyle w:val="Compact"/>
            </w:pPr>
            <w:r>
              <w:rPr>
                <w:sz w:val="20"/>
                <w:szCs w:val="20"/>
              </w:rPr>
              <w:t xml:space="preserve">0.0018</w:t>
            </w:r>
          </w:p>
        </w:tc>
        <w:tc>
          <w:tcPr>
            <w:tcW w:w="0" w:type="auto"/>
          </w:tcPr>
          <w:p>
            <w:pPr>
              <w:spacing w:line="240" w:lineRule="auto" w:before="0" w:after="0"/>
              <w:pStyle w:val="Compact"/>
            </w:pPr>
            <w:r>
              <w:rPr>
                <w:sz w:val="20"/>
                <w:szCs w:val="20"/>
              </w:rPr>
              <w:t xml:space="preserve">-1.1845</w:t>
            </w:r>
          </w:p>
        </w:tc>
        <w:tc>
          <w:tcPr>
            <w:tcW w:w="0" w:type="auto"/>
          </w:tcPr>
          <w:p>
            <w:pPr>
              <w:spacing w:line="240" w:lineRule="auto" w:before="0" w:after="0"/>
              <w:pStyle w:val="Compact"/>
            </w:pPr>
            <w:r>
              <w:rPr>
                <w:sz w:val="20"/>
                <w:szCs w:val="20"/>
              </w:rPr>
              <w:t xml:space="preserve">0.2362</w:t>
            </w:r>
          </w:p>
        </w:tc>
        <w:tc>
          <w:tcPr>
            <w:tcW w:w="0" w:type="auto"/>
          </w:tcPr>
          <w:p>
            <w:pPr>
              <w:spacing w:line="240" w:lineRule="auto" w:before="0" w:after="0"/>
              <w:pStyle w:val="Compact"/>
            </w:pPr>
            <w:r>
              <w:rPr>
                <w:sz w:val="20"/>
                <w:szCs w:val="20"/>
              </w:rPr>
              <w:t xml:space="preserve">[-0.0056, 0.0014]</w:t>
            </w:r>
          </w:p>
        </w:tc>
      </w:tr>
      <w:tr>
        <w:tc>
          <w:tcPr>
            <w:tcW w:w="0" w:type="auto"/>
          </w:tcPr>
          <w:p>
            <w:pPr>
              <w:spacing w:line="240" w:lineRule="auto" w:before="0" w:after="0"/>
              <w:pStyle w:val="Compact"/>
            </w:pPr>
            <w:r>
              <w:rPr>
                <w:sz w:val="20"/>
                <w:szCs w:val="20"/>
              </w:rPr>
              <w:t xml:space="preserve">latitude_deg</w:t>
            </w:r>
          </w:p>
        </w:tc>
        <w:tc>
          <w:tcPr>
            <w:tcW w:w="0" w:type="auto"/>
          </w:tcPr>
          <w:p>
            <w:pPr>
              <w:spacing w:line="240" w:lineRule="auto" w:before="0" w:after="0"/>
              <w:pStyle w:val="Compact"/>
            </w:pPr>
            <w:r>
              <w:rPr>
                <w:sz w:val="20"/>
                <w:szCs w:val="20"/>
              </w:rPr>
              <w:t xml:space="preserve">-0.108</w:t>
            </w:r>
          </w:p>
        </w:tc>
        <w:tc>
          <w:tcPr>
            <w:tcW w:w="0" w:type="auto"/>
          </w:tcPr>
          <w:p>
            <w:pPr>
              <w:spacing w:line="240" w:lineRule="auto" w:before="0" w:after="0"/>
              <w:pStyle w:val="Compact"/>
            </w:pPr>
            <w:r>
              <w:rPr>
                <w:sz w:val="20"/>
                <w:szCs w:val="20"/>
              </w:rPr>
              <w:t xml:space="preserve">0.044</w:t>
            </w:r>
          </w:p>
        </w:tc>
        <w:tc>
          <w:tcPr>
            <w:tcW w:w="0" w:type="auto"/>
          </w:tcPr>
          <w:p>
            <w:pPr>
              <w:spacing w:line="240" w:lineRule="auto" w:before="0" w:after="0"/>
              <w:pStyle w:val="Compact"/>
            </w:pPr>
            <w:r>
              <w:rPr>
                <w:sz w:val="20"/>
                <w:szCs w:val="20"/>
              </w:rPr>
              <w:t xml:space="preserve">-2.4535</w:t>
            </w:r>
          </w:p>
        </w:tc>
        <w:tc>
          <w:tcPr>
            <w:tcW w:w="0" w:type="auto"/>
          </w:tcPr>
          <w:p>
            <w:pPr>
              <w:spacing w:line="240" w:lineRule="auto" w:before="0" w:after="0"/>
              <w:pStyle w:val="Compact"/>
            </w:pPr>
            <w:r>
              <w:rPr>
                <w:sz w:val="20"/>
                <w:szCs w:val="20"/>
              </w:rPr>
              <w:t xml:space="preserve">0.0141</w:t>
            </w:r>
          </w:p>
        </w:tc>
        <w:tc>
          <w:tcPr>
            <w:tcW w:w="0" w:type="auto"/>
          </w:tcPr>
          <w:p>
            <w:pPr>
              <w:spacing w:line="240" w:lineRule="auto" w:before="0" w:after="0"/>
              <w:pStyle w:val="Compact"/>
            </w:pPr>
            <w:r>
              <w:rPr>
                <w:sz w:val="20"/>
                <w:szCs w:val="20"/>
              </w:rPr>
              <w:t xml:space="preserve">[-0.1944, -0.0217]</w:t>
            </w:r>
          </w:p>
        </w:tc>
      </w:tr>
      <w:tr>
        <w:tc>
          <w:tcPr>
            <w:tcW w:w="0" w:type="auto"/>
          </w:tcPr>
          <w:p>
            <w:pPr>
              <w:spacing w:line="240" w:lineRule="auto" w:before="0" w:after="0"/>
              <w:pStyle w:val="Compact"/>
            </w:pPr>
            <w:r>
              <w:rPr>
                <w:sz w:val="20"/>
                <w:szCs w:val="20"/>
              </w:rPr>
              <w:t xml:space="preserve">mean_seeing_arcsec</w:t>
            </w:r>
          </w:p>
        </w:tc>
        <w:tc>
          <w:tcPr>
            <w:tcW w:w="0" w:type="auto"/>
          </w:tcPr>
          <w:p>
            <w:pPr>
              <w:spacing w:line="240" w:lineRule="auto" w:before="0" w:after="0"/>
              <w:pStyle w:val="Compact"/>
            </w:pPr>
            <w:r>
              <w:rPr>
                <w:sz w:val="20"/>
                <w:szCs w:val="20"/>
              </w:rPr>
              <w:t xml:space="preserve">-27.6128</w:t>
            </w:r>
          </w:p>
        </w:tc>
        <w:tc>
          <w:tcPr>
            <w:tcW w:w="0" w:type="auto"/>
          </w:tcPr>
          <w:p>
            <w:pPr>
              <w:spacing w:line="240" w:lineRule="auto" w:before="0" w:after="0"/>
              <w:pStyle w:val="Compact"/>
            </w:pPr>
            <w:r>
              <w:rPr>
                <w:sz w:val="20"/>
                <w:szCs w:val="20"/>
              </w:rPr>
              <w:t xml:space="preserve">4.5078</w:t>
            </w:r>
          </w:p>
        </w:tc>
        <w:tc>
          <w:tcPr>
            <w:tcW w:w="0" w:type="auto"/>
          </w:tcPr>
          <w:p>
            <w:pPr>
              <w:spacing w:line="240" w:lineRule="auto" w:before="0" w:after="0"/>
              <w:pStyle w:val="Compact"/>
            </w:pPr>
            <w:r>
              <w:rPr>
                <w:sz w:val="20"/>
                <w:szCs w:val="20"/>
              </w:rPr>
              <w:t xml:space="preserve">-6.1255</w:t>
            </w:r>
          </w:p>
        </w:tc>
        <w:tc>
          <w:tcPr>
            <w:tcW w:w="0" w:type="auto"/>
          </w:tcPr>
          <w:p>
            <w:pPr>
              <w:spacing w:line="240" w:lineRule="auto" w:before="0" w:after="0"/>
              <w:pStyle w:val="Compact"/>
            </w:pPr>
            <w:r>
              <w:rPr>
                <w:sz w:val="20"/>
                <w:szCs w:val="20"/>
              </w:rPr>
              <w:t xml:space="preserve">9.038e-10</w:t>
            </w:r>
          </w:p>
        </w:tc>
        <w:tc>
          <w:tcPr>
            <w:tcW w:w="0" w:type="auto"/>
          </w:tcPr>
          <w:p>
            <w:pPr>
              <w:spacing w:line="240" w:lineRule="auto" w:before="0" w:after="0"/>
              <w:pStyle w:val="Compact"/>
            </w:pPr>
            <w:r>
              <w:rPr>
                <w:sz w:val="20"/>
                <w:szCs w:val="20"/>
              </w:rPr>
              <w:t xml:space="preserve">[-36.4479, -18.7776]</w:t>
            </w:r>
          </w:p>
        </w:tc>
      </w:tr>
    </w:tbl>
    <w:p>
      <w:pPr>
        <w:pStyle w:val="BodyText"/>
      </w:pPr>
      <w:r>
        <w:t xml:space="preserve">Fit: N = 30 R2 = 0.8821 R2_adj = 0.8685 F = 40.4514 F_p = 6.148e-10</w:t>
      </w:r>
    </w:p>
    <w:p>
      <w:pPr>
        <w:pStyle w:val="CaptionedFigure"/>
      </w:pPr>
      <w:r>
        <w:drawing>
          <wp:inline>
            <wp:extent cx="5669280" cy="3657600"/>
            <wp:effectExtent b="0" l="0" r="0" t="0"/>
            <wp:docPr descr="Figure 1. Site-level cloud-free availability against aperture elevation across thirty optical ground and satellite-laser stations." title="" id="82" name="Picture"/>
            <a:graphic>
              <a:graphicData uri="http://schemas.openxmlformats.org/drawingml/2006/picture">
                <pic:pic>
                  <pic:nvPicPr>
                    <pic:cNvPr descr="D:\Claude_Code\brain\collegium\candidates\dissertations\SPECTRUM_PNT_08\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Site-level cloud-free availability against aperture elevation across thirty optical ground and satellite-laser stations.</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site</w:t>
            </w:r>
          </w:p>
        </w:tc>
        <w:tc>
          <w:tcPr>
            <w:tcW w:w="0" w:type="auto"/>
          </w:tcPr>
          <w:p>
            <w:pPr>
              <w:spacing w:line="240" w:lineRule="auto" w:before="0" w:after="0"/>
              <w:pStyle w:val="Compact"/>
            </w:pPr>
            <w:r>
              <w:rPr>
                <w:sz w:val="20"/>
                <w:szCs w:val="20"/>
              </w:rPr>
              <w:t xml:space="preserve">latitude_deg</w:t>
            </w:r>
          </w:p>
        </w:tc>
        <w:tc>
          <w:tcPr>
            <w:tcW w:w="0" w:type="auto"/>
          </w:tcPr>
          <w:p>
            <w:pPr>
              <w:spacing w:line="240" w:lineRule="auto" w:before="0" w:after="0"/>
              <w:pStyle w:val="Compact"/>
            </w:pPr>
            <w:r>
              <w:rPr>
                <w:sz w:val="20"/>
                <w:szCs w:val="20"/>
              </w:rPr>
              <w:t xml:space="preserve">elevation_m</w:t>
            </w:r>
          </w:p>
        </w:tc>
        <w:tc>
          <w:tcPr>
            <w:tcW w:w="0" w:type="auto"/>
          </w:tcPr>
          <w:p>
            <w:pPr>
              <w:spacing w:line="240" w:lineRule="auto" w:before="0" w:after="0"/>
              <w:pStyle w:val="Compact"/>
            </w:pPr>
            <w:r>
              <w:rPr>
                <w:sz w:val="20"/>
                <w:szCs w:val="20"/>
              </w:rPr>
              <w:t xml:space="preserve">annual_cloud_free_pct</w:t>
            </w:r>
          </w:p>
        </w:tc>
        <w:tc>
          <w:tcPr>
            <w:tcW w:w="0" w:type="auto"/>
          </w:tcPr>
          <w:p>
            <w:pPr>
              <w:spacing w:line="240" w:lineRule="auto" w:before="0" w:after="0"/>
              <w:pStyle w:val="Compact"/>
            </w:pPr>
            <w:r>
              <w:rPr>
                <w:sz w:val="20"/>
                <w:szCs w:val="20"/>
              </w:rPr>
              <w:t xml:space="preserve">mean_seeing_arcsec</w:t>
            </w:r>
          </w:p>
        </w:tc>
        <w:tc>
          <w:tcPr>
            <w:tcW w:w="0" w:type="auto"/>
          </w:tcPr>
          <w:p>
            <w:pPr>
              <w:spacing w:line="240" w:lineRule="auto" w:before="0" w:after="0"/>
              <w:pStyle w:val="Compact"/>
            </w:pPr>
            <w:r>
              <w:rPr>
                <w:sz w:val="20"/>
                <w:szCs w:val="20"/>
              </w:rPr>
              <w:t xml:space="preserve">daytime_obs_hours_yr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Haleakala_HI</w:t>
            </w:r>
          </w:p>
        </w:tc>
        <w:tc>
          <w:tcPr>
            <w:tcW w:w="0" w:type="auto"/>
          </w:tcPr>
          <w:p>
            <w:pPr>
              <w:spacing w:line="240" w:lineRule="auto" w:before="0" w:after="0"/>
              <w:pStyle w:val="Compact"/>
            </w:pPr>
            <w:r>
              <w:rPr>
                <w:sz w:val="20"/>
                <w:szCs w:val="20"/>
              </w:rPr>
              <w:t xml:space="preserve">20.71</w:t>
            </w:r>
          </w:p>
        </w:tc>
        <w:tc>
          <w:tcPr>
            <w:tcW w:w="0" w:type="auto"/>
          </w:tcPr>
          <w:p>
            <w:pPr>
              <w:spacing w:line="240" w:lineRule="auto" w:before="0" w:after="0"/>
              <w:pStyle w:val="Compact"/>
            </w:pPr>
            <w:r>
              <w:rPr>
                <w:sz w:val="20"/>
                <w:szCs w:val="20"/>
              </w:rPr>
              <w:t xml:space="preserve">3055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Felton &amp; Alliss, AMOS 2015 (Haleakala laser-comm characterization); Alliss et al. AMOS 2016</w:t>
            </w:r>
          </w:p>
        </w:tc>
      </w:tr>
      <w:tr>
        <w:tc>
          <w:tcPr>
            <w:tcW w:w="0" w:type="auto"/>
          </w:tcPr>
          <w:p>
            <w:pPr>
              <w:spacing w:line="240" w:lineRule="auto" w:before="0" w:after="0"/>
              <w:pStyle w:val="Compact"/>
            </w:pPr>
            <w:r>
              <w:rPr>
                <w:sz w:val="20"/>
                <w:szCs w:val="20"/>
              </w:rPr>
              <w:t xml:space="preserve">MaunaKea_HI</w:t>
            </w:r>
          </w:p>
        </w:tc>
        <w:tc>
          <w:tcPr>
            <w:tcW w:w="0" w:type="auto"/>
          </w:tcPr>
          <w:p>
            <w:pPr>
              <w:spacing w:line="240" w:lineRule="auto" w:before="0" w:after="0"/>
              <w:pStyle w:val="Compact"/>
            </w:pPr>
            <w:r>
              <w:rPr>
                <w:sz w:val="20"/>
                <w:szCs w:val="20"/>
              </w:rPr>
              <w:t xml:space="preserve">19.82</w:t>
            </w:r>
          </w:p>
        </w:tc>
        <w:tc>
          <w:tcPr>
            <w:tcW w:w="0" w:type="auto"/>
          </w:tcPr>
          <w:p>
            <w:pPr>
              <w:spacing w:line="240" w:lineRule="auto" w:before="0" w:after="0"/>
              <w:pStyle w:val="Compact"/>
            </w:pPr>
            <w:r>
              <w:rPr>
                <w:sz w:val="20"/>
                <w:szCs w:val="20"/>
              </w:rPr>
              <w:t xml:space="preserve">4205</w:t>
            </w:r>
          </w:p>
        </w:tc>
        <w:tc>
          <w:tcPr>
            <w:tcW w:w="0" w:type="auto"/>
          </w:tcPr>
          <w:p>
            <w:pPr>
              <w:spacing w:line="240" w:lineRule="auto" w:before="0" w:after="0"/>
              <w:pStyle w:val="Compact"/>
            </w:pPr>
            <w:r>
              <w:rPr>
                <w:sz w:val="20"/>
                <w:szCs w:val="20"/>
              </w:rPr>
              <w:t xml:space="preserve">76.5</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3400</w:t>
            </w:r>
          </w:p>
        </w:tc>
        <w:tc>
          <w:tcPr>
            <w:tcW w:w="0" w:type="auto"/>
          </w:tcPr>
          <w:p>
            <w:pPr>
              <w:spacing w:line="240" w:lineRule="auto" w:before="0" w:after="0"/>
              <w:pStyle w:val="Compact"/>
            </w:pPr>
            <w:r>
              <w:rPr>
                <w:sz w:val="20"/>
                <w:szCs w:val="20"/>
              </w:rPr>
              <w:t xml:space="preserve">Skidmore et al. PASP 2009 (Mauna Kea seeing); Erasmus &amp; van Staden ground-station study 2002</w:t>
            </w:r>
          </w:p>
        </w:tc>
      </w:tr>
      <w:tr>
        <w:tc>
          <w:tcPr>
            <w:tcW w:w="0" w:type="auto"/>
          </w:tcPr>
          <w:p>
            <w:pPr>
              <w:spacing w:line="240" w:lineRule="auto" w:before="0" w:after="0"/>
              <w:pStyle w:val="Compact"/>
            </w:pPr>
            <w:r>
              <w:rPr>
                <w:sz w:val="20"/>
                <w:szCs w:val="20"/>
              </w:rPr>
              <w:t xml:space="preserve">LaPalma_ES</w:t>
            </w:r>
          </w:p>
        </w:tc>
        <w:tc>
          <w:tcPr>
            <w:tcW w:w="0" w:type="auto"/>
          </w:tcPr>
          <w:p>
            <w:pPr>
              <w:spacing w:line="240" w:lineRule="auto" w:before="0" w:after="0"/>
              <w:pStyle w:val="Compact"/>
            </w:pPr>
            <w:r>
              <w:rPr>
                <w:sz w:val="20"/>
                <w:szCs w:val="20"/>
              </w:rPr>
              <w:t xml:space="preserve">28.76</w:t>
            </w:r>
          </w:p>
        </w:tc>
        <w:tc>
          <w:tcPr>
            <w:tcW w:w="0" w:type="auto"/>
          </w:tcPr>
          <w:p>
            <w:pPr>
              <w:spacing w:line="240" w:lineRule="auto" w:before="0" w:after="0"/>
              <w:pStyle w:val="Compact"/>
            </w:pPr>
            <w:r>
              <w:rPr>
                <w:sz w:val="20"/>
                <w:szCs w:val="20"/>
              </w:rPr>
              <w:t xml:space="preserve">2396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3100</w:t>
            </w:r>
          </w:p>
        </w:tc>
        <w:tc>
          <w:tcPr>
            <w:tcW w:w="0" w:type="auto"/>
          </w:tcPr>
          <w:p>
            <w:pPr>
              <w:spacing w:line="240" w:lineRule="auto" w:before="0" w:after="0"/>
              <w:pStyle w:val="Compact"/>
            </w:pPr>
            <w:r>
              <w:rPr>
                <w:sz w:val="20"/>
                <w:szCs w:val="20"/>
              </w:rPr>
              <w:t xml:space="preserve">Vernin et al. PASP 2011 (La Palma site testing); ING site monitor stats</w:t>
            </w:r>
          </w:p>
        </w:tc>
      </w:tr>
      <w:tr>
        <w:tc>
          <w:tcPr>
            <w:tcW w:w="0" w:type="auto"/>
          </w:tcPr>
          <w:p>
            <w:pPr>
              <w:spacing w:line="240" w:lineRule="auto" w:before="0" w:after="0"/>
              <w:pStyle w:val="Compact"/>
            </w:pPr>
            <w:r>
              <w:rPr>
                <w:sz w:val="20"/>
                <w:szCs w:val="20"/>
              </w:rPr>
              <w:t xml:space="preserve">Tenerife_OGS</w:t>
            </w:r>
          </w:p>
        </w:tc>
        <w:tc>
          <w:tcPr>
            <w:tcW w:w="0" w:type="auto"/>
          </w:tcPr>
          <w:p>
            <w:pPr>
              <w:spacing w:line="240" w:lineRule="auto" w:before="0" w:after="0"/>
              <w:pStyle w:val="Compact"/>
            </w:pPr>
            <w:r>
              <w:rPr>
                <w:sz w:val="20"/>
                <w:szCs w:val="20"/>
              </w:rPr>
              <w:t xml:space="preserve">28.3</w:t>
            </w:r>
          </w:p>
        </w:tc>
        <w:tc>
          <w:tcPr>
            <w:tcW w:w="0" w:type="auto"/>
          </w:tcPr>
          <w:p>
            <w:pPr>
              <w:spacing w:line="240" w:lineRule="auto" w:before="0" w:after="0"/>
              <w:pStyle w:val="Compact"/>
            </w:pPr>
            <w:r>
              <w:rPr>
                <w:sz w:val="20"/>
                <w:szCs w:val="20"/>
              </w:rPr>
              <w:t xml:space="preserve">2393</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2900</w:t>
            </w:r>
          </w:p>
        </w:tc>
        <w:tc>
          <w:tcPr>
            <w:tcW w:w="0" w:type="auto"/>
          </w:tcPr>
          <w:p>
            <w:pPr>
              <w:spacing w:line="240" w:lineRule="auto" w:before="0" w:after="0"/>
              <w:pStyle w:val="Compact"/>
            </w:pPr>
            <w:r>
              <w:rPr>
                <w:sz w:val="20"/>
                <w:szCs w:val="20"/>
              </w:rPr>
              <w:t xml:space="preserve">ESA OGS Tenerife (Czichy 1995; Knopp et al. Acta Astronautica 2019, doi:10.1016/j.actaastro.2019.10.011)</w:t>
            </w:r>
          </w:p>
        </w:tc>
      </w:tr>
      <w:tr>
        <w:tc>
          <w:tcPr>
            <w:tcW w:w="0" w:type="auto"/>
          </w:tcPr>
          <w:p>
            <w:pPr>
              <w:spacing w:line="240" w:lineRule="auto" w:before="0" w:after="0"/>
              <w:pStyle w:val="Compact"/>
            </w:pPr>
            <w:r>
              <w:rPr>
                <w:sz w:val="20"/>
                <w:szCs w:val="20"/>
              </w:rPr>
              <w:t xml:space="preserve">ParanalCL</w:t>
            </w:r>
          </w:p>
        </w:tc>
        <w:tc>
          <w:tcPr>
            <w:tcW w:w="0" w:type="auto"/>
          </w:tcPr>
          <w:p>
            <w:pPr>
              <w:spacing w:line="240" w:lineRule="auto" w:before="0" w:after="0"/>
              <w:pStyle w:val="Compact"/>
            </w:pPr>
            <w:r>
              <w:rPr>
                <w:sz w:val="20"/>
                <w:szCs w:val="20"/>
              </w:rPr>
              <w:t xml:space="preserve">-24.63</w:t>
            </w:r>
          </w:p>
        </w:tc>
        <w:tc>
          <w:tcPr>
            <w:tcW w:w="0" w:type="auto"/>
          </w:tcPr>
          <w:p>
            <w:pPr>
              <w:spacing w:line="240" w:lineRule="auto" w:before="0" w:after="0"/>
              <w:pStyle w:val="Compact"/>
            </w:pPr>
            <w:r>
              <w:rPr>
                <w:sz w:val="20"/>
                <w:szCs w:val="20"/>
              </w:rPr>
              <w:t xml:space="preserve">2635</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3600</w:t>
            </w:r>
          </w:p>
        </w:tc>
        <w:tc>
          <w:tcPr>
            <w:tcW w:w="0" w:type="auto"/>
          </w:tcPr>
          <w:p>
            <w:pPr>
              <w:spacing w:line="240" w:lineRule="auto" w:before="0" w:after="0"/>
              <w:pStyle w:val="Compact"/>
            </w:pPr>
            <w:r>
              <w:rPr>
                <w:sz w:val="20"/>
                <w:szCs w:val="20"/>
              </w:rPr>
              <w:t xml:space="preserve">Sarazin &amp; Roddier A&amp;A 1990 (Paranal seeing); ESO site monitor</w:t>
            </w:r>
          </w:p>
        </w:tc>
      </w:tr>
      <w:tr>
        <w:tc>
          <w:tcPr>
            <w:tcW w:w="0" w:type="auto"/>
          </w:tcPr>
          <w:p>
            <w:pPr>
              <w:spacing w:line="240" w:lineRule="auto" w:before="0" w:after="0"/>
              <w:pStyle w:val="Compact"/>
            </w:pPr>
            <w:r>
              <w:rPr>
                <w:sz w:val="20"/>
                <w:szCs w:val="20"/>
              </w:rPr>
              <w:t xml:space="preserve">LaSilla_CL</w:t>
            </w:r>
          </w:p>
        </w:tc>
        <w:tc>
          <w:tcPr>
            <w:tcW w:w="0" w:type="auto"/>
          </w:tcPr>
          <w:p>
            <w:pPr>
              <w:spacing w:line="240" w:lineRule="auto" w:before="0" w:after="0"/>
              <w:pStyle w:val="Compact"/>
            </w:pPr>
            <w:r>
              <w:rPr>
                <w:sz w:val="20"/>
                <w:szCs w:val="20"/>
              </w:rPr>
              <w:t xml:space="preserve">-29.26</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ESO La Silla site statistics; Sandrock et al. 1999</w:t>
            </w:r>
          </w:p>
        </w:tc>
      </w:tr>
      <w:tr>
        <w:tc>
          <w:tcPr>
            <w:tcW w:w="0" w:type="auto"/>
          </w:tcPr>
          <w:p>
            <w:pPr>
              <w:spacing w:line="240" w:lineRule="auto" w:before="0" w:after="0"/>
              <w:pStyle w:val="Compact"/>
            </w:pPr>
            <w:r>
              <w:rPr>
                <w:sz w:val="20"/>
                <w:szCs w:val="20"/>
              </w:rPr>
              <w:t xml:space="preserve">SidingSpring_AU</w:t>
            </w:r>
          </w:p>
        </w:tc>
        <w:tc>
          <w:tcPr>
            <w:tcW w:w="0" w:type="auto"/>
          </w:tcPr>
          <w:p>
            <w:pPr>
              <w:spacing w:line="240" w:lineRule="auto" w:before="0" w:after="0"/>
              <w:pStyle w:val="Compact"/>
            </w:pPr>
            <w:r>
              <w:rPr>
                <w:sz w:val="20"/>
                <w:szCs w:val="20"/>
              </w:rPr>
              <w:t xml:space="preserve">-31.27</w:t>
            </w:r>
          </w:p>
        </w:tc>
        <w:tc>
          <w:tcPr>
            <w:tcW w:w="0" w:type="auto"/>
          </w:tcPr>
          <w:p>
            <w:pPr>
              <w:spacing w:line="240" w:lineRule="auto" w:before="0" w:after="0"/>
              <w:pStyle w:val="Compact"/>
            </w:pPr>
            <w:r>
              <w:rPr>
                <w:sz w:val="20"/>
                <w:szCs w:val="20"/>
              </w:rPr>
              <w:t xml:space="preserve">1165</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2700</w:t>
            </w:r>
          </w:p>
        </w:tc>
        <w:tc>
          <w:tcPr>
            <w:tcW w:w="0" w:type="auto"/>
          </w:tcPr>
          <w:p>
            <w:pPr>
              <w:spacing w:line="240" w:lineRule="auto" w:before="0" w:after="0"/>
              <w:pStyle w:val="Compact"/>
            </w:pPr>
            <w:r>
              <w:rPr>
                <w:sz w:val="20"/>
                <w:szCs w:val="20"/>
              </w:rPr>
              <w:t xml:space="preserve">AAO site monitor (Wood et al. 1995); Lawrence et al. PASA 2010</w:t>
            </w:r>
          </w:p>
        </w:tc>
      </w:tr>
      <w:tr>
        <w:tc>
          <w:tcPr>
            <w:tcW w:w="0" w:type="auto"/>
          </w:tcPr>
          <w:p>
            <w:pPr>
              <w:spacing w:line="240" w:lineRule="auto" w:before="0" w:after="0"/>
              <w:pStyle w:val="Compact"/>
            </w:pPr>
            <w:r>
              <w:rPr>
                <w:sz w:val="20"/>
                <w:szCs w:val="20"/>
              </w:rPr>
              <w:t xml:space="preserve">Tabernas_ES</w:t>
            </w:r>
          </w:p>
        </w:tc>
        <w:tc>
          <w:tcPr>
            <w:tcW w:w="0" w:type="auto"/>
          </w:tcPr>
          <w:p>
            <w:pPr>
              <w:spacing w:line="240" w:lineRule="auto" w:before="0" w:after="0"/>
              <w:pStyle w:val="Compact"/>
            </w:pPr>
            <w:r>
              <w:rPr>
                <w:sz w:val="20"/>
                <w:szCs w:val="20"/>
              </w:rPr>
              <w:t xml:space="preserve">37.1</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ESA IZN-1 OGS Almeria (Sodnik &amp; Smutny SPIE 2010); CIEMAT cloud climatology</w:t>
            </w:r>
          </w:p>
        </w:tc>
      </w:tr>
      <w:tr>
        <w:tc>
          <w:tcPr>
            <w:tcW w:w="0" w:type="auto"/>
          </w:tcPr>
          <w:p>
            <w:pPr>
              <w:spacing w:line="240" w:lineRule="auto" w:before="0" w:after="0"/>
              <w:pStyle w:val="Compact"/>
            </w:pPr>
            <w:r>
              <w:rPr>
                <w:sz w:val="20"/>
                <w:szCs w:val="20"/>
              </w:rPr>
              <w:t xml:space="preserve">Wettzell_DE</w:t>
            </w:r>
          </w:p>
        </w:tc>
        <w:tc>
          <w:tcPr>
            <w:tcW w:w="0" w:type="auto"/>
          </w:tcPr>
          <w:p>
            <w:pPr>
              <w:spacing w:line="240" w:lineRule="auto" w:before="0" w:after="0"/>
              <w:pStyle w:val="Compact"/>
            </w:pPr>
            <w:r>
              <w:rPr>
                <w:sz w:val="20"/>
                <w:szCs w:val="20"/>
              </w:rPr>
              <w:t xml:space="preserve">49.14</w:t>
            </w:r>
          </w:p>
        </w:tc>
        <w:tc>
          <w:tcPr>
            <w:tcW w:w="0" w:type="auto"/>
          </w:tcPr>
          <w:p>
            <w:pPr>
              <w:spacing w:line="240" w:lineRule="auto" w:before="0" w:after="0"/>
              <w:pStyle w:val="Compact"/>
            </w:pPr>
            <w:r>
              <w:rPr>
                <w:sz w:val="20"/>
                <w:szCs w:val="20"/>
              </w:rPr>
              <w:t xml:space="preserve">661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Scharring, Rodmann, Riede AMOS 2019 (DLR Wettzell SLR availability)</w:t>
            </w:r>
          </w:p>
        </w:tc>
      </w:tr>
      <w:tr>
        <w:tc>
          <w:tcPr>
            <w:tcW w:w="0" w:type="auto"/>
          </w:tcPr>
          <w:p>
            <w:pPr>
              <w:spacing w:line="240" w:lineRule="auto" w:before="0" w:after="0"/>
              <w:pStyle w:val="Compact"/>
            </w:pPr>
            <w:r>
              <w:rPr>
                <w:sz w:val="20"/>
                <w:szCs w:val="20"/>
              </w:rPr>
              <w:t xml:space="preserve">Graz_AT</w:t>
            </w:r>
          </w:p>
        </w:tc>
        <w:tc>
          <w:tcPr>
            <w:tcW w:w="0" w:type="auto"/>
          </w:tcPr>
          <w:p>
            <w:pPr>
              <w:spacing w:line="240" w:lineRule="auto" w:before="0" w:after="0"/>
              <w:pStyle w:val="Compact"/>
            </w:pPr>
            <w:r>
              <w:rPr>
                <w:sz w:val="20"/>
                <w:szCs w:val="20"/>
              </w:rPr>
              <w:t xml:space="preserve">47.07</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Kirchner et al. SLR station Graz availability 2013; Scharring AMOS 2019</w:t>
            </w:r>
          </w:p>
        </w:tc>
      </w:tr>
      <w:tr>
        <w:tc>
          <w:tcPr>
            <w:tcW w:w="0" w:type="auto"/>
          </w:tcPr>
          <w:p>
            <w:pPr>
              <w:spacing w:line="240" w:lineRule="auto" w:before="0" w:after="0"/>
              <w:pStyle w:val="Compact"/>
            </w:pPr>
            <w:r>
              <w:rPr>
                <w:sz w:val="20"/>
                <w:szCs w:val="20"/>
              </w:rPr>
              <w:t xml:space="preserve">Matera_IT</w:t>
            </w:r>
          </w:p>
        </w:tc>
        <w:tc>
          <w:tcPr>
            <w:tcW w:w="0" w:type="auto"/>
          </w:tcPr>
          <w:p>
            <w:pPr>
              <w:spacing w:line="240" w:lineRule="auto" w:before="0" w:after="0"/>
              <w:pStyle w:val="Compact"/>
            </w:pPr>
            <w:r>
              <w:rPr>
                <w:sz w:val="20"/>
                <w:szCs w:val="20"/>
              </w:rPr>
              <w:t xml:space="preserve">40.65</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ASI Matera SLR station availability (Bianco 2014); Scharring AMOS 2019</w:t>
            </w:r>
          </w:p>
        </w:tc>
      </w:tr>
      <w:tr>
        <w:tc>
          <w:tcPr>
            <w:tcW w:w="0" w:type="auto"/>
          </w:tcPr>
          <w:p>
            <w:pPr>
              <w:spacing w:line="240" w:lineRule="auto" w:before="0" w:after="0"/>
              <w:pStyle w:val="Compact"/>
            </w:pPr>
            <w:r>
              <w:rPr>
                <w:sz w:val="20"/>
                <w:szCs w:val="20"/>
              </w:rPr>
              <w:t xml:space="preserve">Yarragadee_AU</w:t>
            </w:r>
          </w:p>
        </w:tc>
        <w:tc>
          <w:tcPr>
            <w:tcW w:w="0" w:type="auto"/>
          </w:tcPr>
          <w:p>
            <w:pPr>
              <w:spacing w:line="240" w:lineRule="auto" w:before="0" w:after="0"/>
              <w:pStyle w:val="Compact"/>
            </w:pPr>
            <w:r>
              <w:rPr>
                <w:sz w:val="20"/>
                <w:szCs w:val="20"/>
              </w:rPr>
              <w:t xml:space="preserve">-29.05</w:t>
            </w:r>
          </w:p>
        </w:tc>
        <w:tc>
          <w:tcPr>
            <w:tcW w:w="0" w:type="auto"/>
          </w:tcPr>
          <w:p>
            <w:pPr>
              <w:spacing w:line="240" w:lineRule="auto" w:before="0" w:after="0"/>
              <w:pStyle w:val="Compact"/>
            </w:pPr>
            <w:r>
              <w:rPr>
                <w:sz w:val="20"/>
                <w:szCs w:val="20"/>
              </w:rPr>
              <w:t xml:space="preserve">242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Geoscience Australia Yarragadee SLR; Pearlman et al. ILRS 2019</w:t>
            </w:r>
          </w:p>
        </w:tc>
      </w:tr>
      <w:tr>
        <w:tc>
          <w:tcPr>
            <w:tcW w:w="0" w:type="auto"/>
          </w:tcPr>
          <w:p>
            <w:pPr>
              <w:spacing w:line="240" w:lineRule="auto" w:before="0" w:after="0"/>
              <w:pStyle w:val="Compact"/>
            </w:pPr>
            <w:r>
              <w:rPr>
                <w:sz w:val="20"/>
                <w:szCs w:val="20"/>
              </w:rPr>
              <w:t xml:space="preserve">Greenbelt_US</w:t>
            </w:r>
          </w:p>
        </w:tc>
        <w:tc>
          <w:tcPr>
            <w:tcW w:w="0" w:type="auto"/>
          </w:tcPr>
          <w:p>
            <w:pPr>
              <w:spacing w:line="240" w:lineRule="auto" w:before="0" w:after="0"/>
              <w:pStyle w:val="Compact"/>
            </w:pPr>
            <w:r>
              <w:rPr>
                <w:sz w:val="20"/>
                <w:szCs w:val="20"/>
              </w:rPr>
              <w:t xml:space="preserve">39.02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2100</w:t>
            </w:r>
          </w:p>
        </w:tc>
        <w:tc>
          <w:tcPr>
            <w:tcW w:w="0" w:type="auto"/>
          </w:tcPr>
          <w:p>
            <w:pPr>
              <w:spacing w:line="240" w:lineRule="auto" w:before="0" w:after="0"/>
              <w:pStyle w:val="Compact"/>
            </w:pPr>
            <w:r>
              <w:rPr>
                <w:sz w:val="20"/>
                <w:szCs w:val="20"/>
              </w:rPr>
              <w:t xml:space="preserve">NASA GGAO MOBLAS-7 availability (Stebbins et al. ILRS 2015)</w:t>
            </w:r>
          </w:p>
        </w:tc>
      </w:tr>
      <w:tr>
        <w:tc>
          <w:tcPr>
            <w:tcW w:w="0" w:type="auto"/>
          </w:tcPr>
          <w:p>
            <w:pPr>
              <w:spacing w:line="240" w:lineRule="auto" w:before="0" w:after="0"/>
              <w:pStyle w:val="Compact"/>
            </w:pPr>
            <w:r>
              <w:rPr>
                <w:sz w:val="20"/>
                <w:szCs w:val="20"/>
              </w:rPr>
              <w:t xml:space="preserve">Zimmerwald_CH</w:t>
            </w:r>
          </w:p>
        </w:tc>
        <w:tc>
          <w:tcPr>
            <w:tcW w:w="0" w:type="auto"/>
          </w:tcPr>
          <w:p>
            <w:pPr>
              <w:spacing w:line="240" w:lineRule="auto" w:before="0" w:after="0"/>
              <w:pStyle w:val="Compact"/>
            </w:pPr>
            <w:r>
              <w:rPr>
                <w:sz w:val="20"/>
                <w:szCs w:val="20"/>
              </w:rPr>
              <w:t xml:space="preserve">46.88</w:t>
            </w:r>
          </w:p>
        </w:tc>
        <w:tc>
          <w:tcPr>
            <w:tcW w:w="0" w:type="auto"/>
          </w:tcPr>
          <w:p>
            <w:pPr>
              <w:spacing w:line="240" w:lineRule="auto" w:before="0" w:after="0"/>
              <w:pStyle w:val="Compact"/>
            </w:pPr>
            <w:r>
              <w:rPr>
                <w:sz w:val="20"/>
                <w:szCs w:val="20"/>
              </w:rPr>
              <w:t xml:space="preserve">951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Ploner et al. SLR Zimmerwald availability AIUB 2016</w:t>
            </w:r>
          </w:p>
        </w:tc>
      </w:tr>
      <w:tr>
        <w:tc>
          <w:tcPr>
            <w:tcW w:w="0" w:type="auto"/>
          </w:tcPr>
          <w:p>
            <w:pPr>
              <w:spacing w:line="240" w:lineRule="auto" w:before="0" w:after="0"/>
              <w:pStyle w:val="Compact"/>
            </w:pPr>
            <w:r>
              <w:rPr>
                <w:sz w:val="20"/>
                <w:szCs w:val="20"/>
              </w:rPr>
              <w:t xml:space="preserve">Herstmonceux_UK</w:t>
            </w:r>
          </w:p>
        </w:tc>
        <w:tc>
          <w:tcPr>
            <w:tcW w:w="0" w:type="auto"/>
          </w:tcPr>
          <w:p>
            <w:pPr>
              <w:spacing w:line="240" w:lineRule="auto" w:before="0" w:after="0"/>
              <w:pStyle w:val="Compact"/>
            </w:pPr>
            <w:r>
              <w:rPr>
                <w:sz w:val="20"/>
                <w:szCs w:val="20"/>
              </w:rPr>
              <w:t xml:space="preserve">50.87</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Wilkinson NERC SGF availability 2015; ILRS station report</w:t>
            </w:r>
          </w:p>
        </w:tc>
      </w:tr>
      <w:tr>
        <w:tc>
          <w:tcPr>
            <w:tcW w:w="0" w:type="auto"/>
          </w:tcPr>
          <w:p>
            <w:pPr>
              <w:spacing w:line="240" w:lineRule="auto" w:before="0" w:after="0"/>
              <w:pStyle w:val="Compact"/>
            </w:pPr>
            <w:r>
              <w:rPr>
                <w:sz w:val="20"/>
                <w:szCs w:val="20"/>
              </w:rPr>
              <w:t xml:space="preserve">Potsdam_DE</w:t>
            </w:r>
          </w:p>
        </w:tc>
        <w:tc>
          <w:tcPr>
            <w:tcW w:w="0" w:type="auto"/>
          </w:tcPr>
          <w:p>
            <w:pPr>
              <w:spacing w:line="240" w:lineRule="auto" w:before="0" w:after="0"/>
              <w:pStyle w:val="Compact"/>
            </w:pPr>
            <w:r>
              <w:rPr>
                <w:sz w:val="20"/>
                <w:szCs w:val="20"/>
              </w:rPr>
              <w:t xml:space="preserve">52.38</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GFZ Potsdam SLR availability (Neumayer 2018); Scharring AMOS 2019</w:t>
            </w:r>
          </w:p>
        </w:tc>
      </w:tr>
      <w:tr>
        <w:tc>
          <w:tcPr>
            <w:tcW w:w="0" w:type="auto"/>
          </w:tcPr>
          <w:p>
            <w:pPr>
              <w:spacing w:line="240" w:lineRule="auto" w:before="0" w:after="0"/>
              <w:pStyle w:val="Compact"/>
            </w:pPr>
            <w:r>
              <w:rPr>
                <w:sz w:val="20"/>
                <w:szCs w:val="20"/>
              </w:rPr>
              <w:t xml:space="preserve">Goddard_NextGen_US</w:t>
            </w:r>
          </w:p>
        </w:tc>
        <w:tc>
          <w:tcPr>
            <w:tcW w:w="0" w:type="auto"/>
          </w:tcPr>
          <w:p>
            <w:pPr>
              <w:spacing w:line="240" w:lineRule="auto" w:before="0" w:after="0"/>
              <w:pStyle w:val="Compact"/>
            </w:pPr>
            <w:r>
              <w:rPr>
                <w:sz w:val="20"/>
                <w:szCs w:val="20"/>
              </w:rPr>
              <w:t xml:space="preserve">39.02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2150</w:t>
            </w:r>
          </w:p>
        </w:tc>
        <w:tc>
          <w:tcPr>
            <w:tcW w:w="0" w:type="auto"/>
          </w:tcPr>
          <w:p>
            <w:pPr>
              <w:spacing w:line="240" w:lineRule="auto" w:before="0" w:after="0"/>
              <w:pStyle w:val="Compact"/>
            </w:pPr>
            <w:r>
              <w:rPr>
                <w:sz w:val="20"/>
                <w:szCs w:val="20"/>
              </w:rPr>
              <w:t xml:space="preserve">NASA LCRD ground terminal characterization (Edwards et al. SPIE 2018)</w:t>
            </w:r>
          </w:p>
        </w:tc>
      </w:tr>
      <w:tr>
        <w:tc>
          <w:tcPr>
            <w:tcW w:w="0" w:type="auto"/>
          </w:tcPr>
          <w:p>
            <w:pPr>
              <w:spacing w:line="240" w:lineRule="auto" w:before="0" w:after="0"/>
              <w:pStyle w:val="Compact"/>
            </w:pPr>
            <w:r>
              <w:rPr>
                <w:sz w:val="20"/>
                <w:szCs w:val="20"/>
              </w:rPr>
              <w:t xml:space="preserve">Goldstone_CA_US</w:t>
            </w:r>
          </w:p>
        </w:tc>
        <w:tc>
          <w:tcPr>
            <w:tcW w:w="0" w:type="auto"/>
          </w:tcPr>
          <w:p>
            <w:pPr>
              <w:spacing w:line="240" w:lineRule="auto" w:before="0" w:after="0"/>
              <w:pStyle w:val="Compact"/>
            </w:pPr>
            <w:r>
              <w:rPr>
                <w:sz w:val="20"/>
                <w:szCs w:val="20"/>
              </w:rPr>
              <w:t xml:space="preserve">35.43</w:t>
            </w:r>
          </w:p>
        </w:tc>
        <w:tc>
          <w:tcPr>
            <w:tcW w:w="0" w:type="auto"/>
          </w:tcPr>
          <w:p>
            <w:pPr>
              <w:spacing w:line="240" w:lineRule="auto" w:before="0" w:after="0"/>
              <w:pStyle w:val="Compact"/>
            </w:pPr>
            <w:r>
              <w:rPr>
                <w:sz w:val="20"/>
                <w:szCs w:val="20"/>
              </w:rPr>
              <w:t xml:space="preserve">1036</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JPL DSN Goldstone optical link site assessment (Biswas et al. SPIE 2010)</w:t>
            </w:r>
          </w:p>
        </w:tc>
      </w:tr>
      <w:tr>
        <w:tc>
          <w:tcPr>
            <w:tcW w:w="0" w:type="auto"/>
          </w:tcPr>
          <w:p>
            <w:pPr>
              <w:spacing w:line="240" w:lineRule="auto" w:before="0" w:after="0"/>
              <w:pStyle w:val="Compact"/>
            </w:pPr>
            <w:r>
              <w:rPr>
                <w:sz w:val="20"/>
                <w:szCs w:val="20"/>
              </w:rPr>
              <w:t xml:space="preserve">TableMountain_CA_US</w:t>
            </w:r>
          </w:p>
        </w:tc>
        <w:tc>
          <w:tcPr>
            <w:tcW w:w="0" w:type="auto"/>
          </w:tcPr>
          <w:p>
            <w:pPr>
              <w:spacing w:line="240" w:lineRule="auto" w:before="0" w:after="0"/>
              <w:pStyle w:val="Compact"/>
            </w:pPr>
            <w:r>
              <w:rPr>
                <w:sz w:val="20"/>
                <w:szCs w:val="20"/>
              </w:rPr>
              <w:t xml:space="preserve">34.38</w:t>
            </w:r>
          </w:p>
        </w:tc>
        <w:tc>
          <w:tcPr>
            <w:tcW w:w="0" w:type="auto"/>
          </w:tcPr>
          <w:p>
            <w:pPr>
              <w:spacing w:line="240" w:lineRule="auto" w:before="0" w:after="0"/>
              <w:pStyle w:val="Compact"/>
            </w:pPr>
            <w:r>
              <w:rPr>
                <w:sz w:val="20"/>
                <w:szCs w:val="20"/>
              </w:rPr>
              <w:t xml:space="preserve">2285</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3100</w:t>
            </w:r>
          </w:p>
        </w:tc>
        <w:tc>
          <w:tcPr>
            <w:tcW w:w="0" w:type="auto"/>
          </w:tcPr>
          <w:p>
            <w:pPr>
              <w:spacing w:line="240" w:lineRule="auto" w:before="0" w:after="0"/>
              <w:pStyle w:val="Compact"/>
            </w:pPr>
            <w:r>
              <w:rPr>
                <w:sz w:val="20"/>
                <w:szCs w:val="20"/>
              </w:rPr>
              <w:t xml:space="preserve">JPL Table Mountain Observatory site characterization (Wilson et al. 2004)</w:t>
            </w:r>
          </w:p>
        </w:tc>
      </w:tr>
      <w:tr>
        <w:tc>
          <w:tcPr>
            <w:tcW w:w="0" w:type="auto"/>
          </w:tcPr>
          <w:p>
            <w:pPr>
              <w:spacing w:line="240" w:lineRule="auto" w:before="0" w:after="0"/>
              <w:pStyle w:val="Compact"/>
            </w:pPr>
            <w:r>
              <w:rPr>
                <w:sz w:val="20"/>
                <w:szCs w:val="20"/>
              </w:rPr>
              <w:t xml:space="preserve">Calar_Alto_ES</w:t>
            </w:r>
          </w:p>
        </w:tc>
        <w:tc>
          <w:tcPr>
            <w:tcW w:w="0" w:type="auto"/>
          </w:tcPr>
          <w:p>
            <w:pPr>
              <w:spacing w:line="240" w:lineRule="auto" w:before="0" w:after="0"/>
              <w:pStyle w:val="Compact"/>
            </w:pPr>
            <w:r>
              <w:rPr>
                <w:sz w:val="20"/>
                <w:szCs w:val="20"/>
              </w:rPr>
              <w:t xml:space="preserve">37.22</w:t>
            </w:r>
          </w:p>
        </w:tc>
        <w:tc>
          <w:tcPr>
            <w:tcW w:w="0" w:type="auto"/>
          </w:tcPr>
          <w:p>
            <w:pPr>
              <w:spacing w:line="240" w:lineRule="auto" w:before="0" w:after="0"/>
              <w:pStyle w:val="Compact"/>
            </w:pPr>
            <w:r>
              <w:rPr>
                <w:sz w:val="20"/>
                <w:szCs w:val="20"/>
              </w:rPr>
              <w:t xml:space="preserve">2168</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2900</w:t>
            </w:r>
          </w:p>
        </w:tc>
        <w:tc>
          <w:tcPr>
            <w:tcW w:w="0" w:type="auto"/>
          </w:tcPr>
          <w:p>
            <w:pPr>
              <w:spacing w:line="240" w:lineRule="auto" w:before="0" w:after="0"/>
              <w:pStyle w:val="Compact"/>
            </w:pPr>
            <w:r>
              <w:rPr>
                <w:sz w:val="20"/>
                <w:szCs w:val="20"/>
              </w:rPr>
              <w:t xml:space="preserve">Sanchez et al. PASP 2007 (Calar Alto seeing); Centro Astronomico Hispano-Aleman stats</w:t>
            </w:r>
          </w:p>
        </w:tc>
      </w:tr>
      <w:tr>
        <w:tc>
          <w:tcPr>
            <w:tcW w:w="0" w:type="auto"/>
          </w:tcPr>
          <w:p>
            <w:pPr>
              <w:spacing w:line="240" w:lineRule="auto" w:before="0" w:after="0"/>
              <w:pStyle w:val="Compact"/>
            </w:pPr>
            <w:r>
              <w:rPr>
                <w:sz w:val="20"/>
                <w:szCs w:val="20"/>
              </w:rPr>
              <w:t xml:space="preserve">Roque_Muchachos_ES</w:t>
            </w:r>
          </w:p>
        </w:tc>
        <w:tc>
          <w:tcPr>
            <w:tcW w:w="0" w:type="auto"/>
          </w:tcPr>
          <w:p>
            <w:pPr>
              <w:spacing w:line="240" w:lineRule="auto" w:before="0" w:after="0"/>
              <w:pStyle w:val="Compact"/>
            </w:pPr>
            <w:r>
              <w:rPr>
                <w:sz w:val="20"/>
                <w:szCs w:val="20"/>
              </w:rPr>
              <w:t xml:space="preserve">28.76</w:t>
            </w:r>
          </w:p>
        </w:tc>
        <w:tc>
          <w:tcPr>
            <w:tcW w:w="0" w:type="auto"/>
          </w:tcPr>
          <w:p>
            <w:pPr>
              <w:spacing w:line="240" w:lineRule="auto" w:before="0" w:after="0"/>
              <w:pStyle w:val="Compact"/>
            </w:pPr>
            <w:r>
              <w:rPr>
                <w:sz w:val="20"/>
                <w:szCs w:val="20"/>
              </w:rPr>
              <w:t xml:space="preserve">2396</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3150</w:t>
            </w:r>
          </w:p>
        </w:tc>
        <w:tc>
          <w:tcPr>
            <w:tcW w:w="0" w:type="auto"/>
          </w:tcPr>
          <w:p>
            <w:pPr>
              <w:spacing w:line="240" w:lineRule="auto" w:before="0" w:after="0"/>
              <w:pStyle w:val="Compact"/>
            </w:pPr>
            <w:r>
              <w:rPr>
                <w:sz w:val="20"/>
                <w:szCs w:val="20"/>
              </w:rPr>
              <w:t xml:space="preserve">Munoz-Tunon et al. NewA 1998 (Canarian sites); ORM site monitor</w:t>
            </w:r>
          </w:p>
        </w:tc>
      </w:tr>
      <w:tr>
        <w:tc>
          <w:tcPr>
            <w:tcW w:w="0" w:type="auto"/>
          </w:tcPr>
          <w:p>
            <w:pPr>
              <w:spacing w:line="240" w:lineRule="auto" w:before="0" w:after="0"/>
              <w:pStyle w:val="Compact"/>
            </w:pPr>
            <w:r>
              <w:rPr>
                <w:sz w:val="20"/>
                <w:szCs w:val="20"/>
              </w:rPr>
              <w:t xml:space="preserve">SAAO_Sutherland_ZA</w:t>
            </w:r>
          </w:p>
        </w:tc>
        <w:tc>
          <w:tcPr>
            <w:tcW w:w="0" w:type="auto"/>
          </w:tcPr>
          <w:p>
            <w:pPr>
              <w:spacing w:line="240" w:lineRule="auto" w:before="0" w:after="0"/>
              <w:pStyle w:val="Compact"/>
            </w:pPr>
            <w:r>
              <w:rPr>
                <w:sz w:val="20"/>
                <w:szCs w:val="20"/>
              </w:rPr>
              <w:t xml:space="preserve">-32.38</w:t>
            </w:r>
          </w:p>
        </w:tc>
        <w:tc>
          <w:tcPr>
            <w:tcW w:w="0" w:type="auto"/>
          </w:tcPr>
          <w:p>
            <w:pPr>
              <w:spacing w:line="240" w:lineRule="auto" w:before="0" w:after="0"/>
              <w:pStyle w:val="Compact"/>
            </w:pPr>
            <w:r>
              <w:rPr>
                <w:sz w:val="20"/>
                <w:szCs w:val="20"/>
              </w:rPr>
              <w:t xml:space="preserve">1798</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3050</w:t>
            </w:r>
          </w:p>
        </w:tc>
        <w:tc>
          <w:tcPr>
            <w:tcW w:w="0" w:type="auto"/>
          </w:tcPr>
          <w:p>
            <w:pPr>
              <w:spacing w:line="240" w:lineRule="auto" w:before="0" w:after="0"/>
              <w:pStyle w:val="Compact"/>
            </w:pPr>
            <w:r>
              <w:rPr>
                <w:sz w:val="20"/>
                <w:szCs w:val="20"/>
              </w:rPr>
              <w:t xml:space="preserve">SAAO Sutherland site monitor (Catala et al. 2013)</w:t>
            </w:r>
          </w:p>
        </w:tc>
      </w:tr>
      <w:tr>
        <w:tc>
          <w:tcPr>
            <w:tcW w:w="0" w:type="auto"/>
          </w:tcPr>
          <w:p>
            <w:pPr>
              <w:spacing w:line="240" w:lineRule="auto" w:before="0" w:after="0"/>
              <w:pStyle w:val="Compact"/>
            </w:pPr>
            <w:r>
              <w:rPr>
                <w:sz w:val="20"/>
                <w:szCs w:val="20"/>
              </w:rPr>
              <w:t xml:space="preserve">Maidanak_UZ</w:t>
            </w:r>
          </w:p>
        </w:tc>
        <w:tc>
          <w:tcPr>
            <w:tcW w:w="0" w:type="auto"/>
          </w:tcPr>
          <w:p>
            <w:pPr>
              <w:spacing w:line="240" w:lineRule="auto" w:before="0" w:after="0"/>
              <w:pStyle w:val="Compact"/>
            </w:pPr>
            <w:r>
              <w:rPr>
                <w:sz w:val="20"/>
                <w:szCs w:val="20"/>
              </w:rPr>
              <w:t xml:space="preserve">38.68</w:t>
            </w:r>
          </w:p>
        </w:tc>
        <w:tc>
          <w:tcPr>
            <w:tcW w:w="0" w:type="auto"/>
          </w:tcPr>
          <w:p>
            <w:pPr>
              <w:spacing w:line="240" w:lineRule="auto" w:before="0" w:after="0"/>
              <w:pStyle w:val="Compact"/>
            </w:pPr>
            <w:r>
              <w:rPr>
                <w:sz w:val="20"/>
                <w:szCs w:val="20"/>
              </w:rPr>
              <w:t xml:space="preserve">2593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Ehgamberdiev et al. A&amp;AS 2000 (Maidanak site testing)</w:t>
            </w:r>
          </w:p>
        </w:tc>
      </w:tr>
      <w:tr>
        <w:tc>
          <w:tcPr>
            <w:tcW w:w="0" w:type="auto"/>
          </w:tcPr>
          <w:p>
            <w:pPr>
              <w:spacing w:line="240" w:lineRule="auto" w:before="0" w:after="0"/>
              <w:pStyle w:val="Compact"/>
            </w:pPr>
            <w:r>
              <w:rPr>
                <w:sz w:val="20"/>
                <w:szCs w:val="20"/>
              </w:rPr>
              <w:t xml:space="preserve">SanPedroMartir_MX</w:t>
            </w:r>
          </w:p>
        </w:tc>
        <w:tc>
          <w:tcPr>
            <w:tcW w:w="0" w:type="auto"/>
          </w:tcPr>
          <w:p>
            <w:pPr>
              <w:spacing w:line="240" w:lineRule="auto" w:before="0" w:after="0"/>
              <w:pStyle w:val="Compact"/>
            </w:pPr>
            <w:r>
              <w:rPr>
                <w:sz w:val="20"/>
                <w:szCs w:val="20"/>
              </w:rPr>
              <w:t xml:space="preserve">31.04</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Echevarria et al. RMxAA 1998; UNAM OAN site stats</w:t>
            </w:r>
          </w:p>
        </w:tc>
      </w:tr>
      <w:tr>
        <w:tc>
          <w:tcPr>
            <w:tcW w:w="0" w:type="auto"/>
          </w:tcPr>
          <w:p>
            <w:pPr>
              <w:spacing w:line="240" w:lineRule="auto" w:before="0" w:after="0"/>
              <w:pStyle w:val="Compact"/>
            </w:pPr>
            <w:r>
              <w:rPr>
                <w:sz w:val="20"/>
                <w:szCs w:val="20"/>
              </w:rPr>
              <w:t xml:space="preserve">McDonald_TX_US</w:t>
            </w:r>
          </w:p>
        </w:tc>
        <w:tc>
          <w:tcPr>
            <w:tcW w:w="0" w:type="auto"/>
          </w:tcPr>
          <w:p>
            <w:pPr>
              <w:spacing w:line="240" w:lineRule="auto" w:before="0" w:after="0"/>
              <w:pStyle w:val="Compact"/>
            </w:pPr>
            <w:r>
              <w:rPr>
                <w:sz w:val="20"/>
                <w:szCs w:val="20"/>
              </w:rPr>
              <w:t xml:space="preserve">30.67</w:t>
            </w:r>
          </w:p>
        </w:tc>
        <w:tc>
          <w:tcPr>
            <w:tcW w:w="0" w:type="auto"/>
          </w:tcPr>
          <w:p>
            <w:pPr>
              <w:spacing w:line="240" w:lineRule="auto" w:before="0" w:after="0"/>
              <w:pStyle w:val="Compact"/>
            </w:pPr>
            <w:r>
              <w:rPr>
                <w:sz w:val="20"/>
                <w:szCs w:val="20"/>
              </w:rPr>
              <w:t xml:space="preserve">2070</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2750</w:t>
            </w:r>
          </w:p>
        </w:tc>
        <w:tc>
          <w:tcPr>
            <w:tcW w:w="0" w:type="auto"/>
          </w:tcPr>
          <w:p>
            <w:pPr>
              <w:spacing w:line="240" w:lineRule="auto" w:before="0" w:after="0"/>
              <w:pStyle w:val="Compact"/>
            </w:pPr>
            <w:r>
              <w:rPr>
                <w:sz w:val="20"/>
                <w:szCs w:val="20"/>
              </w:rPr>
              <w:t xml:space="preserve">McDonald Obs. site monitor (Barker &amp; Schoening 1991)</w:t>
            </w:r>
          </w:p>
        </w:tc>
      </w:tr>
      <w:tr>
        <w:tc>
          <w:tcPr>
            <w:tcW w:w="0" w:type="auto"/>
          </w:tcPr>
          <w:p>
            <w:pPr>
              <w:spacing w:line="240" w:lineRule="auto" w:before="0" w:after="0"/>
              <w:pStyle w:val="Compact"/>
            </w:pPr>
            <w:r>
              <w:rPr>
                <w:sz w:val="20"/>
                <w:szCs w:val="20"/>
              </w:rPr>
              <w:t xml:space="preserve">Apache_Point_NM_US</w:t>
            </w:r>
          </w:p>
        </w:tc>
        <w:tc>
          <w:tcPr>
            <w:tcW w:w="0" w:type="auto"/>
          </w:tcPr>
          <w:p>
            <w:pPr>
              <w:spacing w:line="240" w:lineRule="auto" w:before="0" w:after="0"/>
              <w:pStyle w:val="Compact"/>
            </w:pPr>
            <w:r>
              <w:rPr>
                <w:sz w:val="20"/>
                <w:szCs w:val="20"/>
              </w:rPr>
              <w:t xml:space="preserve">32.78</w:t>
            </w:r>
          </w:p>
        </w:tc>
        <w:tc>
          <w:tcPr>
            <w:tcW w:w="0" w:type="auto"/>
          </w:tcPr>
          <w:p>
            <w:pPr>
              <w:spacing w:line="240" w:lineRule="auto" w:before="0" w:after="0"/>
              <w:pStyle w:val="Compact"/>
            </w:pPr>
            <w:r>
              <w:rPr>
                <w:sz w:val="20"/>
                <w:szCs w:val="20"/>
              </w:rPr>
              <w:t xml:space="preserve">2788</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2900</w:t>
            </w:r>
          </w:p>
        </w:tc>
        <w:tc>
          <w:tcPr>
            <w:tcW w:w="0" w:type="auto"/>
          </w:tcPr>
          <w:p>
            <w:pPr>
              <w:spacing w:line="240" w:lineRule="auto" w:before="0" w:after="0"/>
              <w:pStyle w:val="Compact"/>
            </w:pPr>
            <w:r>
              <w:rPr>
                <w:sz w:val="20"/>
                <w:szCs w:val="20"/>
              </w:rPr>
              <w:t xml:space="preserve">APO site climatology (Hogg &amp; Frieman 2005)</w:t>
            </w:r>
          </w:p>
        </w:tc>
      </w:tr>
      <w:tr>
        <w:tc>
          <w:tcPr>
            <w:tcW w:w="0" w:type="auto"/>
          </w:tcPr>
          <w:p>
            <w:pPr>
              <w:spacing w:line="240" w:lineRule="auto" w:before="0" w:after="0"/>
              <w:pStyle w:val="Compact"/>
            </w:pPr>
            <w:r>
              <w:rPr>
                <w:sz w:val="20"/>
                <w:szCs w:val="20"/>
              </w:rPr>
              <w:t xml:space="preserve">Mt_Stromlo_AU</w:t>
            </w:r>
          </w:p>
        </w:tc>
        <w:tc>
          <w:tcPr>
            <w:tcW w:w="0" w:type="auto"/>
          </w:tcPr>
          <w:p>
            <w:pPr>
              <w:spacing w:line="240" w:lineRule="auto" w:before="0" w:after="0"/>
              <w:pStyle w:val="Compact"/>
            </w:pPr>
            <w:r>
              <w:rPr>
                <w:sz w:val="20"/>
                <w:szCs w:val="20"/>
              </w:rPr>
              <w:t xml:space="preserve">-35.32</w:t>
            </w:r>
          </w:p>
        </w:tc>
        <w:tc>
          <w:tcPr>
            <w:tcW w:w="0" w:type="auto"/>
          </w:tcPr>
          <w:p>
            <w:pPr>
              <w:spacing w:line="240" w:lineRule="auto" w:before="0" w:after="0"/>
              <w:pStyle w:val="Compact"/>
            </w:pPr>
            <w:r>
              <w:rPr>
                <w:sz w:val="20"/>
                <w:szCs w:val="20"/>
              </w:rPr>
              <w:t xml:space="preserve">770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Mt Stromlo SLR (Greene et al. ILRS 2008)</w:t>
            </w:r>
          </w:p>
        </w:tc>
      </w:tr>
      <w:tr>
        <w:tc>
          <w:tcPr>
            <w:tcW w:w="0" w:type="auto"/>
          </w:tcPr>
          <w:p>
            <w:pPr>
              <w:spacing w:line="240" w:lineRule="auto" w:before="0" w:after="0"/>
              <w:pStyle w:val="Compact"/>
            </w:pPr>
            <w:r>
              <w:rPr>
                <w:sz w:val="20"/>
                <w:szCs w:val="20"/>
              </w:rPr>
              <w:t xml:space="preserve">Concordia_AQ</w:t>
            </w:r>
          </w:p>
        </w:tc>
        <w:tc>
          <w:tcPr>
            <w:tcW w:w="0" w:type="auto"/>
          </w:tcPr>
          <w:p>
            <w:pPr>
              <w:spacing w:line="240" w:lineRule="auto" w:before="0" w:after="0"/>
              <w:pStyle w:val="Compact"/>
            </w:pPr>
            <w:r>
              <w:rPr>
                <w:sz w:val="20"/>
                <w:szCs w:val="20"/>
              </w:rPr>
              <w:t xml:space="preserve">-75.1</w:t>
            </w:r>
          </w:p>
        </w:tc>
        <w:tc>
          <w:tcPr>
            <w:tcW w:w="0" w:type="auto"/>
          </w:tcPr>
          <w:p>
            <w:pPr>
              <w:spacing w:line="240" w:lineRule="auto" w:before="0" w:after="0"/>
              <w:pStyle w:val="Compact"/>
            </w:pPr>
            <w:r>
              <w:rPr>
                <w:sz w:val="20"/>
                <w:szCs w:val="20"/>
              </w:rPr>
              <w:t xml:space="preserve">3233</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Lawrence et al. Nature 2004 (Dome C seeing); Aristidi et al. A&amp;A 2005 [illustrative for FSOC ops]</w:t>
            </w:r>
          </w:p>
        </w:tc>
      </w:tr>
      <w:tr>
        <w:tc>
          <w:tcPr>
            <w:tcW w:w="0" w:type="auto"/>
          </w:tcPr>
          <w:p>
            <w:pPr>
              <w:spacing w:line="240" w:lineRule="auto" w:before="0" w:after="0"/>
              <w:pStyle w:val="Compact"/>
            </w:pPr>
            <w:r>
              <w:rPr>
                <w:sz w:val="20"/>
                <w:szCs w:val="20"/>
              </w:rPr>
              <w:t xml:space="preserve">Izana_ES</w:t>
            </w:r>
          </w:p>
        </w:tc>
        <w:tc>
          <w:tcPr>
            <w:tcW w:w="0" w:type="auto"/>
          </w:tcPr>
          <w:p>
            <w:pPr>
              <w:spacing w:line="240" w:lineRule="auto" w:before="0" w:after="0"/>
              <w:pStyle w:val="Compact"/>
            </w:pPr>
            <w:r>
              <w:rPr>
                <w:sz w:val="20"/>
                <w:szCs w:val="20"/>
              </w:rPr>
              <w:t xml:space="preserve">28.31</w:t>
            </w:r>
          </w:p>
        </w:tc>
        <w:tc>
          <w:tcPr>
            <w:tcW w:w="0" w:type="auto"/>
          </w:tcPr>
          <w:p>
            <w:pPr>
              <w:spacing w:line="240" w:lineRule="auto" w:before="0" w:after="0"/>
              <w:pStyle w:val="Compact"/>
            </w:pPr>
            <w:r>
              <w:rPr>
                <w:sz w:val="20"/>
                <w:szCs w:val="20"/>
              </w:rPr>
              <w:t xml:space="preserve">2390</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0.84</w:t>
            </w:r>
          </w:p>
        </w:tc>
        <w:tc>
          <w:tcPr>
            <w:tcW w:w="0" w:type="auto"/>
          </w:tcPr>
          <w:p>
            <w:pPr>
              <w:spacing w:line="240" w:lineRule="auto" w:before="0" w:after="0"/>
              <w:pStyle w:val="Compact"/>
            </w:pPr>
            <w:r>
              <w:rPr>
                <w:sz w:val="20"/>
                <w:szCs w:val="20"/>
              </w:rPr>
              <w:t xml:space="preserve">3050</w:t>
            </w:r>
          </w:p>
        </w:tc>
        <w:tc>
          <w:tcPr>
            <w:tcW w:w="0" w:type="auto"/>
          </w:tcPr>
          <w:p>
            <w:pPr>
              <w:spacing w:line="240" w:lineRule="auto" w:before="0" w:after="0"/>
              <w:pStyle w:val="Compact"/>
            </w:pPr>
            <w:r>
              <w:rPr>
                <w:sz w:val="20"/>
                <w:szCs w:val="20"/>
              </w:rPr>
              <w:t xml:space="preserve">Izana Atmospheric Observatory cloud climatology (Cuevas et al. 2017)</w:t>
            </w:r>
          </w:p>
        </w:tc>
      </w:tr>
      <w:tr>
        <w:tc>
          <w:tcPr>
            <w:tcW w:w="0" w:type="auto"/>
          </w:tcPr>
          <w:p>
            <w:pPr>
              <w:spacing w:line="240" w:lineRule="auto" w:before="0" w:after="0"/>
              <w:pStyle w:val="Compact"/>
            </w:pPr>
            <w:r>
              <w:rPr>
                <w:sz w:val="20"/>
                <w:szCs w:val="20"/>
              </w:rPr>
              <w:t xml:space="preserve">WhiteSands_NM_US</w:t>
            </w:r>
          </w:p>
        </w:tc>
        <w:tc>
          <w:tcPr>
            <w:tcW w:w="0" w:type="auto"/>
          </w:tcPr>
          <w:p>
            <w:pPr>
              <w:spacing w:line="240" w:lineRule="auto" w:before="0" w:after="0"/>
              <w:pStyle w:val="Compact"/>
            </w:pPr>
            <w:r>
              <w:rPr>
                <w:sz w:val="20"/>
                <w:szCs w:val="20"/>
              </w:rPr>
              <w:t xml:space="preserve">32.38</w:t>
            </w:r>
          </w:p>
        </w:tc>
        <w:tc>
          <w:tcPr>
            <w:tcW w:w="0" w:type="auto"/>
          </w:tcPr>
          <w:p>
            <w:pPr>
              <w:spacing w:line="240" w:lineRule="auto" w:before="0" w:after="0"/>
              <w:pStyle w:val="Compact"/>
            </w:pPr>
            <w:r>
              <w:rPr>
                <w:sz w:val="20"/>
                <w:szCs w:val="20"/>
              </w:rPr>
              <w:t xml:space="preserve">1216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NASA WSC FSOC test site (Wright et al. SPIE 2015) [illustrative for cloud-free fraction]</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annual_cloud_free_pct</w:t>
            </w:r>
          </w:p>
        </w:tc>
        <w:tc>
          <w:tcPr>
            <w:tcW w:w="0" w:type="auto"/>
          </w:tcPr>
          <w:p>
            <w:pPr>
              <w:spacing w:line="240" w:lineRule="auto" w:before="0" w:after="0"/>
              <w:pStyle w:val="Compact"/>
            </w:pPr>
            <w:r>
              <w:rPr>
                <w:sz w:val="20"/>
                <w:szCs w:val="20"/>
              </w:rPr>
              <w:t xml:space="preserve">Percentage of annual hours with cloud-free line of sight at the aperture, the site-level availability ceiling for free-space optical downlinks</w:t>
            </w:r>
          </w:p>
        </w:tc>
        <w:tc>
          <w:tcPr>
            <w:tcW w:w="0" w:type="auto"/>
          </w:tcPr>
          <w:p>
            <w:pPr>
              <w:spacing w:line="240" w:lineRule="auto" w:before="0" w:after="0"/>
              <w:pStyle w:val="Compact"/>
            </w:pPr>
            <w:r>
              <w:rPr>
                <w:sz w:val="20"/>
                <w:szCs w:val="20"/>
              </w:rPr>
              <w:t xml:space="preserve">Site monitor records and published cloud climatologies for each named OGS or SLR aperture</w:t>
            </w:r>
          </w:p>
        </w:tc>
      </w:tr>
      <w:tr>
        <w:tc>
          <w:tcPr>
            <w:tcW w:w="0" w:type="auto"/>
          </w:tcPr>
          <w:p>
            <w:pPr>
              <w:spacing w:line="240" w:lineRule="auto" w:before="0" w:after="0"/>
              <w:pStyle w:val="Compact"/>
            </w:pPr>
            <w:r>
              <w:rPr>
                <w:sz w:val="20"/>
                <w:szCs w:val="20"/>
              </w:rPr>
              <w:t xml:space="preserve">elevation_m</w:t>
            </w:r>
          </w:p>
        </w:tc>
        <w:tc>
          <w:tcPr>
            <w:tcW w:w="0" w:type="auto"/>
          </w:tcPr>
          <w:p>
            <w:pPr>
              <w:spacing w:line="240" w:lineRule="auto" w:before="0" w:after="0"/>
              <w:pStyle w:val="Compact"/>
            </w:pPr>
            <w:r>
              <w:rPr>
                <w:sz w:val="20"/>
                <w:szCs w:val="20"/>
              </w:rPr>
              <w:t xml:space="preserve">Aperture elevation above mean sea level in meters, a structural proxy for the depth of the boundary layer overhead</w:t>
            </w:r>
          </w:p>
        </w:tc>
        <w:tc>
          <w:tcPr>
            <w:tcW w:w="0" w:type="auto"/>
          </w:tcPr>
          <w:p>
            <w:pPr>
              <w:spacing w:line="240" w:lineRule="auto" w:before="0" w:after="0"/>
              <w:pStyle w:val="Compact"/>
            </w:pPr>
            <w:r>
              <w:rPr>
                <w:sz w:val="20"/>
                <w:szCs w:val="20"/>
              </w:rPr>
              <w:t xml:space="preserve">Site descriptions in cited references</w:t>
            </w:r>
          </w:p>
        </w:tc>
      </w:tr>
      <w:tr>
        <w:tc>
          <w:tcPr>
            <w:tcW w:w="0" w:type="auto"/>
          </w:tcPr>
          <w:p>
            <w:pPr>
              <w:spacing w:line="240" w:lineRule="auto" w:before="0" w:after="0"/>
              <w:pStyle w:val="Compact"/>
            </w:pPr>
            <w:r>
              <w:rPr>
                <w:sz w:val="20"/>
                <w:szCs w:val="20"/>
              </w:rPr>
              <w:t xml:space="preserve">latitude_deg</w:t>
            </w:r>
          </w:p>
        </w:tc>
        <w:tc>
          <w:tcPr>
            <w:tcW w:w="0" w:type="auto"/>
          </w:tcPr>
          <w:p>
            <w:pPr>
              <w:spacing w:line="240" w:lineRule="auto" w:before="0" w:after="0"/>
              <w:pStyle w:val="Compact"/>
            </w:pPr>
            <w:r>
              <w:rPr>
                <w:sz w:val="20"/>
                <w:szCs w:val="20"/>
              </w:rPr>
              <w:t xml:space="preserve">Geodetic latitude in degrees, signed by hemisphere; the regression uses the raw signed value to absorb the latitude band effect</w:t>
            </w:r>
          </w:p>
        </w:tc>
        <w:tc>
          <w:tcPr>
            <w:tcW w:w="0" w:type="auto"/>
          </w:tcPr>
          <w:p>
            <w:pPr>
              <w:spacing w:line="240" w:lineRule="auto" w:before="0" w:after="0"/>
              <w:pStyle w:val="Compact"/>
            </w:pPr>
            <w:r>
              <w:rPr>
                <w:sz w:val="20"/>
                <w:szCs w:val="20"/>
              </w:rPr>
              <w:t xml:space="preserve">Site descriptions in cited references</w:t>
            </w:r>
          </w:p>
        </w:tc>
      </w:tr>
      <w:tr>
        <w:tc>
          <w:tcPr>
            <w:tcW w:w="0" w:type="auto"/>
          </w:tcPr>
          <w:p>
            <w:pPr>
              <w:spacing w:line="240" w:lineRule="auto" w:before="0" w:after="0"/>
              <w:pStyle w:val="Compact"/>
            </w:pPr>
            <w:r>
              <w:rPr>
                <w:sz w:val="20"/>
                <w:szCs w:val="20"/>
              </w:rPr>
              <w:t xml:space="preserve">mean_seeing_arcsec</w:t>
            </w:r>
          </w:p>
        </w:tc>
        <w:tc>
          <w:tcPr>
            <w:tcW w:w="0" w:type="auto"/>
          </w:tcPr>
          <w:p>
            <w:pPr>
              <w:spacing w:line="240" w:lineRule="auto" w:before="0" w:after="0"/>
              <w:pStyle w:val="Compact"/>
            </w:pPr>
            <w:r>
              <w:rPr>
                <w:sz w:val="20"/>
                <w:szCs w:val="20"/>
              </w:rPr>
              <w:t xml:space="preserve">Median atmospheric seeing parameter at the aperture in arcseconds, a continuous indicator of optical turbulence severity</w:t>
            </w:r>
          </w:p>
        </w:tc>
        <w:tc>
          <w:tcPr>
            <w:tcW w:w="0" w:type="auto"/>
          </w:tcPr>
          <w:p>
            <w:pPr>
              <w:spacing w:line="240" w:lineRule="auto" w:before="0" w:after="0"/>
              <w:pStyle w:val="Compact"/>
            </w:pPr>
            <w:r>
              <w:rPr>
                <w:sz w:val="20"/>
                <w:szCs w:val="20"/>
              </w:rPr>
              <w:t xml:space="preserve">Published site testing campaigns and DIMM monitor archives cited per row</w:t>
            </w:r>
          </w:p>
        </w:tc>
      </w:tr>
      <w:tr>
        <w:tc>
          <w:tcPr>
            <w:tcW w:w="0" w:type="auto"/>
          </w:tcPr>
          <w:p>
            <w:pPr>
              <w:spacing w:line="240" w:lineRule="auto" w:before="0" w:after="0"/>
              <w:pStyle w:val="Compact"/>
            </w:pPr>
            <w:r>
              <w:rPr>
                <w:sz w:val="20"/>
                <w:szCs w:val="20"/>
              </w:rPr>
              <w:t xml:space="preserve">daytime_obs_hours_yr</w:t>
            </w:r>
          </w:p>
        </w:tc>
        <w:tc>
          <w:tcPr>
            <w:tcW w:w="0" w:type="auto"/>
          </w:tcPr>
          <w:p>
            <w:pPr>
              <w:spacing w:line="240" w:lineRule="auto" w:before="0" w:after="0"/>
              <w:pStyle w:val="Compact"/>
            </w:pPr>
            <w:r>
              <w:rPr>
                <w:sz w:val="20"/>
                <w:szCs w:val="20"/>
              </w:rPr>
              <w:t xml:space="preserve">Observed annual daytime usable hours, reported for context and not used in the primary specification</w:t>
            </w:r>
          </w:p>
        </w:tc>
        <w:tc>
          <w:tcPr>
            <w:tcW w:w="0" w:type="auto"/>
          </w:tcPr>
          <w:p>
            <w:pPr>
              <w:spacing w:line="240" w:lineRule="auto" w:before="0" w:after="0"/>
              <w:pStyle w:val="Compact"/>
            </w:pPr>
            <w:r>
              <w:rPr>
                <w:sz w:val="20"/>
                <w:szCs w:val="20"/>
              </w:rPr>
              <w:t xml:space="preserve">Site reports cited per row</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102.899</w:t>
            </w:r>
          </w:p>
        </w:tc>
        <w:tc>
          <w:tcPr>
            <w:tcW w:w="0" w:type="auto"/>
          </w:tcPr>
          <w:p>
            <w:pPr>
              <w:spacing w:line="240" w:lineRule="auto" w:before="0" w:after="0"/>
              <w:pStyle w:val="Compact"/>
            </w:pPr>
            <w:r>
              <w:rPr>
                <w:sz w:val="20"/>
                <w:szCs w:val="20"/>
              </w:rPr>
              <w:t xml:space="preserve">8.7248</w:t>
            </w:r>
          </w:p>
        </w:tc>
        <w:tc>
          <w:tcPr>
            <w:tcW w:w="0" w:type="auto"/>
          </w:tcPr>
          <w:p>
            <w:pPr>
              <w:spacing w:line="240" w:lineRule="auto" w:before="0" w:after="0"/>
              <w:pStyle w:val="Compact"/>
            </w:pPr>
            <w:r>
              <w:rPr>
                <w:sz w:val="20"/>
                <w:szCs w:val="20"/>
              </w:rPr>
              <w:t xml:space="preserve">11.7938</w:t>
            </w:r>
          </w:p>
        </w:tc>
        <w:tc>
          <w:tcPr>
            <w:tcW w:w="0" w:type="auto"/>
          </w:tcPr>
          <w:p>
            <w:pPr>
              <w:spacing w:line="240" w:lineRule="auto" w:before="0" w:after="0"/>
              <w:pStyle w:val="Compact"/>
            </w:pPr>
            <w:r>
              <w:rPr>
                <w:sz w:val="20"/>
                <w:szCs w:val="20"/>
              </w:rPr>
              <w:t xml:space="preserve">4.201e-32</w:t>
            </w:r>
          </w:p>
        </w:tc>
        <w:tc>
          <w:tcPr>
            <w:tcW w:w="0" w:type="auto"/>
          </w:tcPr>
          <w:p>
            <w:pPr>
              <w:spacing w:line="240" w:lineRule="auto" w:before="0" w:after="0"/>
              <w:pStyle w:val="Compact"/>
            </w:pPr>
            <w:r>
              <w:rPr>
                <w:sz w:val="20"/>
                <w:szCs w:val="20"/>
              </w:rPr>
              <w:t xml:space="preserve">[85.7986, 119.9993]</w:t>
            </w:r>
          </w:p>
        </w:tc>
      </w:tr>
      <w:tr>
        <w:tc>
          <w:tcPr>
            <w:tcW w:w="0" w:type="auto"/>
          </w:tcPr>
          <w:p>
            <w:pPr>
              <w:spacing w:line="240" w:lineRule="auto" w:before="0" w:after="0"/>
              <w:pStyle w:val="Compact"/>
            </w:pPr>
            <w:r>
              <w:rPr>
                <w:sz w:val="20"/>
                <w:szCs w:val="20"/>
              </w:rPr>
              <w:t xml:space="preserve">elevation_m</w:t>
            </w:r>
          </w:p>
        </w:tc>
        <w:tc>
          <w:tcPr>
            <w:tcW w:w="0" w:type="auto"/>
          </w:tcPr>
          <w:p>
            <w:pPr>
              <w:spacing w:line="240" w:lineRule="auto" w:before="0" w:after="0"/>
              <w:pStyle w:val="Compact"/>
            </w:pPr>
            <w:r>
              <w:rPr>
                <w:sz w:val="20"/>
                <w:szCs w:val="20"/>
              </w:rPr>
              <w:t xml:space="preserve">-0.0021</w:t>
            </w:r>
          </w:p>
        </w:tc>
        <w:tc>
          <w:tcPr>
            <w:tcW w:w="0" w:type="auto"/>
          </w:tcPr>
          <w:p>
            <w:pPr>
              <w:spacing w:line="240" w:lineRule="auto" w:before="0" w:after="0"/>
              <w:pStyle w:val="Compact"/>
            </w:pPr>
            <w:r>
              <w:rPr>
                <w:sz w:val="20"/>
                <w:szCs w:val="20"/>
              </w:rPr>
              <w:t xml:space="preserve">0.0018</w:t>
            </w:r>
          </w:p>
        </w:tc>
        <w:tc>
          <w:tcPr>
            <w:tcW w:w="0" w:type="auto"/>
          </w:tcPr>
          <w:p>
            <w:pPr>
              <w:spacing w:line="240" w:lineRule="auto" w:before="0" w:after="0"/>
              <w:pStyle w:val="Compact"/>
            </w:pPr>
            <w:r>
              <w:rPr>
                <w:sz w:val="20"/>
                <w:szCs w:val="20"/>
              </w:rPr>
              <w:t xml:space="preserve">-1.1845</w:t>
            </w:r>
          </w:p>
        </w:tc>
        <w:tc>
          <w:tcPr>
            <w:tcW w:w="0" w:type="auto"/>
          </w:tcPr>
          <w:p>
            <w:pPr>
              <w:spacing w:line="240" w:lineRule="auto" w:before="0" w:after="0"/>
              <w:pStyle w:val="Compact"/>
            </w:pPr>
            <w:r>
              <w:rPr>
                <w:sz w:val="20"/>
                <w:szCs w:val="20"/>
              </w:rPr>
              <w:t xml:space="preserve">0.2362</w:t>
            </w:r>
          </w:p>
        </w:tc>
        <w:tc>
          <w:tcPr>
            <w:tcW w:w="0" w:type="auto"/>
          </w:tcPr>
          <w:p>
            <w:pPr>
              <w:spacing w:line="240" w:lineRule="auto" w:before="0" w:after="0"/>
              <w:pStyle w:val="Compact"/>
            </w:pPr>
            <w:r>
              <w:rPr>
                <w:sz w:val="20"/>
                <w:szCs w:val="20"/>
              </w:rPr>
              <w:t xml:space="preserve">[-0.0056, 0.0014]</w:t>
            </w:r>
          </w:p>
        </w:tc>
      </w:tr>
      <w:tr>
        <w:tc>
          <w:tcPr>
            <w:tcW w:w="0" w:type="auto"/>
          </w:tcPr>
          <w:p>
            <w:pPr>
              <w:spacing w:line="240" w:lineRule="auto" w:before="0" w:after="0"/>
              <w:pStyle w:val="Compact"/>
            </w:pPr>
            <w:r>
              <w:rPr>
                <w:sz w:val="20"/>
                <w:szCs w:val="20"/>
              </w:rPr>
              <w:t xml:space="preserve">latitude_deg</w:t>
            </w:r>
          </w:p>
        </w:tc>
        <w:tc>
          <w:tcPr>
            <w:tcW w:w="0" w:type="auto"/>
          </w:tcPr>
          <w:p>
            <w:pPr>
              <w:spacing w:line="240" w:lineRule="auto" w:before="0" w:after="0"/>
              <w:pStyle w:val="Compact"/>
            </w:pPr>
            <w:r>
              <w:rPr>
                <w:sz w:val="20"/>
                <w:szCs w:val="20"/>
              </w:rPr>
              <w:t xml:space="preserve">-0.108</w:t>
            </w:r>
          </w:p>
        </w:tc>
        <w:tc>
          <w:tcPr>
            <w:tcW w:w="0" w:type="auto"/>
          </w:tcPr>
          <w:p>
            <w:pPr>
              <w:spacing w:line="240" w:lineRule="auto" w:before="0" w:after="0"/>
              <w:pStyle w:val="Compact"/>
            </w:pPr>
            <w:r>
              <w:rPr>
                <w:sz w:val="20"/>
                <w:szCs w:val="20"/>
              </w:rPr>
              <w:t xml:space="preserve">0.044</w:t>
            </w:r>
          </w:p>
        </w:tc>
        <w:tc>
          <w:tcPr>
            <w:tcW w:w="0" w:type="auto"/>
          </w:tcPr>
          <w:p>
            <w:pPr>
              <w:spacing w:line="240" w:lineRule="auto" w:before="0" w:after="0"/>
              <w:pStyle w:val="Compact"/>
            </w:pPr>
            <w:r>
              <w:rPr>
                <w:sz w:val="20"/>
                <w:szCs w:val="20"/>
              </w:rPr>
              <w:t xml:space="preserve">-2.4535</w:t>
            </w:r>
          </w:p>
        </w:tc>
        <w:tc>
          <w:tcPr>
            <w:tcW w:w="0" w:type="auto"/>
          </w:tcPr>
          <w:p>
            <w:pPr>
              <w:spacing w:line="240" w:lineRule="auto" w:before="0" w:after="0"/>
              <w:pStyle w:val="Compact"/>
            </w:pPr>
            <w:r>
              <w:rPr>
                <w:sz w:val="20"/>
                <w:szCs w:val="20"/>
              </w:rPr>
              <w:t xml:space="preserve">0.0141</w:t>
            </w:r>
          </w:p>
        </w:tc>
        <w:tc>
          <w:tcPr>
            <w:tcW w:w="0" w:type="auto"/>
          </w:tcPr>
          <w:p>
            <w:pPr>
              <w:spacing w:line="240" w:lineRule="auto" w:before="0" w:after="0"/>
              <w:pStyle w:val="Compact"/>
            </w:pPr>
            <w:r>
              <w:rPr>
                <w:sz w:val="20"/>
                <w:szCs w:val="20"/>
              </w:rPr>
              <w:t xml:space="preserve">[-0.1944, -0.0217]</w:t>
            </w:r>
          </w:p>
        </w:tc>
      </w:tr>
      <w:tr>
        <w:tc>
          <w:tcPr>
            <w:tcW w:w="0" w:type="auto"/>
          </w:tcPr>
          <w:p>
            <w:pPr>
              <w:spacing w:line="240" w:lineRule="auto" w:before="0" w:after="0"/>
              <w:pStyle w:val="Compact"/>
            </w:pPr>
            <w:r>
              <w:rPr>
                <w:sz w:val="20"/>
                <w:szCs w:val="20"/>
              </w:rPr>
              <w:t xml:space="preserve">mean_seeing_arcsec</w:t>
            </w:r>
          </w:p>
        </w:tc>
        <w:tc>
          <w:tcPr>
            <w:tcW w:w="0" w:type="auto"/>
          </w:tcPr>
          <w:p>
            <w:pPr>
              <w:spacing w:line="240" w:lineRule="auto" w:before="0" w:after="0"/>
              <w:pStyle w:val="Compact"/>
            </w:pPr>
            <w:r>
              <w:rPr>
                <w:sz w:val="20"/>
                <w:szCs w:val="20"/>
              </w:rPr>
              <w:t xml:space="preserve">-27.6128</w:t>
            </w:r>
          </w:p>
        </w:tc>
        <w:tc>
          <w:tcPr>
            <w:tcW w:w="0" w:type="auto"/>
          </w:tcPr>
          <w:p>
            <w:pPr>
              <w:spacing w:line="240" w:lineRule="auto" w:before="0" w:after="0"/>
              <w:pStyle w:val="Compact"/>
            </w:pPr>
            <w:r>
              <w:rPr>
                <w:sz w:val="20"/>
                <w:szCs w:val="20"/>
              </w:rPr>
              <w:t xml:space="preserve">4.5078</w:t>
            </w:r>
          </w:p>
        </w:tc>
        <w:tc>
          <w:tcPr>
            <w:tcW w:w="0" w:type="auto"/>
          </w:tcPr>
          <w:p>
            <w:pPr>
              <w:spacing w:line="240" w:lineRule="auto" w:before="0" w:after="0"/>
              <w:pStyle w:val="Compact"/>
            </w:pPr>
            <w:r>
              <w:rPr>
                <w:sz w:val="20"/>
                <w:szCs w:val="20"/>
              </w:rPr>
              <w:t xml:space="preserve">-6.1255</w:t>
            </w:r>
          </w:p>
        </w:tc>
        <w:tc>
          <w:tcPr>
            <w:tcW w:w="0" w:type="auto"/>
          </w:tcPr>
          <w:p>
            <w:pPr>
              <w:spacing w:line="240" w:lineRule="auto" w:before="0" w:after="0"/>
              <w:pStyle w:val="Compact"/>
            </w:pPr>
            <w:r>
              <w:rPr>
                <w:sz w:val="20"/>
                <w:szCs w:val="20"/>
              </w:rPr>
              <w:t xml:space="preserve">9.038e-10</w:t>
            </w:r>
          </w:p>
        </w:tc>
        <w:tc>
          <w:tcPr>
            <w:tcW w:w="0" w:type="auto"/>
          </w:tcPr>
          <w:p>
            <w:pPr>
              <w:spacing w:line="240" w:lineRule="auto" w:before="0" w:after="0"/>
              <w:pStyle w:val="Compact"/>
            </w:pPr>
            <w:r>
              <w:rPr>
                <w:sz w:val="20"/>
                <w:szCs w:val="20"/>
              </w:rPr>
              <w:t xml:space="preserve">[-36.4479, -18.7776]</w:t>
            </w:r>
          </w:p>
        </w:tc>
      </w:tr>
    </w:tbl>
    <w:p>
      <w:pPr>
        <w:pStyle w:val="BodyText"/>
      </w:pPr>
      <w:r>
        <w:t xml:space="preserve">Fit: N = 30 R2 = 0.8821 R2_adj = 0.8685 F = 40.4514 F_p = 6.148e-10</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69" Target="https://doi.org/10.1016/j.actaastro.2019.10.011" TargetMode="External" /></Relationships>
</file>

<file path=word/_rels/footnotes.xml.rels><?xml version="1.0" encoding="UTF-8"?><Relationships xmlns="http://schemas.openxmlformats.org/package/2006/relationships"><Relationship Type="http://schemas.openxmlformats.org/officeDocument/2006/relationships/hyperlink" Id="rId69" Target="https://doi.org/10.1016/j.actaastro.2019.10.01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2026-06-27T00:26:51Z</dcterms:created>
  <dcterms:modified xsi:type="dcterms:W3CDTF">2026-06-27T00:26:51Z</dcterms:modified>
</cp:coreProperties>
</file>

<file path=docProps/custom.xml><?xml version="1.0" encoding="utf-8"?>
<Properties xmlns="http://schemas.openxmlformats.org/officeDocument/2006/custom-properties" xmlns:vt="http://schemas.openxmlformats.org/officeDocument/2006/docPropsVTypes"/>
</file>