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WEATHER DOWN, CAPACITY DOWN: QUANTIFYING THE AVAILABILITY PENALTY OF OPTICAL GROUND STATION NETWORKS</w:t>
      </w:r>
    </w:p>
    <w:p>
      <w:pPr>
        <w:jc w:val="center"/>
      </w:pPr>
    </w:p>
    <w:p>
      <w:pPr>
        <w:jc w:val="center"/>
      </w:pPr>
      <w:r>
        <w:rPr>
          <w:rFonts w:ascii="Times New Roman" w:hAnsi="Times New Roman"/>
          <w:sz w:val="24"/>
        </w:rPr>
        <w:t>by</w:t>
      </w:r>
    </w:p>
    <w:p>
      <w:pPr>
        <w:jc w:val="center"/>
      </w:pPr>
      <w:r>
        <w:rPr>
          <w:rFonts w:ascii="Times New Roman" w:hAnsi="Times New Roman"/>
          <w:b/>
          <w:sz w:val="28"/>
        </w:rPr>
        <w:t>Freya Reinholt</w:t>
      </w:r>
    </w:p>
    <w:p>
      <w:pPr>
        <w:jc w:val="center"/>
      </w:pPr>
      <w:r>
        <w:rPr>
          <w:rFonts w:ascii="Times New Roman" w:hAnsi="Times New Roman"/>
          <w:sz w:val="24"/>
        </w:rPr>
        <w:t>1B-ITI-109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in-one-sentence"/>
    <w:p>
      <w:pPr>
        <w:pStyle w:val="Heading2"/>
        <w:spacing w:line="480" w:lineRule="auto"/>
      </w:pPr>
      <w:r>
        <w:t xml:space="preserve">1.1 The Problem in One Sentence</w:t>
      </w:r>
    </w:p>
    <w:p>
      <w:pPr>
        <w:pStyle w:val="FirstParagraph"/>
        <w:spacing w:line="480" w:lineRule="auto"/>
      </w:pPr>
      <w:r>
        <w:t xml:space="preserve">A free-space optical downlink from low Earth orbit can only deliver to an aperture that the sky above it has not closed. Every other element of the architecture, from the laser terminal on the spacecraft to the modem behind the telescope, has matured to the point where its limit is no longer the binding one. The binding limit is meteorological, it is local to each ground station, and it is the variable that no engineering choice on the satellite side can remove. This dissertation asks how much capacity an optical ground station (OGS) network actually loses to that limit, and how the loss scales with the number of cooperating sites. It answers with a single estimator, a single falsifiable hypothesis, and a single curve.</w:t>
      </w:r>
    </w:p>
    <w:bookmarkEnd w:id="61"/>
    <w:bookmarkStart w:id="62" w:name="X1f5f22e67ecdd22126fca056e3f09cb54cdb8a2"/>
    <w:p>
      <w:pPr>
        <w:pStyle w:val="Heading2"/>
        <w:spacing w:line="480" w:lineRule="auto"/>
      </w:pPr>
      <w:r>
        <w:t xml:space="preserve">1.2 Why the Question is Load-Bearing for NASA and JPL</w:t>
      </w:r>
    </w:p>
    <w:p>
      <w:pPr>
        <w:pStyle w:val="FirstParagraph"/>
        <w:spacing w:line="480" w:lineRule="auto"/>
      </w:pPr>
      <w:r>
        <w:t xml:space="preserve">Two facts converging in the same five-year window make this question load-bearing rather than ornamental. The first fact is that the space segment is no longer the bottleneck. Demonstrated peak optical downlink rates have risen by roughly three orders of magnitude across the LLCD, LCRD, and TBIRD trajectories, and a Wright-style learning slope estimated across thirty demonstrations from 1995 through 2024 implies an elasticity of demonstrated capacity with respect to cumulative experience of 1.705, which is to say a multiplicative factor of about 3.26 per doubling of demonstrations</w:t>
      </w:r>
      <w:r>
        <w:t xml:space="preserve"> </w:t>
      </w:r>
      <w:hyperlink w:anchor="ref-21">
        <w:r>
          <w:rPr>
            <w:rStyle w:val="Hyperlink"/>
          </w:rPr>
          <w:t xml:space="preserve">[21]</w:t>
        </w:r>
      </w:hyperlink>
      <w:r>
        <w:t xml:space="preserve">[22]. That is a capability progress ratio characteristic of a field in its discovery phase, not its cost-reduction phase, and it is well outside the manufacturing-curve regime that the original Wright model described</w:t>
      </w:r>
      <w:r>
        <w:t xml:space="preserve"> </w:t>
      </w:r>
      <w:hyperlink w:anchor="ref-20">
        <w:r>
          <w:rPr>
            <w:rStyle w:val="Hyperlink"/>
          </w:rPr>
          <w:t xml:space="preserve">[20]</w:t>
        </w:r>
      </w:hyperlink>
      <w:r>
        <w:t xml:space="preserve">. The implication for an architect is uncomfortable. The faster the space segment grows, the larger the absolute number of bits per second that any ground-segment outage costs the architecture. A weather minute that was tolerable when peak rates were tens of megabits is an architectural problem when peak rates are two hundred gigabits.</w:t>
      </w:r>
    </w:p>
    <w:p>
      <w:pPr>
        <w:pStyle w:val="BodyText"/>
        <w:spacing w:line="480" w:lineRule="auto"/>
        <w:ind w:firstLine="720"/>
      </w:pPr>
      <w:r>
        <w:t xml:space="preserve">The second fact is that the ground segment has not grown at the same rate, and where it has grown it has done so under cloud-climatology constraints that the agency literature has characterized at the site level but not yet at the network level. Operational demonstrations confirm that an OGS-to-LEO link can be closed at engineering performance</w:t>
      </w:r>
      <w:r>
        <w:t xml:space="preserve"> </w:t>
      </w:r>
      <w:hyperlink w:anchor="ref-7">
        <w:r>
          <w:rPr>
            <w:rStyle w:val="Hyperlink"/>
          </w:rPr>
          <w:t xml:space="preserve">[7]</w:t>
        </w:r>
      </w:hyperlink>
      <w:r>
        <w:t xml:space="preserve">[10], and the European Data Relay System has shown that a GEO-relay ground segment scales to operational duty cycles</w:t>
      </w:r>
      <w:r>
        <w:t xml:space="preserve"> </w:t>
      </w:r>
      <w:hyperlink w:anchor="ref-8">
        <w:r>
          <w:rPr>
            <w:rStyle w:val="Hyperlink"/>
          </w:rPr>
          <w:t xml:space="preserve">[8]</w:t>
        </w:r>
      </w:hyperlink>
      <w:r>
        <w:t xml:space="preserve">. Yet the same documents report availability descriptively, as a duty-cycle statistic over a campaign window, rather than as a parameter of a network sizing decision. NASA’s own LCRD ground-segment site selection used a multi-year cloud-fraction analysis at Haleakala and Table Mountain to motivate the two-site pairing</w:t>
      </w:r>
      <w:r>
        <w:t xml:space="preserve"> </w:t>
      </w:r>
      <w:hyperlink w:anchor="ref-16">
        <w:r>
          <w:rPr>
            <w:rStyle w:val="Hyperlink"/>
          </w:rPr>
          <w:t xml:space="preserve">[16]</w:t>
        </w:r>
      </w:hyperlink>
      <w:r>
        <w:t xml:space="preserve">[17], and JPL’s Deep Space Optical Communications technology demonstration on Psyche has now produced first-light results at Goldstone, Table Mountain, and Palomar that the program itself characterizes as bounded by atmospheric conditions</w:t>
      </w:r>
      <w:r>
        <w:t xml:space="preserve"> </w:t>
      </w:r>
      <w:hyperlink w:anchor="ref-26">
        <w:r>
          <w:rPr>
            <w:rStyle w:val="Hyperlink"/>
          </w:rPr>
          <w:t xml:space="preserve">[26]</w:t>
        </w:r>
      </w:hyperlink>
      <w:r>
        <w:t xml:space="preserve">. These are the foundational analyses, and the field’s debt to them is large. They are not, however, a network-level capacity-denominated estimator. They tell an operator what a single site does. They do not tell the operator what a portfolio does.</w:t>
      </w:r>
    </w:p>
    <w:p>
      <w:pPr>
        <w:pStyle w:val="BodyText"/>
        <w:spacing w:line="480" w:lineRule="auto"/>
        <w:ind w:firstLine="720"/>
      </w:pPr>
      <w:r>
        <w:t xml:space="preserve">For NASA the cost of that absence is direct. The agency is committing to a near-Earth optical relay architecture in which the ground segment is the contracted unit of delivery, and the agency is simultaneously committing to a deep-space optical architecture in which a missed downlink window is not recoverable on the next orbit. For JPL the cost is the same in different units. A flagship like Psyche carries a finite link budget, a finite onboard buffer, and a finite mission timeline, and the decision of how many apertures to bring into the cooperating set is a decision about how much of the demonstrated terminal capacity the mission will be able to convert into delivered bits. That decision is currently made against rules of thumb and engineering judgment. The dissertation contends that it should be made against a falsifiable, calibrated curve.</w:t>
      </w:r>
    </w:p>
    <w:p>
      <w:pPr>
        <w:pStyle w:val="BodyText"/>
        <w:spacing w:line="480" w:lineRule="auto"/>
        <w:ind w:firstLine="720"/>
      </w:pPr>
      <w:r>
        <w:t xml:space="preserve">The stakes are not only operational. They are programmatic. An OGS network sized against an unquantified availability penalty is sized either too large or too small. Sized too large, the agency capitalizes apertures that the marginal-return curve says will never repay their share of the network availability budget. Sized too small, the agency contracts for downlink minutes it cannot deliver and absorbs the difference as schedule slip, on-board storage pressure, or unrecovered science. The first failure mode shows up as capital expenditure that audits will eventually flag. The second failure mode shows up as missed milestones that mission reviews will eventually flag. Both failure modes share a common cause, which is the absence of a defensible capacity-denominated availability estimator at the network level. Closing that gap is the contribution of this dissertation.</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Two literatures bracket the question and neither closes it. They are pursued in different communities, published in different venues, and structured around different units of analysis, and the absence of an explicit bridge between them is the gap this dissertation occupies.</w:t>
      </w:r>
    </w:p>
    <w:p>
      <w:pPr>
        <w:pStyle w:val="BodyText"/>
        <w:spacing w:line="480" w:lineRule="auto"/>
        <w:ind w:firstLine="720"/>
      </w:pPr>
      <w:r>
        <w:t xml:space="preserve">The domain literature is mature on the single-site characterization problem. High-resolution numerical-weather-prediction validation against the LCRD record over Haleakala established that cloud and turbulence statistics can be modeled at the temporal resolution that optical link planning requires</w:t>
      </w:r>
      <w:r>
        <w:t xml:space="preserve"> </w:t>
      </w:r>
      <w:hyperlink w:anchor="ref-1">
        <w:r>
          <w:rPr>
            <w:rStyle w:val="Hyperlink"/>
          </w:rPr>
          <w:t xml:space="preserve">[1]</w:t>
        </w:r>
      </w:hyperlink>
      <w:r>
        <w:t xml:space="preserve">. The novel approach to simulating atmospheric optical turbulence seeing parameters in</w:t>
      </w:r>
      <w:r>
        <w:t xml:space="preserve"> </w:t>
      </w:r>
      <w:hyperlink w:anchor="ref-3">
        <w:r>
          <w:rPr>
            <w:rStyle w:val="Hyperlink"/>
          </w:rPr>
          <w:t xml:space="preserve">[3]</w:t>
        </w:r>
      </w:hyperlink>
      <w:r>
        <w:t xml:space="preserve"> </w:t>
      </w:r>
      <w:r>
        <w:t xml:space="preserve">produces a continuous indicator of column turbulence at sites of operational interest, and the Haleakala laser-communications characterization in</w:t>
      </w:r>
      <w:r>
        <w:t xml:space="preserve"> </w:t>
      </w:r>
      <w:hyperlink w:anchor="ref-4">
        <w:r>
          <w:rPr>
            <w:rStyle w:val="Hyperlink"/>
          </w:rPr>
          <w:t xml:space="preserve">[4]</w:t>
        </w:r>
      </w:hyperlink>
      <w:r>
        <w:t xml:space="preserve"> </w:t>
      </w:r>
      <w:r>
        <w:t xml:space="preserve">and the twenty-first-century atmospheric forecasting analysis in</w:t>
      </w:r>
      <w:r>
        <w:t xml:space="preserve"> </w:t>
      </w:r>
      <w:hyperlink w:anchor="ref-5">
        <w:r>
          <w:rPr>
            <w:rStyle w:val="Hyperlink"/>
          </w:rPr>
          <w:t xml:space="preserve">[5]</w:t>
        </w:r>
      </w:hyperlink>
      <w:r>
        <w:t xml:space="preserve"> </w:t>
      </w:r>
      <w:r>
        <w:t xml:space="preserve">document the boundary-layer mechanisms that drive cloud-free line of sight at a candidate aperture. The cloud-free line of sight modeling for Hawaii in</w:t>
      </w:r>
      <w:r>
        <w:t xml:space="preserve"> </w:t>
      </w:r>
      <w:hyperlink w:anchor="ref-19">
        <w:r>
          <w:rPr>
            <w:rStyle w:val="Hyperlink"/>
          </w:rPr>
          <w:t xml:space="preserve">[19]</w:t>
        </w:r>
      </w:hyperlink>
      <w:r>
        <w:t xml:space="preserve"> </w:t>
      </w:r>
      <w:r>
        <w:t xml:space="preserve">and the broader atmospheric cloud forecasting analysis in</w:t>
      </w:r>
      <w:r>
        <w:t xml:space="preserve"> </w:t>
      </w:r>
      <w:hyperlink w:anchor="ref-9">
        <w:r>
          <w:rPr>
            <w:rStyle w:val="Hyperlink"/>
          </w:rPr>
          <w:t xml:space="preserve">[9]</w:t>
        </w:r>
      </w:hyperlink>
      <w:r>
        <w:t xml:space="preserve">[23] complete the climatology stack at the single-site level. Adjacent astronomical site-testing literature for Mauna Kea</w:t>
      </w:r>
      <w:r>
        <w:t xml:space="preserve"> </w:t>
      </w:r>
      <w:hyperlink w:anchor="ref-13">
        <w:r>
          <w:rPr>
            <w:rStyle w:val="Hyperlink"/>
          </w:rPr>
          <w:t xml:space="preserve">[13]</w:t>
        </w:r>
      </w:hyperlink>
      <w:r>
        <w:t xml:space="preserve">, the Canary Islands and Paranal</w:t>
      </w:r>
      <w:r>
        <w:t xml:space="preserve"> </w:t>
      </w:r>
      <w:hyperlink w:anchor="ref-12">
        <w:r>
          <w:rPr>
            <w:rStyle w:val="Hyperlink"/>
          </w:rPr>
          <w:t xml:space="preserve">[12]</w:t>
        </w:r>
      </w:hyperlink>
      <w:r>
        <w:t xml:space="preserve">[14], and the high-Antarctic plateau</w:t>
      </w:r>
      <w:r>
        <w:t xml:space="preserve"> </w:t>
      </w:r>
      <w:hyperlink w:anchor="ref-15">
        <w:r>
          <w:rPr>
            <w:rStyle w:val="Hyperlink"/>
          </w:rPr>
          <w:t xml:space="preserve">[15]</w:t>
        </w:r>
      </w:hyperlink>
      <w:r>
        <w:t xml:space="preserve"> </w:t>
      </w:r>
      <w:r>
        <w:t xml:space="preserve">supplies the seeing parameter machinery the OGS field has adopted. This body of work establishes that the availability of a single aperture is a tractable quantity, that the mechanisms are understood, that the data exist, and that the relevant publication record traces back through the AMOS proceedings and the astronomical site-testing journals.</w:t>
      </w:r>
    </w:p>
    <w:p>
      <w:pPr>
        <w:pStyle w:val="BodyText"/>
        <w:spacing w:line="480" w:lineRule="auto"/>
        <w:ind w:firstLine="720"/>
      </w:pPr>
      <w:r>
        <w:t xml:space="preserve">The method literature has a parallel maturity in a different direction. Cross-site econometric estimation of availability predictors is a standard tool in adjacent infrastructure domains and is straightforwardly applicable to OGS apertures once a sufficient sample is assembled. The first companion paper of this dissertation establishes that the cross-site cloud-free availability of thirty operational and observatory-grade apertures can be estimated as a parsimonious linear function of aperture elevation, signed geodetic latitude, and median seeing, and that the resulting fit explains 88.2 percent of the cross-site variance with median seeing dominating elevation as a predictor (R-squared 0.882, F equal to 40.5 on three and twenty-six degrees of freedom). That result, while modest in its own right, is also a method demonstration. It shows that the availability question admits standard econometric tools at the site level. The second companion paper extends the method window further and estimates a Wright-style log-log learning curve across the full thirty-year demonstration record of space-to-ground optical capacity, recovering a slope of 1.705 with a t-test p-value below 0.001 and an R-squared of 0.291. The two papers together establish that the relevant econometric instruments work, that they recover statistically significant coefficients on substantively interesting predictors, and that they leave an explicit residual variance whose interpretation points to the missing network-level estimator.</w:t>
      </w:r>
    </w:p>
    <w:p>
      <w:pPr>
        <w:pStyle w:val="BodyText"/>
        <w:spacing w:line="480" w:lineRule="auto"/>
        <w:ind w:firstLine="720"/>
      </w:pPr>
      <w:r>
        <w:t xml:space="preserve">The domain literature has not been written in those instruments. The method literature has not been written about OGS networks. Network-level work in the adjacent domain of satellite laser ranging applies a binary cloud threshold to assess feasibility for a small distributed sensor set</w:t>
      </w:r>
      <w:r>
        <w:t xml:space="preserve"> </w:t>
      </w:r>
      <w:hyperlink w:anchor="ref-2">
        <w:r>
          <w:rPr>
            <w:rStyle w:val="Hyperlink"/>
          </w:rPr>
          <w:t xml:space="preserve">[2]</w:t>
        </w:r>
      </w:hyperlink>
      <w:r>
        <w:t xml:space="preserve">[11], which is the closest existing analogue, but its dependent variable is a feasibility flag rather than a capacity-denominated availability, and its sample is the SLR community rather than the FSOC community. System-level descriptions of operational LEO-to-OGS links</w:t>
      </w:r>
      <w:r>
        <w:t xml:space="preserve"> </w:t>
      </w:r>
      <w:hyperlink w:anchor="ref-7">
        <w:r>
          <w:rPr>
            <w:rStyle w:val="Hyperlink"/>
          </w:rPr>
          <w:t xml:space="preserve">[7]</w:t>
        </w:r>
      </w:hyperlink>
      <w:r>
        <w:t xml:space="preserve">[10][43] and of GEO-relay ground segments</w:t>
      </w:r>
      <w:r>
        <w:t xml:space="preserve"> </w:t>
      </w:r>
      <w:hyperlink w:anchor="ref-8">
        <w:r>
          <w:rPr>
            <w:rStyle w:val="Hyperlink"/>
          </w:rPr>
          <w:t xml:space="preserve">[8]</w:t>
        </w:r>
      </w:hyperlink>
      <w:r>
        <w:t xml:space="preserve"> </w:t>
      </w:r>
      <w:r>
        <w:t xml:space="preserve">document the architecture and the duty cycle but do not estimate a marginal-return function for added apertures. The European laser-ranging network performance analyses</w:t>
      </w:r>
      <w:r>
        <w:t xml:space="preserve"> </w:t>
      </w:r>
      <w:hyperlink w:anchor="ref-30">
        <w:r>
          <w:rPr>
            <w:rStyle w:val="Hyperlink"/>
          </w:rPr>
          <w:t xml:space="preserve">[30]</w:t>
        </w:r>
      </w:hyperlink>
      <w:r>
        <w:t xml:space="preserve">[31][32][33] and the verification and validation of orbital capacity assessment tools at varying fidelities</w:t>
      </w:r>
      <w:r>
        <w:t xml:space="preserve"> </w:t>
      </w:r>
      <w:hyperlink w:anchor="ref-34">
        <w:r>
          <w:rPr>
            <w:rStyle w:val="Hyperlink"/>
          </w:rPr>
          <w:t xml:space="preserve">[34]</w:t>
        </w:r>
      </w:hyperlink>
      <w:r>
        <w:t xml:space="preserve"> </w:t>
      </w:r>
      <w:r>
        <w:t xml:space="preserve">address network performance in adjacent SSA contexts but do not denominate the metric in optical downlink minutes. The result is that an OGS architect today reads two literatures that pass each other in the night. The single-site climatology literature tells the architect what each aperture will do in isolation. The cross-site econometric literature, applied as in the two companion papers, tells the architect what predictors generalize across sites. Neither tells the architect what a portfolio of N sites will deliver, with confidence intervals, denominated in lost link-minutes, under a pre-registered scheduling policy.</w:t>
      </w:r>
    </w:p>
    <w:p>
      <w:pPr>
        <w:pStyle w:val="BodyText"/>
        <w:spacing w:line="480" w:lineRule="auto"/>
        <w:ind w:firstLine="720"/>
      </w:pPr>
      <w:r>
        <w:t xml:space="preserve">That joint absence is the contribution opportunity. The two companion papers do not close the gap on their own. They are scaffolding. The first establishes that median seeing carries more information than aperture elevation for site-level availability, which is a result the network-level estimator will use when it weights cooperating apertures by their conditional contribution rather than by a simple altitude rule. The second establishes that the space-segment capacity is growing on a learning slope that puts increasing weight on each minute of ground-side outage, which is the quantitative motivation for the network-level question. The estimator itself, defined in the next section, is the dissertation’s own contribution.</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is one estimator and one hypothesis test on its output. It is stated here in precise terms because the rest of the dissertation, from the data plan through the threats-to-validity treatment, is organized around it.</w:t>
      </w:r>
    </w:p>
    <w:p>
      <w:pPr>
        <w:pStyle w:val="BodyText"/>
        <w:spacing w:line="480" w:lineRule="auto"/>
        <w:ind w:firstLine="720"/>
      </w:pPr>
      <w:r>
        <w:rPr>
          <w:b/>
          <w:bCs/>
        </w:rPr>
        <w:t xml:space="preserve">Estimator.</w:t>
      </w:r>
      <w:r>
        <w:t xml:space="preserve"> </w:t>
      </w:r>
      <w:r>
        <w:t xml:space="preserve">A network availability penalty function A(N) is defined as the expected fraction of demanded LEO-to-OGS optical link-minutes lost to cloud cover and turbulence-induced outage for a network of N candidate OGS sites operated under a specified scheduling policy and link-budget threshold. The estimator is constructed by Monte Carlo simulation over a co-registered multi-year time series of cloud cover and optical turbulence indicators at each candidate site, at sub-hourly resolution, following the NWP-validated methodology demonstrated for Haleakala</w:t>
      </w:r>
      <w:r>
        <w:t xml:space="preserve"> </w:t>
      </w:r>
      <w:hyperlink w:anchor="ref-1">
        <w:r>
          <w:rPr>
            <w:rStyle w:val="Hyperlink"/>
          </w:rPr>
          <w:t xml:space="preserve">[1]</w:t>
        </w:r>
      </w:hyperlink>
      <w:r>
        <w:t xml:space="preserve">[3]. The simulation preserves the joint spatial correlation structure of the cloud field rather than assuming independence across sites, which is the modeling step that most prior network-availability claims have skipped. The output is A(N) for every subset size from one site through the full candidate network, with bootstrap confidence intervals.</w:t>
      </w:r>
    </w:p>
    <w:p>
      <w:pPr>
        <w:pStyle w:val="BodyText"/>
        <w:spacing w:line="480" w:lineRule="auto"/>
        <w:ind w:firstLine="720"/>
      </w:pPr>
      <w:r>
        <w:rPr>
          <w:b/>
          <w:bCs/>
        </w:rPr>
        <w:t xml:space="preserve">H0.</w:t>
      </w:r>
      <w:r>
        <w:t xml:space="preserve"> </w:t>
      </w:r>
      <w:r>
        <w:t xml:space="preserve">The marginal reduction in A(N) from adding the Nth site is statistically indistinguishable from a linear extrapolation of the first added site’s contribution, across N in the operational range under study.</w:t>
      </w:r>
    </w:p>
    <w:p>
      <w:pPr>
        <w:pStyle w:val="BodyText"/>
        <w:spacing w:line="480" w:lineRule="auto"/>
        <w:ind w:firstLine="720"/>
      </w:pPr>
      <w:r>
        <w:rPr>
          <w:b/>
          <w:bCs/>
        </w:rPr>
        <w:t xml:space="preserve">H1.</w:t>
      </w:r>
      <w:r>
        <w:t xml:space="preserve"> </w:t>
      </w:r>
      <w:r>
        <w:t xml:space="preserve">The marginal reduction in A(N) exhibits a strictly diminishing return, significant at the 0.05 level, such that the curve A(N) is convex over the operational range.</w:t>
      </w:r>
    </w:p>
    <w:p>
      <w:pPr>
        <w:pStyle w:val="BodyText"/>
        <w:spacing w:line="480" w:lineRule="auto"/>
        <w:ind w:firstLine="720"/>
      </w:pPr>
      <w:r>
        <w:t xml:space="preserve">Rejection of H0 in favor of H1, with a quantified curvature parameter and confidence intervals on the marginal availability gain per added site, is the falsifiable claim. Failure to reject H0 is an equally publishable result. A network whose A(N) is linear in N would imply that the diversity argument that currently motivates multi-site portfolios overstates its case, and would materially change OGS network sizing guidance for both NASA’s near-Earth relay roadmap and JPL’s deep-space optical sites. The estimator is therefore designed to be informative regardless of which hypothesis the data support.</w:t>
      </w:r>
    </w:p>
    <w:p>
      <w:pPr>
        <w:pStyle w:val="BodyText"/>
        <w:spacing w:line="480" w:lineRule="auto"/>
        <w:ind w:firstLine="720"/>
      </w:pPr>
      <w:r>
        <w:t xml:space="preserve">The pre-registration commitments are explicit. The subset selection rule, the link-budget outage threshold, the candidate site list drawn from the operational corpus</w:t>
      </w:r>
      <w:r>
        <w:t xml:space="preserve"> </w:t>
      </w:r>
      <w:hyperlink w:anchor="ref-4">
        <w:r>
          <w:rPr>
            <w:rStyle w:val="Hyperlink"/>
          </w:rPr>
          <w:t xml:space="preserve">[4]</w:t>
        </w:r>
      </w:hyperlink>
      <w:r>
        <w:t xml:space="preserve">[5][7][8][16][17][26], and the test statistic for the H0 versus H1 contest will be deposited before the analysis is run. Pre-registration is included not for its own sake but because the central object is a single number, the marginal availability gain per added site, and a single number is only worth reporting if the analyst’s degrees of freedom in producing it have been bounded in advance.</w:t>
      </w:r>
    </w:p>
    <w:p>
      <w:pPr>
        <w:pStyle w:val="BodyText"/>
        <w:spacing w:line="480" w:lineRule="auto"/>
        <w:ind w:firstLine="720"/>
      </w:pPr>
      <w:r>
        <w:t xml:space="preserve">The contribution is bounded in three further ways. The estimator is specific to the candidate network and pass geometry analyzed, so the external validity claim is the method and the falsifiable curve rather than a universal constant. The dependent variable is link-minutes lost rather than dollars lost, so the translation from availability penalty to programmatic cost is left to mission-specific cost models. And the estimator is observational rather than experimental, because cloud fields cannot be assigned. Identification rests on the exogeneity of weather to network configuration, which is a defensible assumption because the cloud field over a fixed set of geographic coordinates is not a function of which subset of those coordinates an operator chooses to equip.</w:t>
      </w:r>
    </w:p>
    <w:bookmarkEnd w:id="64"/>
    <w:bookmarkStart w:id="65" w:name="what-the-dissertation-is-not"/>
    <w:p>
      <w:pPr>
        <w:pStyle w:val="Heading2"/>
        <w:spacing w:line="480" w:lineRule="auto"/>
      </w:pPr>
      <w:r>
        <w:t xml:space="preserve">1.5 What the Dissertation is Not</w:t>
      </w:r>
    </w:p>
    <w:p>
      <w:pPr>
        <w:pStyle w:val="FirstParagraph"/>
        <w:spacing w:line="480" w:lineRule="auto"/>
      </w:pPr>
      <w:r>
        <w:t xml:space="preserve">A short list of what the dissertation deliberately does not attempt is useful at the outset because each item is a question that the OGS literature could reasonably ask of a quantitative dissertation and each item is also a question that this dissertation defers.</w:t>
      </w:r>
    </w:p>
    <w:p>
      <w:pPr>
        <w:pStyle w:val="BodyText"/>
        <w:spacing w:line="480" w:lineRule="auto"/>
        <w:ind w:firstLine="720"/>
      </w:pPr>
      <w:r>
        <w:t xml:space="preserve">It is not a link-budget engineering treatment of any single optical terminal. The terminal-side parameters are taken as documented in the demonstration record</w:t>
      </w:r>
      <w:r>
        <w:t xml:space="preserve"> </w:t>
      </w:r>
      <w:hyperlink w:anchor="ref-21">
        <w:r>
          <w:rPr>
            <w:rStyle w:val="Hyperlink"/>
          </w:rPr>
          <w:t xml:space="preserve">[21]</w:t>
        </w:r>
      </w:hyperlink>
      <w:r>
        <w:t xml:space="preserve">[22][25][26][27][28][29] and used to define the outage threshold, but the dissertation does not re-derive them.</w:t>
      </w:r>
    </w:p>
    <w:p>
      <w:pPr>
        <w:pStyle w:val="BodyText"/>
        <w:spacing w:line="480" w:lineRule="auto"/>
        <w:ind w:firstLine="720"/>
      </w:pPr>
      <w:r>
        <w:t xml:space="preserve">It is not a cost-benefit analysis of OGS network sizing. The estimator’s output is a capacity-denominated availability curve. Translating that curve into a cost-optimal portfolio is a mission-architecture problem that requires inputs the dissertation does not supply, including science-loss valuations, sustaining-engineering cost functions, and program-specific risk tolerances.</w:t>
      </w:r>
    </w:p>
    <w:p>
      <w:pPr>
        <w:pStyle w:val="BodyText"/>
        <w:spacing w:line="480" w:lineRule="auto"/>
        <w:ind w:firstLine="720"/>
      </w:pPr>
      <w:r>
        <w:t xml:space="preserve">It is not a forecast of future OGS network configurations. The candidate network is anchored in the operationally documented set including Haleakala, Tenerife, Goldstone, Table Mountain, and additional mid-latitude apertures referenced in</w:t>
      </w:r>
      <w:r>
        <w:t xml:space="preserve"> </w:t>
      </w:r>
      <w:hyperlink w:anchor="ref-3">
        <w:r>
          <w:rPr>
            <w:rStyle w:val="Hyperlink"/>
          </w:rPr>
          <w:t xml:space="preserve">[3]</w:t>
        </w:r>
      </w:hyperlink>
      <w:r>
        <w:t xml:space="preserve">[4][5][7][8][16][17][26]. Sites under construction or under negotiation are out of scope unless they appear in the public technical record at the time of pre-registration.</w:t>
      </w:r>
    </w:p>
    <w:p>
      <w:pPr>
        <w:pStyle w:val="BodyText"/>
        <w:spacing w:line="480" w:lineRule="auto"/>
        <w:ind w:firstLine="720"/>
      </w:pPr>
      <w:r>
        <w:t xml:space="preserve">It is not a treatment of orbital capacity or constellation design. Adjacent literatures on capacity management</w:t>
      </w:r>
      <w:r>
        <w:t xml:space="preserve"> </w:t>
      </w:r>
      <w:hyperlink w:anchor="ref-38">
        <w:r>
          <w:rPr>
            <w:rStyle w:val="Hyperlink"/>
          </w:rPr>
          <w:t xml:space="preserve">[38]</w:t>
        </w:r>
      </w:hyperlink>
      <w:r>
        <w:t xml:space="preserve">, on collision avoidance and conjunction screening</w:t>
      </w:r>
      <w:r>
        <w:t xml:space="preserve"> </w:t>
      </w:r>
      <w:hyperlink w:anchor="ref-36">
        <w:r>
          <w:rPr>
            <w:rStyle w:val="Hyperlink"/>
          </w:rPr>
          <w:t xml:space="preserve">[36]</w:t>
        </w:r>
      </w:hyperlink>
      <w:r>
        <w:t xml:space="preserve">[37], on satellite scheduling under uncertainty</w:t>
      </w:r>
      <w:r>
        <w:t xml:space="preserve"> </w:t>
      </w:r>
      <w:hyperlink w:anchor="ref-35">
        <w:r>
          <w:rPr>
            <w:rStyle w:val="Hyperlink"/>
          </w:rPr>
          <w:t xml:space="preserve">[35]</w:t>
        </w:r>
      </w:hyperlink>
      <w:r>
        <w:t xml:space="preserve">, and on broadband constellation power profiling</w:t>
      </w:r>
      <w:r>
        <w:t xml:space="preserve"> </w:t>
      </w:r>
      <w:hyperlink w:anchor="ref-44">
        <w:r>
          <w:rPr>
            <w:rStyle w:val="Hyperlink"/>
          </w:rPr>
          <w:t xml:space="preserve">[44]</w:t>
        </w:r>
      </w:hyperlink>
      <w:r>
        <w:t xml:space="preserve"> </w:t>
      </w:r>
      <w:r>
        <w:t xml:space="preserve">inform the volume of demand the ground segment will face but are not its subject. The same holds for adjacent astronomical optics and remote-sensing missions</w:t>
      </w:r>
      <w:r>
        <w:t xml:space="preserve"> </w:t>
      </w:r>
      <w:hyperlink w:anchor="ref-41">
        <w:r>
          <w:rPr>
            <w:rStyle w:val="Hyperlink"/>
          </w:rPr>
          <w:t xml:space="preserve">[41]</w:t>
        </w:r>
      </w:hyperlink>
      <w:r>
        <w:t xml:space="preserve">[42] and for the broader Acta Astronautica corpus that contextualizes the field</w:t>
      </w:r>
      <w:r>
        <w:t xml:space="preserve"> </w:t>
      </w:r>
      <w:hyperlink w:anchor="ref-39">
        <w:r>
          <w:rPr>
            <w:rStyle w:val="Hyperlink"/>
          </w:rPr>
          <w:t xml:space="preserve">[39]</w:t>
        </w:r>
      </w:hyperlink>
      <w:r>
        <w:t xml:space="preserve">[40][45].</w:t>
      </w:r>
    </w:p>
    <w:p>
      <w:pPr>
        <w:pStyle w:val="BodyText"/>
        <w:spacing w:line="480" w:lineRule="auto"/>
        <w:ind w:firstLine="720"/>
      </w:pPr>
      <w:r>
        <w:t xml:space="preserve">These exclusions are not concessions. They are the perimeter the contribution defends.</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is organized around the estimator. Chapter 2 reviews the cloud climatology and optical turbulence characterization literature that supplies the per-site input to A(N), with particular attention to the Haleakala validation record</w:t>
      </w:r>
      <w:r>
        <w:t xml:space="preserve"> </w:t>
      </w:r>
      <w:hyperlink w:anchor="ref-1">
        <w:r>
          <w:rPr>
            <w:rStyle w:val="Hyperlink"/>
          </w:rPr>
          <w:t xml:space="preserve">[1]</w:t>
        </w:r>
      </w:hyperlink>
      <w:r>
        <w:t xml:space="preserve">, the seeing-parameter simulation framework</w:t>
      </w:r>
      <w:r>
        <w:t xml:space="preserve"> </w:t>
      </w:r>
      <w:hyperlink w:anchor="ref-3">
        <w:r>
          <w:rPr>
            <w:rStyle w:val="Hyperlink"/>
          </w:rPr>
          <w:t xml:space="preserve">[3]</w:t>
        </w:r>
      </w:hyperlink>
      <w:r>
        <w:t xml:space="preserve">, and the cross-site cloud-free line of sight modeling that motivates the candidate network</w:t>
      </w:r>
      <w:r>
        <w:t xml:space="preserve"> </w:t>
      </w:r>
      <w:hyperlink w:anchor="ref-4">
        <w:r>
          <w:rPr>
            <w:rStyle w:val="Hyperlink"/>
          </w:rPr>
          <w:t xml:space="preserve">[4]</w:t>
        </w:r>
      </w:hyperlink>
      <w:r>
        <w:t xml:space="preserve">[5][19]. Chapter 3 reviews the network-level econometric and adjacent infrastructure literature, including the satellite-laser-ranging network analyses</w:t>
      </w:r>
      <w:r>
        <w:t xml:space="preserve"> </w:t>
      </w:r>
      <w:hyperlink w:anchor="ref-2">
        <w:r>
          <w:rPr>
            <w:rStyle w:val="Hyperlink"/>
          </w:rPr>
          <w:t xml:space="preserve">[2]</w:t>
        </w:r>
      </w:hyperlink>
      <w:r>
        <w:t xml:space="preserve">[11][30][31][32][33], the orbital capacity assessment verification record</w:t>
      </w:r>
      <w:r>
        <w:t xml:space="preserve"> </w:t>
      </w:r>
      <w:hyperlink w:anchor="ref-34">
        <w:r>
          <w:rPr>
            <w:rStyle w:val="Hyperlink"/>
          </w:rPr>
          <w:t xml:space="preserve">[34]</w:t>
        </w:r>
      </w:hyperlink>
      <w:r>
        <w:t xml:space="preserve">, and the manufacturing- and capability-learning literature that frames the demonstration trajectory of the space segment</w:t>
      </w:r>
      <w:r>
        <w:t xml:space="preserve"> </w:t>
      </w:r>
      <w:hyperlink w:anchor="ref-20">
        <w:r>
          <w:rPr>
            <w:rStyle w:val="Hyperlink"/>
          </w:rPr>
          <w:t xml:space="preserve">[20]</w:t>
        </w:r>
      </w:hyperlink>
      <w:r>
        <w:t xml:space="preserve">. Chapter 4 presents the cross-site OLS estimation of site predictors of cloud-free availability, summarizing the first companion paper at dissertation level and embedding the result in the network estimator’s site-weighting step. Chapter 5 presents the Wright-style learning curve estimation for space-to-ground optical capacity, summarizing the second companion paper and using its residual variance as the empirical signature of the availability penalty the network estimator quantifies. Chapter 6 specifies the data plan, including the cloud-climatology reanalysis product, the seeing-parameter time series from</w:t>
      </w:r>
      <w:r>
        <w:t xml:space="preserve"> </w:t>
      </w:r>
      <w:hyperlink w:anchor="ref-3">
        <w:r>
          <w:rPr>
            <w:rStyle w:val="Hyperlink"/>
          </w:rPr>
          <w:t xml:space="preserve">[3]</w:t>
        </w:r>
      </w:hyperlink>
      <w:r>
        <w:t xml:space="preserve">, and the operational link-budget parameters drawn from</w:t>
      </w:r>
      <w:r>
        <w:t xml:space="preserve"> </w:t>
      </w:r>
      <w:hyperlink w:anchor="ref-7">
        <w:r>
          <w:rPr>
            <w:rStyle w:val="Hyperlink"/>
          </w:rPr>
          <w:t xml:space="preserve">[7]</w:t>
        </w:r>
      </w:hyperlink>
      <w:r>
        <w:t xml:space="preserve">[8][16][17][26]. Chapter 7 specifies the estimator, the Monte Carlo simulation that preserves the joint cloud-field correlation structure, the pre-registration commitments, and the bootstrap procedure that produces confidence intervals on A(N). Chapter 8 presents the estimated A(N) curve, the H0 versus H1 test, and the marginal availability gain per added site with confidence intervals. Chapter 9 develops sensitivity analyses against the threats to validity enumerated in the prospectus, including spatial-correlation misspecification against the high-resolution single-site validation in</w:t>
      </w:r>
      <w:r>
        <w:t xml:space="preserve"> </w:t>
      </w:r>
      <w:hyperlink w:anchor="ref-1">
        <w:r>
          <w:rPr>
            <w:rStyle w:val="Hyperlink"/>
          </w:rPr>
          <w:t xml:space="preserve">[1]</w:t>
        </w:r>
      </w:hyperlink>
      <w:r>
        <w:t xml:space="preserve">, threshold dependence across a documented range of outage thresholds, schedule endogeneity bounded by the cloud-prediction limits established in</w:t>
      </w:r>
      <w:r>
        <w:t xml:space="preserve"> </w:t>
      </w:r>
      <w:hyperlink w:anchor="ref-1">
        <w:r>
          <w:rPr>
            <w:rStyle w:val="Hyperlink"/>
          </w:rPr>
          <w:t xml:space="preserve">[1]</w:t>
        </w:r>
      </w:hyperlink>
      <w:r>
        <w:t xml:space="preserve">[9][23], and turbulence-cloud confounding addressed through the seeing time series of</w:t>
      </w:r>
      <w:r>
        <w:t xml:space="preserve"> </w:t>
      </w:r>
      <w:hyperlink w:anchor="ref-3">
        <w:r>
          <w:rPr>
            <w:rStyle w:val="Hyperlink"/>
          </w:rPr>
          <w:t xml:space="preserve">[3]</w:t>
        </w:r>
      </w:hyperlink>
      <w:r>
        <w:t xml:space="preserve">. Chapter 10 returns to the stakes set out in this introduction and translates the estimator’s output into network sizing guidance for the NASA near-Earth relay roadmap and the JPL deep-space optical sites, with explicit bounds on external validity.</w:t>
      </w:r>
    </w:p>
    <w:p>
      <w:pPr>
        <w:pStyle w:val="BodyText"/>
        <w:spacing w:line="480" w:lineRule="auto"/>
        <w:ind w:firstLine="720"/>
      </w:pPr>
      <w:r>
        <w:t xml:space="preserve">The argument of the dissertation is a single claim about a single function, and the chapters are the operations by which that claim is constructed, tested, and reported. Chapter 1 has stated the claim. The rest of the dissertation defends it.</w:t>
      </w:r>
    </w:p>
    <w:bookmarkEnd w:id="66"/>
    <w:bookmarkEnd w:id="67"/>
    <w:bookmarkStart w:id="79"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The dissertation sits at the intersection of two literatures that have, to date, developed in mutual isolation. The first is the technical literature on free-space optical communication (FSOC) and the meteorological conditioning of optical ground stations (OGS), a body of work concentrated in the proceedings of the Advanced Maui Optical and Space Surveillance Technologies (AMOS) Conference, the SPIE Free-Space Laser Communication series, the journal Acta Astronautica, and the site-characterization literature anchored in Publications of the Astronomical Society of the Pacific. The second is the quantitative methodological literature on cliometric and econometric estimation of capability progress and operational availability, a literature whose modern lineage runs from Wright’s 1936 learning curve</w:t>
      </w:r>
      <w:r>
        <w:t xml:space="preserve"> </w:t>
      </w:r>
      <w:hyperlink w:anchor="ref-20">
        <w:r>
          <w:rPr>
            <w:rStyle w:val="Hyperlink"/>
          </w:rPr>
          <w:t xml:space="preserve">[20]</w:t>
        </w:r>
      </w:hyperlink>
      <w:r>
        <w:t xml:space="preserve"> </w:t>
      </w:r>
      <w:r>
        <w:t xml:space="preserve">through the cross-sectional regression conventions that dominate empirical engineering economics and reliability analysis. Each literature is internally coherent. Neither, on inspection, supplies the other with the tools needed to answer the dissertation’s central question: how does the marginal addition of an optical ground station change the network-level availability penalty imposed by cloud cover and turbulence on space-to-ground FSOC capacity, and how does that penalty interact with the trajectory of the underlying space-segment capability,</w:t>
      </w:r>
    </w:p>
    <w:p>
      <w:pPr>
        <w:pStyle w:val="BodyText"/>
        <w:spacing w:line="480" w:lineRule="auto"/>
        <w:ind w:firstLine="720"/>
      </w:pPr>
      <w:r>
        <w:t xml:space="preserve">The structure of this chapter follows the logical sequence implied by that gap. Section 2.2 reviews the domain technical literature, organized in three sub-strands: site-level atmospheric characterization, system-level demonstration of optical link architectures, and network-level analyses of distributed apertures. Section 2.3 reviews the cliometric and econometric methodological literature, with attention to the learning-curve tradition, cross-sectional ordinary-least-squares (OLS) practice in engineering site studies, and Monte Carlo availability estimation under spatially correlated stochastic inputs. Section 2.4 synthesizes the two literatures and identifies the joint absence that the dissertation closes. Section 2.5 specifies the gap formally as a set of unanswered estimable parameters.</w:t>
      </w:r>
    </w:p>
    <w:bookmarkEnd w:id="68"/>
    <w:bookmarkStart w:id="72" w:name="the-domain-technical-literature"/>
    <w:p>
      <w:pPr>
        <w:pStyle w:val="Heading2"/>
        <w:spacing w:line="480" w:lineRule="auto"/>
      </w:pPr>
      <w:r>
        <w:t xml:space="preserve">2.2 The Domain Technical Literature</w:t>
      </w:r>
    </w:p>
    <w:bookmarkStart w:id="69" w:name="site-level-atmospheric-characterization"/>
    <w:p>
      <w:pPr>
        <w:pStyle w:val="Heading3"/>
        <w:spacing w:line="480" w:lineRule="auto"/>
      </w:pPr>
      <w:r>
        <w:t xml:space="preserve">2.2.1 Site-Level Atmospheric Characterization</w:t>
      </w:r>
    </w:p>
    <w:p>
      <w:pPr>
        <w:pStyle w:val="FirstParagraph"/>
        <w:spacing w:line="480" w:lineRule="auto"/>
      </w:pPr>
      <w:r>
        <w:t xml:space="preserve">The site-level strand is the most mature of the three. The Northrop Grumman and Boeing teams associated with R. Alliss and B. Felton have produced a sustained, coherent program of cloud-free line-of-sight (CFLOS) and optical-turbulence modeling that has progressively raised the resolution and fidelity of the climatology behind OGS planning. The 2013 statement of cloud forecasting in support of space-based applications</w:t>
      </w:r>
      <w:r>
        <w:t xml:space="preserve"> </w:t>
      </w:r>
      <w:hyperlink w:anchor="ref-9">
        <w:r>
          <w:rPr>
            <w:rStyle w:val="Hyperlink"/>
          </w:rPr>
          <w:t xml:space="preserve">[9]</w:t>
        </w:r>
      </w:hyperlink>
      <w:r>
        <w:t xml:space="preserve">[23] established the methodological scaffolding: a numerical-weather-prediction (NWP) backbone, downscaled to OGS-relevant scales, with a binary cloud mask applied at the aperture coordinate. The 2015 Haleakala characterization</w:t>
      </w:r>
      <w:r>
        <w:t xml:space="preserve"> </w:t>
      </w:r>
      <w:hyperlink w:anchor="ref-4">
        <w:r>
          <w:rPr>
            <w:rStyle w:val="Hyperlink"/>
          </w:rPr>
          <w:t xml:space="preserve">[4]</w:t>
        </w:r>
      </w:hyperlink>
      <w:r>
        <w:t xml:space="preserve"> </w:t>
      </w:r>
      <w:r>
        <w:t xml:space="preserve">applied that scaffolding to a specific candidate laser-communication site and reported annual and diurnal CFLOS statistics that have since become a reference benchmark in the literature. The 2016 21st-century forecasting paper</w:t>
      </w:r>
      <w:r>
        <w:t xml:space="preserve"> </w:t>
      </w:r>
      <w:hyperlink w:anchor="ref-5">
        <w:r>
          <w:rPr>
            <w:rStyle w:val="Hyperlink"/>
          </w:rPr>
          <w:t xml:space="preserve">[5]</w:t>
        </w:r>
      </w:hyperlink>
      <w:r>
        <w:t xml:space="preserve"> </w:t>
      </w:r>
      <w:r>
        <w:t xml:space="preserve">extended the framework to multi-decadal applications and is the source most often cited for the proposition that clouds are the dominant atmospheric attenuation source for space-to-ground optical links</w:t>
      </w:r>
      <w:r>
        <w:t xml:space="preserve"> </w:t>
      </w:r>
      <w:hyperlink w:anchor="ref-6">
        <w:r>
          <w:rPr>
            <w:rStyle w:val="Hyperlink"/>
          </w:rPr>
          <w:t xml:space="preserve">[6]</w:t>
        </w:r>
      </w:hyperlink>
      <w:r>
        <w:t xml:space="preserve">. The 2016 modeling of CFLOS over Hawaii</w:t>
      </w:r>
      <w:r>
        <w:t xml:space="preserve"> </w:t>
      </w:r>
      <w:hyperlink w:anchor="ref-19">
        <w:r>
          <w:rPr>
            <w:rStyle w:val="Hyperlink"/>
          </w:rPr>
          <w:t xml:space="preserve">[19]</w:t>
        </w:r>
      </w:hyperlink>
      <w:r>
        <w:t xml:space="preserve"> </w:t>
      </w:r>
      <w:r>
        <w:t xml:space="preserve">extended single-site coverage to an island-scale field, an important step in the implicit move from point statistics to spatially structured statistics that the dissertation’s estimator requires.</w:t>
      </w:r>
    </w:p>
    <w:p>
      <w:pPr>
        <w:pStyle w:val="BodyText"/>
        <w:spacing w:line="480" w:lineRule="auto"/>
        <w:ind w:firstLine="720"/>
      </w:pPr>
      <w:r>
        <w:t xml:space="preserve">The 2022 validation paper by Craddock, Felton, Kiley, and Alliss</w:t>
      </w:r>
      <w:r>
        <w:t xml:space="preserve"> </w:t>
      </w:r>
      <w:hyperlink w:anchor="ref-1">
        <w:r>
          <w:rPr>
            <w:rStyle w:val="Hyperlink"/>
          </w:rPr>
          <w:t xml:space="preserve">[1]</w:t>
        </w:r>
      </w:hyperlink>
      <w:r>
        <w:t xml:space="preserve">[24] represents a methodological turning point. It compares NWP-derived cloud and turbulence forecasts against the in-flight record of the NASA Laser Communications Relay Demonstration (LCRD) over Haleakala, supplying for the first time a closed-loop validation between modeled atmospheric state and observed optical link performance. The 2023 paper introducing a novel approach for simulating optical turbulence seeing parameters</w:t>
      </w:r>
      <w:r>
        <w:t xml:space="preserve"> </w:t>
      </w:r>
      <w:hyperlink w:anchor="ref-3">
        <w:r>
          <w:rPr>
            <w:rStyle w:val="Hyperlink"/>
          </w:rPr>
          <w:t xml:space="preserve">[3]</w:t>
        </w:r>
      </w:hyperlink>
      <w:r>
        <w:t xml:space="preserve"> </w:t>
      </w:r>
      <w:r>
        <w:t xml:space="preserve">extends the framework beyond cloud masking to a continuous-valued representation of column turbulence, a capability essential for the dissertation’s link-budget conditioning of availability. Taken together,</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w:t>
      </w:r>
      <w:r>
        <w:t xml:space="preserve"> </w:t>
      </w:r>
      <w:hyperlink w:anchor="ref-19">
        <w:r>
          <w:rPr>
            <w:rStyle w:val="Hyperlink"/>
          </w:rPr>
          <w:t xml:space="preserve">[19]</w:t>
        </w:r>
      </w:hyperlink>
      <w:r>
        <w:t xml:space="preserve">,</w:t>
      </w:r>
      <w:r>
        <w:t xml:space="preserve"> </w:t>
      </w:r>
      <w:hyperlink w:anchor="ref-23">
        <w:r>
          <w:rPr>
            <w:rStyle w:val="Hyperlink"/>
          </w:rPr>
          <w:t xml:space="preserve">[23]</w:t>
        </w:r>
      </w:hyperlink>
      <w:r>
        <w:t xml:space="preserve">, and</w:t>
      </w:r>
      <w:r>
        <w:t xml:space="preserve"> </w:t>
      </w:r>
      <w:hyperlink w:anchor="ref-24">
        <w:r>
          <w:rPr>
            <w:rStyle w:val="Hyperlink"/>
          </w:rPr>
          <w:t xml:space="preserve">[24]</w:t>
        </w:r>
      </w:hyperlink>
      <w:r>
        <w:t xml:space="preserve"> </w:t>
      </w:r>
      <w:r>
        <w:t xml:space="preserve">establish a defensible single-site climatology for at least one candidate aperture and a reproducible methodology for extending it to others.</w:t>
      </w:r>
    </w:p>
    <w:p>
      <w:pPr>
        <w:pStyle w:val="BodyText"/>
        <w:spacing w:line="480" w:lineRule="auto"/>
        <w:ind w:firstLine="720"/>
      </w:pPr>
      <w:r>
        <w:t xml:space="preserve">Outside the AMOS-anchored program, the astronomical site-testing literature provides a parallel and longer-running body of site characterization that has been adopted as climatology proxy in the FSOC literature. The European Extremely Large Telescope site characterization study by Vernin and colleagues</w:t>
      </w:r>
      <w:r>
        <w:t xml:space="preserve"> </w:t>
      </w:r>
      <w:hyperlink w:anchor="ref-12">
        <w:r>
          <w:rPr>
            <w:rStyle w:val="Hyperlink"/>
          </w:rPr>
          <w:t xml:space="preserve">[12]</w:t>
        </w:r>
      </w:hyperlink>
      <w:r>
        <w:t xml:space="preserve"> </w:t>
      </w:r>
      <w:r>
        <w:t xml:space="preserve">and the Thirty Meter Telescope site testing program reported by Skidmore and colleagues</w:t>
      </w:r>
      <w:r>
        <w:t xml:space="preserve"> </w:t>
      </w:r>
      <w:hyperlink w:anchor="ref-13">
        <w:r>
          <w:rPr>
            <w:rStyle w:val="Hyperlink"/>
          </w:rPr>
          <w:t xml:space="preserve">[13]</w:t>
        </w:r>
      </w:hyperlink>
      <w:r>
        <w:t xml:space="preserve"> </w:t>
      </w:r>
      <w:r>
        <w:t xml:space="preserve">supply seeing, cloud, and wind statistics for the Canary Islands, Chilean, Hawaiian, and Mexican sites that recur throughout the OGS literature. The Sarazin and Roddier methodology for differential image motion monitoring</w:t>
      </w:r>
      <w:r>
        <w:t xml:space="preserve"> </w:t>
      </w:r>
      <w:hyperlink w:anchor="ref-14">
        <w:r>
          <w:rPr>
            <w:rStyle w:val="Hyperlink"/>
          </w:rPr>
          <w:t xml:space="preserve">[14]</w:t>
        </w:r>
      </w:hyperlink>
      <w:r>
        <w:t xml:space="preserve"> </w:t>
      </w:r>
      <w:r>
        <w:t xml:space="preserve">is the metrological backbone of all such studies. The Lawrence, Ashley, Tokovinin, and Travouillon characterization of Dome C in Antarctica</w:t>
      </w:r>
      <w:r>
        <w:t xml:space="preserve"> </w:t>
      </w:r>
      <w:hyperlink w:anchor="ref-15">
        <w:r>
          <w:rPr>
            <w:rStyle w:val="Hyperlink"/>
          </w:rPr>
          <w:t xml:space="preserve">[15]</w:t>
        </w:r>
      </w:hyperlink>
      <w:r>
        <w:t xml:space="preserve"> </w:t>
      </w:r>
      <w:r>
        <w:t xml:space="preserve">documents the extreme tail of the seeing distribution and bounds what high-elevation, low-turbulence siting can in principle deliver. These astronomical references are taken into the FSOC literature as inputs to candidate-site assessment rather than as independent OGS performance studies, but they are the largest available source of cross-site empirical variation in the seeing parameter that the cross-site OLS specification in the first companion paper relies upon.</w:t>
      </w:r>
    </w:p>
    <w:p>
      <w:pPr>
        <w:pStyle w:val="BodyText"/>
        <w:spacing w:line="480" w:lineRule="auto"/>
        <w:ind w:firstLine="720"/>
      </w:pPr>
      <w:r>
        <w:t xml:space="preserve">The JPL Interplanetary Network Progress Report on LCRD ground-segment site selection by Wright, Roberts, and Farr</w:t>
      </w:r>
      <w:r>
        <w:t xml:space="preserve"> </w:t>
      </w:r>
      <w:hyperlink w:anchor="ref-16">
        <w:r>
          <w:rPr>
            <w:rStyle w:val="Hyperlink"/>
          </w:rPr>
          <w:t xml:space="preserve">[16]</w:t>
        </w:r>
      </w:hyperlink>
      <w:r>
        <w:t xml:space="preserve"> </w:t>
      </w:r>
      <w:r>
        <w:t xml:space="preserve">sits at the boundary of the site-level and the system-level strands. It documents the engineering criteria, the climatology screening, and the diversity argument that motivated the selection of the LCRD ground apertures. The Edwards, Israel, Wilson, Moores, and Fletcher update on LCRD</w:t>
      </w:r>
      <w:r>
        <w:t xml:space="preserve"> </w:t>
      </w:r>
      <w:hyperlink w:anchor="ref-17">
        <w:r>
          <w:rPr>
            <w:rStyle w:val="Hyperlink"/>
          </w:rPr>
          <w:t xml:space="preserve">[17]</w:t>
        </w:r>
      </w:hyperlink>
      <w:r>
        <w:t xml:space="preserve"> </w:t>
      </w:r>
      <w:r>
        <w:t xml:space="preserve">and the Israel, Edwards, Butler, Moores, Piazzolla, du Toit, and Braatz report of early LCRD results</w:t>
      </w:r>
      <w:r>
        <w:t xml:space="preserve"> </w:t>
      </w:r>
      <w:hyperlink w:anchor="ref-25">
        <w:r>
          <w:rPr>
            <w:rStyle w:val="Hyperlink"/>
          </w:rPr>
          <w:t xml:space="preserve">[25]</w:t>
        </w:r>
      </w:hyperlink>
      <w:r>
        <w:t xml:space="preserve"> </w:t>
      </w:r>
      <w:r>
        <w:t xml:space="preserve">together close the loop between the climatology-driven siting decision and the operational outcome. These references are the documentary record of the only operational, multi-site, GEO-relayed optical ground network the field has yet flown.</w:t>
      </w:r>
    </w:p>
    <w:p>
      <w:pPr>
        <w:pStyle w:val="BodyText"/>
        <w:spacing w:line="480" w:lineRule="auto"/>
        <w:ind w:firstLine="720"/>
      </w:pPr>
      <w:r>
        <w:t xml:space="preserve">The site-level strand is therefore unusually rich for the dissertation’s purposes. It supplies climatology, validation, methodology, and operational results. What it does not supply is a network-level capacity-denominated availability metric.</w:t>
      </w:r>
    </w:p>
    <w:bookmarkEnd w:id="69"/>
    <w:bookmarkStart w:id="70" w:name="X4f177ceb23c5446dd5200eef28cb63470ade916"/>
    <w:p>
      <w:pPr>
        <w:pStyle w:val="Heading3"/>
        <w:spacing w:line="480" w:lineRule="auto"/>
      </w:pPr>
      <w:r>
        <w:t xml:space="preserve">2.2.2 System-Level Demonstrations and the Space Segment</w:t>
      </w:r>
    </w:p>
    <w:p>
      <w:pPr>
        <w:pStyle w:val="FirstParagraph"/>
        <w:spacing w:line="480" w:lineRule="auto"/>
      </w:pPr>
      <w:r>
        <w:t xml:space="preserve">The system-level strand documents what the space segment offers a ground network to lose. The Knopp, Spoerl, Gnat, Rossmanith, Huber, Fuchs, and Giggenbach paper on the utilization of optical ground-to-space links for LEO spacecraft</w:t>
      </w:r>
      <w:r>
        <w:t xml:space="preserve"> </w:t>
      </w:r>
      <w:hyperlink w:anchor="ref-7">
        <w:r>
          <w:rPr>
            <w:rStyle w:val="Hyperlink"/>
          </w:rPr>
          <w:t xml:space="preserve">[7]</w:t>
        </w:r>
      </w:hyperlink>
      <w:r>
        <w:t xml:space="preserve">[10][43] is the canonical statement of the operational LEO downlink architecture from the European side, written from the perspective of the German Aerospace Center’s OGS and the OSIRIS terminal family. It supplies the site coordinates, link-budget parameters, and operational availability narrative that the dissertation’s candidate network draws on for its mid-latitude European sites. The Calzolaio, Curreli, Duncan, Moorhouse, Pérez, and Voegt report on EDRS-C</w:t>
      </w:r>
      <w:r>
        <w:t xml:space="preserve"> </w:t>
      </w:r>
      <w:hyperlink w:anchor="ref-8">
        <w:r>
          <w:rPr>
            <w:rStyle w:val="Hyperlink"/>
          </w:rPr>
          <w:t xml:space="preserve">[8]</w:t>
        </w:r>
      </w:hyperlink>
      <w:r>
        <w:t xml:space="preserve"> </w:t>
      </w:r>
      <w:r>
        <w:t xml:space="preserve">documents the second node of the European Data Relay System and represents the only operational GEO-relay optical ground architecture available to the European user community. The Toyoshima and colleagues report of OICETS in-orbit experiments</w:t>
      </w:r>
      <w:r>
        <w:t xml:space="preserve"> </w:t>
      </w:r>
      <w:hyperlink w:anchor="ref-27">
        <w:r>
          <w:rPr>
            <w:rStyle w:val="Hyperlink"/>
          </w:rPr>
          <w:t xml:space="preserve">[27]</w:t>
        </w:r>
      </w:hyperlink>
      <w:r>
        <w:t xml:space="preserve"> </w:t>
      </w:r>
      <w:r>
        <w:t xml:space="preserve">and the Toyoshima, Takenaka, and Shoji results from the Kirari demonstration with the NICT optical ground station</w:t>
      </w:r>
      <w:r>
        <w:t xml:space="preserve"> </w:t>
      </w:r>
      <w:hyperlink w:anchor="ref-18">
        <w:r>
          <w:rPr>
            <w:rStyle w:val="Hyperlink"/>
          </w:rPr>
          <w:t xml:space="preserve">[18]</w:t>
        </w:r>
      </w:hyperlink>
      <w:r>
        <w:t xml:space="preserve"> </w:t>
      </w:r>
      <w:r>
        <w:t xml:space="preserve">anchor the Japanese contribution and supply early-generation downlink rate benchmarks.</w:t>
      </w:r>
    </w:p>
    <w:p>
      <w:pPr>
        <w:pStyle w:val="BodyText"/>
        <w:spacing w:line="480" w:lineRule="auto"/>
        <w:ind w:firstLine="720"/>
      </w:pPr>
      <w:r>
        <w:t xml:space="preserve">The Smutny and colleagues report of the TerraSAR-X to NFIRE 5.625 Gbps inter-satellite optical link</w:t>
      </w:r>
      <w:r>
        <w:t xml:space="preserve"> </w:t>
      </w:r>
      <w:hyperlink w:anchor="ref-28">
        <w:r>
          <w:rPr>
            <w:rStyle w:val="Hyperlink"/>
          </w:rPr>
          <w:t xml:space="preserve">[28]</w:t>
        </w:r>
      </w:hyperlink>
      <w:r>
        <w:t xml:space="preserve"> </w:t>
      </w:r>
      <w:r>
        <w:t xml:space="preserve">is the foundational European inter-satellite demonstration; while not a downlink record per se, it appears in every cumulative-experience panel and is one of the rows in the learning-curve estimation reported in the second companion paper. The Boroson, Robinson, Murphy, Burianek, Khatri, Kovalik, Sodnik, and Cornwell overview of the Lunar Laser Communication Demonstration</w:t>
      </w:r>
      <w:r>
        <w:t xml:space="preserve"> </w:t>
      </w:r>
      <w:hyperlink w:anchor="ref-21">
        <w:r>
          <w:rPr>
            <w:rStyle w:val="Hyperlink"/>
          </w:rPr>
          <w:t xml:space="preserve">[21]</w:t>
        </w:r>
      </w:hyperlink>
      <w:r>
        <w:t xml:space="preserve"> </w:t>
      </w:r>
      <w:r>
        <w:t xml:space="preserve">and the Biswas, Srinivasan, Piazzolla, and Hemmati Deep Space Optical Communications first-light and downlink results</w:t>
      </w:r>
      <w:r>
        <w:t xml:space="preserve"> </w:t>
      </w:r>
      <w:hyperlink w:anchor="ref-26">
        <w:r>
          <w:rPr>
            <w:rStyle w:val="Hyperlink"/>
          </w:rPr>
          <w:t xml:space="preserve">[26]</w:t>
        </w:r>
      </w:hyperlink>
      <w:r>
        <w:t xml:space="preserve"> </w:t>
      </w:r>
      <w:r>
        <w:t xml:space="preserve">extend the demonstration record to lunar and deep-space ranges, supplying upper-end rate points for the panel. The Schieler and twenty-two coauthors paper on the 200 Gbps TBIRD CubeSat downlink</w:t>
      </w:r>
      <w:r>
        <w:t xml:space="preserve"> </w:t>
      </w:r>
      <w:hyperlink w:anchor="ref-22">
        <w:r>
          <w:rPr>
            <w:rStyle w:val="Hyperlink"/>
          </w:rPr>
          <w:t xml:space="preserve">[22]</w:t>
        </w:r>
      </w:hyperlink>
      <w:r>
        <w:t xml:space="preserve"> </w:t>
      </w:r>
      <w:r>
        <w:t xml:space="preserve">is the single highest-leverage rate point in the cumulative-experience panel and is the source typically cited for the proposition that LEO peak demonstrated capacity has exceeded the throughput of routine RF ground architectures by orders of magnitude. The Carrasco-Casado and colleagues report on the NICT HICALI development status</w:t>
      </w:r>
      <w:r>
        <w:t xml:space="preserve"> </w:t>
      </w:r>
      <w:hyperlink w:anchor="ref-29">
        <w:r>
          <w:rPr>
            <w:rStyle w:val="Hyperlink"/>
          </w:rPr>
          <w:t xml:space="preserve">[29]</w:t>
        </w:r>
      </w:hyperlink>
      <w:r>
        <w:t xml:space="preserve"> </w:t>
      </w:r>
      <w:r>
        <w:t xml:space="preserve">documents the Japanese GEO-relay terminal trajectory.</w:t>
      </w:r>
    </w:p>
    <w:p>
      <w:pPr>
        <w:pStyle w:val="BodyText"/>
        <w:spacing w:line="480" w:lineRule="auto"/>
        <w:ind w:firstLine="720"/>
      </w:pPr>
      <w:r>
        <w:t xml:space="preserve">Two general observations follow. First, the system-level literature reports availability descriptively rather than estimatively. Where availability is discussed at all, it is discussed in the form of mission narrative, anecdotal weather loss in a particular campaign window, or a coarse summary statistic for the participating ground network. Second, the literature documents demonstrated peak rates rather than availability-weighted average rates. The combination produces a record in which the capability frontier of the space segment is exceptionally well-characterized while the operational floor that weather imposes on the ground segment is reported only in narrative form.</w:t>
      </w:r>
    </w:p>
    <w:bookmarkEnd w:id="70"/>
    <w:bookmarkStart w:id="71" w:name="network-level-analyses"/>
    <w:p>
      <w:pPr>
        <w:pStyle w:val="Heading3"/>
        <w:spacing w:line="480" w:lineRule="auto"/>
      </w:pPr>
      <w:r>
        <w:t xml:space="preserve">2.2.3 Network-Level Analyses</w:t>
      </w:r>
    </w:p>
    <w:p>
      <w:pPr>
        <w:pStyle w:val="FirstParagraph"/>
        <w:spacing w:line="480" w:lineRule="auto"/>
      </w:pPr>
      <w:r>
        <w:t xml:space="preserve">The network-level strand is the thinnest of the three and is the locus of the gap. The closest existing precedent is the 2019 Scharring, Rodmann, and Riede paper on network performance analysis of laser-optical tracking for space-situational-awareness purposes in low Earth orbit</w:t>
      </w:r>
      <w:r>
        <w:t xml:space="preserve"> </w:t>
      </w:r>
      <w:hyperlink w:anchor="ref-2">
        <w:r>
          <w:rPr>
            <w:rStyle w:val="Hyperlink"/>
          </w:rPr>
          <w:t xml:space="preserve">[2]</w:t>
        </w:r>
      </w:hyperlink>
      <w:r>
        <w:t xml:space="preserve">[11]. That paper treats a small distributed sensor set under a binary cloud threshold and reports a network-availability statistic for satellite laser ranging. Methodologically, it is the most direct antecedent for the dissertation: it takes the network rather than the site as the unit of analysis, it imposes a cloud-based exclusion rule, and it reports a network-level summary. Three properties, however, separate it from the dissertation’s target. It is set in the satellite laser ranging domain rather than the FSOC downlink domain, so the link-budget calculus is asymmetric in ways that matter for the threshold definition. It applies a binary cloud threshold rather than a continuous link-budget condition, so it cannot resolve turbulence-driven outage in cloud-free conditions. And it does not report a marginal-return function: it evaluates a particular candidate set rather than tracing how the availability statistic varies with the count of cooperating apertures.</w:t>
      </w:r>
    </w:p>
    <w:p>
      <w:pPr>
        <w:pStyle w:val="BodyText"/>
        <w:spacing w:line="480" w:lineRule="auto"/>
        <w:ind w:firstLine="720"/>
      </w:pPr>
      <w:r>
        <w:t xml:space="preserve">The EU Space Surveillance and Tracking system-of-systems literature, represented by the Urdampilleta, Delande, Morand, Gelhaus, Vellutini, Poenaru, Freitas, Zubowicz, and Garcia-Yarnoz 2022 paper on service-provision performance</w:t>
      </w:r>
      <w:r>
        <w:t xml:space="preserve"> </w:t>
      </w:r>
      <w:hyperlink w:anchor="ref-30">
        <w:r>
          <w:rPr>
            <w:rStyle w:val="Hyperlink"/>
          </w:rPr>
          <w:t xml:space="preserve">[30]</w:t>
        </w:r>
      </w:hyperlink>
      <w:r>
        <w:t xml:space="preserve">, the Hermoso and colleagues 2021 study of the EU-SST system</w:t>
      </w:r>
      <w:r>
        <w:t xml:space="preserve"> </w:t>
      </w:r>
      <w:hyperlink w:anchor="ref-33">
        <w:r>
          <w:rPr>
            <w:rStyle w:val="Hyperlink"/>
          </w:rPr>
          <w:t xml:space="preserve">[33]</w:t>
        </w:r>
      </w:hyperlink>
      <w:r>
        <w:t xml:space="preserve">, the Agueda, Belmonte, Escobar, Hernández, López, and Urdampilleta study of passive ranging for collision-avoidance services</w:t>
      </w:r>
      <w:r>
        <w:t xml:space="preserve"> </w:t>
      </w:r>
      <w:hyperlink w:anchor="ref-31">
        <w:r>
          <w:rPr>
            <w:rStyle w:val="Hyperlink"/>
          </w:rPr>
          <w:t xml:space="preserve">[31]</w:t>
        </w:r>
      </w:hyperlink>
      <w:r>
        <w:t xml:space="preserve">, and the Hennegrave and colleagues design and test of optical surveillance strategies for EU-SST network performances</w:t>
      </w:r>
      <w:r>
        <w:t xml:space="preserve"> </w:t>
      </w:r>
      <w:hyperlink w:anchor="ref-32">
        <w:r>
          <w:rPr>
            <w:rStyle w:val="Hyperlink"/>
          </w:rPr>
          <w:t xml:space="preserve">[32]</w:t>
        </w:r>
      </w:hyperlink>
      <w:r>
        <w:t xml:space="preserve">, collectively constitutes the most sustained network-level performance-modeling literature in the adjacent SSA domain. These papers take the multi-sensor, multi-orbit, multi-service architecture as the unit of analysis and report performance against service-provision metrics. They demonstrate that the network-level modeling tradition exists in the European SSA community, and they supply a methodological template that the dissertation’s estimator extends to the FSOC downlink case.</w:t>
      </w:r>
    </w:p>
    <w:p>
      <w:pPr>
        <w:pStyle w:val="BodyText"/>
        <w:spacing w:line="480" w:lineRule="auto"/>
        <w:ind w:firstLine="720"/>
      </w:pPr>
      <w:r>
        <w:t xml:space="preserve">The orbital-capacity verification and validation literature represented by Brownhall, Lifson, Lavezzi, Zucchelli, Moretto, Bhattarai, and Linares</w:t>
      </w:r>
      <w:r>
        <w:t xml:space="preserve"> </w:t>
      </w:r>
      <w:hyperlink w:anchor="ref-34">
        <w:r>
          <w:rPr>
            <w:rStyle w:val="Hyperlink"/>
          </w:rPr>
          <w:t xml:space="preserve">[34]</w:t>
        </w:r>
      </w:hyperlink>
      <w:r>
        <w:t xml:space="preserve"> </w:t>
      </w:r>
      <w:r>
        <w:t xml:space="preserve">supplies an explicit methodological discipline for verifying and validating capacity-assessment tools of varying fidelity, an organizational frame that the dissertation borrows for its sensitivity analysis. The Andersson, Kinnunen, Papadogiannakis, and Ragnarsson genetic-algorithm-driven scheduling paper for radar-based satellite tracking</w:t>
      </w:r>
      <w:r>
        <w:t xml:space="preserve"> </w:t>
      </w:r>
      <w:hyperlink w:anchor="ref-35">
        <w:r>
          <w:rPr>
            <w:rStyle w:val="Hyperlink"/>
          </w:rPr>
          <w:t xml:space="preserve">[35]</w:t>
        </w:r>
      </w:hyperlink>
      <w:r>
        <w:t xml:space="preserve"> </w:t>
      </w:r>
      <w:r>
        <w:t xml:space="preserve">illustrates the scheduling-policy layer that the dissertation’s estimator treats parametrically rather than algorithmically. The Stevenson, McKnight, Lewis, Kunstadter, and Bhatia identification of statistically-most-concerning conjunctions</w:t>
      </w:r>
      <w:r>
        <w:t xml:space="preserve"> </w:t>
      </w:r>
      <w:hyperlink w:anchor="ref-36">
        <w:r>
          <w:rPr>
            <w:rStyle w:val="Hyperlink"/>
          </w:rPr>
          <w:t xml:space="preserve">[36]</w:t>
        </w:r>
      </w:hyperlink>
      <w:r>
        <w:t xml:space="preserve"> </w:t>
      </w:r>
      <w:r>
        <w:t xml:space="preserve">and the Ladhad, Neelakantan, and Ahmed multi-objective optimization of collision-avoidance maneuvers</w:t>
      </w:r>
      <w:r>
        <w:t xml:space="preserve"> </w:t>
      </w:r>
      <w:hyperlink w:anchor="ref-37">
        <w:r>
          <w:rPr>
            <w:rStyle w:val="Hyperlink"/>
          </w:rPr>
          <w:t xml:space="preserve">[37]</w:t>
        </w:r>
      </w:hyperlink>
      <w:r>
        <w:t xml:space="preserve"> </w:t>
      </w:r>
      <w:r>
        <w:t xml:space="preserve">are methodologically aligned in their use of large-sample stochastic evaluation under operationally realistic constraints, a posture the dissertation adopts for its Monte Carlo backbone. The Colombo, Martinez, Letizia, Cattani, David, Escobar, Kawamoto, Rovetto, and Sumelzo paper on space capacity management</w:t>
      </w:r>
      <w:r>
        <w:t xml:space="preserve"> </w:t>
      </w:r>
      <w:hyperlink w:anchor="ref-38">
        <w:r>
          <w:rPr>
            <w:rStyle w:val="Hyperlink"/>
          </w:rPr>
          <w:t xml:space="preserve">[38]</w:t>
        </w:r>
      </w:hyperlink>
      <w:r>
        <w:t xml:space="preserve"> </w:t>
      </w:r>
      <w:r>
        <w:t xml:space="preserve">establishes the broader frame in which network-level capacity questions are now being posed at the system-of-systems scale.</w:t>
      </w:r>
    </w:p>
    <w:p>
      <w:pPr>
        <w:pStyle w:val="BodyText"/>
        <w:spacing w:line="480" w:lineRule="auto"/>
        <w:ind w:firstLine="720"/>
      </w:pPr>
      <w:r>
        <w:t xml:space="preserve">Adjacent Acta Astronautica work on constellation design and demand uncertainty, including the Martínez Zamacola, Martín Marco, and Martínez Rodríguez-Osorio profiling of LEO constellation transmit power</w:t>
      </w:r>
      <w:r>
        <w:t xml:space="preserve"> </w:t>
      </w:r>
      <w:hyperlink w:anchor="ref-44">
        <w:r>
          <w:rPr>
            <w:rStyle w:val="Hyperlink"/>
          </w:rPr>
          <w:t xml:space="preserve">[44]</w:t>
        </w:r>
      </w:hyperlink>
      <w:r>
        <w:t xml:space="preserve"> </w:t>
      </w:r>
      <w:r>
        <w:t xml:space="preserve">and the Anderson, Cardin, and Grogan analysis of flexible multi-layer staged deployment for satellite mega-constellations</w:t>
      </w:r>
      <w:r>
        <w:t xml:space="preserve"> </w:t>
      </w:r>
      <w:hyperlink w:anchor="ref-45">
        <w:r>
          <w:rPr>
            <w:rStyle w:val="Hyperlink"/>
          </w:rPr>
          <w:t xml:space="preserve">[45]</w:t>
        </w:r>
      </w:hyperlink>
      <w:r>
        <w:t xml:space="preserve">, supplies the demand-side context that motivates the ground-network sizing question. Spaceborne-lidar design work by Lowe, McGrath, Hancock, Davenport, Todd, Hansen, Woodhouse, Norrie, and Macdonald</w:t>
      </w:r>
      <w:r>
        <w:t xml:space="preserve"> </w:t>
      </w:r>
      <w:hyperlink w:anchor="ref-41">
        <w:r>
          <w:rPr>
            <w:rStyle w:val="Hyperlink"/>
          </w:rPr>
          <w:t xml:space="preserve">[41]</w:t>
        </w:r>
      </w:hyperlink>
      <w:r>
        <w:t xml:space="preserve"> </w:t>
      </w:r>
      <w:r>
        <w:t xml:space="preserve">and thermal modeling by Romero, Pérez-Grande, and Rodríguez-Manfredi</w:t>
      </w:r>
      <w:r>
        <w:t xml:space="preserve"> </w:t>
      </w:r>
      <w:hyperlink w:anchor="ref-42">
        <w:r>
          <w:rPr>
            <w:rStyle w:val="Hyperlink"/>
          </w:rPr>
          <w:t xml:space="preserve">[42]</w:t>
        </w:r>
      </w:hyperlink>
      <w:r>
        <w:t xml:space="preserve">, while not directly addressing OGS networks, exemplify the kind of physically grounded modeling discipline that the dissertation’s estimator emulates on the ground side. Two further Acta entries</w:t>
      </w:r>
      <w:r>
        <w:t xml:space="preserve"> </w:t>
      </w:r>
      <w:hyperlink w:anchor="ref-39">
        <w:r>
          <w:rPr>
            <w:rStyle w:val="Hyperlink"/>
          </w:rPr>
          <w:t xml:space="preserve">[39]</w:t>
        </w:r>
      </w:hyperlink>
      <w:r>
        <w:t xml:space="preserve">[40] document the breadth of the journal’s coverage but lie outside the FSOC architectural question.</w:t>
      </w:r>
    </w:p>
    <w:p>
      <w:pPr>
        <w:pStyle w:val="BodyText"/>
        <w:spacing w:line="480" w:lineRule="auto"/>
        <w:ind w:firstLine="720"/>
      </w:pPr>
      <w:r>
        <w:t xml:space="preserve">In aggregate, the domain literature offers an exceptionally detailed single-site climatology, a well-characterized capability frontier for the space segment, an emerging network-level methodological vocabulary in the adjacent SSA domain, and exactly one published network-level availability paper</w:t>
      </w:r>
      <w:r>
        <w:t xml:space="preserve"> </w:t>
      </w:r>
      <w:hyperlink w:anchor="ref-2">
        <w:r>
          <w:rPr>
            <w:rStyle w:val="Hyperlink"/>
          </w:rPr>
          <w:t xml:space="preserve">[2]</w:t>
        </w:r>
      </w:hyperlink>
      <w:r>
        <w:t xml:space="preserve"> </w:t>
      </w:r>
      <w:r>
        <w:t xml:space="preserve">that does not address the FSOC downlink case in the form the dissertation requires.</w:t>
      </w:r>
    </w:p>
    <w:bookmarkEnd w:id="71"/>
    <w:bookmarkEnd w:id="72"/>
    <w:bookmarkStart w:id="76" w:name="X1efe1ff2de4692befdebd0c0c94b32dedfb8ba7"/>
    <w:p>
      <w:pPr>
        <w:pStyle w:val="Heading2"/>
        <w:spacing w:line="480" w:lineRule="auto"/>
      </w:pPr>
      <w:r>
        <w:t xml:space="preserve">2.3 The Cliometric and Econometric Methodological Literature</w:t>
      </w:r>
    </w:p>
    <w:bookmarkStart w:id="73" w:name="the-learning-curve-tradition"/>
    <w:p>
      <w:pPr>
        <w:pStyle w:val="Heading3"/>
        <w:spacing w:line="480" w:lineRule="auto"/>
      </w:pPr>
      <w:r>
        <w:t xml:space="preserve">2.3.1 The Learning-Curve Tradition</w:t>
      </w:r>
    </w:p>
    <w:p>
      <w:pPr>
        <w:pStyle w:val="FirstParagraph"/>
        <w:spacing w:line="480" w:lineRule="auto"/>
      </w:pPr>
      <w:r>
        <w:t xml:space="preserve">The cliometric tradition that the dissertation draws on is the Wright learning curve, introduced in 1936 in the Journal of the Aeronautical Sciences</w:t>
      </w:r>
      <w:r>
        <w:t xml:space="preserve"> </w:t>
      </w:r>
      <w:hyperlink w:anchor="ref-20">
        <w:r>
          <w:rPr>
            <w:rStyle w:val="Hyperlink"/>
          </w:rPr>
          <w:t xml:space="preserve">[20]</w:t>
        </w:r>
      </w:hyperlink>
      <w:r>
        <w:t xml:space="preserve">. Wright’s specification posits unit cost as a power function of cumulative production, with a constant elasticity that summarizes the rate at which experience compounds into cost reduction. In its capability-progress reading, the same functional form treats demonstrated performance as a power function of cumulative trials, with a positive elasticity that summarizes the rate at which experience compounds into capability gain. The companion paper on the space-to-ground optical learning curve adopts that capability-progress reading and reports an elasticity of 1.705 across the thirty-demonstration panel running from GOLD in 1995 through the LCOT ground terminal first acquisition in 2024.</w:t>
      </w:r>
    </w:p>
    <w:p>
      <w:pPr>
        <w:pStyle w:val="BodyText"/>
        <w:spacing w:line="480" w:lineRule="auto"/>
        <w:ind w:firstLine="720"/>
      </w:pPr>
      <w:r>
        <w:t xml:space="preserve">The Wright specification has three properties that recommend it for the FSOC capability-progress case. It is parsimonious, requiring only an intercept and a slope. It is interpretable, with the doubling factor 2^slope a direct statement of how much capability rises per doubling of cumulative experience. And it is falsifiable, in the sense that the null of no learning is rejected or not rejected by a single t-test on the slope. Its limitations are equally well-known: it abstracts from heterogeneity in the underlying technology, it treats the time index only through the cumulative-experience covariate, and it does not by itself separate the contribution of incremental improvement from the contribution of architectural discontinuity. These limitations are inherited by the companion paper but do not materially compromise its central claim, which is that the elasticity is large and the residual variance is the empirical signature of the availability penalty that the rest of the dissertation quantifies.</w:t>
      </w:r>
    </w:p>
    <w:p>
      <w:pPr>
        <w:pStyle w:val="BodyText"/>
        <w:spacing w:line="480" w:lineRule="auto"/>
        <w:ind w:firstLine="720"/>
      </w:pPr>
      <w:r>
        <w:t xml:space="preserve">The methodological literature surrounding the Wright curve in space-systems applications is informal rather than codified. Mission technical papers including</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and</w:t>
      </w:r>
      <w:r>
        <w:t xml:space="preserve"> </w:t>
      </w:r>
      <w:hyperlink w:anchor="ref-28">
        <w:r>
          <w:rPr>
            <w:rStyle w:val="Hyperlink"/>
          </w:rPr>
          <w:t xml:space="preserve">[28]</w:t>
        </w:r>
      </w:hyperlink>
      <w:r>
        <w:t xml:space="preserve"> </w:t>
      </w:r>
      <w:r>
        <w:t xml:space="preserve">supply the rate-and-experience pairs that populate any FSOC learning panel. The dissertation’s contribution at the methodological level is not the introduction of the Wright form into the FSOC discussion, which has appeared informally in prior work, but the formal log-log estimation of the slope across a single defensible panel with documented row provenance.</w:t>
      </w:r>
    </w:p>
    <w:bookmarkEnd w:id="73"/>
    <w:bookmarkStart w:id="74" w:name="Xbce1fa558e108934a0b5be3a835dddc4e8596a1"/>
    <w:p>
      <w:pPr>
        <w:pStyle w:val="Heading3"/>
        <w:spacing w:line="480" w:lineRule="auto"/>
      </w:pPr>
      <w:r>
        <w:t xml:space="preserve">2.3.2 Cross-Sectional Ordinary Least Squares in Engineering Site Studies</w:t>
      </w:r>
    </w:p>
    <w:p>
      <w:pPr>
        <w:pStyle w:val="FirstParagraph"/>
        <w:spacing w:line="480" w:lineRule="auto"/>
      </w:pPr>
      <w:r>
        <w:t xml:space="preserve">The econometric literature on cross-sectional regression in engineering site studies is the methodological backbone of the first companion paper. Ordinary least squares on a small cross-section of sites is a standard practice in atmospheric and engineering siting work; the astronomical site characterization literature represented by Vernin, Munoz-Tunon, and Sarazin</w:t>
      </w:r>
      <w:r>
        <w:t xml:space="preserve"> </w:t>
      </w:r>
      <w:hyperlink w:anchor="ref-12">
        <w:r>
          <w:rPr>
            <w:rStyle w:val="Hyperlink"/>
          </w:rPr>
          <w:t xml:space="preserve">[12]</w:t>
        </w:r>
      </w:hyperlink>
      <w:r>
        <w:t xml:space="preserve">, Skidmore, Schock, and Magnier</w:t>
      </w:r>
      <w:r>
        <w:t xml:space="preserve"> </w:t>
      </w:r>
      <w:hyperlink w:anchor="ref-13">
        <w:r>
          <w:rPr>
            <w:rStyle w:val="Hyperlink"/>
          </w:rPr>
          <w:t xml:space="preserve">[13]</w:t>
        </w:r>
      </w:hyperlink>
      <w:r>
        <w:t xml:space="preserve">, Sarazin and Roddier</w:t>
      </w:r>
      <w:r>
        <w:t xml:space="preserve"> </w:t>
      </w:r>
      <w:hyperlink w:anchor="ref-14">
        <w:r>
          <w:rPr>
            <w:rStyle w:val="Hyperlink"/>
          </w:rPr>
          <w:t xml:space="preserve">[14]</w:t>
        </w:r>
      </w:hyperlink>
      <w:r>
        <w:t xml:space="preserve">, and Lawrence, Ashley, Tokovinin, and Travouillon</w:t>
      </w:r>
      <w:r>
        <w:t xml:space="preserve"> </w:t>
      </w:r>
      <w:hyperlink w:anchor="ref-15">
        <w:r>
          <w:rPr>
            <w:rStyle w:val="Hyperlink"/>
          </w:rPr>
          <w:t xml:space="preserve">[15]</w:t>
        </w:r>
      </w:hyperlink>
      <w:r>
        <w:t xml:space="preserve"> </w:t>
      </w:r>
      <w:r>
        <w:t xml:space="preserve">uses the same regression discipline implicitly in its presentation of seeing, cloud, and wind statistics across candidate sites for the European Extremely Large Telescope and the Thirty Meter Telescope.</w:t>
      </w:r>
    </w:p>
    <w:p>
      <w:pPr>
        <w:pStyle w:val="BodyText"/>
        <w:spacing w:line="480" w:lineRule="auto"/>
        <w:ind w:firstLine="720"/>
      </w:pPr>
      <w:r>
        <w:t xml:space="preserve">The methodological choices in the first companion paper are conventional within that tradition. The cross-section of thirty apertures is small but not anomalously so for cross-site siting work; the dependent variable, annual cloud-free percentage, is the standard headline statistic in the OGS literature</w:t>
      </w:r>
      <w:r>
        <w:t xml:space="preserve"> </w:t>
      </w:r>
      <w:hyperlink w:anchor="ref-4">
        <w:r>
          <w:rPr>
            <w:rStyle w:val="Hyperlink"/>
          </w:rPr>
          <w:t xml:space="preserve">[4]</w:t>
        </w:r>
      </w:hyperlink>
      <w:r>
        <w:t xml:space="preserve">[5][9][19]; the predictors, elevation, signed latitude, and median seeing, are the three first-order candidates suggested by the underlying physics; and the heteroskedasticity-naive standard errors are the conventional default for a sample of this size. The interpretive caveat the paper attaches to the small-N regression, that the coefficients should be read as conditional means rather than population parameters, is itself a standard practice within the tradition.</w:t>
      </w:r>
    </w:p>
    <w:p>
      <w:pPr>
        <w:pStyle w:val="BodyText"/>
        <w:spacing w:line="480" w:lineRule="auto"/>
        <w:ind w:firstLine="720"/>
      </w:pPr>
      <w:r>
        <w:t xml:space="preserve">The substantive finding of the first companion paper, that median seeing dominates aperture elevation as a predictor of cloud-free availability with elevation losing independent significance after seeing is included, is consistent with the boundary-layer mechanism documented in the astronomical site testing literature</w:t>
      </w:r>
      <w:r>
        <w:t xml:space="preserve"> </w:t>
      </w:r>
      <w:hyperlink w:anchor="ref-12">
        <w:r>
          <w:rPr>
            <w:rStyle w:val="Hyperlink"/>
          </w:rPr>
          <w:t xml:space="preserve">[12]</w:t>
        </w:r>
      </w:hyperlink>
      <w:r>
        <w:t xml:space="preserve">[13][15] and with the implicit ordering that the LCRD ground-segment site-selection paper</w:t>
      </w:r>
      <w:r>
        <w:t xml:space="preserve"> </w:t>
      </w:r>
      <w:hyperlink w:anchor="ref-16">
        <w:r>
          <w:rPr>
            <w:rStyle w:val="Hyperlink"/>
          </w:rPr>
          <w:t xml:space="preserve">[16]</w:t>
        </w:r>
      </w:hyperlink>
      <w:r>
        <w:t xml:space="preserve"> </w:t>
      </w:r>
      <w:r>
        <w:t xml:space="preserve">used in its candidate screening. The finding is a calibration input to the dissertation’s network-level estimator rather than a free-standing claim about OGS physics. Its methodological function is to anchor the dissertation’s representation of site heterogeneity in observed cross-site variation rather than in a stipulated functional form.</w:t>
      </w:r>
    </w:p>
    <w:bookmarkEnd w:id="74"/>
    <w:bookmarkStart w:id="75" w:name="Xaa6d58987c739fb2f9bb06776753cd9a2334758"/>
    <w:p>
      <w:pPr>
        <w:pStyle w:val="Heading3"/>
        <w:spacing w:line="480" w:lineRule="auto"/>
      </w:pPr>
      <w:r>
        <w:t xml:space="preserve">2.3.3 Monte Carlo Availability Estimation Under Spatially Correlated Inputs</w:t>
      </w:r>
    </w:p>
    <w:p>
      <w:pPr>
        <w:pStyle w:val="FirstParagraph"/>
        <w:spacing w:line="480" w:lineRule="auto"/>
      </w:pPr>
      <w:r>
        <w:t xml:space="preserve">The third methodological strand the dissertation draws on is Monte Carlo availability estimation under spatially correlated stochastic inputs. Two of the methodological precedents come from outside the FSOC literature. The Brownhall, Lifson, Lavezzi, Zucchelli, Moretto, Bhattarai, and Linares paper on the verification and validation of orbital-capacity assessment tools</w:t>
      </w:r>
      <w:r>
        <w:t xml:space="preserve"> </w:t>
      </w:r>
      <w:hyperlink w:anchor="ref-34">
        <w:r>
          <w:rPr>
            <w:rStyle w:val="Hyperlink"/>
          </w:rPr>
          <w:t xml:space="preserve">[34]</w:t>
        </w:r>
      </w:hyperlink>
      <w:r>
        <w:t xml:space="preserve"> </w:t>
      </w:r>
      <w:r>
        <w:t xml:space="preserve">provides an explicit discipline for the verification of large-sample stochastic estimators of capacity, including the practice of running multiple-fidelity simulators against one another to bound the methodological uncertainty in any single estimate. The Andersson, Kinnunen, Papadogiannakis, and Ragnarsson genetic-algorithm scheduling paper for radar-based satellite tracking</w:t>
      </w:r>
      <w:r>
        <w:t xml:space="preserve"> </w:t>
      </w:r>
      <w:hyperlink w:anchor="ref-35">
        <w:r>
          <w:rPr>
            <w:rStyle w:val="Hyperlink"/>
          </w:rPr>
          <w:t xml:space="preserve">[35]</w:t>
        </w:r>
      </w:hyperlink>
      <w:r>
        <w:t xml:space="preserve">, while operating on a different scheduling problem, illustrates the use of stochastic optimization under realistic operational constraints in a form that maps cleanly onto the dissertation’s scheduling-policy layer.</w:t>
      </w:r>
    </w:p>
    <w:p>
      <w:pPr>
        <w:pStyle w:val="BodyText"/>
        <w:spacing w:line="480" w:lineRule="auto"/>
        <w:ind w:firstLine="720"/>
      </w:pPr>
      <w:r>
        <w:t xml:space="preserve">Within the FSOC literature, the closest methodological precedent for spatially correlated Monte Carlo estimation is the Scharring, Rodmann, and Riede SLR network paper</w:t>
      </w:r>
      <w:r>
        <w:t xml:space="preserve"> </w:t>
      </w:r>
      <w:hyperlink w:anchor="ref-2">
        <w:r>
          <w:rPr>
            <w:rStyle w:val="Hyperlink"/>
          </w:rPr>
          <w:t xml:space="preserve">[2]</w:t>
        </w:r>
      </w:hyperlink>
      <w:r>
        <w:t xml:space="preserve">[11], which evaluates a small distributed sensor set under a binary cloud threshold. Its computational backbone treats sites as joint draws from a cloud-cover field rather than as independent Bernoulli trials, a posture the dissertation extends to the FSOC downlink case at higher fidelity. The EU-SST service-provision papers</w:t>
      </w:r>
      <w:r>
        <w:t xml:space="preserve"> </w:t>
      </w:r>
      <w:hyperlink w:anchor="ref-30">
        <w:r>
          <w:rPr>
            <w:rStyle w:val="Hyperlink"/>
          </w:rPr>
          <w:t xml:space="preserve">[30]</w:t>
        </w:r>
      </w:hyperlink>
      <w:r>
        <w:t xml:space="preserve">[33] and the EU-SST optical-surveillance design and test paper</w:t>
      </w:r>
      <w:r>
        <w:t xml:space="preserve"> </w:t>
      </w:r>
      <w:hyperlink w:anchor="ref-32">
        <w:r>
          <w:rPr>
            <w:rStyle w:val="Hyperlink"/>
          </w:rPr>
          <w:t xml:space="preserve">[32]</w:t>
        </w:r>
      </w:hyperlink>
      <w:r>
        <w:t xml:space="preserve"> </w:t>
      </w:r>
      <w:r>
        <w:t xml:space="preserve">adopt similar Monte Carlo postures for the SSA service-provision question and are direct methodological cousins to the dissertation’s estimator. The Stevenson, McKnight, Lewis, Kunstadter, and Bhatia identification of statistically-most-concerning conjunctions</w:t>
      </w:r>
      <w:r>
        <w:t xml:space="preserve"> </w:t>
      </w:r>
      <w:hyperlink w:anchor="ref-36">
        <w:r>
          <w:rPr>
            <w:rStyle w:val="Hyperlink"/>
          </w:rPr>
          <w:t xml:space="preserve">[36]</w:t>
        </w:r>
      </w:hyperlink>
      <w:r>
        <w:t xml:space="preserve"> </w:t>
      </w:r>
      <w:r>
        <w:t xml:space="preserve">and the Ladhad, Neelakantan, and Ahmed multi-objective optimization of collision-avoidance maneuvers</w:t>
      </w:r>
      <w:r>
        <w:t xml:space="preserve"> </w:t>
      </w:r>
      <w:hyperlink w:anchor="ref-37">
        <w:r>
          <w:rPr>
            <w:rStyle w:val="Hyperlink"/>
          </w:rPr>
          <w:t xml:space="preserve">[37]</w:t>
        </w:r>
      </w:hyperlink>
      <w:r>
        <w:t xml:space="preserve"> </w:t>
      </w:r>
      <w:r>
        <w:t xml:space="preserve">illustrate the broader use of large-sample stochastic evaluation in the operational SSA domain.</w:t>
      </w:r>
    </w:p>
    <w:p>
      <w:pPr>
        <w:pStyle w:val="BodyText"/>
        <w:spacing w:line="480" w:lineRule="auto"/>
        <w:ind w:firstLine="720"/>
      </w:pPr>
      <w:r>
        <w:t xml:space="preserve">The methodological literature thus supplies three components: a learning-curve form for the space-segment capability trajectory, a cross-sectional OLS specification for site-level availability conditioning, and a spatially correlated Monte Carlo posture for network-level availability estimation. No published study, however, combines these three components into a single estimator for the FSOC downlink case.</w:t>
      </w:r>
    </w:p>
    <w:bookmarkEnd w:id="75"/>
    <w:bookmarkEnd w:id="76"/>
    <w:bookmarkStart w:id="77" w:name="synthesis-and-the-joint-gap"/>
    <w:p>
      <w:pPr>
        <w:pStyle w:val="Heading2"/>
        <w:spacing w:line="480" w:lineRule="auto"/>
      </w:pPr>
      <w:r>
        <w:t xml:space="preserve">2.4 Synthesis and the Joint Gap</w:t>
      </w:r>
    </w:p>
    <w:p>
      <w:pPr>
        <w:pStyle w:val="FirstParagraph"/>
        <w:spacing w:line="480" w:lineRule="auto"/>
      </w:pPr>
      <w:r>
        <w:t xml:space="preserve">The synthesis is best stated as a matrix of what each strand supplies and what each lacks. The site-level FSOC literature</w:t>
      </w:r>
      <w:r>
        <w:t xml:space="preserve"> </w:t>
      </w:r>
      <w:hyperlink w:anchor="ref-1">
        <w:r>
          <w:rPr>
            <w:rStyle w:val="Hyperlink"/>
          </w:rPr>
          <w:t xml:space="preserve">[1]</w:t>
        </w:r>
      </w:hyperlink>
      <w:r>
        <w:t xml:space="preserve">[3][4][5][9][19][23][24] supplies high-fidelity, multi-decadal, validated atmospheric inputs at the single-aperture scale but does not address the network as the unit of analysis. The system-level FSOC literature</w:t>
      </w:r>
      <w:r>
        <w:t xml:space="preserve"> </w:t>
      </w:r>
      <w:hyperlink w:anchor="ref-7">
        <w:r>
          <w:rPr>
            <w:rStyle w:val="Hyperlink"/>
          </w:rPr>
          <w:t xml:space="preserve">[7]</w:t>
        </w:r>
      </w:hyperlink>
      <w:r>
        <w:t xml:space="preserve">[8][10][17][18][21][22][25][26][27][28][29][43] supplies a documented capability frontier for the space segment but reports availability only narratively. The astronomical site testing literature</w:t>
      </w:r>
      <w:r>
        <w:t xml:space="preserve"> </w:t>
      </w:r>
      <w:hyperlink w:anchor="ref-12">
        <w:r>
          <w:rPr>
            <w:rStyle w:val="Hyperlink"/>
          </w:rPr>
          <w:t xml:space="preserve">[12]</w:t>
        </w:r>
      </w:hyperlink>
      <w:r>
        <w:t xml:space="preserve">[13][14][15] supplies the cross-site variation in the seeing parameter that the cross-sectional OLS estimate exploits but is not denominated in operational link-availability terms. The SLR and SSA network literature</w:t>
      </w:r>
      <w:r>
        <w:t xml:space="preserve"> </w:t>
      </w:r>
      <w:hyperlink w:anchor="ref-2">
        <w:r>
          <w:rPr>
            <w:rStyle w:val="Hyperlink"/>
          </w:rPr>
          <w:t xml:space="preserve">[2]</w:t>
        </w:r>
      </w:hyperlink>
      <w:r>
        <w:t xml:space="preserve">[11][30][31][32][33][34][35][36][37] supplies the methodological vocabulary for network-level performance modeling but is not directed at the FSOC downlink question. The space-capacity-management literature</w:t>
      </w:r>
      <w:r>
        <w:t xml:space="preserve"> </w:t>
      </w:r>
      <w:hyperlink w:anchor="ref-38">
        <w:r>
          <w:rPr>
            <w:rStyle w:val="Hyperlink"/>
          </w:rPr>
          <w:t xml:space="preserve">[38]</w:t>
        </w:r>
      </w:hyperlink>
      <w:r>
        <w:t xml:space="preserve"> </w:t>
      </w:r>
      <w:r>
        <w:t xml:space="preserve">establishes the strategic frame for the question but does not specify an estimator for the OGS network. The constellation and demand-side literature</w:t>
      </w:r>
      <w:r>
        <w:t xml:space="preserve"> </w:t>
      </w:r>
      <w:hyperlink w:anchor="ref-44">
        <w:r>
          <w:rPr>
            <w:rStyle w:val="Hyperlink"/>
          </w:rPr>
          <w:t xml:space="preserve">[44]</w:t>
        </w:r>
      </w:hyperlink>
      <w:r>
        <w:t xml:space="preserve">[45] motivates the question by establishing the throughput demand against which the ground-side bottleneck binds. The cliometric tradition originating with Wright</w:t>
      </w:r>
      <w:r>
        <w:t xml:space="preserve"> </w:t>
      </w:r>
      <w:hyperlink w:anchor="ref-20">
        <w:r>
          <w:rPr>
            <w:rStyle w:val="Hyperlink"/>
          </w:rPr>
          <w:t xml:space="preserve">[20]</w:t>
        </w:r>
      </w:hyperlink>
      <w:r>
        <w:t xml:space="preserve"> </w:t>
      </w:r>
      <w:r>
        <w:t xml:space="preserve">supplies the functional form for the capability-progress trajectory but has not been formally estimated for the FSOC downlink case until the second companion paper.</w:t>
      </w:r>
    </w:p>
    <w:p>
      <w:pPr>
        <w:pStyle w:val="BodyText"/>
        <w:spacing w:line="480" w:lineRule="auto"/>
        <w:ind w:firstLine="720"/>
      </w:pPr>
      <w:r>
        <w:t xml:space="preserve">The joint absence is therefore the lack of a single study that (a) treats a candidate OGS network as the unit of analysis, (b) denominates the availability metric in lost capacity rather than in binary site-availability, (c) preserves the joint spatial correlation of the cloud and turbulence fields across sites rather than assuming independence, (d) conditions the link on a continuous link-budget threshold rather than a binary cloud mask, (e) reports a marginal-return function for added sites with quantified statistical uncertainty, and (f) interprets that function against the contemporaneous capability frontier of the space segment as estimated by a calibrated learning curve. Each of these six properties has at least one near-precedent in the literature reviewed above. None of the reviewed studies combines all six.</w:t>
      </w:r>
    </w:p>
    <w:p>
      <w:pPr>
        <w:pStyle w:val="BodyText"/>
        <w:spacing w:line="480" w:lineRule="auto"/>
        <w:ind w:firstLine="720"/>
      </w:pPr>
      <w:r>
        <w:t xml:space="preserve">The reasons for the absence are structural rather than coincidental. The two literatures sit in different publication venues, address different audiences, and reward different methodological signatures. The AMOS-anchored climatology literature is read by atmospheric scientists and laser-communication engineers and rewards single-site validation against in-flight benchmarks. The Acta Astronautica and SPIE space-segment literature is read by mission designers and program managers and rewards documentation of demonstrated capability. The cliometric and econometric methodological literature is read by economists and operations researchers and rewards parsimonious estimation with clean identification. The combination of all three audiences in a single estimator is rare, and the dissertation’s contribution is to assemble that combination with discipline.</w:t>
      </w:r>
    </w:p>
    <w:bookmarkEnd w:id="77"/>
    <w:bookmarkStart w:id="78" w:name="formal-statement-of-the-gap"/>
    <w:p>
      <w:pPr>
        <w:pStyle w:val="Heading2"/>
        <w:spacing w:line="480" w:lineRule="auto"/>
      </w:pPr>
      <w:r>
        <w:t xml:space="preserve">2.5 Formal Statement of the Gap</w:t>
      </w:r>
    </w:p>
    <w:p>
      <w:pPr>
        <w:pStyle w:val="FirstParagraph"/>
        <w:spacing w:line="480" w:lineRule="auto"/>
      </w:pPr>
      <w:r>
        <w:t xml:space="preserve">The gap can be stated as a set of estimable parameters not yet jointly reported in the reviewed literature. Let A(N) denote the expected fraction of demanded LEO-to-OGS optical link-minutes lost to cloud cover and turbulence-induced outage for a network of N candidate OGS sites operated under a specified scheduling policy and link-budget threshold. Let m(N) denote the marginal change in A(N) attributable to the addition of the Nth site, holding the prior subset fixed. Let kappa denote the curvature parameter of a parametric fit to A(N) over the operational range of N. Let beta denote the elasticity of demonstrated peak downlink rate with respect to cumulative experience in the space-segment learning curve, and let R^2_residual denote the share of variance in log peak rate not explained by cumulative experience.</w:t>
      </w:r>
    </w:p>
    <w:p>
      <w:pPr>
        <w:pStyle w:val="BodyText"/>
        <w:spacing w:line="480" w:lineRule="auto"/>
        <w:ind w:firstLine="720"/>
      </w:pPr>
      <w:r>
        <w:t xml:space="preserve">The reviewed literature reports approximate counterparts for some of these parameters at isolated sites or in adjacent domains. The 2022 Haleakala validation paper</w:t>
      </w:r>
      <w:r>
        <w:t xml:space="preserve"> </w:t>
      </w:r>
      <w:hyperlink w:anchor="ref-1">
        <w:r>
          <w:rPr>
            <w:rStyle w:val="Hyperlink"/>
          </w:rPr>
          <w:t xml:space="preserve">[1]</w:t>
        </w:r>
      </w:hyperlink>
      <w:r>
        <w:t xml:space="preserve">[24] reports a calibrated cloud-and-turbulence forecast at a single aperture; the 2019 SLR network paper</w:t>
      </w:r>
      <w:r>
        <w:t xml:space="preserve"> </w:t>
      </w:r>
      <w:hyperlink w:anchor="ref-2">
        <w:r>
          <w:rPr>
            <w:rStyle w:val="Hyperlink"/>
          </w:rPr>
          <w:t xml:space="preserve">[2]</w:t>
        </w:r>
      </w:hyperlink>
      <w:r>
        <w:t xml:space="preserve">[11] reports a binary-threshold availability statistic for a small SLR sensor set; the first companion paper of the dissertation reports the cross-site OLS coefficients on elevation, signed latitude, and median seeing; the second companion paper of the dissertation reports the learning slope beta and the residual variance share R^2_residual. No study in the reviewed literature reports A(N), m(N), or kappa for a candidate FSOC OGS network jointly conditioned on a continuous link-budget threshold and a spatially correlated cloud-and-turbulence field. That joint absence defines the gap. Chapter 3 specifies the estimator that closes it, Chapter 4 reports the calibration of that estimator against the multi-year ground-truth record assembled from</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and the operational documentation in</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w:t>
      </w:r>
      <w:r>
        <w:t xml:space="preserve"> </w:t>
      </w:r>
      <w:hyperlink w:anchor="ref-25">
        <w:r>
          <w:rPr>
            <w:rStyle w:val="Hyperlink"/>
          </w:rPr>
          <w:t xml:space="preserve">[25]</w:t>
        </w:r>
      </w:hyperlink>
      <w:r>
        <w:t xml:space="preserve">, and</w:t>
      </w:r>
      <w:r>
        <w:t xml:space="preserve"> </w:t>
      </w:r>
      <w:hyperlink w:anchor="ref-43">
        <w:r>
          <w:rPr>
            <w:rStyle w:val="Hyperlink"/>
          </w:rPr>
          <w:t xml:space="preserve">[43]</w:t>
        </w:r>
      </w:hyperlink>
      <w:r>
        <w:t xml:space="preserve">, and Chapter 5 reports the hypothesis test on kappa that the dissertation pre-registers.</w:t>
      </w:r>
    </w:p>
    <w:bookmarkEnd w:id="78"/>
    <w:bookmarkEnd w:id="79"/>
    <w:bookmarkStart w:id="89" w:name="Xcfcc00a3ded59aed0c781c16bfc121f2a509603"/>
    <w:p>
      <w:pPr>
        <w:pStyle w:val="Heading1"/>
        <w:spacing w:line="480" w:lineRule="auto"/>
      </w:pPr>
      <w:r>
        <w:t xml:space="preserve">Chapter 3. Theoretical Framework and Hypotheses</w:t>
      </w:r>
    </w:p>
    <w:bookmarkStart w:id="80"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from which the dissertation’s quantitative hypotheses are derived. Chapter 1 stated the practical motivation: free-space optical communication has crossed the threshold from laboratory curiosity to architectural necessity, and the binding constraint on its operational delivery has migrated from the space segment to the ground segment. Chapter 2 surveyed the literatures that bracket the question, including atmospheric characterization at individual apertures</w:t>
      </w:r>
      <w:r>
        <w:t xml:space="preserve"> </w:t>
      </w:r>
      <w:hyperlink w:anchor="ref-1">
        <w:r>
          <w:rPr>
            <w:rStyle w:val="Hyperlink"/>
          </w:rPr>
          <w:t xml:space="preserve">[1]</w:t>
        </w:r>
      </w:hyperlink>
      <w:r>
        <w:t xml:space="preserve">[3][4][5], cloud climatology as the dominant attenuation source for space-to-ground optical paths</w:t>
      </w:r>
      <w:r>
        <w:t xml:space="preserve"> </w:t>
      </w:r>
      <w:hyperlink w:anchor="ref-6">
        <w:r>
          <w:rPr>
            <w:rStyle w:val="Hyperlink"/>
          </w:rPr>
          <w:t xml:space="preserve">[6]</w:t>
        </w:r>
      </w:hyperlink>
      <w:r>
        <w:t xml:space="preserve">, small-network feasibility studies in the adjacent domain of satellite laser ranging</w:t>
      </w:r>
      <w:r>
        <w:t xml:space="preserve"> </w:t>
      </w:r>
      <w:hyperlink w:anchor="ref-2">
        <w:r>
          <w:rPr>
            <w:rStyle w:val="Hyperlink"/>
          </w:rPr>
          <w:t xml:space="preserve">[2]</w:t>
        </w:r>
      </w:hyperlink>
      <w:r>
        <w:t xml:space="preserve">, and operational descriptions of LEO and GEO optical link systems</w:t>
      </w:r>
      <w:r>
        <w:t xml:space="preserve"> </w:t>
      </w:r>
      <w:hyperlink w:anchor="ref-7">
        <w:r>
          <w:rPr>
            <w:rStyle w:val="Hyperlink"/>
          </w:rPr>
          <w:t xml:space="preserve">[7]</w:t>
        </w:r>
      </w:hyperlink>
      <w:r>
        <w:t xml:space="preserve">[8]. This chapter performs three tasks. First, it articulates the theoretical mechanism that links a meteorological state field to a capacity-denominated availability metric for a network of optical ground stations. Second, it formalises the causal logic that connects that mechanism to the marginal-return function the dissertation estimates. Third, it states the null and alternative hypotheses, H0 and H1, in the precise form required for falsification, together with the auxiliary identification conditions on which the test rests.</w:t>
      </w:r>
    </w:p>
    <w:p>
      <w:pPr>
        <w:pStyle w:val="BodyText"/>
        <w:spacing w:line="480" w:lineRule="auto"/>
        <w:ind w:firstLine="720"/>
      </w:pPr>
      <w:r>
        <w:t xml:space="preserve">The theoretical apparatus is deliberately spare. The dissertation does not claim a new physical theory of atmospheric propagation, nor a new economic theory of infrastructure investment. It claims a careful synthesis of existing physical and statistical reasoning into a single estimable function and a single falsifiable test on that function’s curvature. The chapter therefore reads as a derivation, not a survey.</w:t>
      </w:r>
    </w:p>
    <w:bookmarkEnd w:id="80"/>
    <w:bookmarkStart w:id="81" w:name="the-object-under-study"/>
    <w:p>
      <w:pPr>
        <w:pStyle w:val="Heading2"/>
        <w:spacing w:line="480" w:lineRule="auto"/>
      </w:pPr>
      <w:r>
        <w:t xml:space="preserve">3.2 The Object Under Study</w:t>
      </w:r>
    </w:p>
    <w:p>
      <w:pPr>
        <w:pStyle w:val="FirstParagraph"/>
        <w:spacing w:line="480" w:lineRule="auto"/>
      </w:pPr>
      <w:r>
        <w:t xml:space="preserve">The object under study is the network availability penalty function, denoted A(N). For a network of N optical ground stations indexed by i in {1, …, N}, A(N) is defined as the expected fraction of demanded space-to-ground optical link-minutes that are lost to atmospheric outage over a specified operating period. The denominator is demanded link-minutes, where demand is determined by a representative low Earth orbit pass schedule. The numerator is the count of those demanded minutes during which no site in the network can close the link to a specified link-budget threshold. Atmospheric outage is the union event over the network of two physical conditions: cloud blockage along the line of sight, and turbulence-induced fade beyond the link-budget margin. Either condition at a given site at a given minute renders that site unavailable; a demanded minute is lost only if all sites in the network are unavailable simultaneously.</w:t>
      </w:r>
    </w:p>
    <w:p>
      <w:pPr>
        <w:pStyle w:val="BodyText"/>
        <w:spacing w:line="480" w:lineRule="auto"/>
        <w:ind w:firstLine="720"/>
      </w:pPr>
      <w:r>
        <w:t xml:space="preserve">Three features of this definition deserve emphasis. First, A(N) is capacity-denominated, not site-denominated. The metric does not ask what fraction of the time each site is clear; it asks what fraction of contracted downlink capacity the network as a whole fails to deliver. Site-level cloud-free fractions are inputs to A(N), not substitutes for it. Second, A(N) is defined on a network configuration, not on an individual aperture. The dependent quantity is a property of a portfolio. Third, A(N) is an expectation taken over a stochastic weather process, with the joint distribution of that process at the network’s geographic coordinates determining the value. The cross-site empirical work in Paper 1 establishes that the marginal distribution of cloud-free availability at a single aperture is well predicted by latitude and median seeing, with median seeing the dominant covariate; the network estimator A(N) requires in addition the joint distribution across sites, which is the central object of the spatial-correlation modelling in Chapter 4.</w:t>
      </w:r>
    </w:p>
    <w:bookmarkEnd w:id="81"/>
    <w:bookmarkStart w:id="82" w:name="the-causal-mechanism"/>
    <w:p>
      <w:pPr>
        <w:pStyle w:val="Heading2"/>
        <w:spacing w:line="480" w:lineRule="auto"/>
      </w:pPr>
      <w:r>
        <w:t xml:space="preserve">3.3 The Causal Mechanism</w:t>
      </w:r>
    </w:p>
    <w:p>
      <w:pPr>
        <w:pStyle w:val="FirstParagraph"/>
        <w:spacing w:line="480" w:lineRule="auto"/>
      </w:pPr>
      <w:r>
        <w:t xml:space="preserve">The mechanism that produces A(N) operates in four ordered stages. Stage one is the meteorological state of the atmosphere, treated as an exogenous stochastic field. Stage two is the projection of that state onto each candidate site, yielding a per-site availability indicator at each minute of the operating period. Stage three is the network aggregation of those indicators under the operator’s scheduling policy. Stage four is the conversion of the aggregated indicator into a fraction of lost demanded link-minutes.</w:t>
      </w:r>
    </w:p>
    <w:p>
      <w:pPr>
        <w:pStyle w:val="BodyText"/>
        <w:spacing w:line="480" w:lineRule="auto"/>
        <w:ind w:firstLine="720"/>
      </w:pPr>
      <w:r>
        <w:t xml:space="preserve">Stage one is exogenous to the dissertation’s identification strategy. The cloud field and the optical-turbulence field over a fixed set of geographic coordinates are not functions of which subset of those coordinates an operator chooses to equip with an optical ground station. This is the central exogeneity assumption on which the entire estimator rests. The assumption is defensible because the spatial and temporal scales of synoptic and mesoscale meteorology are large relative to the footprint of an aperture, because the dissertation analyses an observed multi-year reanalysis record rather than a forecast, and because the candidate site set is fixed before the analysis is conducted. Were the operator able to influence the weather, A(N) would not be identified by observational data; because the operator cannot, the weather record at the candidate coordinates serves as an unbiased empirical realisation of the meteorological field under any network configuration the operator might choose.</w:t>
      </w:r>
    </w:p>
    <w:p>
      <w:pPr>
        <w:pStyle w:val="BodyText"/>
        <w:spacing w:line="480" w:lineRule="auto"/>
        <w:ind w:firstLine="720"/>
      </w:pPr>
      <w:r>
        <w:t xml:space="preserve">Stage two is the per-site projection. The empirical results of Paper 1 establish that annual cloud-free availability at an aperture is strongly predicted by latitude and by median seeing, with median seeing carrying a partial coefficient of approximately minus 27.6 percentage points per arcsecond and accounting for the majority of the explained cross-site variance. The implication for the present framework is that the per-site availability indicator must be conditioned on both the cloud field and the turbulence field, not on cloud alone. A cloud-free minute can still fail the link budget through turbulence-induced scintillation when the seeing parameter is degraded. The mechanism therefore admits two distinct paths to outage at each site, and the empirical evidence in Paper 1 confirms that ignoring the turbulence path would understate the per-site outage rate and bias the network estimator. The high-performance-computing simulation framework documented in</w:t>
      </w:r>
      <w:r>
        <w:t xml:space="preserve"> </w:t>
      </w:r>
      <w:hyperlink w:anchor="ref-3">
        <w:r>
          <w:rPr>
            <w:rStyle w:val="Hyperlink"/>
          </w:rPr>
          <w:t xml:space="preserve">[3]</w:t>
        </w:r>
      </w:hyperlink>
      <w:r>
        <w:t xml:space="preserve"> </w:t>
      </w:r>
      <w:r>
        <w:t xml:space="preserve">supplies the seeing parameter time series that operationalises this conditioning, and the Haleakala validation work in</w:t>
      </w:r>
      <w:r>
        <w:t xml:space="preserve"> </w:t>
      </w:r>
      <w:hyperlink w:anchor="ref-1">
        <w:r>
          <w:rPr>
            <w:rStyle w:val="Hyperlink"/>
          </w:rPr>
          <w:t xml:space="preserve">[1]</w:t>
        </w:r>
      </w:hyperlink>
      <w:r>
        <w:t xml:space="preserve">[4][5] supplies the in situ benchmark against which the projection is calibrated.</w:t>
      </w:r>
    </w:p>
    <w:p>
      <w:pPr>
        <w:pStyle w:val="BodyText"/>
        <w:spacing w:line="480" w:lineRule="auto"/>
        <w:ind w:firstLine="720"/>
      </w:pPr>
      <w:r>
        <w:t xml:space="preserve">Stage three is the network aggregation. Under a scheduling policy that assigns each demanded pass to any site with line-of-sight geometry and an available aperture, a demanded minute is served if at least one assigned site is simultaneously cloud-free and within turbulence tolerance. The aggregation is therefore a logical OR over per-site availability indicators, restricted to sites with concurrent geometric visibility of the spacecraft. Two properties of this aggregation are central to the theoretical argument. First, if the per-site availability indicators were statistically independent across sites, the network outage probability would decline geometrically with N, and the marginal return on adding a site would be the product of the prior network outage probability and the new site’s marginal availability. Second, if the per-site indicators are positively correlated, the geometric decline is attenuated, and the marginal return on adding a site is strictly less than the independent-case prediction. The empirical question the dissertation answers is which regime the observed meteorological field places real OGS networks in, and how far the curve A(N) departs from the linear extrapolation that an operator would obtain by treating the first added site’s contribution as representative.</w:t>
      </w:r>
    </w:p>
    <w:p>
      <w:pPr>
        <w:pStyle w:val="BodyText"/>
        <w:spacing w:line="480" w:lineRule="auto"/>
        <w:ind w:firstLine="720"/>
      </w:pPr>
      <w:r>
        <w:t xml:space="preserve">Stage four is the conversion to lost link-minutes. The capacity denominator is the total demanded link-minutes under the representative pass schedule. The numerator is the count of demanded minutes that survive the network aggregation as unavailable. The fraction is A(N). The conversion is mechanical given stages one through three, but it is the step that converts a site-level meteorological statistic into a network-level architectural number, and it is therefore the step at which the dissertation’s contribution becomes legible to mission planners.</w:t>
      </w:r>
    </w:p>
    <w:bookmarkEnd w:id="82"/>
    <w:bookmarkStart w:id="83" w:name="the-capacity-stake"/>
    <w:p>
      <w:pPr>
        <w:pStyle w:val="Heading2"/>
        <w:spacing w:line="480" w:lineRule="auto"/>
      </w:pPr>
      <w:r>
        <w:t xml:space="preserve">3.4 The Capacity Stake</w:t>
      </w:r>
    </w:p>
    <w:p>
      <w:pPr>
        <w:pStyle w:val="FirstParagraph"/>
        <w:spacing w:line="480" w:lineRule="auto"/>
      </w:pPr>
      <w:r>
        <w:t xml:space="preserve">A separate strand of theory motivates the dependent variable’s denomination in capacity rather than in binary site-availability. Paper 2 estimates a Wright-style learning curve on three decades of demonstrated space-to-ground optical downlink rates and reports a log-log slope of 1.705, implying that each doubling of cumulative demonstrations is associated with a multiplicative factor of roughly 3.26 in peak demonstrated rate. The mechanism implied by the learning curve is straightforward. As demonstrated peak capacity rises, the architectural value of a lost link-minute rises with it. A cloud-driven outage at a 10 megabit per second link in 1995 was a tolerable inconvenience; the same outage at a 200 gigabit per second TBIRD-class link, or at the routine downlinks of a commercial constellation operating at comparable rates, is an architectural fault. The learning curve therefore does two things for the present framework. It sharpens the practical stakes of the A(N) estimator, because the value of an uncorrelated minute of network availability scales with the peak rate the space segment can offer. And it justifies the choice of capacity-denominated availability over the site-availability proxies that dominate the prior literature, because the architectural quantity the operator cares about is delivered bits, not clear apertures.</w:t>
      </w:r>
    </w:p>
    <w:p>
      <w:pPr>
        <w:pStyle w:val="BodyText"/>
        <w:spacing w:line="480" w:lineRule="auto"/>
        <w:ind w:firstLine="720"/>
      </w:pPr>
      <w:r>
        <w:t xml:space="preserve">The unexplained variance in Paper 2’s learning regression, roughly seventy percent of the variance in log peak rate, is the empirical signature of the availability penalty that the present chapter formalises. Paper 2 is explicit on this point: the residual variance is the place where the dissertation’s weather and ground-network covariates do their work. The theoretical framework in this chapter is the apparatus that turns that residual into an estimable function of network size and configuration.</w:t>
      </w:r>
    </w:p>
    <w:bookmarkEnd w:id="83"/>
    <w:bookmarkStart w:id="84" w:name="Xd89aa879330c17333c0c9c8a360bed4170293d0"/>
    <w:p>
      <w:pPr>
        <w:pStyle w:val="Heading2"/>
        <w:spacing w:line="480" w:lineRule="auto"/>
      </w:pPr>
      <w:r>
        <w:t xml:space="preserve">3.5 The Marginal-Return Function and the Source of Curvature</w:t>
      </w:r>
    </w:p>
    <w:p>
      <w:pPr>
        <w:pStyle w:val="FirstParagraph"/>
        <w:spacing w:line="480" w:lineRule="auto"/>
      </w:pPr>
      <w:r>
        <w:t xml:space="preserve">Let A(N) be the network availability penalty as defined above, and let M(N) be the marginal reduction in A(N) obtained by adding the Nth site to a network of N minus one sites already selected by a fixed subset-selection rule. M(N) is the central quantity the hypothesis test targets. Two limiting cases bound the empirical question.</w:t>
      </w:r>
    </w:p>
    <w:p>
      <w:pPr>
        <w:pStyle w:val="BodyText"/>
        <w:spacing w:line="480" w:lineRule="auto"/>
        <w:ind w:firstLine="720"/>
      </w:pPr>
      <w:r>
        <w:t xml:space="preserve">In the independent-weather limit, the per-site availability indicators are statistically independent across sites, and the network outage probability is the product of the per-site outage probabilities. M(N) is then a geometric function of N with a constant ratio equal to the average per-site availability. The curve A(N) declines convexly toward zero, and M(N) declines monotonically in N. The independent-weather limit is the regime an operator implicitly assumes when sizing a network against rules of thumb that credit each added site with the same percentage-point reduction in penalty.</w:t>
      </w:r>
    </w:p>
    <w:p>
      <w:pPr>
        <w:pStyle w:val="BodyText"/>
        <w:spacing w:line="480" w:lineRule="auto"/>
        <w:ind w:firstLine="720"/>
      </w:pPr>
      <w:r>
        <w:t xml:space="preserve">In the perfectly-correlated-weather limit, the per-site availability indicators are identical across sites within the network’s geographic footprint, and adding a site yields no marginal reduction in network outage beyond the first site’s contribution. M(N) is zero for all N greater than one, and A(N) is flat. This limit is the worst case for site diversification and is empirically irrelevant for networks spanning continents, but it is the analytical pole that defines the meaning of correlation in this context.</w:t>
      </w:r>
    </w:p>
    <w:p>
      <w:pPr>
        <w:pStyle w:val="BodyText"/>
        <w:spacing w:line="480" w:lineRule="auto"/>
        <w:ind w:firstLine="720"/>
      </w:pPr>
      <w:r>
        <w:t xml:space="preserve">The real regime sits between these poles, and its position is the empirical question. The cross-site evidence in Paper 1 is dispositive on one component of the answer: site selection that exploits the latitude and seeing covariates produces apertures with materially different marginal cloud-free availabilities, so the first few sites added to a network drawn from a well-chosen candidate set yield large reductions in A. Whether the reduction continues to compound, or instead decays as later sites are added under spatial correlation that the synoptic structure of the cloud field imposes at sub-continental scales, is the question H0 and H1 partition.</w:t>
      </w:r>
    </w:p>
    <w:p>
      <w:pPr>
        <w:pStyle w:val="BodyText"/>
        <w:spacing w:line="480" w:lineRule="auto"/>
        <w:ind w:firstLine="720"/>
      </w:pPr>
      <w:r>
        <w:t xml:space="preserve">The theoretical prediction the framework yields, and that the dissertation tests, is that M(N) is strictly decreasing in N over the operational range of interest. Three mechanisms drive the prediction. The first is the latitude-seeing site-ranking mechanism documented in Paper 1: an operator who selects sites in order of marginal cloud-free availability adds the best site first and progressively poorer sites thereafter, so the per-site contribution declines even before correlation is considered. The second is positive spatial correlation in the synoptic cloud field at sub-continental scales: even sites with comparable marginal availability share weather more often than independence would predict, so the network OR across them loses less outage than the product of their individual outage probabilities would imply. The third is the bounded support of A: the penalty cannot fall below zero, so any monotone declining curve toward a positive floor exhibits diminishing returns over a finite range by construction. The three mechanisms reinforce one another, and each is grounded in the cited literature: site ranking in</w:t>
      </w:r>
      <w:r>
        <w:t xml:space="preserve"> </w:t>
      </w:r>
      <w:hyperlink w:anchor="ref-1">
        <w:r>
          <w:rPr>
            <w:rStyle w:val="Hyperlink"/>
          </w:rPr>
          <w:t xml:space="preserve">[1]</w:t>
        </w:r>
      </w:hyperlink>
      <w:r>
        <w:t xml:space="preserve">[3][4][5][7][11], synoptic correlation in</w:t>
      </w:r>
      <w:r>
        <w:t xml:space="preserve"> </w:t>
      </w:r>
      <w:hyperlink w:anchor="ref-1">
        <w:r>
          <w:rPr>
            <w:rStyle w:val="Hyperlink"/>
          </w:rPr>
          <w:t xml:space="preserve">[1]</w:t>
        </w:r>
      </w:hyperlink>
      <w:r>
        <w:t xml:space="preserve">[6], and the bounded support in the operational descriptions of</w:t>
      </w:r>
      <w:r>
        <w:t xml:space="preserve"> </w:t>
      </w:r>
      <w:hyperlink w:anchor="ref-7">
        <w:r>
          <w:rPr>
            <w:rStyle w:val="Hyperlink"/>
          </w:rPr>
          <w:t xml:space="preserve">[7]</w:t>
        </w:r>
      </w:hyperlink>
      <w:r>
        <w:t xml:space="preserve">[8].</w:t>
      </w:r>
    </w:p>
    <w:bookmarkEnd w:id="84"/>
    <w:bookmarkStart w:id="85" w:name="formal-statement-of-the-hypotheses"/>
    <w:p>
      <w:pPr>
        <w:pStyle w:val="Heading2"/>
        <w:spacing w:line="480" w:lineRule="auto"/>
      </w:pPr>
      <w:r>
        <w:t xml:space="preserve">3.6 Formal Statement of the Hypotheses</w:t>
      </w:r>
    </w:p>
    <w:p>
      <w:pPr>
        <w:pStyle w:val="FirstParagraph"/>
        <w:spacing w:line="480" w:lineRule="auto"/>
      </w:pPr>
      <w:r>
        <w:t xml:space="preserve">The dissertation’s central statistical claim is a test on the curvature of A(N) over the operational range of N for the defined candidate network. The null and alternative hypotheses are stated as follows.</w:t>
      </w:r>
    </w:p>
    <w:p>
      <w:pPr>
        <w:pStyle w:val="BodyText"/>
        <w:spacing w:line="480" w:lineRule="auto"/>
        <w:ind w:firstLine="720"/>
      </w:pPr>
      <w:r>
        <w:rPr>
          <w:b/>
          <w:bCs/>
        </w:rPr>
        <w:t xml:space="preserve">H0.</w:t>
      </w:r>
      <w:r>
        <w:t xml:space="preserve"> </w:t>
      </w:r>
      <w:r>
        <w:t xml:space="preserve">The marginal reduction in the network availability penalty from adding the Nth site, M(N), is statistically indistinguishable from a linear extrapolation of the first added site’s contribution, across the operational range of N for the defined candidate network. Formally, let M_hat(N) be the empirical marginal-return estimate at network size N, and let M_lin(N) equal M_hat(1) for all N. Under H0, the residual M_hat(N) minus M_lin(N), aggregated across N in the operational range with a pre-registered weighting, has expectation zero. Equivalently, A(N) is linear in N over the operational range with slope equal to M_hat(1).</w:t>
      </w:r>
    </w:p>
    <w:p>
      <w:pPr>
        <w:pStyle w:val="BodyText"/>
        <w:spacing w:line="480" w:lineRule="auto"/>
        <w:ind w:firstLine="720"/>
      </w:pPr>
      <w:r>
        <w:rPr>
          <w:b/>
          <w:bCs/>
        </w:rPr>
        <w:t xml:space="preserve">H1.</w:t>
      </w:r>
      <w:r>
        <w:t xml:space="preserve"> </w:t>
      </w:r>
      <w:r>
        <w:t xml:space="preserve">The marginal reduction in A(N) is strictly diminishing over the operational range. Formally, M_hat(N) is strictly less than M_hat(N minus 1) for all N greater than one in the operational range, and the curvature parameter that summarises this decline is significantly different from zero at the 0.05 level under a two-sided test. Equivalently, A(N) is convex in N over the operational range, with a positive second difference that is statistically distinguishable from zero.</w:t>
      </w:r>
    </w:p>
    <w:p>
      <w:pPr>
        <w:pStyle w:val="BodyText"/>
        <w:spacing w:line="480" w:lineRule="auto"/>
        <w:ind w:firstLine="720"/>
      </w:pPr>
      <w:r>
        <w:t xml:space="preserve">The hypothesis pair is symmetric in publishability. Rejection of H0 in favour of H1, with a reported curvature parameter and its confidence interval, is the affirmative finding the dissertation expects given the mechanisms enumerated in section 3.5. Failure to reject H0 is an equally publishable negative finding and would materially change the standard sizing rule for OGS networks, because it would indicate that within the operational range, the diversification logic that motivates current portfolio construction is well approximated by simple linear extrapolation of single-site gains.</w:t>
      </w:r>
    </w:p>
    <w:p>
      <w:pPr>
        <w:pStyle w:val="BodyText"/>
        <w:spacing w:line="480" w:lineRule="auto"/>
        <w:ind w:firstLine="720"/>
      </w:pPr>
      <w:r>
        <w:t xml:space="preserve">The hypothesis pair targets the curvature of A(N), not its level. The level depends on the specific link-budget threshold, the specific pass schedule, and the specific subset-selection rule, all of which are pre-registered and swept as sensitivity cases. The curvature is the architectural invariant that survives those choices, and it is therefore the quantity on which a falsifiable claim can be defended.</w:t>
      </w:r>
    </w:p>
    <w:bookmarkEnd w:id="85"/>
    <w:bookmarkStart w:id="86" w:name="identification-conditions"/>
    <w:p>
      <w:pPr>
        <w:pStyle w:val="Heading2"/>
        <w:spacing w:line="480" w:lineRule="auto"/>
      </w:pPr>
      <w:r>
        <w:t xml:space="preserve">3.7 Identification Conditions</w:t>
      </w:r>
    </w:p>
    <w:p>
      <w:pPr>
        <w:pStyle w:val="FirstParagraph"/>
        <w:spacing w:line="480" w:lineRule="auto"/>
      </w:pPr>
      <w:r>
        <w:t xml:space="preserve">The hypothesis test rests on five identification conditions, each tied to a specific feature of the data and method.</w:t>
      </w:r>
    </w:p>
    <w:p>
      <w:pPr>
        <w:pStyle w:val="BodyText"/>
        <w:spacing w:line="480" w:lineRule="auto"/>
        <w:ind w:firstLine="720"/>
      </w:pPr>
      <w:r>
        <w:t xml:space="preserve">The first is the exogeneity of the meteorological field to the network configuration, as discussed in section 3.3. This condition holds by construction of the analysis on an observed reanalysis record over a fixed candidate site set.</w:t>
      </w:r>
    </w:p>
    <w:p>
      <w:pPr>
        <w:pStyle w:val="BodyText"/>
        <w:spacing w:line="480" w:lineRule="auto"/>
        <w:ind w:firstLine="720"/>
      </w:pPr>
      <w:r>
        <w:t xml:space="preserve">The second is the joint observability of cloud and turbulence at each candidate site. Paper 1 establishes that cloud alone is insufficient because median seeing carries the dominant cross-site signal in the availability regression. The dissertation’s per-site availability indicator therefore combines the cloud mask from the reanalysis with the turbulence simulation pipeline documented in</w:t>
      </w:r>
      <w:r>
        <w:t xml:space="preserve"> </w:t>
      </w:r>
      <w:hyperlink w:anchor="ref-3">
        <w:r>
          <w:rPr>
            <w:rStyle w:val="Hyperlink"/>
          </w:rPr>
          <w:t xml:space="preserve">[3]</w:t>
        </w:r>
      </w:hyperlink>
      <w:r>
        <w:t xml:space="preserve">, benchmarked against the in situ Haleakala characterisation in</w:t>
      </w:r>
      <w:r>
        <w:t xml:space="preserve"> </w:t>
      </w:r>
      <w:hyperlink w:anchor="ref-4">
        <w:r>
          <w:rPr>
            <w:rStyle w:val="Hyperlink"/>
          </w:rPr>
          <w:t xml:space="preserve">[4]</w:t>
        </w:r>
      </w:hyperlink>
      <w:r>
        <w:t xml:space="preserve">[5] and the NWP validation in</w:t>
      </w:r>
      <w:r>
        <w:t xml:space="preserve"> </w:t>
      </w:r>
      <w:hyperlink w:anchor="ref-1">
        <w:r>
          <w:rPr>
            <w:rStyle w:val="Hyperlink"/>
          </w:rPr>
          <w:t xml:space="preserve">[1]</w:t>
        </w:r>
      </w:hyperlink>
      <w:r>
        <w:t xml:space="preserve">.</w:t>
      </w:r>
    </w:p>
    <w:p>
      <w:pPr>
        <w:pStyle w:val="BodyText"/>
        <w:spacing w:line="480" w:lineRule="auto"/>
        <w:ind w:firstLine="720"/>
      </w:pPr>
      <w:r>
        <w:t xml:space="preserve">The third is the preservation of the joint spatial correlation structure of the meteorological field across sites. The Monte Carlo aggregation in stage three samples from the observed joint record rather than imposing independence. Misspecification of the joint structure, particularly at sub-grid mesoscale, is the principal threat to validity and is addressed through a sensitivity analysis against the high-resolution validation in</w:t>
      </w:r>
      <w:r>
        <w:t xml:space="preserve"> </w:t>
      </w:r>
      <w:hyperlink w:anchor="ref-1">
        <w:r>
          <w:rPr>
            <w:rStyle w:val="Hyperlink"/>
          </w:rPr>
          <w:t xml:space="preserve">[1]</w:t>
        </w:r>
      </w:hyperlink>
      <w:r>
        <w:t xml:space="preserve">.</w:t>
      </w:r>
    </w:p>
    <w:p>
      <w:pPr>
        <w:pStyle w:val="BodyText"/>
        <w:spacing w:line="480" w:lineRule="auto"/>
        <w:ind w:firstLine="720"/>
      </w:pPr>
      <w:r>
        <w:t xml:space="preserve">The fourth is the pre-registration of the subset-selection rule. Because A(N) is defined on a network configuration, not on an aperture, the function depends on which subset of size N is chosen at each step of the marginal-return computation. The dissertation pre-registers a single subset-selection rule, with the latitude-and-seeing-informed ranking that Paper 1’s coefficients support as the principal rule and a uniform-random rule as a robustness case.</w:t>
      </w:r>
    </w:p>
    <w:p>
      <w:pPr>
        <w:pStyle w:val="BodyText"/>
        <w:spacing w:line="480" w:lineRule="auto"/>
        <w:ind w:firstLine="720"/>
      </w:pPr>
      <w:r>
        <w:t xml:space="preserve">The fifth is the pre-registration of the link-budget threshold. A(N) depends on the threshold, and the threshold is swept across a documented range consistent with the LEO operations described in</w:t>
      </w:r>
      <w:r>
        <w:t xml:space="preserve"> </w:t>
      </w:r>
      <w:hyperlink w:anchor="ref-7">
        <w:r>
          <w:rPr>
            <w:rStyle w:val="Hyperlink"/>
          </w:rPr>
          <w:t xml:space="preserve">[7]</w:t>
        </w:r>
      </w:hyperlink>
      <w:r>
        <w:t xml:space="preserve"> </w:t>
      </w:r>
      <w:r>
        <w:t xml:space="preserve">and the relay-class operations in</w:t>
      </w:r>
      <w:r>
        <w:t xml:space="preserve"> </w:t>
      </w:r>
      <w:hyperlink w:anchor="ref-8">
        <w:r>
          <w:rPr>
            <w:rStyle w:val="Hyperlink"/>
          </w:rPr>
          <w:t xml:space="preserve">[8]</w:t>
        </w:r>
      </w:hyperlink>
      <w:r>
        <w:t xml:space="preserve">. The hypothesis test is reported for each threshold in the sweep, and the curvature parameter is reported as a function of the threshold, so that the falsifiable claim is robust to the choice within the operational range.</w:t>
      </w:r>
    </w:p>
    <w:bookmarkEnd w:id="86"/>
    <w:bookmarkStart w:id="87" w:name="boundary-of-external-validity"/>
    <w:p>
      <w:pPr>
        <w:pStyle w:val="Heading2"/>
        <w:spacing w:line="480" w:lineRule="auto"/>
      </w:pPr>
      <w:r>
        <w:t xml:space="preserve">3.8 Boundary of External Validity</w:t>
      </w:r>
    </w:p>
    <w:p>
      <w:pPr>
        <w:pStyle w:val="FirstParagraph"/>
        <w:spacing w:line="480" w:lineRule="auto"/>
      </w:pPr>
      <w:r>
        <w:t xml:space="preserve">The framework yields a falsifiable claim about A(N) for the defined candidate network under the pre-registered scheduling policy and link-budget threshold. The claim does not extend without qualification to networks at different latitudes, with different geographic spread, or at materially different link-budget classes. The contribution is the method and the curvature parameter for the defined network, not a universal constant. This boundary is stated here so that the H0-versus-H1 test is read as a test on a specific empirical object rather than as a claim about all conceivable OGS networks.</w:t>
      </w:r>
    </w:p>
    <w:bookmarkEnd w:id="87"/>
    <w:bookmarkStart w:id="88" w:name="summary"/>
    <w:p>
      <w:pPr>
        <w:pStyle w:val="Heading2"/>
        <w:spacing w:line="480" w:lineRule="auto"/>
      </w:pPr>
      <w:r>
        <w:t xml:space="preserve">3.9 Summary</w:t>
      </w:r>
    </w:p>
    <w:p>
      <w:pPr>
        <w:pStyle w:val="FirstParagraph"/>
        <w:spacing w:line="480" w:lineRule="auto"/>
      </w:pPr>
      <w:r>
        <w:t xml:space="preserve">The theoretical framework treats the network availability penalty A(N) as the expected fraction of demanded space-to-ground optical link-minutes lost to atmospheric outage, defined on a network configuration rather than on an individual aperture and denominated in capacity rather than in site-availability. The mechanism that produces A(N) operates through an exogenous meteorological field, a per-site projection conditioned jointly on cloud and turbulence, a network aggregation under the operator’s scheduling policy, and a conversion to lost demanded link-minutes. The marginal-return function M(N) is theoretically predicted to be strictly decreasing in N over the operational range, driven by site-ranking, positive spatial correlation in the synoptic cloud field, and the bounded support of A. The null hypothesis H0 states that M(N) is statistically indistinguishable from a linear extrapolation of the first added site’s contribution. The alternative hypothesis H1 states that M(N) is strictly diminishing and that the curvature parameter summarising this decline is significantly different from zero at the 0.05 level. The test rests on five identification conditions, of which the exogeneity of weather to network configuration and the preservation of the joint spatial correlation structure are the most consequential. Chapter 4 operationalises the framework as an estimable model and specifies the data, method, and pre-registered analytical procedures.</w:t>
      </w:r>
    </w:p>
    <w:bookmarkEnd w:id="88"/>
    <w:bookmarkEnd w:id="89"/>
    <w:bookmarkStart w:id="96" w:name="chapter-4.-data-and-measurement"/>
    <w:p>
      <w:pPr>
        <w:pStyle w:val="Heading1"/>
        <w:spacing w:line="480" w:lineRule="auto"/>
      </w:pPr>
      <w:r>
        <w:t xml:space="preserve">Chapter 4. Data and Measurement</w:t>
      </w:r>
    </w:p>
    <w:bookmarkStart w:id="90" w:name="X18f05e865044ee732efa8f7d34ed6b424770715"/>
    <w:p>
      <w:pPr>
        <w:pStyle w:val="Heading2"/>
        <w:spacing w:line="480" w:lineRule="auto"/>
      </w:pPr>
      <w:r>
        <w:t xml:space="preserve">4.1 Overview and Logic of the Measurement Strategy</w:t>
      </w:r>
    </w:p>
    <w:p>
      <w:pPr>
        <w:pStyle w:val="FirstParagraph"/>
        <w:spacing w:line="480" w:lineRule="auto"/>
      </w:pPr>
      <w:r>
        <w:t xml:space="preserve">The dissertation rests on two empirical exercises that share a single measurement</w:t>
      </w:r>
      <w:r>
        <w:t xml:space="preserve"> </w:t>
      </w:r>
      <w:r>
        <w:t xml:space="preserve">philosophy. The first exercise, presented in Paper 1, is a cross-sectional</w:t>
      </w:r>
      <w:r>
        <w:t xml:space="preserve"> </w:t>
      </w:r>
      <w:r>
        <w:t xml:space="preserve">ordinary least squares estimate of the site predictors of annual cloud-free</w:t>
      </w:r>
      <w:r>
        <w:t xml:space="preserve"> </w:t>
      </w:r>
      <w:r>
        <w:t xml:space="preserve">availability at thirty optical apertures. The second exercise, presented in</w:t>
      </w:r>
      <w:r>
        <w:t xml:space="preserve"> </w:t>
      </w:r>
      <w:r>
        <w:t xml:space="preserve">Paper 2, is a log-log learning-curve estimate over thirty space optical</w:t>
      </w:r>
      <w:r>
        <w:t xml:space="preserve"> </w:t>
      </w:r>
      <w:r>
        <w:t xml:space="preserve">communication demonstrations spanning 1995 through 2024. Together they bracket</w:t>
      </w:r>
      <w:r>
        <w:t xml:space="preserve"> </w:t>
      </w:r>
      <w:r>
        <w:t xml:space="preserve">the dependent quantity that the dissertation ultimately seeks to estimate, the</w:t>
      </w:r>
      <w:r>
        <w:t xml:space="preserve"> </w:t>
      </w:r>
      <w:r>
        <w:t xml:space="preserve">network availability penalty function A(N) introduced in the prospectus: Paper 1</w:t>
      </w:r>
      <w:r>
        <w:t xml:space="preserve"> </w:t>
      </w:r>
      <w:r>
        <w:t xml:space="preserve">identifies the site-level covariates that determine how much of the year a given</w:t>
      </w:r>
      <w:r>
        <w:t xml:space="preserve"> </w:t>
      </w:r>
      <w:r>
        <w:t xml:space="preserve">aperture can serve, and Paper 2 calibrates the rate at which the space segment’s</w:t>
      </w:r>
      <w:r>
        <w:t xml:space="preserve"> </w:t>
      </w:r>
      <w:r>
        <w:t xml:space="preserve">deliverable capacity is rising, since the availability penalty only binds in</w:t>
      </w:r>
      <w:r>
        <w:t xml:space="preserve"> </w:t>
      </w:r>
      <w:r>
        <w:t xml:space="preserve">proportion to the capacity that an architecture would otherwise enjoy</w:t>
      </w:r>
      <w:r>
        <w:t xml:space="preserve"> </w:t>
      </w:r>
      <w:hyperlink w:anchor="ref-22">
        <w:r>
          <w:rPr>
            <w:rStyle w:val="Hyperlink"/>
          </w:rPr>
          <w:t xml:space="preserve">[22]</w:t>
        </w:r>
      </w:hyperlink>
      <w:r>
        <w:t xml:space="preserve">[25].</w:t>
      </w:r>
    </w:p>
    <w:p>
      <w:pPr>
        <w:pStyle w:val="BodyText"/>
        <w:spacing w:line="480" w:lineRule="auto"/>
        <w:ind w:firstLine="720"/>
      </w:pPr>
      <w:r>
        <w:t xml:space="preserve">The measurement strategy is observational rather than experimental. No</w:t>
      </w:r>
      <w:r>
        <w:t xml:space="preserve"> </w:t>
      </w:r>
      <w:r>
        <w:t xml:space="preserve">quantity in either dataset was produced by the candidate; every cell traces to a</w:t>
      </w:r>
      <w:r>
        <w:t xml:space="preserve"> </w:t>
      </w:r>
      <w:r>
        <w:t xml:space="preserve">primary record in the cited peer-reviewed, agency, or proceedings literature.</w:t>
      </w:r>
      <w:r>
        <w:t xml:space="preserve"> </w:t>
      </w:r>
      <w:r>
        <w:t xml:space="preserve">The chapter accordingly devotes itself less to instrumentation in the</w:t>
      </w:r>
      <w:r>
        <w:t xml:space="preserve"> </w:t>
      </w:r>
      <w:r>
        <w:t xml:space="preserve">laboratory sense and more to provenance, construction rules, and the disciplined</w:t>
      </w:r>
      <w:r>
        <w:t xml:space="preserve"> </w:t>
      </w:r>
      <w:r>
        <w:t xml:space="preserve">treatment of partial reporting that the underlying sources occasionally impose.</w:t>
      </w:r>
      <w:r>
        <w:t xml:space="preserve"> </w:t>
      </w:r>
      <w:r>
        <w:t xml:space="preserve">The discussion is organized in five further sections. Section 4.2 defines the</w:t>
      </w:r>
      <w:r>
        <w:t xml:space="preserve"> </w:t>
      </w:r>
      <w:r>
        <w:t xml:space="preserve">unit of analysis for each paper and explains why those units are not</w:t>
      </w:r>
      <w:r>
        <w:t xml:space="preserve"> </w:t>
      </w:r>
      <w:r>
        <w:t xml:space="preserve">interchangeable. Section 4.3 enumerates the authoritative source families on</w:t>
      </w:r>
      <w:r>
        <w:t xml:space="preserve"> </w:t>
      </w:r>
      <w:r>
        <w:t xml:space="preserve">which both datasets draw. Section 4.4 walks through the construction of each</w:t>
      </w:r>
      <w:r>
        <w:t xml:space="preserve"> </w:t>
      </w:r>
      <w:r>
        <w:t xml:space="preserve">variable in Paper 1’s cross-site panel. Section 4.5 does the same for Paper 2’s</w:t>
      </w:r>
      <w:r>
        <w:t xml:space="preserve"> </w:t>
      </w:r>
      <w:r>
        <w:t xml:space="preserve">demonstration-year panel. Section 4.6 documents the illustrative-value protocol,</w:t>
      </w:r>
      <w:r>
        <w:t xml:space="preserve"> </w:t>
      </w:r>
      <w:r>
        <w:t xml:space="preserve">the audit rules, and the threats to measurement validity that the design</w:t>
      </w:r>
      <w:r>
        <w:t xml:space="preserve"> </w:t>
      </w:r>
      <w:r>
        <w:t xml:space="preserve">specifically guards against.</w:t>
      </w:r>
    </w:p>
    <w:bookmarkEnd w:id="90"/>
    <w:bookmarkStart w:id="91" w:name="unit-of-analysis"/>
    <w:p>
      <w:pPr>
        <w:pStyle w:val="Heading2"/>
        <w:spacing w:line="480" w:lineRule="auto"/>
      </w:pPr>
      <w:r>
        <w:t xml:space="preserve">4.2 Unit of Analysis</w:t>
      </w:r>
    </w:p>
    <w:p>
      <w:pPr>
        <w:pStyle w:val="FirstParagraph"/>
        <w:spacing w:line="480" w:lineRule="auto"/>
      </w:pPr>
      <w:r>
        <w:t xml:space="preserve">The unit of analysis in Paper 1 is the individual optical aperture observed at</w:t>
      </w:r>
      <w:r>
        <w:t xml:space="preserve"> </w:t>
      </w:r>
      <w:r>
        <w:t xml:space="preserve">annual resolution. Each row of the Paper 1 panel corresponds to one ground site</w:t>
      </w:r>
      <w:r>
        <w:t xml:space="preserve"> </w:t>
      </w:r>
      <w:r>
        <w:t xml:space="preserve">characterized by a fixed geographic location, a fixed elevation, and a long-run</w:t>
      </w:r>
      <w:r>
        <w:t xml:space="preserve"> </w:t>
      </w:r>
      <w:r>
        <w:t xml:space="preserve">climatological cloud-free fraction reported by the underlying primary source.</w:t>
      </w:r>
      <w:r>
        <w:t xml:space="preserve"> </w:t>
      </w:r>
      <w:r>
        <w:t xml:space="preserve">The annual aggregation is dictated by the form in which cloud-free statistics</w:t>
      </w:r>
      <w:r>
        <w:t xml:space="preserve"> </w:t>
      </w:r>
      <w:r>
        <w:t xml:space="preserve">are published in the laser communications and astronomical site-testing</w:t>
      </w:r>
      <w:r>
        <w:t xml:space="preserve"> </w:t>
      </w:r>
      <w:r>
        <w:t xml:space="preserve">literature</w:t>
      </w:r>
      <w:r>
        <w:t xml:space="preserve"> </w:t>
      </w:r>
      <w:hyperlink w:anchor="ref-12">
        <w:r>
          <w:rPr>
            <w:rStyle w:val="Hyperlink"/>
          </w:rPr>
          <w:t xml:space="preserve">[12]</w:t>
        </w:r>
      </w:hyperlink>
      <w:r>
        <w:t xml:space="preserve">[13][14][15]; sub-annual statistics exist for a small subset of</w:t>
      </w:r>
      <w:r>
        <w:t xml:space="preserve"> </w:t>
      </w:r>
      <w:r>
        <w:t xml:space="preserve">sites and would not support a thirty-row cross section. The choice of the</w:t>
      </w:r>
      <w:r>
        <w:t xml:space="preserve"> </w:t>
      </w:r>
      <w:r>
        <w:t xml:space="preserve">aperture as the unit, rather than the site-year, has two consequences. First,</w:t>
      </w:r>
      <w:r>
        <w:t xml:space="preserve"> </w:t>
      </w:r>
      <w:r>
        <w:t xml:space="preserve">the estimator cannot exploit within-site variation across years and accordingly</w:t>
      </w:r>
      <w:r>
        <w:t xml:space="preserve"> </w:t>
      </w:r>
      <w:r>
        <w:t xml:space="preserve">treats every coefficient as a between-site partial association. Second, the</w:t>
      </w:r>
      <w:r>
        <w:t xml:space="preserve"> </w:t>
      </w:r>
      <w:r>
        <w:t xml:space="preserve">sample is a convenience census of the apertures for which the literature has</w:t>
      </w:r>
      <w:r>
        <w:t xml:space="preserve"> </w:t>
      </w:r>
      <w:r>
        <w:t xml:space="preserve">published the dependent variable at all, not a random draw from a population of</w:t>
      </w:r>
      <w:r>
        <w:t xml:space="preserve"> </w:t>
      </w:r>
      <w:r>
        <w:t xml:space="preserve">candidate OGS locations; external validity is bounded accordingly.</w:t>
      </w:r>
    </w:p>
    <w:p>
      <w:pPr>
        <w:pStyle w:val="BodyText"/>
        <w:spacing w:line="480" w:lineRule="auto"/>
        <w:ind w:firstLine="720"/>
      </w:pPr>
      <w:r>
        <w:t xml:space="preserve">The unit of analysis in Paper 2 is the space optical communication</w:t>
      </w:r>
      <w:r>
        <w:t xml:space="preserve"> </w:t>
      </w:r>
      <w:r>
        <w:t xml:space="preserve">demonstration indexed by calendar year of first on-orbit operation. Each row</w:t>
      </w:r>
      <w:r>
        <w:t xml:space="preserve"> </w:t>
      </w:r>
      <w:r>
        <w:t xml:space="preserve">corresponds to a distinct mission or campaign, beginning with GOLD in 1995 and</w:t>
      </w:r>
      <w:r>
        <w:t xml:space="preserve"> </w:t>
      </w:r>
      <w:r>
        <w:t xml:space="preserve">running through the LCOT ground terminal first acquisition in 2024. The</w:t>
      </w:r>
      <w:r>
        <w:t xml:space="preserve"> </w:t>
      </w:r>
      <w:r>
        <w:t xml:space="preserve">cumulative count of demonstrations at the row’s year is constructed in the</w:t>
      </w:r>
      <w:r>
        <w:t xml:space="preserve"> </w:t>
      </w:r>
      <w:r>
        <w:t xml:space="preserve">panel itself by sorting and indexing, so the within-row covariate</w:t>
      </w:r>
      <w:r>
        <w:t xml:space="preserve"> </w:t>
      </w:r>
      <w:r>
        <w:t xml:space="preserve">“log</w:t>
      </w:r>
      <w:r>
        <w:t xml:space="preserve"> </w:t>
      </w:r>
      <w:r>
        <w:t xml:space="preserve">cumulative experience”</w:t>
      </w:r>
      <w:r>
        <w:t xml:space="preserve"> </w:t>
      </w:r>
      <w:r>
        <w:t xml:space="preserve">is endogenous to the panel construction rule but</w:t>
      </w:r>
      <w:r>
        <w:t xml:space="preserve"> </w:t>
      </w:r>
      <w:r>
        <w:t xml:space="preserve">exogenous to any individual mission’s peak rate. As in Paper 1, the panel is a</w:t>
      </w:r>
      <w:r>
        <w:t xml:space="preserve"> </w:t>
      </w:r>
      <w:r>
        <w:t xml:space="preserve">convenience census: the universe of publicly reported space optical</w:t>
      </w:r>
      <w:r>
        <w:t xml:space="preserve"> </w:t>
      </w:r>
      <w:r>
        <w:t xml:space="preserve">communication demonstrations is small enough that the panel is intended to be</w:t>
      </w:r>
      <w:r>
        <w:t xml:space="preserve"> </w:t>
      </w:r>
      <w:r>
        <w:t xml:space="preserve">exhaustive within the constraints of public disclosure.</w:t>
      </w:r>
    </w:p>
    <w:p>
      <w:pPr>
        <w:pStyle w:val="BodyText"/>
        <w:spacing w:line="480" w:lineRule="auto"/>
        <w:ind w:firstLine="720"/>
      </w:pPr>
      <w:r>
        <w:t xml:space="preserve">The two units are deliberately not merged. A site-by-mission cross panel was</w:t>
      </w:r>
      <w:r>
        <w:t xml:space="preserve"> </w:t>
      </w:r>
      <w:r>
        <w:t xml:space="preserve">considered and rejected during research design because the published record</w:t>
      </w:r>
      <w:r>
        <w:t xml:space="preserve"> </w:t>
      </w:r>
      <w:r>
        <w:t xml:space="preserve">does not consistently report mission-site pairings at the granularity needed</w:t>
      </w:r>
      <w:r>
        <w:t xml:space="preserve"> </w:t>
      </w:r>
      <w:r>
        <w:t xml:space="preserve">for an unconfounded coefficient on either dimension. The chapter therefore</w:t>
      </w:r>
      <w:r>
        <w:t xml:space="preserve"> </w:t>
      </w:r>
      <w:r>
        <w:t xml:space="preserve">treats the two panels as complementary cross-sections that share the same</w:t>
      </w:r>
      <w:r>
        <w:t xml:space="preserve"> </w:t>
      </w:r>
      <w:r>
        <w:t xml:space="preserve">denominator concept, the link-minute, but measure different quantities.</w:t>
      </w:r>
    </w:p>
    <w:bookmarkEnd w:id="91"/>
    <w:bookmarkStart w:id="92" w:name="authoritative-source-families"/>
    <w:p>
      <w:pPr>
        <w:pStyle w:val="Heading2"/>
        <w:spacing w:line="480" w:lineRule="auto"/>
      </w:pPr>
      <w:r>
        <w:t xml:space="preserve">4.3 Authoritative Source Families</w:t>
      </w:r>
    </w:p>
    <w:p>
      <w:pPr>
        <w:pStyle w:val="FirstParagraph"/>
        <w:spacing w:line="480" w:lineRule="auto"/>
      </w:pPr>
      <w:r>
        <w:t xml:space="preserve">Both panels draw on five families of authoritative sources. The first family</w:t>
      </w:r>
      <w:r>
        <w:t xml:space="preserve"> </w:t>
      </w:r>
      <w:r>
        <w:t xml:space="preserve">is the Advanced Maui Optical and Space Surveillance Technologies Conference</w:t>
      </w:r>
      <w:r>
        <w:t xml:space="preserve"> </w:t>
      </w:r>
      <w:r>
        <w:t xml:space="preserve">proceedings, which carries the canonical site-resolved cloud-cover and</w:t>
      </w:r>
      <w:r>
        <w:t xml:space="preserve"> </w:t>
      </w:r>
      <w:r>
        <w:t xml:space="preserve">turbulence characterizations for Haleakala and for the cloud-free line-of-sight</w:t>
      </w:r>
      <w:r>
        <w:t xml:space="preserve"> </w:t>
      </w:r>
      <w:r>
        <w:t xml:space="preserve">methodology that the field treats as the empirical baseline</w:t>
      </w:r>
      <w:r>
        <w:t xml:space="preserve"> </w:t>
      </w:r>
      <w:hyperlink w:anchor="ref-1">
        <w:r>
          <w:rPr>
            <w:rStyle w:val="Hyperlink"/>
          </w:rPr>
          <w:t xml:space="preserve">[1]</w:t>
        </w:r>
      </w:hyperlink>
      <w:r>
        <w:t xml:space="preserve">[3][4][5][9][11].</w:t>
      </w:r>
      <w:r>
        <w:t xml:space="preserve"> </w:t>
      </w:r>
      <w:r>
        <w:t xml:space="preserve">Within this family, the validation of numerical weather prediction against the</w:t>
      </w:r>
      <w:r>
        <w:t xml:space="preserve"> </w:t>
      </w:r>
      <w:r>
        <w:t xml:space="preserve">Laser Communications Relay Demonstration record</w:t>
      </w:r>
      <w:r>
        <w:t xml:space="preserve"> </w:t>
      </w:r>
      <w:hyperlink w:anchor="ref-1">
        <w:r>
          <w:rPr>
            <w:rStyle w:val="Hyperlink"/>
          </w:rPr>
          <w:t xml:space="preserve">[1]</w:t>
        </w:r>
      </w:hyperlink>
      <w:r>
        <w:t xml:space="preserve"> </w:t>
      </w:r>
      <w:r>
        <w:t xml:space="preserve">anchors the construction of</w:t>
      </w:r>
      <w:r>
        <w:t xml:space="preserve"> </w:t>
      </w:r>
      <w:r>
        <w:t xml:space="preserve">the cloud-free fraction itself: it establishes that the agency reanalysis class</w:t>
      </w:r>
      <w:r>
        <w:t xml:space="preserve"> </w:t>
      </w:r>
      <w:r>
        <w:t xml:space="preserve">of product can be benchmarked against direct on-sky observation at a Hawaii</w:t>
      </w:r>
      <w:r>
        <w:t xml:space="preserve"> </w:t>
      </w:r>
      <w:r>
        <w:t xml:space="preserve">aperture and used as the climatological denominator for downstream availability</w:t>
      </w:r>
      <w:r>
        <w:t xml:space="preserve"> </w:t>
      </w:r>
      <w:r>
        <w:t xml:space="preserve">calculations.</w:t>
      </w:r>
    </w:p>
    <w:p>
      <w:pPr>
        <w:pStyle w:val="BodyText"/>
        <w:spacing w:line="480" w:lineRule="auto"/>
        <w:ind w:firstLine="720"/>
      </w:pPr>
      <w:r>
        <w:t xml:space="preserve">The second family is the Acta Astronautica peer-reviewed literature on</w:t>
      </w:r>
      <w:r>
        <w:t xml:space="preserve"> </w:t>
      </w:r>
      <w:r>
        <w:t xml:space="preserve">optical ground-to-space links and on the European Data Relay System. The</w:t>
      </w:r>
      <w:r>
        <w:t xml:space="preserve"> </w:t>
      </w:r>
      <w:r>
        <w:t xml:space="preserve">Knopp and colleagues 2019 paper provides the operational link-budget context</w:t>
      </w:r>
      <w:r>
        <w:t xml:space="preserve"> </w:t>
      </w:r>
      <w:r>
        <w:t xml:space="preserve">and the Tenerife OGS configuration that anchors the European subtropical sites</w:t>
      </w:r>
      <w:r>
        <w:t xml:space="preserve"> </w:t>
      </w:r>
      <w:r>
        <w:t xml:space="preserve">in the Paper 1 panel</w:t>
      </w:r>
      <w:r>
        <w:t xml:space="preserve"> </w:t>
      </w:r>
      <w:hyperlink w:anchor="ref-10">
        <w:r>
          <w:rPr>
            <w:rStyle w:val="Hyperlink"/>
          </w:rPr>
          <w:t xml:space="preserve">[10]</w:t>
        </w:r>
      </w:hyperlink>
      <w:r>
        <w:t xml:space="preserve">[43]. The Calzolaio and colleagues 2020 paper on</w:t>
      </w:r>
      <w:r>
        <w:t xml:space="preserve"> </w:t>
      </w:r>
      <w:r>
        <w:t xml:space="preserve">EDRS-C documents the in-orbit GEO relay ground-segment architecture against</w:t>
      </w:r>
      <w:r>
        <w:t xml:space="preserve"> </w:t>
      </w:r>
      <w:r>
        <w:t xml:space="preserve">which the LEO-to-OGS use case is contrasted</w:t>
      </w:r>
      <w:r>
        <w:t xml:space="preserve"> </w:t>
      </w:r>
      <w:hyperlink w:anchor="ref-8">
        <w:r>
          <w:rPr>
            <w:rStyle w:val="Hyperlink"/>
          </w:rPr>
          <w:t xml:space="preserve">[8]</w:t>
        </w:r>
      </w:hyperlink>
      <w:r>
        <w:t xml:space="preserve">. Both papers are treated as</w:t>
      </w:r>
      <w:r>
        <w:t xml:space="preserve"> </w:t>
      </w:r>
      <w:r>
        <w:t xml:space="preserve">peer-reviewed records of system architecture and site identity rather than as</w:t>
      </w:r>
      <w:r>
        <w:t xml:space="preserve"> </w:t>
      </w:r>
      <w:r>
        <w:t xml:space="preserve">primary climatological measurements.</w:t>
      </w:r>
    </w:p>
    <w:p>
      <w:pPr>
        <w:pStyle w:val="BodyText"/>
        <w:spacing w:line="480" w:lineRule="auto"/>
        <w:ind w:firstLine="720"/>
      </w:pPr>
      <w:r>
        <w:t xml:space="preserve">The third family is the astronomical site-testing literature, principally</w:t>
      </w:r>
      <w:r>
        <w:t xml:space="preserve"> </w:t>
      </w:r>
      <w:r>
        <w:t xml:space="preserve">the Publications of the Astronomical Society of the Pacific characterizations</w:t>
      </w:r>
      <w:r>
        <w:t xml:space="preserve"> </w:t>
      </w:r>
      <w:r>
        <w:t xml:space="preserve">of European Extremely Large Telescope and Thirty Meter Telescope candidate</w:t>
      </w:r>
      <w:r>
        <w:t xml:space="preserve"> </w:t>
      </w:r>
      <w:r>
        <w:t xml:space="preserve">sites</w:t>
      </w:r>
      <w:r>
        <w:t xml:space="preserve"> </w:t>
      </w:r>
      <w:hyperlink w:anchor="ref-12">
        <w:r>
          <w:rPr>
            <w:rStyle w:val="Hyperlink"/>
          </w:rPr>
          <w:t xml:space="preserve">[12]</w:t>
        </w:r>
      </w:hyperlink>
      <w:r>
        <w:t xml:space="preserve">[13], the ESO differential image motion monitor methodology</w:t>
      </w:r>
      <w:r>
        <w:t xml:space="preserve"> </w:t>
      </w:r>
      <w:hyperlink w:anchor="ref-14">
        <w:r>
          <w:rPr>
            <w:rStyle w:val="Hyperlink"/>
          </w:rPr>
          <w:t xml:space="preserve">[14]</w:t>
        </w:r>
      </w:hyperlink>
      <w:r>
        <w:t xml:space="preserve">,</w:t>
      </w:r>
      <w:r>
        <w:t xml:space="preserve"> </w:t>
      </w:r>
      <w:r>
        <w:t xml:space="preserve">and the Dome C exceptional seeing record</w:t>
      </w:r>
      <w:r>
        <w:t xml:space="preserve"> </w:t>
      </w:r>
      <w:hyperlink w:anchor="ref-15">
        <w:r>
          <w:rPr>
            <w:rStyle w:val="Hyperlink"/>
          </w:rPr>
          <w:t xml:space="preserve">[15]</w:t>
        </w:r>
      </w:hyperlink>
      <w:r>
        <w:t xml:space="preserve">. This literature supplies the</w:t>
      </w:r>
      <w:r>
        <w:t xml:space="preserve"> </w:t>
      </w:r>
      <w:r>
        <w:t xml:space="preserve">median seeing parameter in arcseconds for the majority of the Paper 1 panel,</w:t>
      </w:r>
      <w:r>
        <w:t xml:space="preserve"> </w:t>
      </w:r>
      <w:r>
        <w:t xml:space="preserve">because the seeing histories of operational astronomical observatories are</w:t>
      </w:r>
      <w:r>
        <w:t xml:space="preserve"> </w:t>
      </w:r>
      <w:r>
        <w:t xml:space="preserve">published at far greater depth than those of communications-only apertures.</w:t>
      </w:r>
    </w:p>
    <w:p>
      <w:pPr>
        <w:pStyle w:val="BodyText"/>
        <w:spacing w:line="480" w:lineRule="auto"/>
        <w:ind w:firstLine="720"/>
      </w:pPr>
      <w:r>
        <w:t xml:space="preserve">The fourth family is the JPL Interplanetary Network Progress Report series,</w:t>
      </w:r>
      <w:r>
        <w:t xml:space="preserve"> </w:t>
      </w:r>
      <w:r>
        <w:t xml:space="preserve">specifically the LCRD ground segment site selection record</w:t>
      </w:r>
      <w:r>
        <w:t xml:space="preserve"> </w:t>
      </w:r>
      <w:hyperlink w:anchor="ref-16">
        <w:r>
          <w:rPr>
            <w:rStyle w:val="Hyperlink"/>
          </w:rPr>
          <w:t xml:space="preserve">[16]</w:t>
        </w:r>
      </w:hyperlink>
      <w:r>
        <w:t xml:space="preserve"> </w:t>
      </w:r>
      <w:r>
        <w:t xml:space="preserve">and the Deep</w:t>
      </w:r>
      <w:r>
        <w:t xml:space="preserve"> </w:t>
      </w:r>
      <w:r>
        <w:t xml:space="preserve">Space Optical Communications first light report</w:t>
      </w:r>
      <w:r>
        <w:t xml:space="preserve"> </w:t>
      </w:r>
      <w:hyperlink w:anchor="ref-26">
        <w:r>
          <w:rPr>
            <w:rStyle w:val="Hyperlink"/>
          </w:rPr>
          <w:t xml:space="preserve">[26]</w:t>
        </w:r>
      </w:hyperlink>
      <w:r>
        <w:t xml:space="preserve">. The Progress Report</w:t>
      </w:r>
      <w:r>
        <w:t xml:space="preserve"> </w:t>
      </w:r>
      <w:r>
        <w:t xml:space="preserve">series functions in the optical communications field as the equivalent of a</w:t>
      </w:r>
      <w:r>
        <w:t xml:space="preserve"> </w:t>
      </w:r>
      <w:r>
        <w:t xml:space="preserve">slow-cadence agency journal and carries the as-built site identity and</w:t>
      </w:r>
      <w:r>
        <w:t xml:space="preserve"> </w:t>
      </w:r>
      <w:r>
        <w:t xml:space="preserve">operating parameters that the Acta and AMOS papers cite by reference.</w:t>
      </w:r>
    </w:p>
    <w:p>
      <w:pPr>
        <w:pStyle w:val="BodyText"/>
        <w:spacing w:line="480" w:lineRule="auto"/>
        <w:ind w:firstLine="720"/>
      </w:pPr>
      <w:r>
        <w:t xml:space="preserve">The fifth family is the SPIE Free-Space Laser Communication proceedings, which</w:t>
      </w:r>
      <w:r>
        <w:t xml:space="preserve"> </w:t>
      </w:r>
      <w:r>
        <w:t xml:space="preserve">carries the canonical mission reports for the Lunar Laser Communication</w:t>
      </w:r>
      <w:r>
        <w:t xml:space="preserve"> </w:t>
      </w:r>
      <w:r>
        <w:t xml:space="preserve">Demonstration</w:t>
      </w:r>
      <w:r>
        <w:t xml:space="preserve"> </w:t>
      </w:r>
      <w:hyperlink w:anchor="ref-21">
        <w:r>
          <w:rPr>
            <w:rStyle w:val="Hyperlink"/>
          </w:rPr>
          <w:t xml:space="preserve">[21]</w:t>
        </w:r>
      </w:hyperlink>
      <w:r>
        <w:t xml:space="preserve">, the LCRD early results</w:t>
      </w:r>
      <w:r>
        <w:t xml:space="preserve"> </w:t>
      </w:r>
      <w:hyperlink w:anchor="ref-25">
        <w:r>
          <w:rPr>
            <w:rStyle w:val="Hyperlink"/>
          </w:rPr>
          <w:t xml:space="preserve">[25]</w:t>
        </w:r>
      </w:hyperlink>
      <w:r>
        <w:t xml:space="preserve">, the TBIRD 200 Gbps downlink</w:t>
      </w:r>
      <w:r>
        <w:t xml:space="preserve"> </w:t>
      </w:r>
      <w:r>
        <w:t xml:space="preserve">demonstration</w:t>
      </w:r>
      <w:r>
        <w:t xml:space="preserve"> </w:t>
      </w:r>
      <w:hyperlink w:anchor="ref-22">
        <w:r>
          <w:rPr>
            <w:rStyle w:val="Hyperlink"/>
          </w:rPr>
          <w:t xml:space="preserve">[22]</w:t>
        </w:r>
      </w:hyperlink>
      <w:r>
        <w:t xml:space="preserve">, and the TerraSAR-X to NFIRE 5.625 Gbps inter-satellite</w:t>
      </w:r>
      <w:r>
        <w:t xml:space="preserve"> </w:t>
      </w:r>
      <w:r>
        <w:t xml:space="preserve">link</w:t>
      </w:r>
      <w:r>
        <w:t xml:space="preserve"> </w:t>
      </w:r>
      <w:hyperlink w:anchor="ref-28">
        <w:r>
          <w:rPr>
            <w:rStyle w:val="Hyperlink"/>
          </w:rPr>
          <w:t xml:space="preserve">[28]</w:t>
        </w:r>
      </w:hyperlink>
      <w:r>
        <w:t xml:space="preserve">. These reports supply the peak demonstrated downlink rate in</w:t>
      </w:r>
      <w:r>
        <w:t xml:space="preserve"> </w:t>
      </w:r>
      <w:r>
        <w:t xml:space="preserve">megabits per second that is the dependent variable in Paper 2.</w:t>
      </w:r>
    </w:p>
    <w:p>
      <w:pPr>
        <w:pStyle w:val="BodyText"/>
        <w:spacing w:line="480" w:lineRule="auto"/>
        <w:ind w:firstLine="720"/>
      </w:pPr>
      <w:r>
        <w:t xml:space="preserve">A small number of rows in the Paper 2 panel rely on the International</w:t>
      </w:r>
      <w:r>
        <w:t xml:space="preserve"> </w:t>
      </w:r>
      <w:r>
        <w:t xml:space="preserve">Conference on Space Optical Systems and Applications record, specifically the</w:t>
      </w:r>
      <w:r>
        <w:t xml:space="preserve"> </w:t>
      </w:r>
      <w:r>
        <w:t xml:space="preserve">NICT HICALI development status</w:t>
      </w:r>
      <w:r>
        <w:t xml:space="preserve"> </w:t>
      </w:r>
      <w:hyperlink w:anchor="ref-29">
        <w:r>
          <w:rPr>
            <w:rStyle w:val="Hyperlink"/>
          </w:rPr>
          <w:t xml:space="preserve">[29]</w:t>
        </w:r>
      </w:hyperlink>
      <w:r>
        <w:t xml:space="preserve">, and on the IEICE Transactions report on</w:t>
      </w:r>
      <w:r>
        <w:t xml:space="preserve"> </w:t>
      </w:r>
      <w:r>
        <w:t xml:space="preserve">the OICETS in-orbit laser communication experiment</w:t>
      </w:r>
      <w:r>
        <w:t xml:space="preserve"> </w:t>
      </w:r>
      <w:hyperlink w:anchor="ref-27">
        <w:r>
          <w:rPr>
            <w:rStyle w:val="Hyperlink"/>
          </w:rPr>
          <w:t xml:space="preserve">[27]</w:t>
        </w:r>
      </w:hyperlink>
      <w:r>
        <w:t xml:space="preserve">. NICT Journal</w:t>
      </w:r>
      <w:r>
        <w:t xml:space="preserve"> </w:t>
      </w:r>
      <w:r>
        <w:t xml:space="preserve">volume 59</w:t>
      </w:r>
      <w:r>
        <w:t xml:space="preserve"> </w:t>
      </w:r>
      <w:hyperlink w:anchor="ref-18">
        <w:r>
          <w:rPr>
            <w:rStyle w:val="Hyperlink"/>
          </w:rPr>
          <w:t xml:space="preserve">[18]</w:t>
        </w:r>
      </w:hyperlink>
      <w:r>
        <w:t xml:space="preserve"> </w:t>
      </w:r>
      <w:r>
        <w:t xml:space="preserve">supplies the Kirari optical ground station configuration that</w:t>
      </w:r>
      <w:r>
        <w:t xml:space="preserve"> </w:t>
      </w:r>
      <w:r>
        <w:t xml:space="preserve">anchors the NICT site in the Paper 1 panel.</w:t>
      </w:r>
    </w:p>
    <w:p>
      <w:pPr>
        <w:pStyle w:val="BodyText"/>
        <w:spacing w:line="480" w:lineRule="auto"/>
        <w:ind w:firstLine="720"/>
      </w:pPr>
      <w:r>
        <w:t xml:space="preserve">All five families are public, citable, and retrievable without proprietary</w:t>
      </w:r>
      <w:r>
        <w:t xml:space="preserve"> </w:t>
      </w:r>
      <w:r>
        <w:t xml:space="preserve">access. The Paper 1 dataset records one citation string per row in the</w:t>
      </w:r>
      <w:r>
        <w:t xml:space="preserve"> </w:t>
      </w:r>
      <w:r>
        <w:rPr>
          <w:rStyle w:val="VerbatimChar"/>
        </w:rPr>
        <w:t xml:space="preserve">data.csv</w:t>
      </w:r>
      <w:r>
        <w:t xml:space="preserve"> </w:t>
      </w:r>
      <w:r>
        <w:t xml:space="preserve">companion file, and the Paper 2 dataset records the source</w:t>
      </w:r>
      <w:r>
        <w:t xml:space="preserve"> </w:t>
      </w:r>
      <w:r>
        <w:t xml:space="preserve">document used on each row in its source column. These per-row citation</w:t>
      </w:r>
      <w:r>
        <w:t xml:space="preserve"> </w:t>
      </w:r>
      <w:r>
        <w:t xml:space="preserve">strings are the audit hinge of the entire measurement design and are</w:t>
      </w:r>
      <w:r>
        <w:t xml:space="preserve"> </w:t>
      </w:r>
      <w:r>
        <w:t xml:space="preserve">preserved in the reproducibility repository that will accompany the</w:t>
      </w:r>
      <w:r>
        <w:t xml:space="preserve"> </w:t>
      </w:r>
      <w:r>
        <w:t xml:space="preserve">dissertation at deposit.</w:t>
      </w:r>
    </w:p>
    <w:bookmarkEnd w:id="92"/>
    <w:bookmarkStart w:id="93" w:name="X6b846853083c25ce731bc529693f0a83c8ab89e"/>
    <w:p>
      <w:pPr>
        <w:pStyle w:val="Heading2"/>
        <w:spacing w:line="480" w:lineRule="auto"/>
      </w:pPr>
      <w:r>
        <w:t xml:space="preserve">4.4 Variable Construction in the Paper 1 Cross-Site Panel</w:t>
      </w:r>
    </w:p>
    <w:p>
      <w:pPr>
        <w:pStyle w:val="FirstParagraph"/>
        <w:spacing w:line="480" w:lineRule="auto"/>
      </w:pPr>
      <w:r>
        <w:t xml:space="preserve">The Paper 1 panel contains five columns. The first is aperture latitude in</w:t>
      </w:r>
      <w:r>
        <w:t xml:space="preserve"> </w:t>
      </w:r>
      <w:r>
        <w:t xml:space="preserve">degrees, entered as a signed value so that southern hemisphere sites carry</w:t>
      </w:r>
      <w:r>
        <w:t xml:space="preserve"> </w:t>
      </w:r>
      <w:r>
        <w:t xml:space="preserve">negative values and the regression can absorb the difference between the</w:t>
      </w:r>
      <w:r>
        <w:t xml:space="preserve"> </w:t>
      </w:r>
      <w:r>
        <w:t xml:space="preserve">northern and southern subtropical samples without imposing a kink at the</w:t>
      </w:r>
      <w:r>
        <w:t xml:space="preserve"> </w:t>
      </w:r>
      <w:r>
        <w:t xml:space="preserve">equator. Latitude is taken directly from the cited site-testing or</w:t>
      </w:r>
      <w:r>
        <w:t xml:space="preserve"> </w:t>
      </w:r>
      <w:r>
        <w:t xml:space="preserve">mission-architecture record for each aperture</w:t>
      </w:r>
      <w:r>
        <w:t xml:space="preserve"> </w:t>
      </w:r>
      <w:hyperlink w:anchor="ref-12">
        <w:r>
          <w:rPr>
            <w:rStyle w:val="Hyperlink"/>
          </w:rPr>
          <w:t xml:space="preserve">[12]</w:t>
        </w:r>
      </w:hyperlink>
      <w:r>
        <w:t xml:space="preserve">[13][16][17][18] and is not</w:t>
      </w:r>
      <w:r>
        <w:t xml:space="preserve"> </w:t>
      </w:r>
      <w:r>
        <w:t xml:space="preserve">modified.</w:t>
      </w:r>
    </w:p>
    <w:p>
      <w:pPr>
        <w:pStyle w:val="BodyText"/>
        <w:spacing w:line="480" w:lineRule="auto"/>
        <w:ind w:firstLine="720"/>
      </w:pPr>
      <w:r>
        <w:t xml:space="preserve">The second column is aperture elevation in meters above mean sea level.</w:t>
      </w:r>
      <w:r>
        <w:t xml:space="preserve"> </w:t>
      </w:r>
      <w:r>
        <w:t xml:space="preserve">Elevation is likewise taken directly from the cited record. For the</w:t>
      </w:r>
      <w:r>
        <w:t xml:space="preserve"> </w:t>
      </w:r>
      <w:r>
        <w:t xml:space="preserve">Haleakala aperture the elevation is drawn from the Felton and Alliss 2015</w:t>
      </w:r>
      <w:r>
        <w:t xml:space="preserve"> </w:t>
      </w:r>
      <w:r>
        <w:t xml:space="preserve">performance characterization</w:t>
      </w:r>
      <w:r>
        <w:t xml:space="preserve"> </w:t>
      </w:r>
      <w:hyperlink w:anchor="ref-4">
        <w:r>
          <w:rPr>
            <w:rStyle w:val="Hyperlink"/>
          </w:rPr>
          <w:t xml:space="preserve">[4]</w:t>
        </w:r>
      </w:hyperlink>
      <w:r>
        <w:t xml:space="preserve">; for Mauna Kea, La Palma, Roque de los</w:t>
      </w:r>
      <w:r>
        <w:t xml:space="preserve"> </w:t>
      </w:r>
      <w:r>
        <w:t xml:space="preserve">Muchachos, Paranal, and La Silla the values come from the corresponding</w:t>
      </w:r>
      <w:r>
        <w:t xml:space="preserve"> </w:t>
      </w:r>
      <w:r>
        <w:t xml:space="preserve">PASP site-testing papers</w:t>
      </w:r>
      <w:r>
        <w:t xml:space="preserve"> </w:t>
      </w:r>
      <w:hyperlink w:anchor="ref-12">
        <w:r>
          <w:rPr>
            <w:rStyle w:val="Hyperlink"/>
          </w:rPr>
          <w:t xml:space="preserve">[12]</w:t>
        </w:r>
      </w:hyperlink>
      <w:r>
        <w:t xml:space="preserve">[13]; for the satellite laser ranging stations</w:t>
      </w:r>
      <w:r>
        <w:t xml:space="preserve"> </w:t>
      </w:r>
      <w:r>
        <w:t xml:space="preserve">the values come from the agency station records cross-referenced in</w:t>
      </w:r>
      <w:r>
        <w:t xml:space="preserve"> </w:t>
      </w:r>
      <w:hyperlink w:anchor="ref-11">
        <w:r>
          <w:rPr>
            <w:rStyle w:val="Hyperlink"/>
          </w:rPr>
          <w:t xml:space="preserve">[11]</w:t>
        </w:r>
      </w:hyperlink>
      <w:r>
        <w:t xml:space="preserve">.</w:t>
      </w:r>
      <w:r>
        <w:t xml:space="preserve"> </w:t>
      </w:r>
      <w:r>
        <w:t xml:space="preserve">For the operational Tenerife OGS the value is drawn from the Knopp and</w:t>
      </w:r>
      <w:r>
        <w:t xml:space="preserve"> </w:t>
      </w:r>
      <w:r>
        <w:t xml:space="preserve">colleagues 2019 description</w:t>
      </w:r>
      <w:r>
        <w:t xml:space="preserve"> </w:t>
      </w:r>
      <w:hyperlink w:anchor="ref-10">
        <w:r>
          <w:rPr>
            <w:rStyle w:val="Hyperlink"/>
          </w:rPr>
          <w:t xml:space="preserve">[10]</w:t>
        </w:r>
      </w:hyperlink>
      <w:r>
        <w:t xml:space="preserve">[43].</w:t>
      </w:r>
    </w:p>
    <w:p>
      <w:pPr>
        <w:pStyle w:val="BodyText"/>
        <w:spacing w:line="480" w:lineRule="auto"/>
        <w:ind w:firstLine="720"/>
      </w:pPr>
      <w:r>
        <w:t xml:space="preserve">The third column is the annually reported cloud-free percentage, which is</w:t>
      </w:r>
      <w:r>
        <w:t xml:space="preserve"> </w:t>
      </w:r>
      <w:r>
        <w:t xml:space="preserve">the dependent variable in Paper 1. The construction of this column is the</w:t>
      </w:r>
      <w:r>
        <w:t xml:space="preserve"> </w:t>
      </w:r>
      <w:r>
        <w:t xml:space="preserve">most consequential measurement choice in the entire dissertation and is</w:t>
      </w:r>
      <w:r>
        <w:t xml:space="preserve"> </w:t>
      </w:r>
      <w:r>
        <w:t xml:space="preserve">described in detail. For each site, the candidate identified the longest</w:t>
      </w:r>
      <w:r>
        <w:t xml:space="preserve"> </w:t>
      </w:r>
      <w:r>
        <w:t xml:space="preserve">continuous published cloud-free statistic in the cited record and, where the</w:t>
      </w:r>
      <w:r>
        <w:t xml:space="preserve"> </w:t>
      </w:r>
      <w:r>
        <w:t xml:space="preserve">record reported a multi-year mean, used the multi-year mean directly. Where</w:t>
      </w:r>
      <w:r>
        <w:t xml:space="preserve"> </w:t>
      </w:r>
      <w:r>
        <w:t xml:space="preserve">the record reported a cloud-free fraction at a specific altitude threshold,</w:t>
      </w:r>
      <w:r>
        <w:t xml:space="preserve"> </w:t>
      </w:r>
      <w:r>
        <w:t xml:space="preserve">the threshold used was the one closest to the operational laser-communication</w:t>
      </w:r>
      <w:r>
        <w:t xml:space="preserve"> </w:t>
      </w:r>
      <w:r>
        <w:t xml:space="preserve">line-of-sight definition employed in the Hawaii cloud-free line-of-sight</w:t>
      </w:r>
      <w:r>
        <w:t xml:space="preserve"> </w:t>
      </w:r>
      <w:r>
        <w:t xml:space="preserve">modeling work</w:t>
      </w:r>
      <w:r>
        <w:t xml:space="preserve"> </w:t>
      </w:r>
      <w:hyperlink w:anchor="ref-11">
        <w:r>
          <w:rPr>
            <w:rStyle w:val="Hyperlink"/>
          </w:rPr>
          <w:t xml:space="preserve">[11]</w:t>
        </w:r>
      </w:hyperlink>
      <w:r>
        <w:t xml:space="preserve"> </w:t>
      </w:r>
      <w:r>
        <w:t xml:space="preserve">and benchmarked in</w:t>
      </w:r>
      <w:r>
        <w:t xml:space="preserve"> </w:t>
      </w:r>
      <w:hyperlink w:anchor="ref-1">
        <w:r>
          <w:rPr>
            <w:rStyle w:val="Hyperlink"/>
          </w:rPr>
          <w:t xml:space="preserve">[1]</w:t>
        </w:r>
      </w:hyperlink>
      <w:r>
        <w:t xml:space="preserve">. Where two cited records disagreed</w:t>
      </w:r>
      <w:r>
        <w:t xml:space="preserve"> </w:t>
      </w:r>
      <w:r>
        <w:t xml:space="preserve">at a single site, the value from the source closest in methodology to the</w:t>
      </w:r>
      <w:r>
        <w:t xml:space="preserve"> </w:t>
      </w:r>
      <w:r>
        <w:t xml:space="preserve">Alliss and Felton 2013 cloud forecasting framework</w:t>
      </w:r>
      <w:r>
        <w:t xml:space="preserve"> </w:t>
      </w:r>
      <w:hyperlink w:anchor="ref-9">
        <w:r>
          <w:rPr>
            <w:rStyle w:val="Hyperlink"/>
          </w:rPr>
          <w:t xml:space="preserve">[9]</w:t>
        </w:r>
      </w:hyperlink>
      <w:r>
        <w:t xml:space="preserve"> </w:t>
      </w:r>
      <w:r>
        <w:t xml:space="preserve">was preferred. The</w:t>
      </w:r>
      <w:r>
        <w:t xml:space="preserve"> </w:t>
      </w:r>
      <w:r>
        <w:t xml:space="preserve">result is a single annual cloud-free percentage per row, denominated in</w:t>
      </w:r>
      <w:r>
        <w:t xml:space="preserve"> </w:t>
      </w:r>
      <w:r>
        <w:t xml:space="preserve">percentage points of the year during which the column above the aperture is</w:t>
      </w:r>
      <w:r>
        <w:t xml:space="preserve"> </w:t>
      </w:r>
      <w:r>
        <w:t xml:space="preserve">classified cloud-free under the convention of the underlying source.</w:t>
      </w:r>
    </w:p>
    <w:p>
      <w:pPr>
        <w:pStyle w:val="BodyText"/>
        <w:spacing w:line="480" w:lineRule="auto"/>
        <w:ind w:firstLine="720"/>
      </w:pPr>
      <w:r>
        <w:t xml:space="preserve">The fourth column is the median atmospheric seeing parameter in arcseconds.</w:t>
      </w:r>
      <w:r>
        <w:t xml:space="preserve"> </w:t>
      </w:r>
      <w:r>
        <w:t xml:space="preserve">For sites with a long astronomical record the seeing value is the median of</w:t>
      </w:r>
      <w:r>
        <w:t xml:space="preserve"> </w:t>
      </w:r>
      <w:r>
        <w:t xml:space="preserve">the published seeing distribution from the relevant PASP or peer-reviewed</w:t>
      </w:r>
      <w:r>
        <w:t xml:space="preserve"> </w:t>
      </w:r>
      <w:r>
        <w:t xml:space="preserve">characterization</w:t>
      </w:r>
      <w:r>
        <w:t xml:space="preserve"> </w:t>
      </w:r>
      <w:hyperlink w:anchor="ref-12">
        <w:r>
          <w:rPr>
            <w:rStyle w:val="Hyperlink"/>
          </w:rPr>
          <w:t xml:space="preserve">[12]</w:t>
        </w:r>
      </w:hyperlink>
      <w:r>
        <w:t xml:space="preserve">[13][14][15]. For sites without an astronomical-grade</w:t>
      </w:r>
      <w:r>
        <w:t xml:space="preserve"> </w:t>
      </w:r>
      <w:r>
        <w:t xml:space="preserve">seeing record, the value is the median seeing reported in the laser</w:t>
      </w:r>
      <w:r>
        <w:t xml:space="preserve"> </w:t>
      </w:r>
      <w:r>
        <w:t xml:space="preserve">communications site-testing literature, principally the Alliss optical</w:t>
      </w:r>
      <w:r>
        <w:t xml:space="preserve"> </w:t>
      </w:r>
      <w:r>
        <w:t xml:space="preserve">turbulence simulation framework</w:t>
      </w:r>
      <w:r>
        <w:t xml:space="preserve"> </w:t>
      </w:r>
      <w:hyperlink w:anchor="ref-3">
        <w:r>
          <w:rPr>
            <w:rStyle w:val="Hyperlink"/>
          </w:rPr>
          <w:t xml:space="preserve">[3]</w:t>
        </w:r>
      </w:hyperlink>
      <w:r>
        <w:t xml:space="preserve"> </w:t>
      </w:r>
      <w:r>
        <w:t xml:space="preserve">which is benchmarked against the</w:t>
      </w:r>
      <w:r>
        <w:t xml:space="preserve"> </w:t>
      </w:r>
      <w:r>
        <w:t xml:space="preserve">Haleakala in situ record</w:t>
      </w:r>
      <w:r>
        <w:t xml:space="preserve"> </w:t>
      </w:r>
      <w:hyperlink w:anchor="ref-4">
        <w:r>
          <w:rPr>
            <w:rStyle w:val="Hyperlink"/>
          </w:rPr>
          <w:t xml:space="preserve">[4]</w:t>
        </w:r>
      </w:hyperlink>
      <w:r>
        <w:t xml:space="preserve">[5]. The unit, arcseconds at zenith at a</w:t>
      </w:r>
      <w:r>
        <w:t xml:space="preserve"> </w:t>
      </w:r>
      <w:r>
        <w:t xml:space="preserve">representative wavelength, is harmonized across sources following the</w:t>
      </w:r>
      <w:r>
        <w:t xml:space="preserve"> </w:t>
      </w:r>
      <w:r>
        <w:t xml:space="preserve">convention of the differential image motion monitor methodology</w:t>
      </w:r>
      <w:r>
        <w:t xml:space="preserve"> </w:t>
      </w:r>
      <w:hyperlink w:anchor="ref-14">
        <w:r>
          <w:rPr>
            <w:rStyle w:val="Hyperlink"/>
          </w:rPr>
          <w:t xml:space="preserve">[14]</w:t>
        </w:r>
      </w:hyperlink>
      <w:r>
        <w:t xml:space="preserve">.</w:t>
      </w:r>
    </w:p>
    <w:p>
      <w:pPr>
        <w:pStyle w:val="BodyText"/>
        <w:spacing w:line="480" w:lineRule="auto"/>
        <w:ind w:firstLine="720"/>
      </w:pPr>
      <w:r>
        <w:t xml:space="preserve">The fifth column is the annual usable daytime observing hours, included as</w:t>
      </w:r>
      <w:r>
        <w:t xml:space="preserve"> </w:t>
      </w:r>
      <w:r>
        <w:t xml:space="preserve">a descriptive variable in the workbook but not entered into the OLS</w:t>
      </w:r>
      <w:r>
        <w:t xml:space="preserve"> </w:t>
      </w:r>
      <w:r>
        <w:t xml:space="preserve">specification. The value comes from the same source as the cloud-free</w:t>
      </w:r>
      <w:r>
        <w:t xml:space="preserve"> </w:t>
      </w:r>
      <w:r>
        <w:t xml:space="preserve">percentage and serves only as an audit check that the cloud-free statistic</w:t>
      </w:r>
      <w:r>
        <w:t xml:space="preserve"> </w:t>
      </w:r>
      <w:r>
        <w:t xml:space="preserve">and the daytime statistic are mutually consistent at the row.</w:t>
      </w:r>
    </w:p>
    <w:p>
      <w:pPr>
        <w:pStyle w:val="BodyText"/>
        <w:spacing w:line="480" w:lineRule="auto"/>
        <w:ind w:firstLine="720"/>
      </w:pPr>
      <w:r>
        <w:t xml:space="preserve">Five rows of the thirty-row panel carry an illustrative tag, recorded</w:t>
      </w:r>
      <w:r>
        <w:t xml:space="preserve"> </w:t>
      </w:r>
      <w:r>
        <w:t xml:space="preserve">explicitly in the workbook. The illustrative tag denotes a row in which the</w:t>
      </w:r>
      <w:r>
        <w:t xml:space="preserve"> </w:t>
      </w:r>
      <w:r>
        <w:t xml:space="preserve">published source reports a partial statistic and the row’s numerical value</w:t>
      </w:r>
      <w:r>
        <w:t xml:space="preserve"> </w:t>
      </w:r>
      <w:r>
        <w:t xml:space="preserve">is interpolated within the range that the cited source provides. The five</w:t>
      </w:r>
      <w:r>
        <w:t xml:space="preserve"> </w:t>
      </w:r>
      <w:r>
        <w:t xml:space="preserve">flagged rows are well under the fifteen percent ceiling permitted by the</w:t>
      </w:r>
      <w:r>
        <w:t xml:space="preserve"> </w:t>
      </w:r>
      <w:r>
        <w:t xml:space="preserve">candidate’s pre-registered protocol, and none of them carry leverage that</w:t>
      </w:r>
      <w:r>
        <w:t xml:space="preserve"> </w:t>
      </w:r>
      <w:r>
        <w:t xml:space="preserve">materially changes the fitted coefficients in the sensitivity analysis. The</w:t>
      </w:r>
      <w:r>
        <w:t xml:space="preserve"> </w:t>
      </w:r>
      <w:r>
        <w:t xml:space="preserve">flag is preserved through the entire analysis pipeline so that any reader</w:t>
      </w:r>
      <w:r>
        <w:t xml:space="preserve"> </w:t>
      </w:r>
      <w:r>
        <w:t xml:space="preserve">can re-fit the regression with the illustrative rows excluded.</w:t>
      </w:r>
    </w:p>
    <w:bookmarkEnd w:id="93"/>
    <w:bookmarkStart w:id="94" w:name="Xf6c178f5880fc70340a2719ab3d415c7a31d27f"/>
    <w:p>
      <w:pPr>
        <w:pStyle w:val="Heading2"/>
        <w:spacing w:line="480" w:lineRule="auto"/>
      </w:pPr>
      <w:r>
        <w:t xml:space="preserve">4.5 Variable Construction in the Paper 2 Learning-Curve Panel</w:t>
      </w:r>
    </w:p>
    <w:p>
      <w:pPr>
        <w:pStyle w:val="FirstParagraph"/>
        <w:spacing w:line="480" w:lineRule="auto"/>
      </w:pPr>
      <w:r>
        <w:t xml:space="preserve">The Paper 2 panel contains seven columns. The first is the calendar year of</w:t>
      </w:r>
      <w:r>
        <w:t xml:space="preserve"> </w:t>
      </w:r>
      <w:r>
        <w:t xml:space="preserve">the demonstration’s first on-orbit operation, taken from the cited mission</w:t>
      </w:r>
      <w:r>
        <w:t xml:space="preserve"> </w:t>
      </w:r>
      <w:r>
        <w:t xml:space="preserve">report. For multi-year campaigns such as LCRD, which entered orbit in 2021</w:t>
      </w:r>
      <w:r>
        <w:t xml:space="preserve"> </w:t>
      </w:r>
      <w:r>
        <w:t xml:space="preserve">and produced its early-results report in 2023</w:t>
      </w:r>
      <w:r>
        <w:t xml:space="preserve"> </w:t>
      </w:r>
      <w:hyperlink w:anchor="ref-25">
        <w:r>
          <w:rPr>
            <w:rStyle w:val="Hyperlink"/>
          </w:rPr>
          <w:t xml:space="preserve">[25]</w:t>
        </w:r>
      </w:hyperlink>
      <w:r>
        <w:t xml:space="preserve">, the year of first on-orbit</w:t>
      </w:r>
      <w:r>
        <w:t xml:space="preserve"> </w:t>
      </w:r>
      <w:r>
        <w:t xml:space="preserve">operation is used so that the cumulative-experience axis advances when the</w:t>
      </w:r>
      <w:r>
        <w:t xml:space="preserve"> </w:t>
      </w:r>
      <w:r>
        <w:t xml:space="preserve">mission begins to contribute to the field rather than when it publishes.</w:t>
      </w:r>
    </w:p>
    <w:p>
      <w:pPr>
        <w:pStyle w:val="BodyText"/>
        <w:spacing w:line="480" w:lineRule="auto"/>
        <w:ind w:firstLine="720"/>
      </w:pPr>
      <w:r>
        <w:t xml:space="preserve">The second column is the cumulative count of demonstrations through and</w:t>
      </w:r>
      <w:r>
        <w:t xml:space="preserve"> </w:t>
      </w:r>
      <w:r>
        <w:t xml:space="preserve">including the row’s year. This column is constructed by sorting the panel by</w:t>
      </w:r>
      <w:r>
        <w:t xml:space="preserve"> </w:t>
      </w:r>
      <w:r>
        <w:t xml:space="preserve">year and assigning the running count, so the cumulative count at row r is the</w:t>
      </w:r>
      <w:r>
        <w:t xml:space="preserve"> </w:t>
      </w:r>
      <w:r>
        <w:t xml:space="preserve">number of distinct demonstrations whose year is less than or equal to the year</w:t>
      </w:r>
      <w:r>
        <w:t xml:space="preserve"> </w:t>
      </w:r>
      <w:r>
        <w:t xml:space="preserve">at r. Ties in year are resolved by the date of the underlying mission report.</w:t>
      </w:r>
    </w:p>
    <w:p>
      <w:pPr>
        <w:pStyle w:val="BodyText"/>
        <w:spacing w:line="480" w:lineRule="auto"/>
        <w:ind w:firstLine="720"/>
      </w:pPr>
      <w:r>
        <w:t xml:space="preserve">The third column is the peak demonstrated downlink rate in megabits per</w:t>
      </w:r>
      <w:r>
        <w:t xml:space="preserve"> </w:t>
      </w:r>
      <w:r>
        <w:t xml:space="preserve">second, which is the dependent variable in Paper 2. The peak rate is taken</w:t>
      </w:r>
      <w:r>
        <w:t xml:space="preserve"> </w:t>
      </w:r>
      <w:r>
        <w:t xml:space="preserve">directly from the mission report as the highest sustained downlink rate</w:t>
      </w:r>
      <w:r>
        <w:t xml:space="preserve"> </w:t>
      </w:r>
      <w:r>
        <w:t xml:space="preserve">publicly disclosed for the demonstration in question. For the Lunar Laser</w:t>
      </w:r>
      <w:r>
        <w:t xml:space="preserve"> </w:t>
      </w:r>
      <w:r>
        <w:t xml:space="preserve">Communication Demonstration the rate comes from the Boroson and colleagues</w:t>
      </w:r>
      <w:r>
        <w:t xml:space="preserve"> </w:t>
      </w:r>
      <w:r>
        <w:t xml:space="preserve">2014 overview</w:t>
      </w:r>
      <w:r>
        <w:t xml:space="preserve"> </w:t>
      </w:r>
      <w:hyperlink w:anchor="ref-21">
        <w:r>
          <w:rPr>
            <w:rStyle w:val="Hyperlink"/>
          </w:rPr>
          <w:t xml:space="preserve">[21]</w:t>
        </w:r>
      </w:hyperlink>
      <w:r>
        <w:t xml:space="preserve">; for TBIRD the rate comes from the Schieler and colleagues</w:t>
      </w:r>
      <w:r>
        <w:t xml:space="preserve"> </w:t>
      </w:r>
      <w:r>
        <w:t xml:space="preserve">2023 demonstration report</w:t>
      </w:r>
      <w:r>
        <w:t xml:space="preserve"> </w:t>
      </w:r>
      <w:hyperlink w:anchor="ref-22">
        <w:r>
          <w:rPr>
            <w:rStyle w:val="Hyperlink"/>
          </w:rPr>
          <w:t xml:space="preserve">[22]</w:t>
        </w:r>
      </w:hyperlink>
      <w:r>
        <w:t xml:space="preserve">; for LCRD the rate comes from the early</w:t>
      </w:r>
      <w:r>
        <w:t xml:space="preserve"> </w:t>
      </w:r>
      <w:r>
        <w:t xml:space="preserve">results report</w:t>
      </w:r>
      <w:r>
        <w:t xml:space="preserve"> </w:t>
      </w:r>
      <w:hyperlink w:anchor="ref-25">
        <w:r>
          <w:rPr>
            <w:rStyle w:val="Hyperlink"/>
          </w:rPr>
          <w:t xml:space="preserve">[25]</w:t>
        </w:r>
      </w:hyperlink>
      <w:r>
        <w:t xml:space="preserve">; for the TerraSAR-X to NFIRE inter-satellite link the</w:t>
      </w:r>
      <w:r>
        <w:t xml:space="preserve"> </w:t>
      </w:r>
      <w:r>
        <w:t xml:space="preserve">rate comes from the Smutny and colleagues 2009 report</w:t>
      </w:r>
      <w:r>
        <w:t xml:space="preserve"> </w:t>
      </w:r>
      <w:hyperlink w:anchor="ref-28">
        <w:r>
          <w:rPr>
            <w:rStyle w:val="Hyperlink"/>
          </w:rPr>
          <w:t xml:space="preserve">[28]</w:t>
        </w:r>
      </w:hyperlink>
      <w:r>
        <w:t xml:space="preserve">; for OICETS the</w:t>
      </w:r>
      <w:r>
        <w:t xml:space="preserve"> </w:t>
      </w:r>
      <w:r>
        <w:t xml:space="preserve">rate comes from the Toyoshima and colleagues 2007 IEICE Transactions report</w:t>
      </w:r>
      <w:r>
        <w:t xml:space="preserve"> </w:t>
      </w:r>
      <w:hyperlink w:anchor="ref-27">
        <w:r>
          <w:rPr>
            <w:rStyle w:val="Hyperlink"/>
          </w:rPr>
          <w:t xml:space="preserve">[27]</w:t>
        </w:r>
      </w:hyperlink>
      <w:r>
        <w:t xml:space="preserve">; for the Deep Space Optical Communications first light the rate comes</w:t>
      </w:r>
      <w:r>
        <w:t xml:space="preserve"> </w:t>
      </w:r>
      <w:r>
        <w:t xml:space="preserve">from the IPN Progress Report</w:t>
      </w:r>
      <w:r>
        <w:t xml:space="preserve"> </w:t>
      </w:r>
      <w:hyperlink w:anchor="ref-26">
        <w:r>
          <w:rPr>
            <w:rStyle w:val="Hyperlink"/>
          </w:rPr>
          <w:t xml:space="preserve">[26]</w:t>
        </w:r>
      </w:hyperlink>
      <w:r>
        <w:t xml:space="preserve">; for NICT HICALI the rate comes from the</w:t>
      </w:r>
      <w:r>
        <w:t xml:space="preserve"> </w:t>
      </w:r>
      <w:r>
        <w:t xml:space="preserve">2022 ICSOS development status report</w:t>
      </w:r>
      <w:r>
        <w:t xml:space="preserve"> </w:t>
      </w:r>
      <w:hyperlink w:anchor="ref-29">
        <w:r>
          <w:rPr>
            <w:rStyle w:val="Hyperlink"/>
          </w:rPr>
          <w:t xml:space="preserve">[29]</w:t>
        </w:r>
      </w:hyperlink>
      <w:r>
        <w:t xml:space="preserve">.</w:t>
      </w:r>
    </w:p>
    <w:p>
      <w:pPr>
        <w:pStyle w:val="BodyText"/>
        <w:spacing w:line="480" w:lineRule="auto"/>
        <w:ind w:firstLine="720"/>
      </w:pPr>
      <w:r>
        <w:t xml:space="preserve">The fourth column is orbit class, recorded as a categorical descriptor</w:t>
      </w:r>
      <w:r>
        <w:t xml:space="preserve"> </w:t>
      </w:r>
      <w:r>
        <w:t xml:space="preserve">spanning LEO, GEO, lunar, and deep-space. Orbit class is not entered into the</w:t>
      </w:r>
      <w:r>
        <w:t xml:space="preserve"> </w:t>
      </w:r>
      <w:r>
        <w:t xml:space="preserve">log-log specification but is preserved as a descriptive variable that supports</w:t>
      </w:r>
      <w:r>
        <w:t xml:space="preserve"> </w:t>
      </w:r>
      <w:r>
        <w:t xml:space="preserve">subgroup robustness checks.</w:t>
      </w:r>
    </w:p>
    <w:p>
      <w:pPr>
        <w:pStyle w:val="BodyText"/>
        <w:spacing w:line="480" w:lineRule="auto"/>
        <w:ind w:firstLine="720"/>
      </w:pPr>
      <w:r>
        <w:t xml:space="preserve">The fifth column is the operating wavelength in nanometers. As with orbit</w:t>
      </w:r>
      <w:r>
        <w:t xml:space="preserve"> </w:t>
      </w:r>
      <w:r>
        <w:t xml:space="preserve">class, the wavelength is descriptive rather than estimating, but its inclusion</w:t>
      </w:r>
      <w:r>
        <w:t xml:space="preserve"> </w:t>
      </w:r>
      <w:r>
        <w:t xml:space="preserve">allows the panel to support a wavelength-stratified sensitivity analysis in</w:t>
      </w:r>
      <w:r>
        <w:t xml:space="preserve"> </w:t>
      </w:r>
      <w:r>
        <w:t xml:space="preserve">the dissertation’s later chapters.</w:t>
      </w:r>
    </w:p>
    <w:p>
      <w:pPr>
        <w:pStyle w:val="BodyText"/>
        <w:spacing w:line="480" w:lineRule="auto"/>
        <w:ind w:firstLine="720"/>
      </w:pPr>
      <w:r>
        <w:t xml:space="preserve">The sixth column is a coarse site-diversity count: the number of distinct</w:t>
      </w:r>
      <w:r>
        <w:t xml:space="preserve"> </w:t>
      </w:r>
      <w:r>
        <w:t xml:space="preserve">optical ground stations or relay endpoints that participated in the</w:t>
      </w:r>
      <w:r>
        <w:t xml:space="preserve"> </w:t>
      </w:r>
      <w:r>
        <w:t xml:space="preserve">demonstration as cited in the mission report. This count is the operational</w:t>
      </w:r>
      <w:r>
        <w:t xml:space="preserve"> </w:t>
      </w:r>
      <w:r>
        <w:t xml:space="preserve">analogue of the N variable in the prospectus’s A(N) function and is the</w:t>
      </w:r>
      <w:r>
        <w:t xml:space="preserve"> </w:t>
      </w:r>
      <w:r>
        <w:t xml:space="preserve">bridge by which Paper 2’s learning curve will be combined with Paper 1’s</w:t>
      </w:r>
      <w:r>
        <w:t xml:space="preserve"> </w:t>
      </w:r>
      <w:r>
        <w:t xml:space="preserve">site-level availability estimates in the dissertation’s synthesis chapter.</w:t>
      </w:r>
    </w:p>
    <w:p>
      <w:pPr>
        <w:pStyle w:val="BodyText"/>
        <w:spacing w:line="480" w:lineRule="auto"/>
        <w:ind w:firstLine="720"/>
      </w:pPr>
      <w:r>
        <w:t xml:space="preserve">The seventh column is a weather loss percentage drawn from the participating</w:t>
      </w:r>
      <w:r>
        <w:t xml:space="preserve"> </w:t>
      </w:r>
      <w:r>
        <w:t xml:space="preserve">ground network, recorded only where the mission report itself reports a loss</w:t>
      </w:r>
      <w:r>
        <w:t xml:space="preserve"> </w:t>
      </w:r>
      <w:r>
        <w:t xml:space="preserve">attributable to cloud cover or to other atmospheric attenuation. For</w:t>
      </w:r>
      <w:r>
        <w:t xml:space="preserve"> </w:t>
      </w:r>
      <w:r>
        <w:t xml:space="preserve">Haleakala-served demonstrations the weather loss column draws on the</w:t>
      </w:r>
      <w:r>
        <w:t xml:space="preserve"> </w:t>
      </w:r>
      <w:r>
        <w:t xml:space="preserve">LCRD-validation record</w:t>
      </w:r>
      <w:r>
        <w:t xml:space="preserve"> </w:t>
      </w:r>
      <w:hyperlink w:anchor="ref-1">
        <w:r>
          <w:rPr>
            <w:rStyle w:val="Hyperlink"/>
          </w:rPr>
          <w:t xml:space="preserve">[1]</w:t>
        </w:r>
      </w:hyperlink>
      <w:r>
        <w:t xml:space="preserve">[24] and on the Hawaii cloud-free line-of-sight</w:t>
      </w:r>
      <w:r>
        <w:t xml:space="preserve"> </w:t>
      </w:r>
      <w:r>
        <w:t xml:space="preserve">modeling</w:t>
      </w:r>
      <w:r>
        <w:t xml:space="preserve"> </w:t>
      </w:r>
      <w:hyperlink w:anchor="ref-11">
        <w:r>
          <w:rPr>
            <w:rStyle w:val="Hyperlink"/>
          </w:rPr>
          <w:t xml:space="preserve">[11]</w:t>
        </w:r>
      </w:hyperlink>
      <w:r>
        <w:t xml:space="preserve">[19]. For demonstrations whose mission report does not isolate a</w:t>
      </w:r>
      <w:r>
        <w:t xml:space="preserve"> </w:t>
      </w:r>
      <w:r>
        <w:t xml:space="preserve">weather loss the column is recorded as missing rather than imputed.</w:t>
      </w:r>
    </w:p>
    <w:p>
      <w:pPr>
        <w:pStyle w:val="BodyText"/>
        <w:spacing w:line="480" w:lineRule="auto"/>
        <w:ind w:firstLine="720"/>
      </w:pPr>
      <w:r>
        <w:t xml:space="preserve">Four rows of the thirty-row panel carry the illustrative tag. As with the</w:t>
      </w:r>
      <w:r>
        <w:t xml:space="preserve"> </w:t>
      </w:r>
      <w:r>
        <w:t xml:space="preserve">Paper 1 panel, the illustrative tag denotes a row in which the as-flown rate</w:t>
      </w:r>
      <w:r>
        <w:t xml:space="preserve"> </w:t>
      </w:r>
      <w:r>
        <w:t xml:space="preserve">or weather loss is not yet present in the peer-reviewed record but is</w:t>
      </w:r>
      <w:r>
        <w:t xml:space="preserve"> </w:t>
      </w:r>
      <w:r>
        <w:t xml:space="preserve">publicly disclosed in agency or vendor material. The four flagged rows are</w:t>
      </w:r>
      <w:r>
        <w:t xml:space="preserve"> </w:t>
      </w:r>
      <w:r>
        <w:t xml:space="preserve">below the fifteen percent ceiling and, critically, do not include either of</w:t>
      </w:r>
      <w:r>
        <w:t xml:space="preserve"> </w:t>
      </w:r>
      <w:r>
        <w:t xml:space="preserve">the two highest-leverage rows in the panel, namely the TBIRD demonstration</w:t>
      </w:r>
      <w:r>
        <w:t xml:space="preserve"> </w:t>
      </w:r>
      <w:r>
        <w:t xml:space="preserve">and the Starlink optical inter-satellite link. The leverage check is</w:t>
      </w:r>
      <w:r>
        <w:t xml:space="preserve"> </w:t>
      </w:r>
      <w:r>
        <w:t xml:space="preserve">performed by re-fitting the log-log regression with the illustrative rows</w:t>
      </w:r>
      <w:r>
        <w:t xml:space="preserve"> </w:t>
      </w:r>
      <w:r>
        <w:t xml:space="preserve">excluded and verifying that the slope changes by less than the standard</w:t>
      </w:r>
      <w:r>
        <w:t xml:space="preserve"> </w:t>
      </w:r>
      <w:r>
        <w:t xml:space="preserve">error of the fitted slope. This check is the panel’s principal defense</w:t>
      </w:r>
      <w:r>
        <w:t xml:space="preserve"> </w:t>
      </w:r>
      <w:r>
        <w:t xml:space="preserve">against the concern that partial reporting in the underlying record could</w:t>
      </w:r>
      <w:r>
        <w:t xml:space="preserve"> </w:t>
      </w:r>
      <w:r>
        <w:t xml:space="preserve">drive the headline elasticity.</w:t>
      </w:r>
    </w:p>
    <w:bookmarkEnd w:id="94"/>
    <w:bookmarkStart w:id="95" w:name="Xb7dbaf1c25b7697804f3367fbe484f9bc27acf1"/>
    <w:p>
      <w:pPr>
        <w:pStyle w:val="Heading2"/>
        <w:spacing w:line="480" w:lineRule="auto"/>
      </w:pPr>
      <w:r>
        <w:t xml:space="preserve">4.6 Illustrative Values, Audit, and Threats to Measurement Validity</w:t>
      </w:r>
    </w:p>
    <w:p>
      <w:pPr>
        <w:pStyle w:val="FirstParagraph"/>
        <w:spacing w:line="480" w:lineRule="auto"/>
      </w:pPr>
      <w:r>
        <w:t xml:space="preserve">The illustrative-value protocol applied uniformly across both panels has three</w:t>
      </w:r>
      <w:r>
        <w:t xml:space="preserve"> </w:t>
      </w:r>
      <w:r>
        <w:t xml:space="preserve">elements. First, every interpolated or extrapolated cell is flagged in the</w:t>
      </w:r>
      <w:r>
        <w:t xml:space="preserve"> </w:t>
      </w:r>
      <w:r>
        <w:t xml:space="preserve">workbook by an explicit illustrative tag attached to the row, not buried in a</w:t>
      </w:r>
      <w:r>
        <w:t xml:space="preserve"> </w:t>
      </w:r>
      <w:r>
        <w:t xml:space="preserve">notes column. Second, the share of illustrative cells in each panel is held</w:t>
      </w:r>
      <w:r>
        <w:t xml:space="preserve"> </w:t>
      </w:r>
      <w:r>
        <w:t xml:space="preserve">under fifteen percent by construction; the candidate refused to add a row</w:t>
      </w:r>
      <w:r>
        <w:t xml:space="preserve"> </w:t>
      </w:r>
      <w:r>
        <w:t xml:space="preserve">whose dependent variable would have required an illustrative tag once the</w:t>
      </w:r>
      <w:r>
        <w:t xml:space="preserve"> </w:t>
      </w:r>
      <w:r>
        <w:t xml:space="preserve">share approached the ceiling. Third, the analysis pipeline runs a parallel</w:t>
      </w:r>
      <w:r>
        <w:t xml:space="preserve"> </w:t>
      </w:r>
      <w:r>
        <w:t xml:space="preserve">specification with the illustrative rows excluded and reports the difference</w:t>
      </w:r>
      <w:r>
        <w:t xml:space="preserve"> </w:t>
      </w:r>
      <w:r>
        <w:t xml:space="preserve">in fitted coefficients as a robustness check; the candidate has pre-committed</w:t>
      </w:r>
      <w:r>
        <w:t xml:space="preserve"> </w:t>
      </w:r>
      <w:r>
        <w:t xml:space="preserve">to disclose that difference whether or not it affects significance.</w:t>
      </w:r>
    </w:p>
    <w:p>
      <w:pPr>
        <w:pStyle w:val="BodyText"/>
        <w:spacing w:line="480" w:lineRule="auto"/>
        <w:ind w:firstLine="720"/>
      </w:pPr>
      <w:r>
        <w:t xml:space="preserve">The audit rules are equally explicit. Each row in the Paper 1 dataset carries</w:t>
      </w:r>
      <w:r>
        <w:t xml:space="preserve"> </w:t>
      </w:r>
      <w:r>
        <w:t xml:space="preserve">a citation string identifying the source document used for the dependent</w:t>
      </w:r>
      <w:r>
        <w:t xml:space="preserve"> </w:t>
      </w:r>
      <w:r>
        <w:t xml:space="preserve">variable; the citation strings in the deposited</w:t>
      </w:r>
      <w:r>
        <w:t xml:space="preserve"> </w:t>
      </w:r>
      <w:r>
        <w:rPr>
          <w:rStyle w:val="VerbatimChar"/>
        </w:rPr>
        <w:t xml:space="preserve">data.csv</w:t>
      </w:r>
      <w:r>
        <w:t xml:space="preserve"> </w:t>
      </w:r>
      <w:r>
        <w:t xml:space="preserve">use the numbers in</w:t>
      </w:r>
      <w:r>
        <w:t xml:space="preserve"> </w:t>
      </w:r>
      <w:r>
        <w:t xml:space="preserve">this dissertation’s shared reference pool</w:t>
      </w:r>
      <w:r>
        <w:t xml:space="preserve"> </w:t>
      </w:r>
      <w:hyperlink w:anchor="ref-1">
        <w:r>
          <w:rPr>
            <w:rStyle w:val="Hyperlink"/>
          </w:rPr>
          <w:t xml:space="preserve">[1]</w:t>
        </w:r>
      </w:hyperlink>
      <w:r>
        <w:t xml:space="preserve">[3][4][5][10][11][12][13][14][15][16][17][18][19] so that any reader can</w:t>
      </w:r>
      <w:r>
        <w:t xml:space="preserve"> </w:t>
      </w:r>
      <w:r>
        <w:t xml:space="preserve">trace a row back to its primary record without ambiguity. Each row in the</w:t>
      </w:r>
      <w:r>
        <w:t xml:space="preserve"> </w:t>
      </w:r>
      <w:r>
        <w:t xml:space="preserve">Paper 2 dataset carries an analogous source column identifying the mission</w:t>
      </w:r>
      <w:r>
        <w:t xml:space="preserve"> </w:t>
      </w:r>
      <w:r>
        <w:t xml:space="preserve">report consulted</w:t>
      </w:r>
      <w:r>
        <w:t xml:space="preserve"> </w:t>
      </w:r>
      <w:hyperlink w:anchor="ref-21">
        <w:r>
          <w:rPr>
            <w:rStyle w:val="Hyperlink"/>
          </w:rPr>
          <w:t xml:space="preserve">[21]</w:t>
        </w:r>
      </w:hyperlink>
      <w:r>
        <w:t xml:space="preserve">[22][25][26][27][28][29]. The two panels and their</w:t>
      </w:r>
      <w:r>
        <w:t xml:space="preserve"> </w:t>
      </w:r>
      <w:r>
        <w:t xml:space="preserve">companion citation columns are the canonical artifacts of the measurement</w:t>
      </w:r>
      <w:r>
        <w:t xml:space="preserve"> </w:t>
      </w:r>
      <w:r>
        <w:t xml:space="preserve">design; the regression scripts read directly from them, and the candidate</w:t>
      </w:r>
      <w:r>
        <w:t xml:space="preserve"> </w:t>
      </w:r>
      <w:r>
        <w:t xml:space="preserve">has committed to release both panels and the scripts as a reproducible</w:t>
      </w:r>
      <w:r>
        <w:t xml:space="preserve"> </w:t>
      </w:r>
      <w:r>
        <w:t xml:space="preserve">repository at thesis deposit.</w:t>
      </w:r>
    </w:p>
    <w:p>
      <w:pPr>
        <w:pStyle w:val="BodyText"/>
        <w:spacing w:line="480" w:lineRule="auto"/>
        <w:ind w:firstLine="720"/>
      </w:pPr>
      <w:r>
        <w:t xml:space="preserve">Five threats to measurement validity are explicitly bounded by the design.</w:t>
      </w:r>
      <w:r>
        <w:t xml:space="preserve"> </w:t>
      </w:r>
      <w:r>
        <w:t xml:space="preserve">The first is dependent-variable construction heterogeneity in Paper 1: not</w:t>
      </w:r>
      <w:r>
        <w:t xml:space="preserve"> </w:t>
      </w:r>
      <w:r>
        <w:t xml:space="preserve">every cloud-free fraction in the literature is built against the same</w:t>
      </w:r>
      <w:r>
        <w:t xml:space="preserve"> </w:t>
      </w:r>
      <w:r>
        <w:t xml:space="preserve">altitude threshold or the same temporal denominator. The candidate’s</w:t>
      </w:r>
      <w:r>
        <w:t xml:space="preserve"> </w:t>
      </w:r>
      <w:r>
        <w:t xml:space="preserve">construction rule, described in Section 4.4, harmonizes the convention as</w:t>
      </w:r>
      <w:r>
        <w:t xml:space="preserve"> </w:t>
      </w:r>
      <w:r>
        <w:t xml:space="preserve">far as possible by anchoring to the cloud-free line-of-sight framework in</w:t>
      </w:r>
      <w:r>
        <w:t xml:space="preserve"> </w:t>
      </w:r>
      <w:hyperlink w:anchor="ref-1">
        <w:r>
          <w:rPr>
            <w:rStyle w:val="Hyperlink"/>
          </w:rPr>
          <w:t xml:space="preserve">[1]</w:t>
        </w:r>
      </w:hyperlink>
      <w:r>
        <w:t xml:space="preserve">[11] and by preferring the source closest in methodology to the Alliss</w:t>
      </w:r>
      <w:r>
        <w:t xml:space="preserve"> </w:t>
      </w:r>
      <w:r>
        <w:t xml:space="preserve">and Felton 2013 cloud forecasting record</w:t>
      </w:r>
      <w:r>
        <w:t xml:space="preserve"> </w:t>
      </w:r>
      <w:hyperlink w:anchor="ref-9">
        <w:r>
          <w:rPr>
            <w:rStyle w:val="Hyperlink"/>
          </w:rPr>
          <w:t xml:space="preserve">[9]</w:t>
        </w:r>
      </w:hyperlink>
      <w:r>
        <w:t xml:space="preserve">. Residual heterogeneity is</w:t>
      </w:r>
      <w:r>
        <w:t xml:space="preserve"> </w:t>
      </w:r>
      <w:r>
        <w:t xml:space="preserve">absorbed into the standard errors and disclosed in the sensitivity analysis.</w:t>
      </w:r>
    </w:p>
    <w:p>
      <w:pPr>
        <w:pStyle w:val="BodyText"/>
        <w:spacing w:line="480" w:lineRule="auto"/>
        <w:ind w:firstLine="720"/>
      </w:pPr>
      <w:r>
        <w:t xml:space="preserve">The second threat is seeing-elevation collinearity in Paper 1. The</w:t>
      </w:r>
      <w:r>
        <w:t xml:space="preserve"> </w:t>
      </w:r>
      <w:r>
        <w:t xml:space="preserve">discussion in Paper 1 noted that elevation and seeing share a boundary-layer</w:t>
      </w:r>
      <w:r>
        <w:t xml:space="preserve"> </w:t>
      </w:r>
      <w:r>
        <w:t xml:space="preserve">mechanism and that the multivariate specification splits a shared signal</w:t>
      </w:r>
      <w:r>
        <w:t xml:space="preserve"> </w:t>
      </w:r>
      <w:r>
        <w:t xml:space="preserve">between the two regressors. The measurement implication is that the panel</w:t>
      </w:r>
      <w:r>
        <w:t xml:space="preserve"> </w:t>
      </w:r>
      <w:r>
        <w:t xml:space="preserve">intentionally retains both columns and lets the OLS estimator allocate the</w:t>
      </w:r>
      <w:r>
        <w:t xml:space="preserve"> </w:t>
      </w:r>
      <w:r>
        <w:t xml:space="preserve">variance; the candidate explicitly does not orthogonalize one against the</w:t>
      </w:r>
      <w:r>
        <w:t xml:space="preserve"> </w:t>
      </w:r>
      <w:r>
        <w:t xml:space="preserve">other before fitting, because the prospectus’s downstream A(N) estimator</w:t>
      </w:r>
      <w:r>
        <w:t xml:space="preserve"> </w:t>
      </w:r>
      <w:r>
        <w:t xml:space="preserve">needs both columns separately.</w:t>
      </w:r>
    </w:p>
    <w:p>
      <w:pPr>
        <w:pStyle w:val="BodyText"/>
        <w:spacing w:line="480" w:lineRule="auto"/>
        <w:ind w:firstLine="720"/>
      </w:pPr>
      <w:r>
        <w:t xml:space="preserve">The third threat is publication selection in Paper 2. Demonstrations whose</w:t>
      </w:r>
      <w:r>
        <w:t xml:space="preserve"> </w:t>
      </w:r>
      <w:r>
        <w:t xml:space="preserve">peak rate fell short of design are less likely to publish a clean number,</w:t>
      </w:r>
      <w:r>
        <w:t xml:space="preserve"> </w:t>
      </w:r>
      <w:r>
        <w:t xml:space="preserve">and the panel may therefore be tilted toward overstatement at the upper end.</w:t>
      </w:r>
      <w:r>
        <w:t xml:space="preserve"> </w:t>
      </w:r>
      <w:r>
        <w:t xml:space="preserve">The candidate mitigates this by recording rates only where the mission</w:t>
      </w:r>
      <w:r>
        <w:t xml:space="preserve"> </w:t>
      </w:r>
      <w:r>
        <w:t xml:space="preserve">report itself states the value and by flagging illustrative rows where the</w:t>
      </w:r>
      <w:r>
        <w:t xml:space="preserve"> </w:t>
      </w:r>
      <w:r>
        <w:t xml:space="preserve">record is incomplete. The residual selection bias is acknowledged and</w:t>
      </w:r>
      <w:r>
        <w:t xml:space="preserve"> </w:t>
      </w:r>
      <w:r>
        <w:t xml:space="preserve">bounds the external interpretation of the fitted slope.</w:t>
      </w:r>
    </w:p>
    <w:p>
      <w:pPr>
        <w:pStyle w:val="BodyText"/>
        <w:spacing w:line="480" w:lineRule="auto"/>
        <w:ind w:firstLine="720"/>
      </w:pPr>
      <w:r>
        <w:t xml:space="preserve">The fourth threat is the small cross-sectional N. Both panels carry thirty</w:t>
      </w:r>
      <w:r>
        <w:t xml:space="preserve"> </w:t>
      </w:r>
      <w:r>
        <w:t xml:space="preserve">rows, which is the universe of publicly available information rather than a</w:t>
      </w:r>
      <w:r>
        <w:t xml:space="preserve"> </w:t>
      </w:r>
      <w:r>
        <w:t xml:space="preserve">researcher choice. The standard errors reported in Papers 1 and 2 are</w:t>
      </w:r>
      <w:r>
        <w:t xml:space="preserve"> </w:t>
      </w:r>
      <w:r>
        <w:t xml:space="preserve">heteroskedasticity-naive precisely because the cross-sectional N does not</w:t>
      </w:r>
      <w:r>
        <w:t xml:space="preserve"> </w:t>
      </w:r>
      <w:r>
        <w:t xml:space="preserve">support a robust covariance estimator at any defensible degrees of freedom;</w:t>
      </w:r>
      <w:r>
        <w:t xml:space="preserve"> </w:t>
      </w:r>
      <w:r>
        <w:t xml:space="preserve">the candidate has chosen explicit naivete over false sophistication.</w:t>
      </w:r>
    </w:p>
    <w:p>
      <w:pPr>
        <w:pStyle w:val="BodyText"/>
        <w:spacing w:line="480" w:lineRule="auto"/>
        <w:ind w:firstLine="720"/>
      </w:pPr>
      <w:r>
        <w:t xml:space="preserve">The fifth threat is the disjunction between the panels and the dissertation’s</w:t>
      </w:r>
      <w:r>
        <w:t xml:space="preserve"> </w:t>
      </w:r>
      <w:r>
        <w:t xml:space="preserve">ultimate quantity, the network availability penalty function A(N) defined</w:t>
      </w:r>
      <w:r>
        <w:t xml:space="preserve"> </w:t>
      </w:r>
      <w:r>
        <w:t xml:space="preserve">over a co-registered multi-year reanalysis time series at sub-hourly</w:t>
      </w:r>
      <w:r>
        <w:t xml:space="preserve"> </w:t>
      </w:r>
      <w:r>
        <w:t xml:space="preserve">resolution</w:t>
      </w:r>
      <w:r>
        <w:t xml:space="preserve"> </w:t>
      </w:r>
      <w:hyperlink w:anchor="ref-1">
        <w:r>
          <w:rPr>
            <w:rStyle w:val="Hyperlink"/>
          </w:rPr>
          <w:t xml:space="preserve">[1]</w:t>
        </w:r>
      </w:hyperlink>
      <w:r>
        <w:t xml:space="preserve">[3]. Neither Paper 1 nor Paper 2 directly measures A(N).</w:t>
      </w:r>
      <w:r>
        <w:t xml:space="preserve"> </w:t>
      </w:r>
      <w:r>
        <w:t xml:space="preserve">Paper 1 measures the site-level covariates that determine the per-aperture</w:t>
      </w:r>
      <w:r>
        <w:t xml:space="preserve"> </w:t>
      </w:r>
      <w:r>
        <w:t xml:space="preserve">denominator that A(N) integrates, and Paper 2 measures the rate of growth in</w:t>
      </w:r>
      <w:r>
        <w:t xml:space="preserve"> </w:t>
      </w:r>
      <w:r>
        <w:t xml:space="preserve">the per-link numerator that A(N) bounds. The two panels are the calibration</w:t>
      </w:r>
      <w:r>
        <w:t xml:space="preserve"> </w:t>
      </w:r>
      <w:r>
        <w:t xml:space="preserve">substrate for A(N) rather than its direct realization, and the dissertation’s</w:t>
      </w:r>
      <w:r>
        <w:t xml:space="preserve"> </w:t>
      </w:r>
      <w:r>
        <w:t xml:space="preserve">later chapters carry the construction of A(N) itself from the MERRA-2</w:t>
      </w:r>
      <w:r>
        <w:t xml:space="preserve"> </w:t>
      </w:r>
      <w:r>
        <w:t xml:space="preserve">reanalysis product and the optical turbulence simulation pipeline cited in</w:t>
      </w:r>
      <w:r>
        <w:t xml:space="preserve"> </w:t>
      </w:r>
      <w:r>
        <w:t xml:space="preserve">the prospectus</w:t>
      </w:r>
      <w:r>
        <w:t xml:space="preserve"> </w:t>
      </w:r>
      <w:hyperlink w:anchor="ref-1">
        <w:r>
          <w:rPr>
            <w:rStyle w:val="Hyperlink"/>
          </w:rPr>
          <w:t xml:space="preserve">[1]</w:t>
        </w:r>
      </w:hyperlink>
      <w:r>
        <w:t xml:space="preserve">[3]. The measurement chapter’s task is to demonstrate that</w:t>
      </w:r>
      <w:r>
        <w:t xml:space="preserve"> </w:t>
      </w:r>
      <w:r>
        <w:t xml:space="preserve">the calibration substrate is built from public, citable, primary records</w:t>
      </w:r>
      <w:r>
        <w:t xml:space="preserve"> </w:t>
      </w:r>
      <w:r>
        <w:t xml:space="preserve">under a disciplined construction rule, and that task is complete.</w:t>
      </w:r>
    </w:p>
    <w:bookmarkEnd w:id="95"/>
    <w:bookmarkEnd w:id="96"/>
    <w:bookmarkStart w:id="104" w:name="chapter-5.-methods-and-identification"/>
    <w:p>
      <w:pPr>
        <w:pStyle w:val="Heading1"/>
        <w:spacing w:line="480" w:lineRule="auto"/>
      </w:pPr>
      <w:r>
        <w:t xml:space="preserve">Chapter 5. Methods and Identification</w:t>
      </w:r>
    </w:p>
    <w:bookmarkStart w:id="97" w:name="overview-of-the-estimation-strategy"/>
    <w:p>
      <w:pPr>
        <w:pStyle w:val="Heading2"/>
        <w:spacing w:line="480" w:lineRule="auto"/>
      </w:pPr>
      <w:r>
        <w:t xml:space="preserve">5.1 Overview of the Estimation Strategy</w:t>
      </w:r>
    </w:p>
    <w:p>
      <w:pPr>
        <w:pStyle w:val="FirstParagraph"/>
        <w:spacing w:line="480" w:lineRule="auto"/>
      </w:pPr>
      <w:r>
        <w:t xml:space="preserve">The empirical apparatus of this dissertation is built to deliver a single, falsifiable object: the network availability penalty function A(N), defined as the expected fraction of demanded low-Earth-orbit to optical ground station (OGS) link-minutes lost to cloud cover and turbulence-induced outage for a network of N candidate apertures operated under a specified scheduling policy and link-budget threshold. The estimation strategy decomposes A(N) into three layers, each estimated by a method matched to the structure of the underlying data. The first layer is a cross-site predictor of single-aperture cloud-free availability, estimated by ordinary least squares (OLS) on a compiled cross-section of thirty published apertures. The second layer is a capability-progress curve for the space segment, estimated as a Wright-style log-log learning regression over thirty demonstrations from 1995 to 2024. The third layer is the network-level penalty itself, estimated by Monte Carlo simulation over a co-registered multi-year reanalysis record at a fixed candidate site set, preserving the joint spatial-correlation structure of the cloud field rather than assuming inter-site independence. The first two layers identify the parameters that enter the third; the third produces the falsifiable A(N) curve and the hypothesis test on its curvature.</w:t>
      </w:r>
    </w:p>
    <w:p>
      <w:pPr>
        <w:pStyle w:val="BodyText"/>
        <w:spacing w:line="480" w:lineRule="auto"/>
        <w:ind w:firstLine="720"/>
      </w:pPr>
      <w:r>
        <w:t xml:space="preserve">This chapter sets out, in order, the estimators used, the identification assumptions that license their causal or capacity interpretations, and the threats to validity that bound each layer. The exposition deliberately separates estimation, identification, and inference. Estimation is a mechanical map from data to coefficients. Identification is the substantive argument that the coefficient deserves the interpretation claimed for it. Inference is the report of uncertainty around the estimate. The three are entangled in practice, but a doctoral defense requires that they be argued in sequence.</w:t>
      </w:r>
    </w:p>
    <w:bookmarkEnd w:id="97"/>
    <w:bookmarkStart w:id="98" w:name="X888eb1195414c806cbab8ce8c1ee910c0e5e420"/>
    <w:p>
      <w:pPr>
        <w:pStyle w:val="Heading2"/>
        <w:spacing w:line="480" w:lineRule="auto"/>
      </w:pPr>
      <w:r>
        <w:t xml:space="preserve">5.2 Layer One: Cross-Site OLS on Single-Aperture Cloud-Free Availability</w:t>
      </w:r>
    </w:p>
    <w:p>
      <w:pPr>
        <w:pStyle w:val="FirstParagraph"/>
        <w:spacing w:line="480" w:lineRule="auto"/>
      </w:pPr>
      <w:r>
        <w:t xml:space="preserve">The first estimator is an OLS regression of annual cloud-free availability at the aperture on three site predictors: aperture elevation in meters, signed geodetic latitude in degrees, and the median atmospheric seeing parameter in arcseconds. The unit of analysis is one site-year. The sample is a compiled cross-section of thirty operational optical ground stations, satellite laser-ranging stations, and astronomical observatories that the laser-communication literature has used as climatology proxies, including the Haleakala and Mauna Kea apertures, the Canary Islands sites, the European Southern Observatory sites, and the principal satellite-laser-ranging stations</w:t>
      </w:r>
      <w:r>
        <w:t xml:space="preserve"> </w:t>
      </w:r>
      <w:hyperlink w:anchor="ref-12">
        <w:r>
          <w:rPr>
            <w:rStyle w:val="Hyperlink"/>
          </w:rPr>
          <w:t xml:space="preserve">[12]</w:t>
        </w:r>
      </w:hyperlink>
      <w:r>
        <w:t xml:space="preserve">[13][16][18][19].</w:t>
      </w:r>
    </w:p>
    <w:p>
      <w:pPr>
        <w:pStyle w:val="BodyText"/>
        <w:spacing w:line="480" w:lineRule="auto"/>
        <w:ind w:firstLine="720"/>
      </w:pPr>
      <w:r>
        <w:t xml:space="preserve">The specification is parsimonious by design. The dissertation’s central object is a network-level penalty, not a structural model of boundary-layer meteorology, so the cross-site regression is required only to deliver an interpretable, well-calibrated mapping from observable site characteristics to a single-aperture availability number that the simulation layer can use as a prior. Elevation is entered linearly because the candidate sample spans the elevation range over which a linear approximation is defensible. Latitude is entered as a signed value to absorb the difference between northern- and southern-hemisphere subtropical samples without forcing a kink at the equator. Median seeing is entered as the continuous indicator of column-integrated optical turbulence that the astronomical site-testing literature has standardized</w:t>
      </w:r>
      <w:r>
        <w:t xml:space="preserve"> </w:t>
      </w:r>
      <w:hyperlink w:anchor="ref-14">
        <w:r>
          <w:rPr>
            <w:rStyle w:val="Hyperlink"/>
          </w:rPr>
          <w:t xml:space="preserve">[14]</w:t>
        </w:r>
      </w:hyperlink>
      <w:r>
        <w:t xml:space="preserve">[15]. The hypothesis set, stated before estimation, is that elevation carries a positive partial coefficient, that signed latitude carries a negative partial coefficient, and that seeing carries a negative partial coefficient.</w:t>
      </w:r>
    </w:p>
    <w:p>
      <w:pPr>
        <w:pStyle w:val="BodyText"/>
        <w:spacing w:line="480" w:lineRule="auto"/>
        <w:ind w:firstLine="720"/>
      </w:pPr>
      <w:r>
        <w:t xml:space="preserve">The estimated model explains 88.2 percent of the cross-site variance, with the seeing coefficient dominating the explanatory load and the elevation coefficient statistically indistinguishable from zero once seeing is controlled. The interpretation is that elevation and seeing are themselves correlated through a shared boundary-layer mechanism, and the multivariate specification correctly attributes the larger share of the signal to the more directly causal regressor. The standard errors are heteroskedasticity-naive; the small cross-sectional N does not support a heteroskedasticity-robust covariance estimator, and the report treats the coefficients as conditional means rather than population parameters. The illustrative-tag protocol restricts to fewer than fifteen percent of rows the use of values extrapolated within a cited range, and the workbook records the citation string and the tag on every row, so any reader can replicate, contest, or reweight the cross-section row by row.</w:t>
      </w:r>
    </w:p>
    <w:p>
      <w:pPr>
        <w:pStyle w:val="BodyText"/>
        <w:spacing w:line="480" w:lineRule="auto"/>
        <w:ind w:firstLine="720"/>
      </w:pPr>
      <w:r>
        <w:t xml:space="preserve">Identification at this layer rests on the assumption that the three predictors are not endogenous to the dependent variable in the sample. Site managers do not choose elevation or latitude in response to a particular year’s cloud-free percentage; the geography is fixed. Seeing is measured by an independent instrument chain on each site and is exogenous to the cloud-free count in the sense that it is a property of the optical column rather than a function of cloud occurrence. The interpretive risk is omitted-variable bias from a fourth, unmeasured site characteristic, principally synoptic-scale circulation regime. The dissertation does not claim to identify the structural effect of elevation on availability; it claims to identify the partial association of each predictor with availability conditional on the others, in the sample of sites that the laser-communication literature treats as the relevant candidate set.</w:t>
      </w:r>
    </w:p>
    <w:bookmarkEnd w:id="98"/>
    <w:bookmarkStart w:id="99" w:name="X34d51a7161eb017b9523b66fe6461bbf43a4b7c"/>
    <w:p>
      <w:pPr>
        <w:pStyle w:val="Heading2"/>
        <w:spacing w:line="480" w:lineRule="auto"/>
      </w:pPr>
      <w:r>
        <w:t xml:space="preserve">5.3 Layer Two: Wright-Style Log-Log Learning Regression on the Space Segment</w:t>
      </w:r>
    </w:p>
    <w:p>
      <w:pPr>
        <w:pStyle w:val="FirstParagraph"/>
        <w:spacing w:line="480" w:lineRule="auto"/>
      </w:pPr>
      <w:r>
        <w:t xml:space="preserve">The second estimator is a Wright-style learning curve regressing the natural log of peak demonstrated space-to-ground optical downlink rate on the natural log of the cumulative count of demonstrations through that year, with an intercept</w:t>
      </w:r>
      <w:r>
        <w:t xml:space="preserve"> </w:t>
      </w:r>
      <w:hyperlink w:anchor="ref-20">
        <w:r>
          <w:rPr>
            <w:rStyle w:val="Hyperlink"/>
          </w:rPr>
          <w:t xml:space="preserve">[20]</w:t>
        </w:r>
      </w:hyperlink>
      <w:r>
        <w:t xml:space="preserve">. The panel pools thirty demonstrations from GOLD in 1995 through the LCOT first-acquisition record in 2024, with rows drawn from the principal mission technical reports and the laser-communication proceedings</w:t>
      </w:r>
      <w:r>
        <w:t xml:space="preserve"> </w:t>
      </w:r>
      <w:hyperlink w:anchor="ref-21">
        <w:r>
          <w:rPr>
            <w:rStyle w:val="Hyperlink"/>
          </w:rPr>
          <w:t xml:space="preserve">[21]</w:t>
        </w:r>
      </w:hyperlink>
      <w:r>
        <w:t xml:space="preserve">[22][24][25][26][27][28][29]. Each row records the calendar year, the cumulative demonstration count, the peak demonstrated downlink rate in megabits per second, the orbit class, the operating wavelength, a coarse site-diversity count, and a participating-network weather-loss percentage.</w:t>
      </w:r>
    </w:p>
    <w:p>
      <w:pPr>
        <w:pStyle w:val="BodyText"/>
        <w:spacing w:line="480" w:lineRule="auto"/>
        <w:ind w:firstLine="720"/>
      </w:pPr>
      <w:r>
        <w:t xml:space="preserve">The estimating equation delivers a slope that is interpretable as the elasticity of demonstrated capacity with respect to cumulative experience, with an implied doubling factor of two raised to that slope. The fitted slope is 1.705 with a t-test p-value below 0.001 over thirty observations and an R-squared of 0.291. The slope is large by manufacturing-curve standards because it is a capability-progress curve, not a cost-reduction curve, and is reported as an upper envelope on the rate that the space segment can offer the architecture. The residual variance is the empirical signature of the bound that the ground segment imposes on availability-weighted throughput, and is exactly the share of variation that the network availability penalty estimator in Section 5.4 quantifies.</w:t>
      </w:r>
    </w:p>
    <w:p>
      <w:pPr>
        <w:pStyle w:val="BodyText"/>
        <w:spacing w:line="480" w:lineRule="auto"/>
        <w:ind w:firstLine="720"/>
      </w:pPr>
      <w:r>
        <w:t xml:space="preserve">The learning curve does not enter A(N) as a coefficient. It enters as the calibration that justifies treating cloud-driven outages as a first-class architectural variable. If demonstrated peak rates had remained at the order of tens of megabits per second, the link-minute denominator on which A(N) is defined would carry negligible weight, and the dissertation would be solving an irrelevant problem. The learning estimate certifies that the denominator is large and growing fast enough to warrant the full simulation apparatus that follows. Identification here is descriptive rather than causal; the slope is offered as a forward envelope, not as a structural parameter of the capability-production function.</w:t>
      </w:r>
    </w:p>
    <w:bookmarkEnd w:id="99"/>
    <w:bookmarkStart w:id="100" w:name="Xec800e87a12dd68138ed821748907bc0c771e32"/>
    <w:p>
      <w:pPr>
        <w:pStyle w:val="Heading2"/>
        <w:spacing w:line="480" w:lineRule="auto"/>
      </w:pPr>
      <w:r>
        <w:t xml:space="preserve">5.4 Layer Three: Network-Level Monte Carlo Estimation of A(N)</w:t>
      </w:r>
    </w:p>
    <w:p>
      <w:pPr>
        <w:pStyle w:val="FirstParagraph"/>
        <w:spacing w:line="480" w:lineRule="auto"/>
      </w:pPr>
      <w:r>
        <w:t xml:space="preserve">The third and central estimator is a Monte Carlo simulator that computes A(N) from a co-registered multi-year time series of cloud-cover and optical-turbulence indicators at every site in a fixed candidate network, for every site subset of size 1 through the network cardinality. The simulator preserves the joint spatial-correlation structure of the cloud field as observed in the reanalysis record, rather than assuming inter-site independence, and conditions outage on a pre-registered link-budget threshold and a representative LEO pass schedule consistent with the documented OGS-to-LEO operations literature</w:t>
      </w:r>
      <w:r>
        <w:t xml:space="preserve"> </w:t>
      </w:r>
      <w:hyperlink w:anchor="ref-10">
        <w:r>
          <w:rPr>
            <w:rStyle w:val="Hyperlink"/>
          </w:rPr>
          <w:t xml:space="preserve">[10]</w:t>
        </w:r>
      </w:hyperlink>
      <w:r>
        <w:t xml:space="preserve">[43].</w:t>
      </w:r>
    </w:p>
    <w:p>
      <w:pPr>
        <w:pStyle w:val="BodyText"/>
        <w:spacing w:line="480" w:lineRule="auto"/>
        <w:ind w:firstLine="720"/>
      </w:pPr>
      <w:r>
        <w:t xml:space="preserve">The simulator operates as follows. The cloud-cover field is the National Aeronautics and Space Administration MERRA-2 reanalysis hourly cloud fraction at approximately 50 km horizontal resolution, sampled at each site’s grid cell for the full multi-year window. The turbulence field is the seeing-parameter output of the high-performance-computing optical-turbulence simulation framework benchmarked against the Haleakala in situ characterization</w:t>
      </w:r>
      <w:r>
        <w:t xml:space="preserve"> </w:t>
      </w:r>
      <w:hyperlink w:anchor="ref-3">
        <w:r>
          <w:rPr>
            <w:rStyle w:val="Hyperlink"/>
          </w:rPr>
          <w:t xml:space="preserve">[3]</w:t>
        </w:r>
      </w:hyperlink>
      <w:r>
        <w:t xml:space="preserve">[4][5], obtained through the published modeling pipeline. The LEO pass schedule is a representative climatology of overhead passes for a defined orbit class, expressed as link-minute demand at each site for each hour of the record. For each site subset of size N, the simulator iterates over the record, marks each demand link-minute as served if at least one site in the subset has a cloud fraction below the cloud threshold and a seeing parameter below the turbulence threshold, and otherwise marks it as lost. The unserved share, averaged over the record, is the realized A(N) for that subset. The subset enumeration is performed over all subsets where the cardinality of the candidate network permits, and over a pre-registered, seeded random sample of subsets otherwise. Bootstrap confidence intervals on A(N) are computed by resampling the record’s time blocks with replacement at a block length chosen to preserve synoptic-scale serial correlation.</w:t>
      </w:r>
    </w:p>
    <w:p>
      <w:pPr>
        <w:pStyle w:val="BodyText"/>
        <w:spacing w:line="480" w:lineRule="auto"/>
        <w:ind w:firstLine="720"/>
      </w:pPr>
      <w:r>
        <w:t xml:space="preserve">The parametric marginal-return curve fit to the resulting A(N) estimates is a convex-monotone function of N with at least one curvature parameter free, estimated by nonlinear least squares on the simulator output. The hypothesis test on the curvature parameter is the falsifiable claim of the dissertation. The null H0 holds that the marginal reduction in A(N) from adding the Nth site is statistically indistinguishable from a linear extrapolation of the first added site’s contribution. The alternative H1 holds that the marginal reduction exhibits a strictly diminishing return, significant at the 0.05 level, such that A(N) is convex over the operational range. Rejection of H0 in favor of H1 with a quantified curvature parameter is the falsifiable contribution; failure to reject H0 is an equally publishable result that would materially change OGS network sizing guidance.</w:t>
      </w:r>
    </w:p>
    <w:bookmarkEnd w:id="100"/>
    <w:bookmarkStart w:id="101" w:name="identification-strategy"/>
    <w:p>
      <w:pPr>
        <w:pStyle w:val="Heading2"/>
        <w:spacing w:line="480" w:lineRule="auto"/>
      </w:pPr>
      <w:r>
        <w:t xml:space="preserve">5.5 Identification Strategy</w:t>
      </w:r>
    </w:p>
    <w:p>
      <w:pPr>
        <w:pStyle w:val="FirstParagraph"/>
        <w:spacing w:line="480" w:lineRule="auto"/>
      </w:pPr>
      <w:r>
        <w:t xml:space="preserve">Identification of A(N) does not rest on randomization. No randomized assignment of weather to candidate networks is possible, and none is required. Identification rests on the exogeneity of the cloud field to the network configuration. The cloud field over a fixed set of geographic coordinates is not a function of which subset of those coordinates an operator chooses to equip. This is the identifying assumption that makes counterfactual subset enumeration valid: holding the cloud and turbulence record fixed and varying only the subset of sites the operator equips, the simulator recovers the availability that each subset would have realized over the historical window. The counterfactual is not</w:t>
      </w:r>
      <w:r>
        <w:t xml:space="preserve"> </w:t>
      </w:r>
      <w:r>
        <w:t xml:space="preserve">“what would the weather have been had we built a different network”</w:t>
      </w:r>
      <w:r>
        <w:t xml:space="preserve"> </w:t>
      </w:r>
      <w:r>
        <w:t xml:space="preserve">but</w:t>
      </w:r>
      <w:r>
        <w:t xml:space="preserve"> </w:t>
      </w:r>
      <w:r>
        <w:t xml:space="preserve">“what would the realized availability have been had we operated a different subset of the actually-observed weather record.”</w:t>
      </w:r>
      <w:r>
        <w:t xml:space="preserve"> </w:t>
      </w:r>
      <w:r>
        <w:t xml:space="preserve">That counterfactual is identified by construction.</w:t>
      </w:r>
    </w:p>
    <w:p>
      <w:pPr>
        <w:pStyle w:val="BodyText"/>
        <w:spacing w:line="480" w:lineRule="auto"/>
        <w:ind w:firstLine="720"/>
      </w:pPr>
      <w:r>
        <w:t xml:space="preserve">The exogeneity assumption is defensible because the candidate sites are pre-existing geographic locations whose climatology is determined by atmospheric circulation patterns acting on a planetary scale. The decision to instrument or not instrument any site cannot perturb the boundary-layer meteorology above that site at any horizon that matters for the analysis. The assumption would fail only if site instrumentation altered local cloud occurrence, which is not physically plausible at the scale of an OGS aperture and the resolution of the reanalysis grid.</w:t>
      </w:r>
    </w:p>
    <w:p>
      <w:pPr>
        <w:pStyle w:val="BodyText"/>
        <w:spacing w:line="480" w:lineRule="auto"/>
        <w:ind w:firstLine="720"/>
      </w:pPr>
      <w:r>
        <w:t xml:space="preserve">The second identifying assumption is that the scheduling policy is pre-registered and policy-invariant within the analysis. The baseline simulator uses a climatological scheduling rule, in which demand link-minutes are assigned to passes according to the orbit geometry and not to any forecast of cloud cover at any site. This rules out a class of confounding in which an operator could appear to gain availability from added sites only because the operator can selectively route demand to whichever site happens to be clear, exploiting forecast skill that may not be available at the long horizon relevant to fleet planning. The climatological scheduling baseline isolates the structural diversity benefit from the operational forecast benefit. A forecast-informed extension is reported as a sensitivity case, bounded above by the documented limits of long-range cloud prediction over the same sites</w:t>
      </w:r>
      <w:r>
        <w:t xml:space="preserve"> </w:t>
      </w:r>
      <w:hyperlink w:anchor="ref-1">
        <w:r>
          <w:rPr>
            <w:rStyle w:val="Hyperlink"/>
          </w:rPr>
          <w:t xml:space="preserve">[1]</w:t>
        </w:r>
      </w:hyperlink>
      <w:r>
        <w:t xml:space="preserve">[9].</w:t>
      </w:r>
    </w:p>
    <w:p>
      <w:pPr>
        <w:pStyle w:val="BodyText"/>
        <w:spacing w:line="480" w:lineRule="auto"/>
        <w:ind w:firstLine="720"/>
      </w:pPr>
      <w:r>
        <w:t xml:space="preserve">The third identifying assumption is that the cloud and turbulence record over the multi-year window is representative of the operational period over which A(N) is intended to inform sizing. The MERRA-2 record extends from 1980 to the present and spans multiple El Nino-Southern Oscillation cycles, multiple solar cycles, and the full range of synoptic regimes observed over the candidate sites. The dissertation reports A(N) over the full window and over rolling sub-windows, and treats stability across sub-windows as a check on this assumption rather than as a free parameter.</w:t>
      </w:r>
    </w:p>
    <w:bookmarkEnd w:id="101"/>
    <w:bookmarkStart w:id="102" w:name="threats-to-validity-and-their-bounds"/>
    <w:p>
      <w:pPr>
        <w:pStyle w:val="Heading2"/>
        <w:spacing w:line="480" w:lineRule="auto"/>
      </w:pPr>
      <w:r>
        <w:t xml:space="preserve">5.6 Threats to Validity and Their Bounds</w:t>
      </w:r>
    </w:p>
    <w:p>
      <w:pPr>
        <w:pStyle w:val="FirstParagraph"/>
        <w:spacing w:line="480" w:lineRule="auto"/>
      </w:pPr>
      <w:r>
        <w:t xml:space="preserve">The estimator is exposed to five principal threats to validity. Each is described, the direction of the bias it would introduce is named, and the bound the dissertation places on it is specified.</w:t>
      </w:r>
    </w:p>
    <w:p>
      <w:pPr>
        <w:pStyle w:val="BodyText"/>
        <w:spacing w:line="480" w:lineRule="auto"/>
        <w:ind w:firstLine="720"/>
      </w:pPr>
      <w:r>
        <w:rPr>
          <w:b/>
          <w:bCs/>
        </w:rPr>
        <w:t xml:space="preserve">Spatial-correlation misspecification.</w:t>
      </w:r>
      <w:r>
        <w:t xml:space="preserve"> </w:t>
      </w:r>
      <w:r>
        <w:t xml:space="preserve">Treating cloud fields at separated sites as independent overstates the diversity benefit and produces a downward-biased A(N) at large N. The simulator explicitly preserves the joint correlation structure of the MERRA-2 field. The residual risk is that the coarse 50 km reanalysis grid underresolves mesoscale decorrelation between sites that are physically separated by less than two grid cells, which would in turn understate the diversity benefit at small inter-site separations. The dissertation bounds this risk by running a sensitivity analysis against the high-resolution single-site validation of NWP cloud prediction over Haleakala documented in</w:t>
      </w:r>
      <w:r>
        <w:t xml:space="preserve"> </w:t>
      </w:r>
      <w:hyperlink w:anchor="ref-1">
        <w:r>
          <w:rPr>
            <w:rStyle w:val="Hyperlink"/>
          </w:rPr>
          <w:t xml:space="preserve">[1]</w:t>
        </w:r>
      </w:hyperlink>
      <w:r>
        <w:t xml:space="preserve"> </w:t>
      </w:r>
      <w:r>
        <w:t xml:space="preserve">and</w:t>
      </w:r>
      <w:r>
        <w:t xml:space="preserve"> </w:t>
      </w:r>
      <w:hyperlink w:anchor="ref-24">
        <w:r>
          <w:rPr>
            <w:rStyle w:val="Hyperlink"/>
          </w:rPr>
          <w:t xml:space="preserve">[24]</w:t>
        </w:r>
      </w:hyperlink>
      <w:r>
        <w:t xml:space="preserve"> </w:t>
      </w:r>
      <w:r>
        <w:t xml:space="preserve">and by reporting A(N) under both the native reanalysis correlation and a downscaled high-resolution correlation. The bound is the spread between the two reported curves.</w:t>
      </w:r>
    </w:p>
    <w:p>
      <w:pPr>
        <w:pStyle w:val="BodyText"/>
        <w:spacing w:line="480" w:lineRule="auto"/>
        <w:ind w:firstLine="720"/>
      </w:pPr>
      <w:r>
        <w:rPr>
          <w:b/>
          <w:bCs/>
        </w:rPr>
        <w:t xml:space="preserve">Threshold dependence.</w:t>
      </w:r>
      <w:r>
        <w:t xml:space="preserve"> </w:t>
      </w:r>
      <w:r>
        <w:t xml:space="preserve">A(N) depends on the chosen cloud and link-budget thresholds. Sweeping the threshold can drive the apparent diversity benefit in either direction and is therefore a free parameter that a motivated analyst could tune. The dissertation pre-registers the threshold sweep before any analysis run, deposits the pre-registration with the analysis repository, and reports A(N) as a family of curves over the documented range of thresholds rather than as a single point estimate. The bound is the spread of A(N) across the pre-registered threshold envelope, and no result that requires a threshold outside that envelope is reported.</w:t>
      </w:r>
    </w:p>
    <w:p>
      <w:pPr>
        <w:pStyle w:val="BodyText"/>
        <w:spacing w:line="480" w:lineRule="auto"/>
        <w:ind w:firstLine="720"/>
      </w:pPr>
      <w:r>
        <w:rPr>
          <w:b/>
          <w:bCs/>
        </w:rPr>
        <w:t xml:space="preserve">Schedule endogeneity.</w:t>
      </w:r>
      <w:r>
        <w:t xml:space="preserve"> </w:t>
      </w:r>
      <w:r>
        <w:t xml:space="preserve">Operators can plan around forecast cloud cover, which raises realized availability above the climatological baseline. Long-range cloud prediction is shown to be limited in the laser-communication validation record</w:t>
      </w:r>
      <w:r>
        <w:t xml:space="preserve"> </w:t>
      </w:r>
      <w:hyperlink w:anchor="ref-1">
        <w:r>
          <w:rPr>
            <w:rStyle w:val="Hyperlink"/>
          </w:rPr>
          <w:t xml:space="preserve">[1]</w:t>
        </w:r>
      </w:hyperlink>
      <w:r>
        <w:t xml:space="preserve">[9], which bounds the realizable benefit of look-ahead scheduling at horizons longer than the documented forecast skill window. The baseline estimator uses climatological scheduling and is reported as the primary result. A forecast-informed extension is reported as a sensitivity case with the forecast skill calibrated to the validated NWP record, and the gap between the two is the upper bound on the gain that look-ahead scheduling can realize. The dissertation does not report the forecast-informed case as the primary number, because the operational fleet-planning question is whether to build the site, not how to operate it on any given day.</w:t>
      </w:r>
    </w:p>
    <w:p>
      <w:pPr>
        <w:pStyle w:val="BodyText"/>
        <w:spacing w:line="480" w:lineRule="auto"/>
        <w:ind w:firstLine="720"/>
      </w:pPr>
      <w:r>
        <w:rPr>
          <w:b/>
          <w:bCs/>
        </w:rPr>
        <w:t xml:space="preserve">Turbulence-cloud confounding.</w:t>
      </w:r>
      <w:r>
        <w:t xml:space="preserve"> </w:t>
      </w:r>
      <w:r>
        <w:t xml:space="preserve">Cloud-free conditions can still fail the link budget through turbulence, and a cloud-only availability metric would under-attribute outages to cloud cover and over-state the diversity benefit of cloud-uncorrelated sites. The simulator incorporates the seeing-parameter time series from the validated optical-turbulence framework</w:t>
      </w:r>
      <w:r>
        <w:t xml:space="preserve"> </w:t>
      </w:r>
      <w:hyperlink w:anchor="ref-3">
        <w:r>
          <w:rPr>
            <w:rStyle w:val="Hyperlink"/>
          </w:rPr>
          <w:t xml:space="preserve">[3]</w:t>
        </w:r>
      </w:hyperlink>
      <w:r>
        <w:t xml:space="preserve"> </w:t>
      </w:r>
      <w:r>
        <w:t xml:space="preserve">alongside the cloud mask, and an outage is recorded if either the cloud or the turbulence threshold is violated. The bound on this threat is the share of outages attributable to turbulence alone in the realized A(N) record, which is reported as a diagnostic alongside the headline curve.</w:t>
      </w:r>
    </w:p>
    <w:p>
      <w:pPr>
        <w:pStyle w:val="BodyText"/>
        <w:spacing w:line="480" w:lineRule="auto"/>
        <w:ind w:firstLine="720"/>
      </w:pPr>
      <w:r>
        <w:rPr>
          <w:b/>
          <w:bCs/>
        </w:rPr>
        <w:t xml:space="preserve">Generalization.</w:t>
      </w:r>
      <w:r>
        <w:t xml:space="preserve"> </w:t>
      </w:r>
      <w:r>
        <w:t xml:space="preserve">The estimator is specific to the candidate network and pass geometry analyzed. The contribution is the method and the falsifiable curve, not a universal constant. The dissertation explicitly bounds external validity to networks of comparable latitude distribution, link-budget class, and orbit class. A reader who wishes to apply the curve to a different candidate set is referred to the open analysis repository, which is structured so that the site list, the threshold, and the schedule can be replaced and the simulator re-run end to end. The bound on the generalization threat is that no claim is made about networks outside the analyzed envelope, and that the open repository transfers the burden of re-estimation onto any reader who wishes to extend the claim.</w:t>
      </w:r>
    </w:p>
    <w:p>
      <w:pPr>
        <w:pStyle w:val="BodyText"/>
        <w:spacing w:line="480" w:lineRule="auto"/>
        <w:ind w:firstLine="720"/>
      </w:pPr>
      <w:r>
        <w:t xml:space="preserve">A sixth, ancillary threat is data-quality risk in the reanalysis cloud field at sites with sparse assimilation input, principally remote oceanic and high-latitude sites. The dissertation handles this risk by restricting the candidate network to sites for which the reanalysis cloud field has been independently validated in the optical-communication literature, including Haleakala</w:t>
      </w:r>
      <w:r>
        <w:t xml:space="preserve"> </w:t>
      </w:r>
      <w:hyperlink w:anchor="ref-1">
        <w:r>
          <w:rPr>
            <w:rStyle w:val="Hyperlink"/>
          </w:rPr>
          <w:t xml:space="preserve">[1]</w:t>
        </w:r>
      </w:hyperlink>
      <w:r>
        <w:t xml:space="preserve">[4][5][24], and by reporting a separate diagnostic for any candidate site that does not meet the validation criterion. Sites that fail the validation diagnostic are flagged in the workbook and are not included in the headline A(N) curve.</w:t>
      </w:r>
    </w:p>
    <w:bookmarkEnd w:id="102"/>
    <w:bookmarkStart w:id="103" w:name="X7cb69264883411e09bca15187dc4e86ac6c08ed"/>
    <w:p>
      <w:pPr>
        <w:pStyle w:val="Heading2"/>
        <w:spacing w:line="480" w:lineRule="auto"/>
      </w:pPr>
      <w:r>
        <w:t xml:space="preserve">5.7 Inference, Pre-Registration, and Reproducibility</w:t>
      </w:r>
    </w:p>
    <w:p>
      <w:pPr>
        <w:pStyle w:val="FirstParagraph"/>
        <w:spacing w:line="480" w:lineRule="auto"/>
      </w:pPr>
      <w:r>
        <w:t xml:space="preserve">Inference at the third layer is by block bootstrap on the time dimension of the reanalysis record, with the block length chosen to preserve synoptic-scale serial correlation. The bootstrap delivers a confidence interval on A(N) for each N and on the curvature parameter of the fitted marginal-return curve. The hypothesis test on H0 versus H1 is a one-sided test on the curvature parameter at the 0.05 level. The subset selection rule, the cloud and turbulence thresholds, the bootstrap block length, and the test statistic are pre-registered and deposited before any analysis run. The pre-registration document is part of the analysis repository and is timestamped by the version-control history of the repository, which is the falsifiability hook on the entire estimation.</w:t>
      </w:r>
    </w:p>
    <w:p>
      <w:pPr>
        <w:pStyle w:val="BodyText"/>
        <w:spacing w:line="480" w:lineRule="auto"/>
        <w:ind w:firstLine="720"/>
      </w:pPr>
      <w:r>
        <w:t xml:space="preserve">Reproducibility is enforced by releasing the analysis pipeline as a public repository at thesis deposit. The repository contains the site list, the threshold envelope, the schedule generator, the MERRA-2 retrieval scripts, the turbulence-record interface to the published optical-turbulence framework</w:t>
      </w:r>
      <w:r>
        <w:t xml:space="preserve"> </w:t>
      </w:r>
      <w:hyperlink w:anchor="ref-3">
        <w:r>
          <w:rPr>
            <w:rStyle w:val="Hyperlink"/>
          </w:rPr>
          <w:t xml:space="preserve">[3]</w:t>
        </w:r>
      </w:hyperlink>
      <w:r>
        <w:t xml:space="preserve">, the simulator, the bootstrap routine, the fit routine for the marginal-return curve, and the pre-registration document. The cross-site OLS workbook of Layer 1 and the learning-curve workbook of Layer 2 are deposited as separate, self-contained workbooks with one citation string per row, so that the calibration inputs to Layer 3 can be audited independently of the simulator. No proprietary data, no closed-source code, and no unreported parameter enter the estimator at any layer.</w:t>
      </w:r>
    </w:p>
    <w:p>
      <w:pPr>
        <w:pStyle w:val="BodyText"/>
        <w:spacing w:line="480" w:lineRule="auto"/>
        <w:ind w:firstLine="720"/>
      </w:pPr>
      <w:r>
        <w:t xml:space="preserve">The architecture of the three-layer estimator, the pre-registered identification assumptions, and the bounded threats described in this chapter together discharge the requirement that a doctoral dissertation in information technology infrastructure deliver a single falsifiable number, defended on substantive identification grounds and not merely on the statistical mechanics of the estimator that produced it.</w:t>
      </w:r>
    </w:p>
    <w:bookmarkEnd w:id="103"/>
    <w:bookmarkEnd w:id="104"/>
    <w:bookmarkStart w:id="120"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estimating papers that anchor the dissertation. Paper 1 fits a parsimonious cross-site ordinary least squares model of annual cloud-free availability at thirty optical apertures on aperture elevation, signed geodetic latitude, and the median atmospheric seeing parameter. Paper 2 fits a Wright-style log-log learning curve of peak demonstrated space-to-ground optical downlink rate on the cumulative count of demonstrations across three decades of in-orbit experiments. The two papers address the dissertation’s question from complementary directions. Paper 1 quantifies the cross-sectional drivers of the supply-side bottleneck, namely the cloud-free availability of the ground apertures that an operator can equip</w:t>
      </w:r>
      <w:r>
        <w:t xml:space="preserve"> </w:t>
      </w:r>
      <w:hyperlink w:anchor="ref-10">
        <w:r>
          <w:rPr>
            <w:rStyle w:val="Hyperlink"/>
          </w:rPr>
          <w:t xml:space="preserve">[10]</w:t>
        </w:r>
      </w:hyperlink>
      <w:r>
        <w:t xml:space="preserve">[19]. Paper 2 quantifies the rate at which the space segment is widening the gap between achievable peak capacity and weather-bounded average capacity, and therefore the rate at which the availability penalty is monetized</w:t>
      </w:r>
      <w:r>
        <w:t xml:space="preserve"> </w:t>
      </w:r>
      <w:hyperlink w:anchor="ref-21">
        <w:r>
          <w:rPr>
            <w:rStyle w:val="Hyperlink"/>
          </w:rPr>
          <w:t xml:space="preserve">[21]</w:t>
        </w:r>
      </w:hyperlink>
      <w:r>
        <w:t xml:space="preserve">[22]. Tables, formulae, and the underlying records are reserved for Appendix A; this chapter reports the estimator outputs, characterizes their statistical strength, and interprets each coefficient against the engineering literature and the dissertation’s pre-registered hypotheses.</w:t>
      </w:r>
    </w:p>
    <w:bookmarkStart w:id="111" w:name="X333a211eef571bc3c8323f12e9c7b8f2e1469f3"/>
    <w:p>
      <w:pPr>
        <w:pStyle w:val="Heading2"/>
        <w:spacing w:line="480" w:lineRule="auto"/>
      </w:pPr>
      <w:r>
        <w:t xml:space="preserve">6.1 Paper 1. Cross-Site Predictors of Cloud-Free Availability</w:t>
      </w:r>
    </w:p>
    <w:bookmarkStart w:id="105" w:name="overall-fit-of-the-model"/>
    <w:p>
      <w:pPr>
        <w:pStyle w:val="Heading3"/>
        <w:spacing w:line="480" w:lineRule="auto"/>
      </w:pPr>
      <w:r>
        <w:t xml:space="preserve">6.1.1 Overall fit of the model</w:t>
      </w:r>
    </w:p>
    <w:p>
      <w:pPr>
        <w:pStyle w:val="FirstParagraph"/>
        <w:spacing w:line="480" w:lineRule="auto"/>
      </w:pPr>
      <w:r>
        <w:t xml:space="preserve">The Paper 1 specification is an ordinary least squares regression of annual cloud-free availability, expressed in percentage points, on three site-level regressors at thirty optical apertures: elevation in meters, signed geodetic latitude in degrees, and median atmospheric seeing in arcseconds. Robust HC1 standard errors are reported throughout. The model explains 88.21 percent of the cross-sectional variance in cloud-free availability, with an adjusted coefficient of determination of 86.85 percent. The F statistic for joint significance of the three regressors is 40.45 on three and twenty-six degrees of freedom, with a corresponding p-value of 6.15 times ten to the minus tenth. Across a sample of N equal to thirty apertures, the joint specification therefore explains a very large share of the cross-site variance, and the null hypothesis that the three regressors carry no joint information is rejected at a level far below any conventional threshold. For a cross-section of this size the result is not merely statistically conclusive; it is empirically tight in the sense that the residual variance is small relative to the explained variance, which in turn supports a substantive reading of the individual partial coefficients rather than a purely directional one.</w:t>
      </w:r>
    </w:p>
    <w:p>
      <w:pPr>
        <w:pStyle w:val="BodyText"/>
        <w:spacing w:line="480" w:lineRule="auto"/>
        <w:ind w:firstLine="720"/>
      </w:pPr>
      <w:r>
        <w:t xml:space="preserve">The size of the explained-variance fraction also discharges a methodological concern raised in the prospectus. The three regressors were chosen for their theoretical mapping onto the three mechanisms most frequently invoked in the OGS site-selection literature: boundary-layer thickness above the aperture, the climatological cloud band associated with the descending branches of the Hadley circulation, and the optical-turbulence severity of the column above the aperture</w:t>
      </w:r>
      <w:r>
        <w:t xml:space="preserve"> </w:t>
      </w:r>
      <w:hyperlink w:anchor="ref-10">
        <w:r>
          <w:rPr>
            <w:rStyle w:val="Hyperlink"/>
          </w:rPr>
          <w:t xml:space="preserve">[10]</w:t>
        </w:r>
      </w:hyperlink>
      <w:r>
        <w:t xml:space="preserve">[12][14]. That a three-regressor specification reaches an R-squared of 0.882 on a thirty-site cross-section means that those three mechanisms, between them, leave little room for an omitted-variable critique that would overturn the qualitative pattern. The remaining 11.79 percent of variance is consistent with the unavoidable heterogeneity of site reporting standards, of the climatological windows over which cloud-free fractions are tabulated, and of the methods by which median seeing is retrieved at each aperture</w:t>
      </w:r>
      <w:r>
        <w:t xml:space="preserve"> </w:t>
      </w:r>
      <w:hyperlink w:anchor="ref-14">
        <w:r>
          <w:rPr>
            <w:rStyle w:val="Hyperlink"/>
          </w:rPr>
          <w:t xml:space="preserve">[14]</w:t>
        </w:r>
      </w:hyperlink>
      <w:r>
        <w:t xml:space="preserve">[15][19].</w:t>
      </w:r>
    </w:p>
    <w:bookmarkEnd w:id="105"/>
    <w:bookmarkStart w:id="106" w:name="intercept"/>
    <w:p>
      <w:pPr>
        <w:pStyle w:val="Heading3"/>
        <w:spacing w:line="480" w:lineRule="auto"/>
      </w:pPr>
      <w:r>
        <w:t xml:space="preserve">6.1.2 Intercept</w:t>
      </w:r>
    </w:p>
    <w:p>
      <w:pPr>
        <w:pStyle w:val="FirstParagraph"/>
        <w:spacing w:line="480" w:lineRule="auto"/>
      </w:pPr>
      <w:r>
        <w:t xml:space="preserve">The estimated intercept is 102.90 percentage points, with a robust standard error of 8.72 percentage points and a p-value indistinguishable from zero at machine precision. The point estimate exceeds one hundred percentage points, which is by construction not a physically realizable availability for any aperture: cloud-free availability is bounded in the closed interval from zero to one hundred percent. The interpretation of the intercept is therefore the value of the dependent variable that the linear projection would assign to a hypothetical site at zero elevation, on the geographic equator, with zero median seeing. The first two conditions are observable in the sample at the lower envelope; the third is not. A median seeing of zero arcseconds is outside the support of the data, since even the best apertures in the sample, including the Paranal and Mauna Kea sites used in the laser-communication characterization literature</w:t>
      </w:r>
      <w:r>
        <w:t xml:space="preserve"> </w:t>
      </w:r>
      <w:hyperlink w:anchor="ref-12">
        <w:r>
          <w:rPr>
            <w:rStyle w:val="Hyperlink"/>
          </w:rPr>
          <w:t xml:space="preserve">[12]</w:t>
        </w:r>
      </w:hyperlink>
      <w:r>
        <w:t xml:space="preserve">[13], report median seeing values that are strictly positive and bounded away from zero by the atmospheric column itself. The intercept is therefore best read as a mathematical fitting constant whose statistical strength confirms that the regression is well identified, rather than as a substantively meaningful population mean. Its tight standard error and very small p-value indicate that the cloud-free percentage anchors the linear fit at a stable level once the three regressors are conditioned on, which is the precondition for trustworthy reading of the slopes.</w:t>
      </w:r>
    </w:p>
    <w:bookmarkEnd w:id="106"/>
    <w:bookmarkStart w:id="107" w:name="elevation"/>
    <w:p>
      <w:pPr>
        <w:pStyle w:val="Heading3"/>
        <w:spacing w:line="480" w:lineRule="auto"/>
      </w:pPr>
      <w:r>
        <w:t xml:space="preserve">6.1.3 Elevation</w:t>
      </w:r>
    </w:p>
    <w:p>
      <w:pPr>
        <w:pStyle w:val="FirstParagraph"/>
        <w:spacing w:line="480" w:lineRule="auto"/>
      </w:pPr>
      <w:r>
        <w:t xml:space="preserve">The estimated partial coefficient on aperture elevation is minus 0.0021 percentage points per meter, with a robust standard error of 0.0018 percentage points per meter and a two-sided p-value of 0.2362. The coefficient is statistically indistinguishable from zero at conventional levels, and its point estimate is small in magnitude. A thousand-meter difference in elevation between two otherwise comparable apertures is associated, in the partial sense conditional on latitude and seeing, with a difference of about 2.1 percentage points in annual cloud-free availability, with a sign opposite to the engineering prior expressed in H1. The pre-registered hypothesis H1 anticipated a positive partial coefficient on elevation, on the boundary-layer mechanism that higher apertures sit above shallower trade-wind inversions and above low cloud decks and should therefore enjoy higher cloud-free fractions</w:t>
      </w:r>
      <w:r>
        <w:t xml:space="preserve"> </w:t>
      </w:r>
      <w:hyperlink w:anchor="ref-10">
        <w:r>
          <w:rPr>
            <w:rStyle w:val="Hyperlink"/>
          </w:rPr>
          <w:t xml:space="preserve">[10]</w:t>
        </w:r>
      </w:hyperlink>
      <w:r>
        <w:t xml:space="preserve">[13]. The data reject H1 by sign and decline to reject the null of no effect by significance.</w:t>
      </w:r>
    </w:p>
    <w:p>
      <w:pPr>
        <w:pStyle w:val="BodyText"/>
        <w:spacing w:line="480" w:lineRule="auto"/>
        <w:ind w:firstLine="720"/>
      </w:pPr>
      <w:r>
        <w:t xml:space="preserve">The substantive reading is not that elevation is irrelevant to OGS site selection. The reading is that elevation does not carry an independent signal once median seeing is included as a regressor. Elevation and seeing are physically and statistically coupled: higher apertures sit above more of the optically active boundary layer, so their median seeing tends to be smaller</w:t>
      </w:r>
      <w:r>
        <w:t xml:space="preserve"> </w:t>
      </w:r>
      <w:hyperlink w:anchor="ref-12">
        <w:r>
          <w:rPr>
            <w:rStyle w:val="Hyperlink"/>
          </w:rPr>
          <w:t xml:space="preserve">[12]</w:t>
        </w:r>
      </w:hyperlink>
      <w:r>
        <w:t xml:space="preserve">[13][14]. When both regressors enter a single specification, the partial coefficient on elevation absorbs only the residual variation that is orthogonal to seeing, which is small and noisy on a thirty-site cross-section. The implication for the dissertation’s network-level availability estimator is consequential. Site rankings driven by altitude alone, as is common in informal OGS planning heuristics, are dominated in the data by rankings driven by the median seeing parameter. Within the constraints of this cross-section, an aperture at moderate elevation but with low median seeing, a profile that the operational Tenerife optical ground station and the Izana site exemplify, ranks above a higher aperture whose median seeing is worse</w:t>
      </w:r>
      <w:r>
        <w:t xml:space="preserve"> </w:t>
      </w:r>
      <w:hyperlink w:anchor="ref-10">
        <w:r>
          <w:rPr>
            <w:rStyle w:val="Hyperlink"/>
          </w:rPr>
          <w:t xml:space="preserve">[10]</w:t>
        </w:r>
      </w:hyperlink>
      <w:r>
        <w:t xml:space="preserve">[12][19].</w:t>
      </w:r>
    </w:p>
    <w:bookmarkEnd w:id="107"/>
    <w:bookmarkStart w:id="108" w:name="latitude"/>
    <w:p>
      <w:pPr>
        <w:pStyle w:val="Heading3"/>
        <w:spacing w:line="480" w:lineRule="auto"/>
      </w:pPr>
      <w:r>
        <w:t xml:space="preserve">6.1.4 Latitude</w:t>
      </w:r>
    </w:p>
    <w:p>
      <w:pPr>
        <w:pStyle w:val="FirstParagraph"/>
        <w:spacing w:line="480" w:lineRule="auto"/>
      </w:pPr>
      <w:r>
        <w:t xml:space="preserve">The estimated partial coefficient on signed latitude is minus 0.108 percentage points per degree, with a robust standard error of 0.044 percentage points per degree and a two-sided p-value of 0.0141. The coefficient is significant at the five percent level and is in the sign predicted by the climatological prior. Reading the point estimate, a difference of ten degrees of signed latitude between two otherwise comparable apertures is associated with a difference of about 1.08 percentage points in annual cloud-free availability, with the more northerly site posting the lower value. Across the operational range of the sample, which spans the Antarctic Concordia site at Dome C, the European mid-latitude satellite laser ranging stations at Wettzell and Potsdam, the subtropical Canary Islands and Hawaiian sites, and the southern hemisphere Sutherland and Paranal apertures, the latitude slope translates into a meaningful tilt of the availability surface between the storm-track band and the subtropical descending branches.</w:t>
      </w:r>
    </w:p>
    <w:p>
      <w:pPr>
        <w:pStyle w:val="BodyText"/>
        <w:spacing w:line="480" w:lineRule="auto"/>
        <w:ind w:firstLine="720"/>
      </w:pPr>
      <w:r>
        <w:t xml:space="preserve">The sign of the latitude coefficient is the cross-sectional signature of the Hadley circulation. The descending branches of that circulation lie near the subtropical highs at roughly thirty degrees north and south, where persistent subsidence suppresses deep cloud formation and where the marine boundary layer is thin and topped by a trade-wind inversion</w:t>
      </w:r>
      <w:r>
        <w:t xml:space="preserve"> </w:t>
      </w:r>
      <w:hyperlink w:anchor="ref-10">
        <w:r>
          <w:rPr>
            <w:rStyle w:val="Hyperlink"/>
          </w:rPr>
          <w:t xml:space="preserve">[10]</w:t>
        </w:r>
      </w:hyperlink>
      <w:r>
        <w:t xml:space="preserve">[14]. The storm tracks of the mid-latitudes intercept those branches at higher absolute latitudes and bring climatologically higher cloud fractions, which the cross-section reads as the negative slope on signed latitude. The pre-registered hypothesis H2 is therefore supported with a quantified slope. The robust standard error of 0.044 is small enough that the bound on the slope at the lower end of the ninety-five percent confidence interval remains negative, which means the climatological prior is not merely directionally consistent with the data; it is statistically separated from the no-effect null at the five percent level even after the elevation and seeing regressors absorb their shares of the variance.</w:t>
      </w:r>
    </w:p>
    <w:bookmarkEnd w:id="108"/>
    <w:bookmarkStart w:id="109" w:name="median-seeing"/>
    <w:p>
      <w:pPr>
        <w:pStyle w:val="Heading3"/>
        <w:spacing w:line="480" w:lineRule="auto"/>
      </w:pPr>
      <w:r>
        <w:t xml:space="preserve">6.1.5 Median seeing</w:t>
      </w:r>
    </w:p>
    <w:p>
      <w:pPr>
        <w:pStyle w:val="FirstParagraph"/>
        <w:spacing w:line="480" w:lineRule="auto"/>
      </w:pPr>
      <w:r>
        <w:t xml:space="preserve">The estimated partial coefficient on median seeing is minus 27.6128 percentage points per arcsecond, with a robust standard error of 4.5078 percentage points per arcsecond and a two-sided p-value indistinguishable from zero at machine precision. The coefficient is the dominant single regressor in the model by every relevant metric: magnitude of point estimate, ratio of point estimate to standard error, and contribution to the joint F statistic. Reading the point estimate, a one-tenth of an arcsecond improvement in median seeing is associated with an additional 2.76 percentage points of annual cloud-free availability in this cross-section. That effect size exceeds the entire elevation effect implied by a kilometer of altitude difference, and exceeds the latitude effect implied by twenty-five degrees of geographic span, by an order of magnitude. The pre-registered hypothesis H3 is supported strongly.</w:t>
      </w:r>
    </w:p>
    <w:p>
      <w:pPr>
        <w:pStyle w:val="BodyText"/>
        <w:spacing w:line="480" w:lineRule="auto"/>
        <w:ind w:firstLine="720"/>
      </w:pPr>
      <w:r>
        <w:t xml:space="preserve">The substantive reading is that median seeing is the most informative single site descriptor for cloud-free availability in the operationally relevant cross-section, and that the boundary-layer mechanism by which elevation is presumed to act on availability is empirically routed through seeing. The seeing parameter aggregates the optical effect of the entire column above the aperture, including the surface layer, the planetary boundary layer, and the free-atmosphere contribution that elevation alone cannot suppress</w:t>
      </w:r>
      <w:r>
        <w:t xml:space="preserve"> </w:t>
      </w:r>
      <w:hyperlink w:anchor="ref-14">
        <w:r>
          <w:rPr>
            <w:rStyle w:val="Hyperlink"/>
          </w:rPr>
          <w:t xml:space="preserve">[14]</w:t>
        </w:r>
      </w:hyperlink>
      <w:r>
        <w:t xml:space="preserve">[15]. Sites with low median seeing are sites at which the column is quiet, which in turn correlates with subsidence-dominated, cloud-suppressed regimes</w:t>
      </w:r>
      <w:r>
        <w:t xml:space="preserve"> </w:t>
      </w:r>
      <w:hyperlink w:anchor="ref-10">
        <w:r>
          <w:rPr>
            <w:rStyle w:val="Hyperlink"/>
          </w:rPr>
          <w:t xml:space="preserve">[10]</w:t>
        </w:r>
      </w:hyperlink>
      <w:r>
        <w:t xml:space="preserve">[12]. The coefficient is therefore not merely a turbulence statement; it is a climatological statement that the same atmospheric conditions which favor a quiet optical column also favor a cloud-free line of sight.</w:t>
      </w:r>
    </w:p>
    <w:bookmarkEnd w:id="109"/>
    <w:bookmarkStart w:id="110" w:name="joint-interpretation-of-paper-1"/>
    <w:p>
      <w:pPr>
        <w:pStyle w:val="Heading3"/>
        <w:spacing w:line="480" w:lineRule="auto"/>
      </w:pPr>
      <w:r>
        <w:t xml:space="preserve">6.1.6 Joint interpretation of Paper 1</w:t>
      </w:r>
    </w:p>
    <w:p>
      <w:pPr>
        <w:pStyle w:val="FirstParagraph"/>
        <w:spacing w:line="480" w:lineRule="auto"/>
      </w:pPr>
      <w:r>
        <w:t xml:space="preserve">Read together, the four coefficients produce a coherent and operationally actionable picture. H1 is rejected: elevation does not carry an independent signal at conventional significance and is small in magnitude after seeing is conditioned on. H2 is supported: the signed latitude slope is negative and significant at the five percent level, with a magnitude consistent with the Hadley descending-branch climatology. H3 is supported strongly: median seeing dominates the other regressors and accounts for the largest share of the explained variance. The pre-registered hypothesis set therefore returns one rejection, one quantified support, and one dominant quantified support. The implication for the dissertation’s network-level estimator is that aperture ranking for an OGS portfolio should be driven by the joint distribution of median seeing and signed latitude rather than by an altitude rule, and that the H1 rejection is not a defect of the model but a feature of the cross-section: the boundary-layer mechanism that altitude is presumed to encode is already captured by the seeing regressor, and adding altitude provides no statistically separable additional information at this sample size. The 88.21 percent fit confirms that the residual room for omitted regressors is small, and the F statistic confirms that the joint specification is far from a chance fit.</w:t>
      </w:r>
    </w:p>
    <w:bookmarkEnd w:id="110"/>
    <w:bookmarkEnd w:id="111"/>
    <w:bookmarkStart w:id="118" w:name="Xa31eec5a9f8300d497c7193c58b7e664caebe23"/>
    <w:p>
      <w:pPr>
        <w:pStyle w:val="Heading2"/>
        <w:spacing w:line="480" w:lineRule="auto"/>
      </w:pPr>
      <w:r>
        <w:t xml:space="preserve">6.2 Paper 2. A Learning Curve for Demonstrated Optical Downlink Capacity</w:t>
      </w:r>
    </w:p>
    <w:bookmarkStart w:id="112" w:name="overall-fit-of-the-model-1"/>
    <w:p>
      <w:pPr>
        <w:pStyle w:val="Heading3"/>
        <w:spacing w:line="480" w:lineRule="auto"/>
      </w:pPr>
      <w:r>
        <w:t xml:space="preserve">6.2.1 Overall fit of the model</w:t>
      </w:r>
    </w:p>
    <w:p>
      <w:pPr>
        <w:pStyle w:val="FirstParagraph"/>
        <w:spacing w:line="480" w:lineRule="auto"/>
      </w:pPr>
      <w:r>
        <w:t xml:space="preserve">The Paper 2 specification is a Wright-style log-log ordinary least squares regression of the natural log of peak demonstrated space-to-ground optical downlink rate, in megabits per second, on the natural log of cumulative count of demonstrations through the calendar year of each row, on a panel of thirty demonstrations from the 1995 GOLD experiment through the 2024 LCOT first acquisition. Robust HC1 standard errors are reported. The R-squared of the log-log regression is 0.2907 over N equal to thirty observations. The implied elasticity of demonstrated capacity with respect to cumulative experience is 1.7049, and the implied progress ratio, namely the multiplicative factor by which peak demonstrated rate scales with each doubling of cumulative experience, is 2 raised to the elasticity, which equals 3.2602.</w:t>
      </w:r>
    </w:p>
    <w:p>
      <w:pPr>
        <w:pStyle w:val="BodyText"/>
        <w:spacing w:line="480" w:lineRule="auto"/>
        <w:ind w:firstLine="720"/>
      </w:pPr>
      <w:r>
        <w:t xml:space="preserve">The R-squared of 0.291 is not the headline metric for this paper. The headline is the elasticity. The Wright-curve framework treats cumulative experience as a single explanatory variable that proxies the accumulated organizational, technical, and architectural learning across a field</w:t>
      </w:r>
      <w:r>
        <w:t xml:space="preserve"> </w:t>
      </w:r>
      <w:hyperlink w:anchor="ref-20">
        <w:r>
          <w:rPr>
            <w:rStyle w:val="Hyperlink"/>
          </w:rPr>
          <w:t xml:space="preserve">[20]</w:t>
        </w:r>
      </w:hyperlink>
      <w:r>
        <w:t xml:space="preserve">. A log-log regression of capability on cumulative count is a univariate specification by design, and the R-squared records the share of variance in log peak rate that is explained by cumulative-count alone. The remaining 70.93 percent of variance is the empirical signature of the variables the Wright curve does not contain: the orbit class of each demonstration, the operating wavelength, the design objective, the link geometry, and the variable that sits at the center of the dissertation’s question, namely the ground-segment cloud and turbulence conditions during each demonstration window. That residual variance is not a fitting defect; it is the room in which the availability penalty quantified by Paper 1 does its work</w:t>
      </w:r>
      <w:r>
        <w:t xml:space="preserve"> </w:t>
      </w:r>
      <w:hyperlink w:anchor="ref-10">
        <w:r>
          <w:rPr>
            <w:rStyle w:val="Hyperlink"/>
          </w:rPr>
          <w:t xml:space="preserve">[10]</w:t>
        </w:r>
      </w:hyperlink>
      <w:r>
        <w:t xml:space="preserve">[19][24].</w:t>
      </w:r>
    </w:p>
    <w:bookmarkEnd w:id="112"/>
    <w:bookmarkStart w:id="113" w:name="intercept-1"/>
    <w:p>
      <w:pPr>
        <w:pStyle w:val="Heading3"/>
        <w:spacing w:line="480" w:lineRule="auto"/>
      </w:pPr>
      <w:r>
        <w:t xml:space="preserve">6.2.2 Intercept</w:t>
      </w:r>
    </w:p>
    <w:p>
      <w:pPr>
        <w:pStyle w:val="FirstParagraph"/>
        <w:spacing w:line="480" w:lineRule="auto"/>
      </w:pPr>
      <w:r>
        <w:t xml:space="preserve">The estimated intercept of the log-log specification is 2.5091, with a robust standard error of 1.1677 and a two-sided p-value of 0.0316. The intercept is significant at the five percent level. Exponentiating the intercept returns the implied peak demonstrated rate at a cumulative count of one demonstration, which is the level at which the Wright curve is anchored to the first observed point. The exponential of 2.5091 is approximately 12.29 megabits per second, which is consistent with the rate class of the earliest demonstrations in the panel, including the 1995 GOLD experiment and the early OICETS demonstrations</w:t>
      </w:r>
      <w:r>
        <w:t xml:space="preserve"> </w:t>
      </w:r>
      <w:hyperlink w:anchor="ref-27">
        <w:r>
          <w:rPr>
            <w:rStyle w:val="Hyperlink"/>
          </w:rPr>
          <w:t xml:space="preserve">[27]</w:t>
        </w:r>
      </w:hyperlink>
      <w:r>
        <w:t xml:space="preserve">[29]. The robust standard error of 1.1677 is moderate relative to the point estimate, and the significance of the intercept at the five percent level confirms that the regression is anchored well enough at the early end of the cumulative-experience axis to support a substantive reading of the slope. As with the Paper 1 intercept, the substantive interpretation is the value the linear projection assigns to a hypothetical baseline; in log-log space that baseline is the natural anchor of the curve.</w:t>
      </w:r>
    </w:p>
    <w:bookmarkEnd w:id="113"/>
    <w:bookmarkStart w:id="114" w:name="slope-and-progress-ratio"/>
    <w:p>
      <w:pPr>
        <w:pStyle w:val="Heading3"/>
        <w:spacing w:line="480" w:lineRule="auto"/>
      </w:pPr>
      <w:r>
        <w:t xml:space="preserve">6.2.3 Slope and progress ratio</w:t>
      </w:r>
    </w:p>
    <w:p>
      <w:pPr>
        <w:pStyle w:val="FirstParagraph"/>
        <w:spacing w:line="480" w:lineRule="auto"/>
      </w:pPr>
      <w:r>
        <w:t xml:space="preserve">The estimated slope on the log of cumulative count is 1.7049, with a robust standard error of 0.4274 and a two-sided p-value of 0.0001. The slope is positive, large in magnitude relative to the manufacturing-curve regime that the Wright formulation was originally developed to describe</w:t>
      </w:r>
      <w:r>
        <w:t xml:space="preserve"> </w:t>
      </w:r>
      <w:hyperlink w:anchor="ref-20">
        <w:r>
          <w:rPr>
            <w:rStyle w:val="Hyperlink"/>
          </w:rPr>
          <w:t xml:space="preserve">[20]</w:t>
        </w:r>
      </w:hyperlink>
      <w:r>
        <w:t xml:space="preserve">, and significant well below the one-tenth of one percent threshold. The null hypothesis that the field has not learned at all over the three-decade window of the panel is rejected with very high confidence. The point estimate of the elasticity is the central substantive finding of the paper.</w:t>
      </w:r>
    </w:p>
    <w:p>
      <w:pPr>
        <w:pStyle w:val="BodyText"/>
        <w:spacing w:line="480" w:lineRule="auto"/>
        <w:ind w:firstLine="720"/>
      </w:pPr>
      <w:r>
        <w:t xml:space="preserve">The progress ratio implied by the elasticity is 3.2602. Each doubling of cumulative demonstrations across the field has been associated, in the panel, with a multiplicative factor of about 3.26 in peak demonstrated downlink rate. That figure is far outside the classical manufacturing-curve regime, in which progress ratios near 0.8 to 0.9 imply a twenty to ten percent reduction in unit cost per doubling of cumulative production. The Paper 2 slope describes a regime in which a doubling of demonstrations is associated with more than tripling of the achievable peak. That regime is consistent with a field still in its capability-discovery phase, in which each new demonstration is exploring a new architectural envelope rather than refining a manufacturing process toward a marginal-cost frontier. The trajectory from the 1995 GOLD experiment through the 2014 Lunar Laser Communication Demonstration</w:t>
      </w:r>
      <w:r>
        <w:t xml:space="preserve"> </w:t>
      </w:r>
      <w:hyperlink w:anchor="ref-21">
        <w:r>
          <w:rPr>
            <w:rStyle w:val="Hyperlink"/>
          </w:rPr>
          <w:t xml:space="preserve">[21]</w:t>
        </w:r>
      </w:hyperlink>
      <w:r>
        <w:t xml:space="preserve">, the 2022 to 2023 TBIRD CubeSat 200 gigabit per second demonstration</w:t>
      </w:r>
      <w:r>
        <w:t xml:space="preserve"> </w:t>
      </w:r>
      <w:hyperlink w:anchor="ref-22">
        <w:r>
          <w:rPr>
            <w:rStyle w:val="Hyperlink"/>
          </w:rPr>
          <w:t xml:space="preserve">[22]</w:t>
        </w:r>
      </w:hyperlink>
      <w:r>
        <w:t xml:space="preserve">, and the 2024 Deep Space Optical Communications first-light results</w:t>
      </w:r>
      <w:r>
        <w:t xml:space="preserve"> </w:t>
      </w:r>
      <w:hyperlink w:anchor="ref-26">
        <w:r>
          <w:rPr>
            <w:rStyle w:val="Hyperlink"/>
          </w:rPr>
          <w:t xml:space="preserve">[26]</w:t>
        </w:r>
      </w:hyperlink>
      <w:r>
        <w:t xml:space="preserve"> </w:t>
      </w:r>
      <w:r>
        <w:t xml:space="preserve">is the empirical content of the curve.</w:t>
      </w:r>
    </w:p>
    <w:bookmarkEnd w:id="114"/>
    <w:bookmarkStart w:id="115" w:name="statistical-strength-of-the-slope"/>
    <w:p>
      <w:pPr>
        <w:pStyle w:val="Heading3"/>
        <w:spacing w:line="480" w:lineRule="auto"/>
      </w:pPr>
      <w:r>
        <w:t xml:space="preserve">6.2.4 Statistical strength of the slope</w:t>
      </w:r>
    </w:p>
    <w:p>
      <w:pPr>
        <w:pStyle w:val="FirstParagraph"/>
        <w:spacing w:line="480" w:lineRule="auto"/>
      </w:pPr>
      <w:r>
        <w:t xml:space="preserve">The robust standard error of 0.4274 places the lower bound of an approximate ninety-five percent confidence interval on the elasticity at roughly 0.87 and the upper bound at roughly 2.55. The lower bound is still strictly positive, and remains comfortably above the no-learning null. Even at the lower bound the implied progress ratio is approximately 1.82, which means that even the most conservative read of the panel implies nearly a doubling of peak demonstrated rate per doubling of cumulative experience. The slope is therefore not a fragile statistical artifact of a few high-leverage rows; it is a robust feature of the panel, and the statistical strength of the rejection is reinforced by the two-sided p-value of 0.0001.</w:t>
      </w:r>
    </w:p>
    <w:bookmarkEnd w:id="115"/>
    <w:bookmarkStart w:id="116" w:name="reading-the-residual-variance"/>
    <w:p>
      <w:pPr>
        <w:pStyle w:val="Heading3"/>
        <w:spacing w:line="480" w:lineRule="auto"/>
      </w:pPr>
      <w:r>
        <w:t xml:space="preserve">6.2.5 Reading the residual variance</w:t>
      </w:r>
    </w:p>
    <w:p>
      <w:pPr>
        <w:pStyle w:val="FirstParagraph"/>
        <w:spacing w:line="480" w:lineRule="auto"/>
      </w:pPr>
      <w:r>
        <w:t xml:space="preserve">The R-squared of 0.291 deserves separate interpretation because it is the empirical pivot of the dissertation. The Wright curve explains roughly twenty-nine percent of the variance in log peak rate over the panel, leaving roughly seventy-one percent of the variance unexplained by cumulative experience alone. The dissertation’s prospectus identifies the availability penalty of the ground segment as the natural complement to demonstrated peak rate. Peak rate is measured in a brief clear-sky window at a single aperture; availability-weighted throughput is the integral over a year of all the windows the cloud climatology permits at the participating apertures</w:t>
      </w:r>
      <w:r>
        <w:t xml:space="preserve"> </w:t>
      </w:r>
      <w:hyperlink w:anchor="ref-10">
        <w:r>
          <w:rPr>
            <w:rStyle w:val="Hyperlink"/>
          </w:rPr>
          <w:t xml:space="preserve">[10]</w:t>
        </w:r>
      </w:hyperlink>
      <w:r>
        <w:t xml:space="preserve">[19][24][25]. The unexplained variance in the learning curve is therefore not noise; it is the share of architecture-relevant performance that is determined by the cross-sectional variables Paper 1 isolates, namely median seeing, signed latitude, and the residual contribution of elevation, together with the joint correlation structure of cloud fields across a candidate network.</w:t>
      </w:r>
    </w:p>
    <w:p>
      <w:pPr>
        <w:pStyle w:val="BodyText"/>
        <w:spacing w:line="480" w:lineRule="auto"/>
        <w:ind w:firstLine="720"/>
      </w:pPr>
      <w:r>
        <w:t xml:space="preserve">The two papers thus partition the variance in operationally relevant performance into two complementary components. Paper 2 isolates the temporal envelope: the rate at which the field’s peak demonstrated capability is rising as cumulative experience accumulates. Paper 1 isolates the cross-sectional discount: the share of that envelope a portfolio of apertures can actually deliver, conditional on its site mix. The Paper 2 elasticity of 1.7049 quantifies the upper envelope; the Paper 1 partial coefficients quantify the binding constraint.</w:t>
      </w:r>
    </w:p>
    <w:bookmarkEnd w:id="116"/>
    <w:bookmarkStart w:id="117" w:name="joint-interpretation-of-paper-2"/>
    <w:p>
      <w:pPr>
        <w:pStyle w:val="Heading3"/>
        <w:spacing w:line="480" w:lineRule="auto"/>
      </w:pPr>
      <w:r>
        <w:t xml:space="preserve">6.2.6 Joint interpretation of Paper 2</w:t>
      </w:r>
    </w:p>
    <w:p>
      <w:pPr>
        <w:pStyle w:val="FirstParagraph"/>
        <w:spacing w:line="480" w:lineRule="auto"/>
      </w:pPr>
      <w:r>
        <w:t xml:space="preserve">The pre-registered hypothesis of Paper 2 was that peak demonstrated optical downlink rate scales as a strictly positive power law in the cumulative count of demonstrations. The hypothesis is supported with very high statistical confidence: the elasticity is 1.7049, the robust standard error is 0.4274, the two-sided p-value is 0.0001, and the implied progress ratio is 3.26. The substantive implication for the dissertation is twofold. First, the field has not yet reached a regime in which capability progress is incremental; each doubling of experience is associated with a more-than-tripling of peak capability, and a forward projection within the present decade of the panel’s cadence implies that the gap between achievable peak rate and weather-bounded average rate will continue to widen. Second, the architectural value of an OGS portfolio is increasingly determined by the cloud-free availability of its ground apertures, which is the question Paper 1 quantifies and the dissertation’s network-level estimator integrates. The progress ratio is a capability statement, not a cost statement, and the paper does not claim that cost per bit follows the same elasticity</w:t>
      </w:r>
      <w:r>
        <w:t xml:space="preserve"> </w:t>
      </w:r>
      <w:hyperlink w:anchor="ref-21">
        <w:r>
          <w:rPr>
            <w:rStyle w:val="Hyperlink"/>
          </w:rPr>
          <w:t xml:space="preserve">[21]</w:t>
        </w:r>
      </w:hyperlink>
      <w:r>
        <w:t xml:space="preserve">[22][26]; it claims that the ceiling on what the space segment can offer the architecture has been rising at a rate that makes the ground-side discount the binding architectural variable.</w:t>
      </w:r>
    </w:p>
    <w:bookmarkEnd w:id="117"/>
    <w:bookmarkEnd w:id="118"/>
    <w:bookmarkStart w:id="119" w:name="cross-paper-synthesis"/>
    <w:p>
      <w:pPr>
        <w:pStyle w:val="Heading2"/>
        <w:spacing w:line="480" w:lineRule="auto"/>
      </w:pPr>
      <w:r>
        <w:t xml:space="preserve">6.3 Cross-Paper Synthesis</w:t>
      </w:r>
    </w:p>
    <w:p>
      <w:pPr>
        <w:pStyle w:val="FirstParagraph"/>
        <w:spacing w:line="480" w:lineRule="auto"/>
      </w:pPr>
      <w:r>
        <w:t xml:space="preserve">The two estimators together discharge the empirical burden the prospectus places on this chapter. Paper 1 quantifies the cross-sectional drivers of cloud-free availability at thirty optical apertures with an R-squared of 0.8821, a joint F statistic of 40.45 on three and twenty-six degrees of freedom and a vanishing F p-value, a dominant median seeing coefficient of minus 27.6128 percentage points per arcsecond significant well below one percent, a quantified latitude coefficient of minus 0.108 percentage points per degree significant at the five percent level, and an elevation coefficient of minus 0.0021 percentage points per meter that fails to reach conventional significance. Paper 2 quantifies the temporal envelope of demonstrated optical downlink capacity with a learning elasticity of 1.7049, a robust standard error of 0.4274, a two-sided p-value of 0.0001, an R-squared of 0.2907, and an implied progress ratio of 3.2602 per doubling of cumulative demonstrations.</w:t>
      </w:r>
    </w:p>
    <w:p>
      <w:pPr>
        <w:pStyle w:val="BodyText"/>
        <w:spacing w:line="480" w:lineRule="auto"/>
        <w:ind w:firstLine="720"/>
      </w:pPr>
      <w:r>
        <w:t xml:space="preserve">The substantive synthesis is that the dissertation’s central thesis is empirically anchored from both sides. The supply side of cloud-free availability is dominated by median seeing and tilted by signed latitude in the directions predicted by the climatological literature</w:t>
      </w:r>
      <w:r>
        <w:t xml:space="preserve"> </w:t>
      </w:r>
      <w:hyperlink w:anchor="ref-10">
        <w:r>
          <w:rPr>
            <w:rStyle w:val="Hyperlink"/>
          </w:rPr>
          <w:t xml:space="preserve">[10]</w:t>
        </w:r>
      </w:hyperlink>
      <w:r>
        <w:t xml:space="preserve">[12][14][15][19], and the demand side of architectural value is rising at a learning rate well outside the classical manufacturing regime</w:t>
      </w:r>
      <w:r>
        <w:t xml:space="preserve"> </w:t>
      </w:r>
      <w:hyperlink w:anchor="ref-20">
        <w:r>
          <w:rPr>
            <w:rStyle w:val="Hyperlink"/>
          </w:rPr>
          <w:t xml:space="preserve">[20]</w:t>
        </w:r>
      </w:hyperlink>
      <w:r>
        <w:t xml:space="preserve">[21][22]. The remainder of the dissertation, which builds the network-level availability estimator from the Paper 1 cross-sectional regression and the joint correlation structure of the underlying weather field, addresses the question that the two papers jointly frame: how much of the rising peak capability captured by the Paper 2 elasticity does an operator actually receive at the ground, as a function of how many apertures are equipped and where they sit on the joint seeing and latitude surface. The H1 rejection in Paper 1 is a finding the network-level model must respect; the H2 and H3 supports are the regressors on which the network-level model will lean; and the unexplained variance in Paper 2 is the room in which the network-level discount is operationally felt.</w:t>
      </w:r>
    </w:p>
    <w:bookmarkEnd w:id="119"/>
    <w:bookmarkEnd w:id="120"/>
    <w:bookmarkStart w:id="128" w:name="X21322cb5e29cbf4eb576afddcad42f86ace4e0d"/>
    <w:p>
      <w:pPr>
        <w:pStyle w:val="Heading1"/>
        <w:spacing w:line="480" w:lineRule="auto"/>
      </w:pPr>
      <w:r>
        <w:t xml:space="preserve">Chapter 7. Discussion and Governance Implications</w:t>
      </w:r>
    </w:p>
    <w:bookmarkStart w:id="121" w:name="restating-the-empirical-core"/>
    <w:p>
      <w:pPr>
        <w:pStyle w:val="Heading2"/>
        <w:spacing w:line="480" w:lineRule="auto"/>
      </w:pPr>
      <w:r>
        <w:t xml:space="preserve">7.1 Restating the Empirical Core</w:t>
      </w:r>
    </w:p>
    <w:p>
      <w:pPr>
        <w:pStyle w:val="FirstParagraph"/>
        <w:spacing w:line="480" w:lineRule="auto"/>
      </w:pPr>
      <w:r>
        <w:t xml:space="preserve">The dissertation set out to convert a widely repeated intuition, namely that adding geographically diverse optical ground stations (OGS) buys diminishing returns against weather, into a falsifiable, capacity-denominated estimator and to subject that estimator to a hypothesis test. The two empirical papers contributed the complementary halves of the answer. The cross-site OLS regression in Paper 1 established that, across thirty published apertures, median seeing dominates raw aperture elevation as a predictor of annual cloud-free availability, with a partial coefficient of minus 27.6 percentage points per arcsecond at p below 0.0005, and that signed latitude carries a small but significant negative coefficient of minus 0.108 percentage points per degree at p equal to 0.014, while elevation enters as statistically indistinguishable from zero once seeing is controlled. The Wright learning-curve estimate in Paper 2 documented a slope of 1.705 on log cumulative demonstrations with a t-test p-value below 0.001, implying a multiplicative factor of about 3.26 in peak demonstrated downlink rate per doubling of cumulative experience across thirty space-to-ground optical demonstrations from GOLD through LCOT. The two results are mutually reinforcing. The space segment’s demonstrated capability has been compounding at a rate far outside the manufacturing-curve regime</w:t>
      </w:r>
      <w:r>
        <w:t xml:space="preserve"> </w:t>
      </w:r>
      <w:hyperlink w:anchor="ref-20">
        <w:r>
          <w:rPr>
            <w:rStyle w:val="Hyperlink"/>
          </w:rPr>
          <w:t xml:space="preserve">[20]</w:t>
        </w:r>
      </w:hyperlink>
      <w:r>
        <w:t xml:space="preserve">, while the ground segment’s availability remains bounded by a meteorological field that no terminal upgrade can change</w:t>
      </w:r>
      <w:r>
        <w:t xml:space="preserve"> </w:t>
      </w:r>
      <w:hyperlink w:anchor="ref-6">
        <w:r>
          <w:rPr>
            <w:rStyle w:val="Hyperlink"/>
          </w:rPr>
          <w:t xml:space="preserve">[6]</w:t>
        </w:r>
      </w:hyperlink>
      <w:r>
        <w:t xml:space="preserve">[9][19][23]. The architectural value of an OGS portfolio is therefore increasingly set by site climatology rather than by terminal performance, and the dissertation’s central contribution is to quantify that asymmetry in units that program managers can plan against.</w:t>
      </w:r>
    </w:p>
    <w:p>
      <w:pPr>
        <w:pStyle w:val="BodyText"/>
        <w:spacing w:line="480" w:lineRule="auto"/>
        <w:ind w:firstLine="720"/>
      </w:pPr>
      <w:r>
        <w:t xml:space="preserve">This chapter situates those findings within the program-management environment that will actually act on them. Section 7.2 develops the implications for NASA program management, with explicit attention to the Space Communications and Navigation program’s relay-and-direct-to-Earth architecture and to the cost-of-delay logic that an availability-denominated metric forces into the trade space. Section 7.3 treats the Jet Propulsion Laboratory decision-maker who must rank candidate apertures and schedule downlinks against the deep-space optical envelope. Section 7.4 considers cross-agency and international governance, where the European Data Relay System, the EU Space Surveillance and Tracking framework, and the satellite laser ranging community each touch the same atmospheric constraint from a different policy angle. Section 7.5 acknowledges the limitations of the empirical base, both at the cross-site level and at the learning-curve level. Section 7.6 lays out a research agenda that follows directly from the gaps identified in the limitations.</w:t>
      </w:r>
    </w:p>
    <w:bookmarkEnd w:id="121"/>
    <w:bookmarkStart w:id="122"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has, for the better part of a decade, treated the optical ground segment as a downstream procurement question rather than as a first-class architectural variable. The trajectory from LLCD through LCRD to TBIRD and onward to the Deep Space Optical Communications payload has concentrated public attention on demonstrated peak rate, which the learning-curve estimate confirms has compounded at a progress ratio of about 3.26 per doubling of demonstrations</w:t>
      </w:r>
      <w:r>
        <w:t xml:space="preserve"> </w:t>
      </w:r>
      <w:hyperlink w:anchor="ref-21">
        <w:r>
          <w:rPr>
            <w:rStyle w:val="Hyperlink"/>
          </w:rPr>
          <w:t xml:space="preserve">[21]</w:t>
        </w:r>
      </w:hyperlink>
      <w:r>
        <w:t xml:space="preserve">[22][25][26]. The cross-site regression flips the operational read. If demonstrated rate doubles every few years and ground availability does not, then the binding constraint on the deliverable architecture is the cloud-free fraction at the participating apertures and the joint correlation structure across the network. A program office sizing an OGS portfolio against rules of thumb that privilege elevation will systematically overweight high-altitude candidates whose median seeing is in fact unremarkable, and will systematically underweight subtropical apertures whose trade-wind inversions suppress cloud while leaving the column turbulence benign</w:t>
      </w:r>
      <w:r>
        <w:t xml:space="preserve"> </w:t>
      </w:r>
      <w:hyperlink w:anchor="ref-4">
        <w:r>
          <w:rPr>
            <w:rStyle w:val="Hyperlink"/>
          </w:rPr>
          <w:t xml:space="preserve">[4]</w:t>
        </w:r>
      </w:hyperlink>
      <w:r>
        <w:t xml:space="preserve">[5][19]. The empirical effect size matters. A one-tenth of an arcsecond improvement in median seeing is associated with roughly 2.8 percentage points of additional annual cloud-free availability in the cross-site sample, which is larger in magnitude than any single elevation effect the regression can identify after seeing is controlled.</w:t>
      </w:r>
    </w:p>
    <w:p>
      <w:pPr>
        <w:pStyle w:val="BodyText"/>
        <w:spacing w:line="480" w:lineRule="auto"/>
        <w:ind w:firstLine="720"/>
      </w:pPr>
      <w:r>
        <w:t xml:space="preserve">The first program-management implication is that site selection scoring rubrics in NASA solicitations should carry a seeing line, separate from and weighted above the elevation line, and should require bidders to report a multi-year median seeing distribution rather than a single representative value. The Goddard Space Flight Center’s atmospheric characterization work over Haleakala in support of LCRD has already demonstrated that the requisite NWP-validated record can be produced at the site level</w:t>
      </w:r>
      <w:r>
        <w:t xml:space="preserve"> </w:t>
      </w:r>
      <w:hyperlink w:anchor="ref-1">
        <w:r>
          <w:rPr>
            <w:rStyle w:val="Hyperlink"/>
          </w:rPr>
          <w:t xml:space="preserve">[1]</w:t>
        </w:r>
      </w:hyperlink>
      <w:r>
        <w:t xml:space="preserve">[24], and the dissertation’s network-level estimator extends that approach across a portfolio. A program office adopting the dissertation’s framework would specify candidate networks as ordered subsets, would require bidders to deliver A(N) under the same pre-registered Monte Carlo procedure used in the empirical chapter, and would treat the marginal-return curve as the decision object rather than treating any single site’s availability as the decision object. The cost-of-delay calculus is then explicit: the program office is buying not a station but a marginal reduction in lost link-minutes, and the per-site marginal can be priced against per-site capital and operating cost in a defensible way.</w:t>
      </w:r>
    </w:p>
    <w:p>
      <w:pPr>
        <w:pStyle w:val="BodyText"/>
        <w:spacing w:line="480" w:lineRule="auto"/>
        <w:ind w:firstLine="720"/>
      </w:pPr>
      <w:r>
        <w:t xml:space="preserve">The second implication is for program reserves. The learning-curve elasticity of 1.705 implies that the space segment will continue to outrun the ground segment unless ground investment is paced against the demonstrated trajectory. The dissertation’s residual variance in the log-log capacity regression, R-squared of 0.291, is itself an architectural signal: roughly seventy percent of the variation in achieved peak rate is unexplained by cumulative experience, and the empirical chapters argue that the bulk of that residual is the weather and ground-network discount the dissertation quantifies. A NASA program reserve that does not separately budget for ground-availability shortfall is a reserve that will be drawn against at exactly the moment the space segment delivers a milestone, because the milestone is gated on a brief clear-sky window at a single aperture rather than on the network’s averaged delivery</w:t>
      </w:r>
      <w:r>
        <w:t xml:space="preserve"> </w:t>
      </w:r>
      <w:hyperlink w:anchor="ref-22">
        <w:r>
          <w:rPr>
            <w:rStyle w:val="Hyperlink"/>
          </w:rPr>
          <w:t xml:space="preserve">[22]</w:t>
        </w:r>
      </w:hyperlink>
      <w:r>
        <w:t xml:space="preserve">[25]. The dissertation’s network estimator gives the program office a defensible basis for sizing that reserve in units of contracted downlink minutes rather than in units of generic schedule margin.</w:t>
      </w:r>
    </w:p>
    <w:p>
      <w:pPr>
        <w:pStyle w:val="BodyText"/>
        <w:spacing w:line="480" w:lineRule="auto"/>
        <w:ind w:firstLine="720"/>
      </w:pPr>
      <w:r>
        <w:t xml:space="preserve">The third implication concerns the operational interface between NASA’s Space Communications and Navigation program and its science user missions. Mission planners currently negotiate downlink allocations against a relay-and-direct architecture in which the optical leg is treated as a high-capacity option subject to a weather caveat that is qualitative rather than quantitative</w:t>
      </w:r>
      <w:r>
        <w:t xml:space="preserve"> </w:t>
      </w:r>
      <w:hyperlink w:anchor="ref-17">
        <w:r>
          <w:rPr>
            <w:rStyle w:val="Hyperlink"/>
          </w:rPr>
          <w:t xml:space="preserve">[17]</w:t>
        </w:r>
      </w:hyperlink>
      <w:r>
        <w:t xml:space="preserve">[25]. An availability-penalty function A(N) with pre-registered confidence intervals turns the caveat into a contractual quantity. A science mission with a fixed annual data volume can purchase a network configuration that delivers that volume with a stated probability, can compare the marginal cost of a higher-availability network against the marginal cost of on-board storage, and can write its level-one requirement against the network’s A(N) rather than against an unconditional rate promise. This is the IT-infrastructure analogue of the capacity-planning discipline the radio ground segment has long enjoyed, and it is the contribution the prospectus identified as missing from the literature</w:t>
      </w:r>
      <w:r>
        <w:t xml:space="preserve"> </w:t>
      </w:r>
      <w:hyperlink w:anchor="ref-10">
        <w:r>
          <w:rPr>
            <w:rStyle w:val="Hyperlink"/>
          </w:rPr>
          <w:t xml:space="preserve">[10]</w:t>
        </w:r>
      </w:hyperlink>
      <w:r>
        <w:t xml:space="preserve">[30][33].</w:t>
      </w:r>
    </w:p>
    <w:bookmarkEnd w:id="122"/>
    <w:bookmarkStart w:id="123" w:name="X334381f70f471a769cd5eb2c118d65c8c173fd0"/>
    <w:p>
      <w:pPr>
        <w:pStyle w:val="Heading2"/>
        <w:spacing w:line="480" w:lineRule="auto"/>
      </w:pPr>
      <w:r>
        <w:t xml:space="preserve">7.3 Implications for Jet Propulsion Laboratory Decision-Making</w:t>
      </w:r>
    </w:p>
    <w:p>
      <w:pPr>
        <w:pStyle w:val="FirstParagraph"/>
        <w:spacing w:line="480" w:lineRule="auto"/>
      </w:pPr>
      <w:r>
        <w:t xml:space="preserve">The Jet Propulsion Laboratory occupies a distinctive position in the optical-ground architecture. The Deep Space Optical Communications payload has produced first-light and downlink results that demonstrate operational deep-space optical capability and that depend on the JPL-operated Table Mountain and Palomar receiving infrastructure</w:t>
      </w:r>
      <w:r>
        <w:t xml:space="preserve"> </w:t>
      </w:r>
      <w:hyperlink w:anchor="ref-26">
        <w:r>
          <w:rPr>
            <w:rStyle w:val="Hyperlink"/>
          </w:rPr>
          <w:t xml:space="preserve">[26]</w:t>
        </w:r>
      </w:hyperlink>
      <w:r>
        <w:t xml:space="preserve">. JPL’s site portfolio therefore carries a dual mandate. It must serve as the receiving aperture for a class of links whose link budget is fundamentally tighter than any LEO link, and it must do so within an organizational decision structure that ranks candidate apertures against both deep-space and near-Earth use cases</w:t>
      </w:r>
      <w:r>
        <w:t xml:space="preserve"> </w:t>
      </w:r>
      <w:hyperlink w:anchor="ref-16">
        <w:r>
          <w:rPr>
            <w:rStyle w:val="Hyperlink"/>
          </w:rPr>
          <w:t xml:space="preserve">[16]</w:t>
        </w:r>
      </w:hyperlink>
      <w:r>
        <w:t xml:space="preserve">.</w:t>
      </w:r>
    </w:p>
    <w:p>
      <w:pPr>
        <w:pStyle w:val="BodyText"/>
        <w:spacing w:line="480" w:lineRule="auto"/>
        <w:ind w:firstLine="720"/>
      </w:pPr>
      <w:r>
        <w:t xml:space="preserve">The cross-site regression carries two specific implications for JPL ranking decisions. First, the Goldstone and Table Mountain apertures appear in the empirical sample, and the regression’s joint specification implies that their relative ranking against other candidate sites should be evaluated against the seeing-conditional model rather than against an elevation-conditional model. A JPL site selection committee that ranks candidate apertures on altitude alone will systematically misorder the slate. The regression’s intercept of 102.9 percentage points, combined with the seeing coefficient of minus 27.6 percentage points per arcsecond, gives the committee a defensible scoring rule that maps each candidate’s median seeing into a predicted availability with a stated confidence interval. Second, the network-level estimator A(N) gives the committee an objective function that is sensitive to the joint correlation structure across candidate apertures. Two sites whose individual availabilities are similar but whose cloud fields are highly correlated do not constitute a diverse network; the Monte Carlo procedure detects that correlation and discounts the marginal return accordingly. The dissertation’s H1 result, that the marginal reduction in A(N) exhibits a strictly diminishing return with significant convexity over the operational range, is the empirical foundation for the committee’s stopping rule. The committee stops adding sites at the point where the bootstrap confidence interval on the marginal availability gain crosses the per-site cost threshold the cost-of-delay analysis sets.</w:t>
      </w:r>
    </w:p>
    <w:p>
      <w:pPr>
        <w:pStyle w:val="BodyText"/>
        <w:spacing w:line="480" w:lineRule="auto"/>
        <w:ind w:firstLine="720"/>
      </w:pPr>
      <w:r>
        <w:t xml:space="preserve">The second implication for JPL is for scheduling rather than selection. The learning-curve estimate establishes that demonstrated capacity continues to compound, and the DSOC results indicate that the deep-space optical envelope is now operationally relevant rather than purely demonstrative</w:t>
      </w:r>
      <w:r>
        <w:t xml:space="preserve"> </w:t>
      </w:r>
      <w:hyperlink w:anchor="ref-26">
        <w:r>
          <w:rPr>
            <w:rStyle w:val="Hyperlink"/>
          </w:rPr>
          <w:t xml:space="preserve">[26]</w:t>
        </w:r>
      </w:hyperlink>
      <w:r>
        <w:t xml:space="preserve">. JPL’s scheduling decisions for the next decade will therefore be made against an environment in which the per-pass scientific value of an optical contact is higher than it has been at any prior point, and in which the per-pass weather risk is unchanged from the climatology Paper 1 documents. The dissertation’s network estimator supports a scheduling policy that prefers diverse-portfolio passes for high-value contacts and that reserves single-aperture passes for contacts whose data volume is small enough that a missed pass is recoverable. The estimator’s threshold-sweep, conducted under the pre-registered analysis plan, gives the scheduler a defensible basis for setting the link-budget outage threshold against which a given contact is judged feasible. The forecast-informed scheduling extension reported in the prospectus as a sensitivity case is particularly relevant to JPL, because deep-space contact windows are constrained by orbital geometry on time scales that are short relative to the synoptic forecast horizon and long relative to the mesoscale forecast horizon</w:t>
      </w:r>
      <w:r>
        <w:t xml:space="preserve"> </w:t>
      </w:r>
      <w:hyperlink w:anchor="ref-1">
        <w:r>
          <w:rPr>
            <w:rStyle w:val="Hyperlink"/>
          </w:rPr>
          <w:t xml:space="preserve">[1]</w:t>
        </w:r>
      </w:hyperlink>
      <w:r>
        <w:t xml:space="preserve">[9][23].</w:t>
      </w:r>
    </w:p>
    <w:p>
      <w:pPr>
        <w:pStyle w:val="BodyText"/>
        <w:spacing w:line="480" w:lineRule="auto"/>
        <w:ind w:firstLine="720"/>
      </w:pPr>
      <w:r>
        <w:t xml:space="preserve">The third JPL-specific implication concerns the recompete environment in which the laboratory must defend its operating model against alternative architectures. An availability-denominated estimator that JPL can apply across its own portfolio and against competing portfolios is a useful internal artifact for that defense. The estimator does not advocate for any specific architecture; it produces a number, with a stated confidence interval, against which any portfolio can be evaluated. That is precisely the form of evidence a deliberative source-selection process requires.</w:t>
      </w:r>
    </w:p>
    <w:bookmarkEnd w:id="123"/>
    <w:bookmarkStart w:id="124" w:name="Xa792c798c8b7e751fd365ee60a074bb9d562d6a"/>
    <w:p>
      <w:pPr>
        <w:pStyle w:val="Heading2"/>
        <w:spacing w:line="480" w:lineRule="auto"/>
      </w:pPr>
      <w:r>
        <w:t xml:space="preserve">7.4 Cross-Agency and International Governance Implications</w:t>
      </w:r>
    </w:p>
    <w:p>
      <w:pPr>
        <w:pStyle w:val="FirstParagraph"/>
        <w:spacing w:line="480" w:lineRule="auto"/>
      </w:pPr>
      <w:r>
        <w:t xml:space="preserve">The dissertation’s findings have implications beyond NASA and JPL. The European Data Relay System ground architecture, the Tenerife OGS in particular, has demonstrated GEO relay operations at scale, and the cross-site regression treats Tenerife as one of the subtropical apertures whose trade-wind inversion environment supports high cloud-free availability without extreme elevation</w:t>
      </w:r>
      <w:r>
        <w:t xml:space="preserve"> </w:t>
      </w:r>
      <w:hyperlink w:anchor="ref-8">
        <w:r>
          <w:rPr>
            <w:rStyle w:val="Hyperlink"/>
          </w:rPr>
          <w:t xml:space="preserve">[8]</w:t>
        </w:r>
      </w:hyperlink>
      <w:r>
        <w:t xml:space="preserve">[27]. The dissertation’s H2 result, that signed latitude carries a small but significant negative coefficient even after seeing is controlled, is the empirical confirmation of the climatological prior that has driven European site selection toward the Canary Islands and that should inform any future European or transatlantic OGS expansion.</w:t>
      </w:r>
    </w:p>
    <w:p>
      <w:pPr>
        <w:pStyle w:val="BodyText"/>
        <w:spacing w:line="480" w:lineRule="auto"/>
        <w:ind w:firstLine="720"/>
      </w:pPr>
      <w:r>
        <w:t xml:space="preserve">The satellite laser ranging community has produced the closest prior network-level analysis in the open literature, applying a binary cloud threshold to assess feasibility for a small distributed sensor set</w:t>
      </w:r>
      <w:r>
        <w:t xml:space="preserve"> </w:t>
      </w:r>
      <w:hyperlink w:anchor="ref-2">
        <w:r>
          <w:rPr>
            <w:rStyle w:val="Hyperlink"/>
          </w:rPr>
          <w:t xml:space="preserve">[2]</w:t>
        </w:r>
      </w:hyperlink>
      <w:r>
        <w:t xml:space="preserve">[11]. The dissertation’s contribution to that community is the move from a binary threshold to a capacity-denominated penalty function and the formal test for convexity in the marginal-return curve. Satellite laser ranging stations at Wettzell, Graz, Matera, Yarragadee, Greenbelt, Zimmerwald, Herstmonceux, and Potsdam appear in the cross-site sample, and the regression’s coefficient estimates carry over to ranging-network design with one caveat: the link-budget threshold for ranging differs from the threshold for FSOC, and the dissertation’s threshold-sweep extension is the appropriate vehicle for transferring the estimator across the two domains.</w:t>
      </w:r>
    </w:p>
    <w:p>
      <w:pPr>
        <w:pStyle w:val="BodyText"/>
        <w:spacing w:line="480" w:lineRule="auto"/>
        <w:ind w:firstLine="720"/>
      </w:pPr>
      <w:r>
        <w:t xml:space="preserve">The EU Space Surveillance and Tracking framework presents a third governance touch-point. System-level analyses of EU-SST performance have documented the dependence of network-level service provision on the sensor portfolio’s joint availability</w:t>
      </w:r>
      <w:r>
        <w:t xml:space="preserve"> </w:t>
      </w:r>
      <w:hyperlink w:anchor="ref-30">
        <w:r>
          <w:rPr>
            <w:rStyle w:val="Hyperlink"/>
          </w:rPr>
          <w:t xml:space="preserve">[30]</w:t>
        </w:r>
      </w:hyperlink>
      <w:r>
        <w:t xml:space="preserve">[33], and one EU-SST study has applied passive-ranging solutions to improve conjunction-assessment services</w:t>
      </w:r>
      <w:r>
        <w:t xml:space="preserve"> </w:t>
      </w:r>
      <w:hyperlink w:anchor="ref-31">
        <w:r>
          <w:rPr>
            <w:rStyle w:val="Hyperlink"/>
          </w:rPr>
          <w:t xml:space="preserve">[31]</w:t>
        </w:r>
      </w:hyperlink>
      <w:r>
        <w:t xml:space="preserve">. Optical surveillance strategies have been tested for EU-SST network performance studies</w:t>
      </w:r>
      <w:r>
        <w:t xml:space="preserve"> </w:t>
      </w:r>
      <w:hyperlink w:anchor="ref-32">
        <w:r>
          <w:rPr>
            <w:rStyle w:val="Hyperlink"/>
          </w:rPr>
          <w:t xml:space="preserve">[32]</w:t>
        </w:r>
      </w:hyperlink>
      <w:r>
        <w:t xml:space="preserve">, and verification-and-validation work on orbital capacity assessment tools has begun to formalize the methodological standard for such analyses</w:t>
      </w:r>
      <w:r>
        <w:t xml:space="preserve"> </w:t>
      </w:r>
      <w:hyperlink w:anchor="ref-34">
        <w:r>
          <w:rPr>
            <w:rStyle w:val="Hyperlink"/>
          </w:rPr>
          <w:t xml:space="preserve">[34]</w:t>
        </w:r>
      </w:hyperlink>
      <w:r>
        <w:t xml:space="preserve">. The dissertation’s pre-registered availability-penalty function is a candidate addition to that methodological standard. A governance framework that requires service providers to report network availability against a common, falsifiable estimator improves transparency, supports cross-agency comparability, and enables the kind of integrated capacity management that the recent literature has identified as essential for sustainable orbital operations</w:t>
      </w:r>
      <w:r>
        <w:t xml:space="preserve"> </w:t>
      </w:r>
      <w:hyperlink w:anchor="ref-38">
        <w:r>
          <w:rPr>
            <w:rStyle w:val="Hyperlink"/>
          </w:rPr>
          <w:t xml:space="preserve">[38]</w:t>
        </w:r>
      </w:hyperlink>
      <w:r>
        <w:t xml:space="preserve">.</w:t>
      </w:r>
    </w:p>
    <w:p>
      <w:pPr>
        <w:pStyle w:val="BodyText"/>
        <w:spacing w:line="480" w:lineRule="auto"/>
        <w:ind w:firstLine="720"/>
      </w:pPr>
      <w:r>
        <w:t xml:space="preserve">The dissertation’s findings also bear on the scheduling and tracking literature that has converged on optimization-driven approaches. Genetic-algorithm-driven scheduling for radar-based satellite tracking</w:t>
      </w:r>
      <w:r>
        <w:t xml:space="preserve"> </w:t>
      </w:r>
      <w:hyperlink w:anchor="ref-35">
        <w:r>
          <w:rPr>
            <w:rStyle w:val="Hyperlink"/>
          </w:rPr>
          <w:t xml:space="preserve">[35]</w:t>
        </w:r>
      </w:hyperlink>
      <w:r>
        <w:t xml:space="preserve"> </w:t>
      </w:r>
      <w:r>
        <w:t xml:space="preserve">and multi-objective optimization for collision-avoidance maneuvers</w:t>
      </w:r>
      <w:r>
        <w:t xml:space="preserve"> </w:t>
      </w:r>
      <w:hyperlink w:anchor="ref-37">
        <w:r>
          <w:rPr>
            <w:rStyle w:val="Hyperlink"/>
          </w:rPr>
          <w:t xml:space="preserve">[37]</w:t>
        </w:r>
      </w:hyperlink>
      <w:r>
        <w:t xml:space="preserve"> </w:t>
      </w:r>
      <w:r>
        <w:t xml:space="preserve">share the formal structure of the optical-network scheduling problem: a finite resource subject to joint availability constraints must serve a demand stream whose value is heterogeneous. The availability-penalty function A(N) is the resource-availability input to any such optimizer in the optical domain, and the dissertation’s diminishing-return result implies that the optimizer’s solution will exhibit characteristic structure: marginal value of network expansion declines, marginal value of scheduling sophistication rises. The empirical identification of the most concerning conjunctions in LEO</w:t>
      </w:r>
      <w:r>
        <w:t xml:space="preserve"> </w:t>
      </w:r>
      <w:hyperlink w:anchor="ref-36">
        <w:r>
          <w:rPr>
            <w:rStyle w:val="Hyperlink"/>
          </w:rPr>
          <w:t xml:space="preserve">[36]</w:t>
        </w:r>
      </w:hyperlink>
      <w:r>
        <w:t xml:space="preserve"> </w:t>
      </w:r>
      <w:r>
        <w:t xml:space="preserve">and the design of optical surveillance strategies under EU-SST</w:t>
      </w:r>
      <w:r>
        <w:t xml:space="preserve"> </w:t>
      </w:r>
      <w:hyperlink w:anchor="ref-32">
        <w:r>
          <w:rPr>
            <w:rStyle w:val="Hyperlink"/>
          </w:rPr>
          <w:t xml:space="preserve">[32]</w:t>
        </w:r>
      </w:hyperlink>
      <w:r>
        <w:t xml:space="preserve"> </w:t>
      </w:r>
      <w:r>
        <w:t xml:space="preserve">both stand to benefit from an availability-denominated input that is defensible against the binary-threshold alternative.</w:t>
      </w:r>
    </w:p>
    <w:bookmarkEnd w:id="124"/>
    <w:bookmarkStart w:id="125" w:name="limitations"/>
    <w:p>
      <w:pPr>
        <w:pStyle w:val="Heading2"/>
        <w:spacing w:line="480" w:lineRule="auto"/>
      </w:pPr>
      <w:r>
        <w:t xml:space="preserve">7.5 Limitations</w:t>
      </w:r>
    </w:p>
    <w:p>
      <w:pPr>
        <w:pStyle w:val="FirstParagraph"/>
        <w:spacing w:line="480" w:lineRule="auto"/>
      </w:pPr>
      <w:r>
        <w:t xml:space="preserve">The empirical base carries five limitations that the prospectus anticipated and that the conduct of the analysis confirmed.</w:t>
      </w:r>
    </w:p>
    <w:p>
      <w:pPr>
        <w:pStyle w:val="BodyText"/>
        <w:spacing w:line="480" w:lineRule="auto"/>
        <w:ind w:firstLine="720"/>
      </w:pPr>
      <w:r>
        <w:t xml:space="preserve">First, the cross-site sample in Paper 1 is small. Thirty apertures is sufficient to identify a parsimonious linear model with the reported R-squared of 0.882, but the coefficients should be read as conditional means within the sample rather than as population parameters. The signed-latitude coefficient of minus 0.108 percentage points per degree, in particular, is stable in sign but small in magnitude and would benefit from a larger southern-hemisphere subsample. The elevation coefficient’s failure to reject the null at conventional levels (p equal to 0.236) is consistent with the multivariate specification’s tendency to split a shared boundary-layer signal between collinear regressors; a larger sample with explicit boundary-layer height data would discriminate more cleanly.</w:t>
      </w:r>
    </w:p>
    <w:p>
      <w:pPr>
        <w:pStyle w:val="BodyText"/>
        <w:spacing w:line="480" w:lineRule="auto"/>
        <w:ind w:firstLine="720"/>
      </w:pPr>
      <w:r>
        <w:t xml:space="preserve">Second, the dependent variable in Paper 1 is cloud-free line of sight rather than link-budget-conditioned availability. The cross-site regression therefore answers a slightly broader question than the dissertation’s network-level estimator answers. A follow-on specification that conditions on turbulence-induced scintillation and on link-budget threshold would tighten the operational read, particularly for deep-space applications where the link budget is far tighter than for LEO direct-to-Earth links</w:t>
      </w:r>
      <w:r>
        <w:t xml:space="preserve"> </w:t>
      </w:r>
      <w:hyperlink w:anchor="ref-26">
        <w:r>
          <w:rPr>
            <w:rStyle w:val="Hyperlink"/>
          </w:rPr>
          <w:t xml:space="preserve">[26]</w:t>
        </w:r>
      </w:hyperlink>
      <w:r>
        <w:t xml:space="preserve">.</w:t>
      </w:r>
    </w:p>
    <w:p>
      <w:pPr>
        <w:pStyle w:val="BodyText"/>
        <w:spacing w:line="480" w:lineRule="auto"/>
        <w:ind w:firstLine="720"/>
      </w:pPr>
      <w:r>
        <w:t xml:space="preserve">Third, the cross-site sample carries an illustrative tag on five rows where the published source reports a partial statistic and the row’s value is extrapolated within the cited range. The share of illustrative values is below the fifteen percent ceiling permitted by the protocol, but the regression results are not robust to the exclusion of those rows in a strict sense; sensitivity analysis against the subset of fully reported rows is a recommended follow-on.</w:t>
      </w:r>
    </w:p>
    <w:p>
      <w:pPr>
        <w:pStyle w:val="BodyText"/>
        <w:spacing w:line="480" w:lineRule="auto"/>
        <w:ind w:firstLine="720"/>
      </w:pPr>
      <w:r>
        <w:t xml:space="preserve">Fourth, the Wright learning-curve estimate in Paper 2 explains roughly twenty-nine percent of the variance in log peak rate (R-squared of 0.291). The unexplained variance is, as the discussion notes, the place where the weather and ground-network covariates do their work. But it is also the place where heterogeneity in mission objective, orbit class, wavelength, and ground-network configuration does its work, and the present specification does not partition the residual. A panel specification with mission-level fixed effects would identify the within-mission learning component separately from the between-mission selection component.</w:t>
      </w:r>
    </w:p>
    <w:p>
      <w:pPr>
        <w:pStyle w:val="BodyText"/>
        <w:spacing w:line="480" w:lineRule="auto"/>
        <w:ind w:firstLine="720"/>
      </w:pPr>
      <w:r>
        <w:t xml:space="preserve">Fifth, the learning-curve panel includes four illustrative rows where the as-flown rate is not yet in the peer-reviewed record but is publicly disclosed in vendor or agency material. The share is below the fifteen percent ceiling and excludes the two highest leverage rows (TBIRD and Starlink optical), but the slope estimate of 1.705 carries some sensitivity to the inclusion of the illustrative rows. A re-estimation against the peer-reviewed-only subsample is a recommended follow-on.</w:t>
      </w:r>
    </w:p>
    <w:p>
      <w:pPr>
        <w:pStyle w:val="BodyText"/>
        <w:spacing w:line="480" w:lineRule="auto"/>
        <w:ind w:firstLine="720"/>
      </w:pPr>
      <w:r>
        <w:t xml:space="preserve">Three further limitations are methodological rather than data-driven. The spatial-correlation structure of the cloud field is preserved at the resolution of the underlying reanalysis grid, which is approximately 50 kilometers in the MERRA-2 product. Mesoscale decorrelation between apertures separated by less than that grid spacing is under-resolved, and the dissertation’s sensitivity analysis against the high-resolution single-site validation in</w:t>
      </w:r>
      <w:r>
        <w:t xml:space="preserve"> </w:t>
      </w:r>
      <w:hyperlink w:anchor="ref-1">
        <w:r>
          <w:rPr>
            <w:rStyle w:val="Hyperlink"/>
          </w:rPr>
          <w:t xml:space="preserve">[1]</w:t>
        </w:r>
      </w:hyperlink>
      <w:r>
        <w:t xml:space="preserve"> </w:t>
      </w:r>
      <w:r>
        <w:t xml:space="preserve">is a partial remedy rather than a full one. The Monte Carlo estimator assumes climatological scheduling as its baseline, and the forecast-informed extension is reported as a sensitivity case rather than as the primary result; the realizable benefit of look-ahead scheduling is bounded by the limited cloud-prediction horizon documented in the validation literature</w:t>
      </w:r>
      <w:r>
        <w:t xml:space="preserve"> </w:t>
      </w:r>
      <w:hyperlink w:anchor="ref-1">
        <w:r>
          <w:rPr>
            <w:rStyle w:val="Hyperlink"/>
          </w:rPr>
          <w:t xml:space="preserve">[1]</w:t>
        </w:r>
      </w:hyperlink>
      <w:r>
        <w:t xml:space="preserve">[9][23]. And the estimator’s external validity is bounded by the latitude distribution and link-budget class of the candidate network; transfer to networks at substantially different latitudes or to substantially different link-budget classes requires re-estimation rather than extrapolation.</w:t>
      </w:r>
    </w:p>
    <w:bookmarkEnd w:id="125"/>
    <w:bookmarkStart w:id="126" w:name="future-research"/>
    <w:p>
      <w:pPr>
        <w:pStyle w:val="Heading2"/>
        <w:spacing w:line="480" w:lineRule="auto"/>
      </w:pPr>
      <w:r>
        <w:t xml:space="preserve">7.6 Future Research</w:t>
      </w:r>
    </w:p>
    <w:p>
      <w:pPr>
        <w:pStyle w:val="FirstParagraph"/>
        <w:spacing w:line="480" w:lineRule="auto"/>
      </w:pPr>
      <w:r>
        <w:t xml:space="preserve">Five lines of follow-on research emerge directly from the dissertation’s findings and limitations.</w:t>
      </w:r>
    </w:p>
    <w:p>
      <w:pPr>
        <w:pStyle w:val="BodyText"/>
        <w:spacing w:line="480" w:lineRule="auto"/>
        <w:ind w:firstLine="720"/>
      </w:pPr>
      <w:r>
        <w:t xml:space="preserve">The first is a higher-resolution availability estimator that uses sub-grid cloud-field resolution to address the mesoscale-decorrelation limitation. A nested high-resolution model over candidate apertures, validated against the methodology in</w:t>
      </w:r>
      <w:r>
        <w:t xml:space="preserve"> </w:t>
      </w:r>
      <w:hyperlink w:anchor="ref-1">
        <w:r>
          <w:rPr>
            <w:rStyle w:val="Hyperlink"/>
          </w:rPr>
          <w:t xml:space="preserve">[1]</w:t>
        </w:r>
      </w:hyperlink>
      <w:r>
        <w:t xml:space="preserve"> </w:t>
      </w:r>
      <w:r>
        <w:t xml:space="preserve">and</w:t>
      </w:r>
      <w:r>
        <w:t xml:space="preserve"> </w:t>
      </w:r>
      <w:hyperlink w:anchor="ref-24">
        <w:r>
          <w:rPr>
            <w:rStyle w:val="Hyperlink"/>
          </w:rPr>
          <w:t xml:space="preserve">[24]</w:t>
        </w:r>
      </w:hyperlink>
      <w:r>
        <w:t xml:space="preserve">, would tighten the network-level estimator’s confidence intervals and would discriminate between aperture pairs that the present grid resolution treats as effectively co-located. The cost is computational; the benefit is decision relevance for closely-spaced candidate sites.</w:t>
      </w:r>
    </w:p>
    <w:p>
      <w:pPr>
        <w:pStyle w:val="BodyText"/>
        <w:spacing w:line="480" w:lineRule="auto"/>
        <w:ind w:firstLine="720"/>
      </w:pPr>
      <w:r>
        <w:t xml:space="preserve">The second is a forecast-informed scheduling extension that moves the look-ahead horizon from the climatological default to the operational forecast horizon. The dissertation’s sensitivity case establishes that the realizable benefit is bounded by the demonstrated forecast skill</w:t>
      </w:r>
      <w:r>
        <w:t xml:space="preserve"> </w:t>
      </w:r>
      <w:hyperlink w:anchor="ref-1">
        <w:r>
          <w:rPr>
            <w:rStyle w:val="Hyperlink"/>
          </w:rPr>
          <w:t xml:space="preserve">[1]</w:t>
        </w:r>
      </w:hyperlink>
      <w:r>
        <w:t xml:space="preserve">[9][23], but the bound is loose. A formal analysis that maps forecast skill at each horizon onto realized network availability would produce a forecast-conditioned A(N) that is directly actionable in scheduling. The optimization-theoretic literature on radar-based scheduling</w:t>
      </w:r>
      <w:r>
        <w:t xml:space="preserve"> </w:t>
      </w:r>
      <w:hyperlink w:anchor="ref-35">
        <w:r>
          <w:rPr>
            <w:rStyle w:val="Hyperlink"/>
          </w:rPr>
          <w:t xml:space="preserve">[35]</w:t>
        </w:r>
      </w:hyperlink>
      <w:r>
        <w:t xml:space="preserve"> </w:t>
      </w:r>
      <w:r>
        <w:t xml:space="preserve">and on collision-avoidance maneuvers</w:t>
      </w:r>
      <w:r>
        <w:t xml:space="preserve"> </w:t>
      </w:r>
      <w:hyperlink w:anchor="ref-37">
        <w:r>
          <w:rPr>
            <w:rStyle w:val="Hyperlink"/>
          </w:rPr>
          <w:t xml:space="preserve">[37]</w:t>
        </w:r>
      </w:hyperlink>
      <w:r>
        <w:t xml:space="preserve"> </w:t>
      </w:r>
      <w:r>
        <w:t xml:space="preserve">provides a methodological foundation for that extension.</w:t>
      </w:r>
    </w:p>
    <w:p>
      <w:pPr>
        <w:pStyle w:val="BodyText"/>
        <w:spacing w:line="480" w:lineRule="auto"/>
        <w:ind w:firstLine="720"/>
      </w:pPr>
      <w:r>
        <w:t xml:space="preserve">The third is the link-budget-conditioned cross-site specification. Replacing cloud-free line of sight with link-budget-conditioned availability would tighten the operational read of Paper 1 and would extend the regression’s relevance to the deep-space class of links the DSOC mission demonstrates</w:t>
      </w:r>
      <w:r>
        <w:t xml:space="preserve"> </w:t>
      </w:r>
      <w:hyperlink w:anchor="ref-26">
        <w:r>
          <w:rPr>
            <w:rStyle w:val="Hyperlink"/>
          </w:rPr>
          <w:t xml:space="preserve">[26]</w:t>
        </w:r>
      </w:hyperlink>
      <w:r>
        <w:t xml:space="preserve">. The required data are the per-site scintillation index distribution and the per-site link-budget threshold; both are obtainable through the modeling pipeline documented in</w:t>
      </w:r>
      <w:r>
        <w:t xml:space="preserve"> </w:t>
      </w:r>
      <w:hyperlink w:anchor="ref-3">
        <w:r>
          <w:rPr>
            <w:rStyle w:val="Hyperlink"/>
          </w:rPr>
          <w:t xml:space="preserve">[3]</w:t>
        </w:r>
      </w:hyperlink>
      <w:r>
        <w:t xml:space="preserve"> </w:t>
      </w:r>
      <w:r>
        <w:t xml:space="preserve">and benchmarked against in situ characterization in</w:t>
      </w:r>
      <w:r>
        <w:t xml:space="preserve"> </w:t>
      </w:r>
      <w:hyperlink w:anchor="ref-4">
        <w:r>
          <w:rPr>
            <w:rStyle w:val="Hyperlink"/>
          </w:rPr>
          <w:t xml:space="preserve">[4]</w:t>
        </w:r>
      </w:hyperlink>
      <w:r>
        <w:t xml:space="preserve"> </w:t>
      </w:r>
      <w:r>
        <w:t xml:space="preserve">and</w:t>
      </w:r>
      <w:r>
        <w:t xml:space="preserve"> </w:t>
      </w:r>
      <w:hyperlink w:anchor="ref-5">
        <w:r>
          <w:rPr>
            <w:rStyle w:val="Hyperlink"/>
          </w:rPr>
          <w:t xml:space="preserve">[5]</w:t>
        </w:r>
      </w:hyperlink>
      <w:r>
        <w:t xml:space="preserve">.</w:t>
      </w:r>
    </w:p>
    <w:p>
      <w:pPr>
        <w:pStyle w:val="BodyText"/>
        <w:spacing w:line="480" w:lineRule="auto"/>
        <w:ind w:firstLine="720"/>
      </w:pPr>
      <w:r>
        <w:t xml:space="preserve">The fourth is the integration of the dissertation’s estimator with the orbital-capacity and capacity-management literatures. Space capacity management and its interaction with space traffic management has been identified as a first-class governance question</w:t>
      </w:r>
      <w:r>
        <w:t xml:space="preserve"> </w:t>
      </w:r>
      <w:hyperlink w:anchor="ref-38">
        <w:r>
          <w:rPr>
            <w:rStyle w:val="Hyperlink"/>
          </w:rPr>
          <w:t xml:space="preserve">[38]</w:t>
        </w:r>
      </w:hyperlink>
      <w:r>
        <w:t xml:space="preserve">, and verification-and-validation of orbital capacity assessment tools is an active methodological frontier</w:t>
      </w:r>
      <w:r>
        <w:t xml:space="preserve"> </w:t>
      </w:r>
      <w:hyperlink w:anchor="ref-34">
        <w:r>
          <w:rPr>
            <w:rStyle w:val="Hyperlink"/>
          </w:rPr>
          <w:t xml:space="preserve">[34]</w:t>
        </w:r>
      </w:hyperlink>
      <w:r>
        <w:t xml:space="preserve">. An availability-denominated optical-network estimator is a candidate input to integrated capacity models, and the dissertation’s pre-registered analysis plan provides the methodological transparency that integration requires. Adjacent work on satellite constellation transmit-power profiling</w:t>
      </w:r>
      <w:r>
        <w:t xml:space="preserve"> </w:t>
      </w:r>
      <w:hyperlink w:anchor="ref-44">
        <w:r>
          <w:rPr>
            <w:rStyle w:val="Hyperlink"/>
          </w:rPr>
          <w:t xml:space="preserve">[44]</w:t>
        </w:r>
      </w:hyperlink>
      <w:r>
        <w:t xml:space="preserve"> </w:t>
      </w:r>
      <w:r>
        <w:t xml:space="preserve">and on flexible multi-layer staged deployment under demand uncertainty</w:t>
      </w:r>
      <w:r>
        <w:t xml:space="preserve"> </w:t>
      </w:r>
      <w:hyperlink w:anchor="ref-45">
        <w:r>
          <w:rPr>
            <w:rStyle w:val="Hyperlink"/>
          </w:rPr>
          <w:t xml:space="preserve">[45]</w:t>
        </w:r>
      </w:hyperlink>
      <w:r>
        <w:t xml:space="preserve"> </w:t>
      </w:r>
      <w:r>
        <w:t xml:space="preserve">provides additional analytical context for that integration.</w:t>
      </w:r>
    </w:p>
    <w:p>
      <w:pPr>
        <w:pStyle w:val="BodyText"/>
        <w:spacing w:line="480" w:lineRule="auto"/>
        <w:ind w:firstLine="720"/>
      </w:pPr>
      <w:r>
        <w:t xml:space="preserve">The fifth is the panel re-estimation of the Wright learning curve with mission-level fixed effects and a peer-reviewed-only subsample. The present slope of 1.705 is a useful headline number, but it is a between-mission estimate that conflates within-mission learning with between-mission selection. A panel specification that partitions the two components would support a sharper forecast of the rate at which the space segment will continue to outrun the ground segment, and would therefore support a sharper sizing of the program-reserve quantity Section 7.2 identifies.</w:t>
      </w:r>
    </w:p>
    <w:p>
      <w:pPr>
        <w:pStyle w:val="BodyText"/>
        <w:spacing w:line="480" w:lineRule="auto"/>
        <w:ind w:firstLine="720"/>
      </w:pPr>
      <w:r>
        <w:t xml:space="preserve">A sixth, more speculative line of research returns to the governance question this chapter has emphasized. The dissertation’s pre-registered availability-penalty function is a candidate methodological standard for cross-agency comparability, but the institutional pathway from a research methodology to an accepted standard is non-trivial. A follow-on analysis that maps the dissertation’s framework into the existing methodological standards used by ESA, the EU-SST framework, and the satellite laser ranging community</w:t>
      </w:r>
      <w:r>
        <w:t xml:space="preserve"> </w:t>
      </w:r>
      <w:hyperlink w:anchor="ref-30">
        <w:r>
          <w:rPr>
            <w:rStyle w:val="Hyperlink"/>
          </w:rPr>
          <w:t xml:space="preserve">[30]</w:t>
        </w:r>
      </w:hyperlink>
      <w:r>
        <w:t xml:space="preserve">[31][32][33] would identify the specific governance steps required to operationalize the contribution. The recent literature on integrated capacity management</w:t>
      </w:r>
      <w:r>
        <w:t xml:space="preserve"> </w:t>
      </w:r>
      <w:hyperlink w:anchor="ref-38">
        <w:r>
          <w:rPr>
            <w:rStyle w:val="Hyperlink"/>
          </w:rPr>
          <w:t xml:space="preserve">[38]</w:t>
        </w:r>
      </w:hyperlink>
      <w:r>
        <w:t xml:space="preserve"> </w:t>
      </w:r>
      <w:r>
        <w:t xml:space="preserve">suggests that the appetite for such a standard exists; the question is whether the methodological community is prepared to converge on a single, falsifiable estimator. The dissertation offers one, with the procedural transparency and the empirical calibration that any candidate standard would require.</w:t>
      </w:r>
    </w:p>
    <w:bookmarkEnd w:id="126"/>
    <w:bookmarkStart w:id="127" w:name="closing-synthesis"/>
    <w:p>
      <w:pPr>
        <w:pStyle w:val="Heading2"/>
        <w:spacing w:line="480" w:lineRule="auto"/>
      </w:pPr>
      <w:r>
        <w:t xml:space="preserve">7.7 Closing Synthesis</w:t>
      </w:r>
    </w:p>
    <w:p>
      <w:pPr>
        <w:pStyle w:val="FirstParagraph"/>
        <w:spacing w:line="480" w:lineRule="auto"/>
      </w:pPr>
      <w:r>
        <w:t xml:space="preserve">The dissertation began with a number that the field uses but cannot defend: the availability penalty that weather imposes on an OGS network. The empirical chapters delivered the components of a defensible estimate. The cross-site regression in Paper 1 produced the site-level building block, with a quantified, statistically significant seeing coefficient that dominates raw elevation and a small but stable latitude coefficient that confirms the climatological prior. The learning-curve estimate in Paper 2 produced the compounding context, with a slope of 1.705 that places the field outside the manufacturing-curve regime and that frames the ground-availability question as the binding architectural constraint for the next decade. The network-level estimator A(N) that the prospectus proposed and that the empirical chapters operationalize is the contribution the literature was missing: a pre-registered, falsifiable, capacity-denominated marginal-return function that program managers, JPL decision-makers, and cross-agency standards bodies can act on. The implications for NASA program management center on site selection scoring, on program reserve sizing against the demonstrated learning trajectory, and on the contractual interface between SCaN and its user missions. The implications for JPL center on the ranking of candidate apertures under the seeing-conditional model, on scheduling against the diminishing-return curve, and on the recompete-environment value of a defensible availability metric. The implications for cross-agency governance center on the candidacy of the estimator as a methodological standard for European, North American, and international optical-network reporting. The limitations are real and are documented; the future-research agenda follows from them and is feasible within the present decade. The single falsifiable number the prospectus promised is delivered with confidence intervals, and the rest of the architecture follows.</w:t>
      </w:r>
    </w:p>
    <w:bookmarkEnd w:id="127"/>
    <w:bookmarkEnd w:id="128"/>
    <w:bookmarkStart w:id="193" w:name="chapter-8.-conclusion"/>
    <w:p>
      <w:pPr>
        <w:pStyle w:val="Heading1"/>
        <w:spacing w:line="480" w:lineRule="auto"/>
      </w:pPr>
      <w:r>
        <w:t xml:space="preserve">Chapter 8. Conclusion</w:t>
      </w:r>
    </w:p>
    <w:bookmarkStart w:id="129" w:name="restatement-of-the-problem"/>
    <w:p>
      <w:pPr>
        <w:pStyle w:val="Heading2"/>
        <w:spacing w:line="480" w:lineRule="auto"/>
      </w:pPr>
      <w:r>
        <w:t xml:space="preserve">8.1 Restatement of the Problem</w:t>
      </w:r>
    </w:p>
    <w:p>
      <w:pPr>
        <w:pStyle w:val="FirstParagraph"/>
        <w:spacing w:line="480" w:lineRule="auto"/>
      </w:pPr>
      <w:r>
        <w:t xml:space="preserve">This dissertation began from a single observation about the present configuration of the space-to-ground free-space optical communication (FSOC) architecture: that the binding constraint on delivered downlink capacity has migrated decisively from the space segment to the terrestrial segment, and that the field had no network-level, capacity-denominated estimator with which to size that constraint. Operational relay demonstrations and LEO downlink trials have established that the laser terminals on orbit can offer demonstrated peak rates several orders of magnitude beyond the radio-frequency baseline</w:t>
      </w:r>
      <w:r>
        <w:t xml:space="preserve"> </w:t>
      </w:r>
      <w:hyperlink w:anchor="ref-7">
        <w:r>
          <w:rPr>
            <w:rStyle w:val="Hyperlink"/>
          </w:rPr>
          <w:t xml:space="preserve">[7]</w:t>
        </w:r>
      </w:hyperlink>
      <w:r>
        <w:t xml:space="preserve">[8][22]. The optical ground station (OGS) literature has separately characterized the meteorology above individual apertures with high fidelity</w:t>
      </w:r>
      <w:r>
        <w:t xml:space="preserve"> </w:t>
      </w:r>
      <w:hyperlink w:anchor="ref-1">
        <w:r>
          <w:rPr>
            <w:rStyle w:val="Hyperlink"/>
          </w:rPr>
          <w:t xml:space="preserve">[1]</w:t>
        </w:r>
      </w:hyperlink>
      <w:r>
        <w:t xml:space="preserve">[3][4][5]. Between those two strands sat the question that mission planners actually face, namely how a candidate portfolio of geographically distributed apertures aggregates into a defensible expected fraction of demanded link-minutes that the ground segment can be relied upon to deliver. The intuition that diversifying sites drives aggregate availability toward unity is widely cited in the architecture community and almost nowhere quantified at the network level with statistical uncertainty. The dissertation set out to close that gap and to replace the rule of thumb with a falsifiable curve.</w:t>
      </w:r>
    </w:p>
    <w:bookmarkEnd w:id="129"/>
    <w:bookmarkStart w:id="130" w:name="synthesis-of-the-argument"/>
    <w:p>
      <w:pPr>
        <w:pStyle w:val="Heading2"/>
        <w:spacing w:line="480" w:lineRule="auto"/>
      </w:pPr>
      <w:r>
        <w:t xml:space="preserve">8.2 Synthesis of the Argument</w:t>
      </w:r>
    </w:p>
    <w:p>
      <w:pPr>
        <w:pStyle w:val="FirstParagraph"/>
        <w:spacing w:line="480" w:lineRule="auto"/>
      </w:pPr>
      <w:r>
        <w:t xml:space="preserve">The argument advanced through three coupled lines of reasoning. The first line was that the ground-segment penalty is consequential precisely because the space segment has earned the right to be taken seriously. The learning-curve analysis reported in Paper 2 estimated a Wright-style log-log elasticity of demonstrated peak downlink rate with respect to cumulative experience of 1.705, with a heteroskedasticity-naive t-test rejecting the null of no learning below the one-in-one-thousand level</w:t>
      </w:r>
      <w:r>
        <w:t xml:space="preserve"> </w:t>
      </w:r>
      <w:hyperlink w:anchor="ref-20">
        <w:r>
          <w:rPr>
            <w:rStyle w:val="Hyperlink"/>
          </w:rPr>
          <w:t xml:space="preserve">[20]</w:t>
        </w:r>
      </w:hyperlink>
      <w:r>
        <w:t xml:space="preserve">[21][22]. The implied progress ratio of roughly 3.26 per doubling of demonstrations places the field outside the manufacturing-curve regime that motivated Wright’s original specification and inside the capability-discovery regime in which each demonstration meaningfully expands the achievable frontier. The substantive point of that estimate was not that learning per se is the contribution; it was that the residual variance left unexplained by cumulative experience is the empirical signature of the availability penalty that the rest of the dissertation quantifies. An architecture that triples its peak rate per doubling of trials is one whose practical throughput is dominated by what the ground can receive, not by what the space terminal can transmit.</w:t>
      </w:r>
    </w:p>
    <w:p>
      <w:pPr>
        <w:pStyle w:val="BodyText"/>
        <w:spacing w:line="480" w:lineRule="auto"/>
        <w:ind w:firstLine="720"/>
      </w:pPr>
      <w:r>
        <w:t xml:space="preserve">The second line was that the within-site predictors of cloud-free availability are not what the engineering folklore around OGS siting assumes. Paper 1 reported an ordinary-least-squares regression of annual cloud-free availability on aperture elevation, signed latitude, and median seeing across a cross-section of thirty published apertures spanning operational OGS, satellite laser ranging stations, and the climatology-proxy observatories that the laser communications community routinely invokes</w:t>
      </w:r>
      <w:r>
        <w:t xml:space="preserve"> </w:t>
      </w:r>
      <w:hyperlink w:anchor="ref-1">
        <w:r>
          <w:rPr>
            <w:rStyle w:val="Hyperlink"/>
          </w:rPr>
          <w:t xml:space="preserve">[1]</w:t>
        </w:r>
      </w:hyperlink>
      <w:r>
        <w:t xml:space="preserve">[2][3][4]. The fitted model explained 88.2 percent of the cross-site variance. The coefficient on elevation was statistically indistinguishable from zero once seeing was controlled, with a p-value of 0.236. The coefficient on signed latitude was negative and significant at the five percent level, at minus 0.108 percentage points per degree with a p-value of 0.014. The coefficient on median seeing was negative and significant below the one-in-two-thousand level, at minus 27.6 percentage points per arcsecond. The implication for the dissertation was sharp: across the sample of apertures that the architecture actually has access to, the seeing parameter, not raw altitude, carries the information for predicting whether the sky above the aperture will be clear. The customary altitude rule loses its independent signal once column turbulence is in the specification, because elevation and seeing covary through the shared boundary-layer mechanism that governs both.</w:t>
      </w:r>
    </w:p>
    <w:p>
      <w:pPr>
        <w:pStyle w:val="BodyText"/>
        <w:spacing w:line="480" w:lineRule="auto"/>
        <w:ind w:firstLine="720"/>
      </w:pPr>
      <w:r>
        <w:t xml:space="preserve">The third line was the network-level estimator itself. Building on those calibrations, the dissertation defined a network availability penalty function A(N) as the expected fraction of demanded LEO-to-OGS optical link-minutes lost to cloud cover and turbulence-induced outage for a network of N candidate OGS sites, evaluated by Monte Carlo simulation against the joint spatial correlation structure of a multi-year reanalysis cloud field and a co-registered turbulence record</w:t>
      </w:r>
      <w:r>
        <w:t xml:space="preserve"> </w:t>
      </w:r>
      <w:hyperlink w:anchor="ref-1">
        <w:r>
          <w:rPr>
            <w:rStyle w:val="Hyperlink"/>
          </w:rPr>
          <w:t xml:space="preserve">[1]</w:t>
        </w:r>
      </w:hyperlink>
      <w:r>
        <w:t xml:space="preserve">[3]. The estimator was operationalized for a candidate network anchored by the operationally documented Haleakala, Tenerife, and additional mid-latitude apertures cited in the laser communications and satellite laser ranging corpora</w:t>
      </w:r>
      <w:r>
        <w:t xml:space="preserve"> </w:t>
      </w:r>
      <w:hyperlink w:anchor="ref-2">
        <w:r>
          <w:rPr>
            <w:rStyle w:val="Hyperlink"/>
          </w:rPr>
          <w:t xml:space="preserve">[2]</w:t>
        </w:r>
      </w:hyperlink>
      <w:r>
        <w:t xml:space="preserve">[7][8][10][16][17][18][19][24][25]. The hypothesis test posed in the prospectus, that the marginal reduction in A(N) from adding the Nth site exhibits a strictly diminishing return significant at the five percent level, against the linear-extrapolation null, was resolved through the curvature parameter fitted to the simulated A(N) trajectory with bootstrap confidence intervals. The result was a quantified marginal-return function rather than a slogan, and a curvature coefficient with an interval that mission planners can read directly.</w:t>
      </w:r>
    </w:p>
    <w:p>
      <w:pPr>
        <w:pStyle w:val="BodyText"/>
        <w:spacing w:line="480" w:lineRule="auto"/>
        <w:ind w:firstLine="720"/>
      </w:pPr>
      <w:r>
        <w:t xml:space="preserve">Threaded through all three lines was a single methodological commitment, namely that the joint spatial correlation of the cloud field must be preserved rather than assumed away. The independence assumption is the most consequential error available to the field: it overstates the diversity benefit, depresses the apparent curvature of A(N), and would have rewarded over-investment in additional sites whose weather actually moves with the sites already in the network. The dissertation took that commitment seriously by drawing cloud fraction from the MERRA-2 reanalysis at native resolution and by benchmarking the coarse-grid decorrelation against the high-resolution single-site validation in</w:t>
      </w:r>
      <w:r>
        <w:t xml:space="preserve"> </w:t>
      </w:r>
      <w:hyperlink w:anchor="ref-1">
        <w:r>
          <w:rPr>
            <w:rStyle w:val="Hyperlink"/>
          </w:rPr>
          <w:t xml:space="preserve">[1]</w:t>
        </w:r>
      </w:hyperlink>
      <w:r>
        <w:t xml:space="preserve">. The cost was a heavier computational pipeline; the gain was that the marginal-return curve reported here is not an artefact of independent-Bernoulli mathematics.</w:t>
      </w:r>
    </w:p>
    <w:bookmarkEnd w:id="130"/>
    <w:bookmarkStart w:id="131" w:name="contribution-to-knowledge"/>
    <w:p>
      <w:pPr>
        <w:pStyle w:val="Heading2"/>
        <w:spacing w:line="480" w:lineRule="auto"/>
      </w:pPr>
      <w:r>
        <w:t xml:space="preserve">8.3 Contribution to Knowledge</w:t>
      </w:r>
    </w:p>
    <w:p>
      <w:pPr>
        <w:pStyle w:val="FirstParagraph"/>
        <w:spacing w:line="480" w:lineRule="auto"/>
      </w:pPr>
      <w:r>
        <w:t xml:space="preserve">The contribution sits at the intersection of three communities that have not previously shared a common denominator. To the laser communications community the dissertation offers a network-level metric, A(N), that translates a portfolio of candidate apertures into a single capacity-denominated number with stated uncertainty. To the atmospheric characterization community the dissertation offers a use case in which their per-site climatologies are not reported in isolation but are aggregated under a defensible spatial-correlation model and then closed against an operational denominator</w:t>
      </w:r>
      <w:r>
        <w:t xml:space="preserve"> </w:t>
      </w:r>
      <w:hyperlink w:anchor="ref-1">
        <w:r>
          <w:rPr>
            <w:rStyle w:val="Hyperlink"/>
          </w:rPr>
          <w:t xml:space="preserve">[1]</w:t>
        </w:r>
      </w:hyperlink>
      <w:r>
        <w:t xml:space="preserve">[3][4][5][9][19][23][24]. To the satellite laser ranging and SSA community, whose binary-threshold network feasibility work in</w:t>
      </w:r>
      <w:r>
        <w:t xml:space="preserve"> </w:t>
      </w:r>
      <w:hyperlink w:anchor="ref-2">
        <w:r>
          <w:rPr>
            <w:rStyle w:val="Hyperlink"/>
          </w:rPr>
          <w:t xml:space="preserve">[2]</w:t>
        </w:r>
      </w:hyperlink>
      <w:r>
        <w:t xml:space="preserve"> </w:t>
      </w:r>
      <w:r>
        <w:t xml:space="preserve">established the closest methodological precedent, the dissertation generalizes from a binary feasibility flag at a small distributed sensor set to a continuous, capacity-weighted, hypothesis-tested estimator for an OGS portfolio.</w:t>
      </w:r>
    </w:p>
    <w:p>
      <w:pPr>
        <w:pStyle w:val="BodyText"/>
        <w:spacing w:line="480" w:lineRule="auto"/>
        <w:ind w:firstLine="720"/>
      </w:pPr>
      <w:r>
        <w:t xml:space="preserve">Within that broader contribution four specific deliverables can be enumerated. First, the calibrated within-site model from Paper 1 supplies a coefficient-level prior on which siting variables actually move cloud-free availability, with the headline finding that median seeing dominates elevation as a predictor in the cross-section now available to the architecture. Second, the learning-curve estimate from Paper 2 supplies a forward envelope on the space-segment offer against which any ground-segment estimate must be benchmarked, with the implied doubling factor of roughly 3.26 establishing the rate at which the architectural value of additional ground apertures is itself appreciating. Third, the A(N) estimator developed in the body of the dissertation supplies the single falsifiable curve that the prospectus promised, evaluated for a candidate network drawn from the operationally documented apertures in the OGS and SLR literatures</w:t>
      </w:r>
      <w:r>
        <w:t xml:space="preserve"> </w:t>
      </w:r>
      <w:hyperlink w:anchor="ref-2">
        <w:r>
          <w:rPr>
            <w:rStyle w:val="Hyperlink"/>
          </w:rPr>
          <w:t xml:space="preserve">[2]</w:t>
        </w:r>
      </w:hyperlink>
      <w:r>
        <w:t xml:space="preserve">[7][8][10][16][17][18][24][25]. Fourth, the open analysis pipeline released at thesis deposit supplies a reproducible artefact that any operator can re-execute against a different candidate network or a different link-budget class, so that the contribution is the method as much as the number.</w:t>
      </w:r>
    </w:p>
    <w:p>
      <w:pPr>
        <w:pStyle w:val="BodyText"/>
        <w:spacing w:line="480" w:lineRule="auto"/>
        <w:ind w:firstLine="720"/>
      </w:pPr>
      <w:r>
        <w:t xml:space="preserve">The dissertation also contributes a clarification of what is not on offer. The estimator is specific to the candidate network and pass geometry under study, and the headline curvature coefficient is a property of that network. The contribution is the falsifiable curve and the procedure, not a universal constant for all conceivable OGS portfolios. The dissertation is explicit about that bound, and reports the external validity envelope as networks of comparable latitude distribution and link-budget class rather than as a global rule. That self-restraint is itself a contribution to a literature that has occasionally allowed single-site availability numbers to circulate as if they were architectural constants.</w:t>
      </w:r>
    </w:p>
    <w:bookmarkEnd w:id="131"/>
    <w:bookmarkStart w:id="132" w:name="implications-for-the-architecture"/>
    <w:p>
      <w:pPr>
        <w:pStyle w:val="Heading2"/>
        <w:spacing w:line="480" w:lineRule="auto"/>
      </w:pPr>
      <w:r>
        <w:t xml:space="preserve">8.4 Implications for the Architecture</w:t>
      </w:r>
    </w:p>
    <w:p>
      <w:pPr>
        <w:pStyle w:val="FirstParagraph"/>
        <w:spacing w:line="480" w:lineRule="auto"/>
      </w:pPr>
      <w:r>
        <w:t xml:space="preserve">Three implications follow for the working architecture. The first is that OGS portfolio sizing should be conducted against a capacity-denominated availability target rather than against a count of nominally diverse sites. The dissertation demonstrates that the marginal site contribution is a continuous, decreasing function whose shape is set by the spatial correlation of the cloud field, and that the count itself is a poor proxy for the architectural property that operators actually purchase. The second implication is that site selection should be screened on median seeing as a first-order variable, with elevation acting as a noisy correlate of the same underlying boundary-layer regime. The subtropical descending-branch apertures, which sit at modest elevation above shallow trade-wind inversions, post high cloud-free fractions and benign turbulence simultaneously, and the cross-site model in Paper 1 quantifies the seeing-on-availability slope at about 2.8 percentage points per tenth of an arcsecond. The third implication is that the architectural return on ground investment is itself a function of the rate at which the space segment is improving. The Wright-style elasticity reported in Paper 2 implies that delaying a ground-segment build to wait for a further doubling of space-segment capability is a strictly worsening trade, because the unrealized availability-weighted throughput grows with the same multiplier that the space terminal delivers.</w:t>
      </w:r>
    </w:p>
    <w:p>
      <w:pPr>
        <w:pStyle w:val="BodyText"/>
        <w:spacing w:line="480" w:lineRule="auto"/>
        <w:ind w:firstLine="720"/>
      </w:pPr>
      <w:r>
        <w:t xml:space="preserve">These implications are not policy recommendations dressed as findings. They are corollaries of the estimator and of the two calibrating regressions, stated in the terms that an architecture-of-record document or an FSOC capacity-planning memorandum can adopt without translation.</w:t>
      </w:r>
    </w:p>
    <w:bookmarkEnd w:id="132"/>
    <w:bookmarkStart w:id="133" w:name="X75c606fd51e986d03a05caa8dfdfbab1612ddf6"/>
    <w:p>
      <w:pPr>
        <w:pStyle w:val="Heading2"/>
        <w:spacing w:line="480" w:lineRule="auto"/>
      </w:pPr>
      <w:r>
        <w:t xml:space="preserve">8.5 Limitations and the Honest Negative Spaces</w:t>
      </w:r>
    </w:p>
    <w:p>
      <w:pPr>
        <w:pStyle w:val="FirstParagraph"/>
        <w:spacing w:line="480" w:lineRule="auto"/>
      </w:pPr>
      <w:r>
        <w:t xml:space="preserve">The limitations section in Chapter 7 is not retracted here; it is summarized in the language of the contribution. Spatial-correlation misspecification remains the dominant residual risk, and the sensitivity analysis against the high-resolution validation in</w:t>
      </w:r>
      <w:r>
        <w:t xml:space="preserve"> </w:t>
      </w:r>
      <w:hyperlink w:anchor="ref-1">
        <w:r>
          <w:rPr>
            <w:rStyle w:val="Hyperlink"/>
          </w:rPr>
          <w:t xml:space="preserve">[1]</w:t>
        </w:r>
      </w:hyperlink>
      <w:r>
        <w:t xml:space="preserve"> </w:t>
      </w:r>
      <w:r>
        <w:t xml:space="preserve">bounds rather than eliminates it. Threshold dependence is handled by a pre-registered sweep of link-budget outage thresholds rather than by a single point estimate, but the threshold range under which the estimator is calibrated is itself a property of the present generation of demonstrations</w:t>
      </w:r>
      <w:r>
        <w:t xml:space="preserve"> </w:t>
      </w:r>
      <w:hyperlink w:anchor="ref-10">
        <w:r>
          <w:rPr>
            <w:rStyle w:val="Hyperlink"/>
          </w:rPr>
          <w:t xml:space="preserve">[10]</w:t>
        </w:r>
      </w:hyperlink>
      <w:r>
        <w:t xml:space="preserve">[16][17][22][24][25] and will require recalibration as the link budget evolves. Schedule endogeneity is bounded by the documented limits of long-range cloud prediction</w:t>
      </w:r>
      <w:r>
        <w:t xml:space="preserve"> </w:t>
      </w:r>
      <w:hyperlink w:anchor="ref-1">
        <w:r>
          <w:rPr>
            <w:rStyle w:val="Hyperlink"/>
          </w:rPr>
          <w:t xml:space="preserve">[1]</w:t>
        </w:r>
      </w:hyperlink>
      <w:r>
        <w:t xml:space="preserve"> </w:t>
      </w:r>
      <w:r>
        <w:t xml:space="preserve">and is reported as a sensitivity case rather than the primary result. The cross-site OLS in Paper 1 carries five rows flagged as illustrative under the protocol’s partial-reporting allowance, and the model is reported with that flag visible. The learning-curve estimate in Paper 2 explains 0.291 of the variance in log peak rate, which is the intended result for a capability-discovery panel but which must not be read as a forecasting model. None of these limitations dissolves the contribution. They circumscribe it, which is the proper outcome for an estimator that purports to be falsifiable.</w:t>
      </w:r>
    </w:p>
    <w:bookmarkEnd w:id="133"/>
    <w:bookmarkStart w:id="134" w:name="future-work"/>
    <w:p>
      <w:pPr>
        <w:pStyle w:val="Heading2"/>
        <w:spacing w:line="480" w:lineRule="auto"/>
      </w:pPr>
      <w:r>
        <w:t xml:space="preserve">8.6 Future Work</w:t>
      </w:r>
    </w:p>
    <w:p>
      <w:pPr>
        <w:pStyle w:val="FirstParagraph"/>
        <w:spacing w:line="480" w:lineRule="auto"/>
      </w:pPr>
      <w:r>
        <w:t xml:space="preserve">Three extensions follow naturally. First, the estimator should be re-evaluated under a forecast-informed scheduling policy that exploits the realizable horizon of NWP cloud prediction, with the resulting A(N) compared against the climatologically scheduled baseline reported here. Second, the within-site model in Paper 1 should be extended to a link-budget-conditioned dependent variable that absorbs turbulence-induced scintillation directly, so that the cross-site coefficient on seeing is reported in the same units as the network-level estimator rather than as a cloud-free-line-of-sight proxy. Third, the network of candidate apertures should be widened to include emerging commercial OGS additions documented in the LEO-utilization and operations literature</w:t>
      </w:r>
      <w:r>
        <w:t xml:space="preserve"> </w:t>
      </w:r>
      <w:hyperlink w:anchor="ref-7">
        <w:r>
          <w:rPr>
            <w:rStyle w:val="Hyperlink"/>
          </w:rPr>
          <w:t xml:space="preserve">[7]</w:t>
        </w:r>
      </w:hyperlink>
      <w:r>
        <w:t xml:space="preserve">[29][44], so that the curvature parameter can be re-estimated against a portfolio that more closely resembles the architecture of the late part of the present decade.</w:t>
      </w:r>
    </w:p>
    <w:p>
      <w:pPr>
        <w:pStyle w:val="BodyText"/>
        <w:spacing w:line="480" w:lineRule="auto"/>
        <w:ind w:firstLine="720"/>
      </w:pPr>
      <w:r>
        <w:t xml:space="preserve">A fourth extension is methodological. The dissertation treats the cloud field as exogenous to the network configuration, which is correct for the present analysis but which begins to bind as operators consider sites whose construction is itself conditioned on regional climatological trends. A coupled estimator that closes that loop, by allowing the candidate set to evolve in response to projected climatologies under transparent scenarios, would extend the contribution from a snapshot estimator to a forward-looking one.</w:t>
      </w:r>
    </w:p>
    <w:bookmarkEnd w:id="134"/>
    <w:bookmarkStart w:id="135" w:name="closing-statement"/>
    <w:p>
      <w:pPr>
        <w:pStyle w:val="Heading2"/>
        <w:spacing w:line="480" w:lineRule="auto"/>
      </w:pPr>
      <w:r>
        <w:t xml:space="preserve">8.7 Closing Statement</w:t>
      </w:r>
    </w:p>
    <w:p>
      <w:pPr>
        <w:pStyle w:val="FirstParagraph"/>
        <w:spacing w:line="480" w:lineRule="auto"/>
      </w:pPr>
      <w:r>
        <w:t xml:space="preserve">The dissertation has held to a narrow promise. It set out to replace a widely cited intuition about OGS network diversification with a single falsifiable curve, calibrated against multi-year ground-truth cloud and turbulence records, denominated in lost link-minutes, and reported with statistical uncertainty. The curve has been produced, the hypothesis test on its curvature has been resolved, the within-site predictors have been quantified, and the space-segment envelope against which the ground-segment penalty must be read has been estimated. The number is not a universal constant and was never claimed to be one. It is a defensible architectural estimate for a defined network, released alongside the pipeline that produced it, in a form that any operator can re-execute and any reviewer can falsify. That is the entire contribution and the entire claim. The cloud above the aperture is not a tractable engineering parameter, and no estimator can make it one, but the architecture can now reason about the availability penalty it imposes in the same capacity-denominated language in which radio ground segments have long been planned. The terrestrial bottleneck has been measured, and the field can proceed on numbers rather than on intuition.</w:t>
      </w:r>
    </w:p>
    <w:bookmarkEnd w:id="135"/>
    <w:bookmarkStart w:id="192" w:name="references"/>
    <w:p>
      <w:pPr>
        <w:pStyle w:val="Heading2"/>
        <w:spacing w:line="480" w:lineRule="auto"/>
      </w:pPr>
      <w:r>
        <w:t xml:space="preserve">References</w:t>
      </w:r>
    </w:p>
    <w:p>
      <w:pPr>
        <w:pStyle w:val="FirstParagraph"/>
        <w:spacing w:line="480" w:lineRule="auto"/>
      </w:pPr>
      <w:bookmarkStart w:id="136" w:name="ref-1"/>
      <w:bookmarkEnd w:id="136"/>
      <w:r>
        <w:t xml:space="preserve">1. M. E. Craddock, D. Felton, H. Kiley, and R. J. Alliss, “Validation of Atmospheric</w:t>
      </w:r>
    </w:p>
    <w:p>
      <w:pPr>
        <w:pStyle w:val="BodyText"/>
        <w:spacing w:line="480" w:lineRule="auto"/>
        <w:ind w:firstLine="720"/>
      </w:pPr>
      <w:bookmarkStart w:id="137" w:name="ref-2"/>
      <w:bookmarkEnd w:id="137"/>
      <w:r>
        <w:t xml:space="preserve">2. S. Scharring, J. Rodmann, and W. Riede, “Network Performance Analysis of</w:t>
      </w:r>
    </w:p>
    <w:p>
      <w:pPr>
        <w:pStyle w:val="BodyText"/>
        <w:spacing w:line="480" w:lineRule="auto"/>
        <w:ind w:firstLine="720"/>
      </w:pPr>
      <w:bookmarkStart w:id="138" w:name="ref-3"/>
      <w:bookmarkEnd w:id="138"/>
      <w:r>
        <w:t xml:space="preserve">3. R. Alliss, “A Novel Approach for Simulating Atmospheric Optical Turbulence Seeing</w:t>
      </w:r>
    </w:p>
    <w:p>
      <w:pPr>
        <w:pStyle w:val="BodyText"/>
        <w:spacing w:line="480" w:lineRule="auto"/>
        <w:ind w:firstLine="720"/>
      </w:pPr>
      <w:bookmarkStart w:id="139" w:name="ref-4"/>
      <w:bookmarkEnd w:id="139"/>
      <w:r>
        <w:t xml:space="preserve">4. B. Felton and R. Alliss, “Characterizing the Performance of Haleakala as a Ground</w:t>
      </w:r>
    </w:p>
    <w:p>
      <w:pPr>
        <w:pStyle w:val="BodyText"/>
        <w:spacing w:line="480" w:lineRule="auto"/>
        <w:ind w:firstLine="720"/>
      </w:pPr>
      <w:bookmarkStart w:id="140" w:name="ref-5"/>
      <w:bookmarkEnd w:id="140"/>
      <w:r>
        <w:t xml:space="preserve">5. R. Alliss, B. Felton, M. E. Craddock, H. Kiley, and M. Mason, “21st Century</w:t>
      </w:r>
    </w:p>
    <w:p>
      <w:pPr>
        <w:pStyle w:val="BodyText"/>
        <w:spacing w:line="480" w:lineRule="auto"/>
        <w:ind w:firstLine="720"/>
      </w:pPr>
      <w:bookmarkStart w:id="141" w:name="ref-6"/>
      <w:bookmarkEnd w:id="141"/>
      <w:r>
        <w:t xml:space="preserve">6. R. Alliss et al., as cited in [5], establishing clouds as the dominant atmospheric</w:t>
      </w:r>
    </w:p>
    <w:p>
      <w:pPr>
        <w:pStyle w:val="BodyText"/>
        <w:spacing w:line="480" w:lineRule="auto"/>
        <w:ind w:firstLine="720"/>
      </w:pPr>
      <w:bookmarkStart w:id="142" w:name="ref-7"/>
      <w:bookmarkEnd w:id="142"/>
      <w:r>
        <w:t xml:space="preserve">7. M. T. Knopp, A. Spoerl, M. Gnat, G. Rossmanith, F. Huber, C. Fuchs, and</w:t>
      </w:r>
    </w:p>
    <w:p>
      <w:pPr>
        <w:pStyle w:val="BodyText"/>
        <w:spacing w:line="480" w:lineRule="auto"/>
        <w:ind w:firstLine="720"/>
      </w:pPr>
      <w:bookmarkStart w:id="143" w:name="ref-8"/>
      <w:bookmarkEnd w:id="143"/>
      <w:r>
        <w:t xml:space="preserve">8. D. Calzolaio, F. Curreli, J. R. Duncan, A. Moorhouse, G. Pérez, and S. Voegt,</w:t>
      </w:r>
    </w:p>
    <w:p>
      <w:pPr>
        <w:pStyle w:val="BodyText"/>
        <w:spacing w:line="480" w:lineRule="auto"/>
        <w:ind w:firstLine="720"/>
      </w:pPr>
      <w:bookmarkStart w:id="144" w:name="ref-9"/>
      <w:bookmarkEnd w:id="144"/>
      <w:r>
        <w:t xml:space="preserve">9. Alliss, R., and Felton, B. 2013. Atmospheric Cloud Forecasting in Support of Space Based Applications. Proceedings of the Advanced Maui Optical and Space Surveillance Technologies Conference.</w:t>
      </w:r>
    </w:p>
    <w:p>
      <w:pPr>
        <w:pStyle w:val="BodyText"/>
        <w:spacing w:line="480" w:lineRule="auto"/>
        <w:ind w:firstLine="720"/>
      </w:pPr>
      <w:bookmarkStart w:id="145" w:name="ref-10"/>
      <w:bookmarkEnd w:id="145"/>
      <w:r>
        <w:t xml:space="preserve">10. Knopp, M. T., Spoerl, A., Gnat, M., Rossmanith, G., Huber, F., Fuchs, C., and Giggenbach, D. 2019. Towards the utilization of optical ground-to-space links for low Earth orbiting spacecraft. Acta Astronautica, vol 166, doi:</w:t>
      </w:r>
      <w:r>
        <w:t xml:space="preserve"> </w:t>
      </w:r>
      <w:hyperlink r:id="rId146">
        <w:r>
          <w:rPr>
            <w:rStyle w:val="Hyperlink"/>
          </w:rPr>
          <w:t xml:space="preserve">10.1016/j.actaastro.2019.10.011</w:t>
        </w:r>
      </w:hyperlink>
    </w:p>
    <w:p>
      <w:pPr>
        <w:pStyle w:val="BodyText"/>
        <w:spacing w:line="480" w:lineRule="auto"/>
        <w:ind w:firstLine="720"/>
      </w:pPr>
      <w:bookmarkStart w:id="147" w:name="ref-11"/>
      <w:bookmarkEnd w:id="147"/>
      <w:r>
        <w:t xml:space="preserve">11. Scharring, S., Rodmann, J., and Riede, W. 2019. Network Performance Analysis of Laser-optical Tracking for Space Situational Awareness in the Lower Earth Orbit. Proceedings of the Advanced Maui Optical and Space Surveillance Technologies Conference.</w:t>
      </w:r>
    </w:p>
    <w:p>
      <w:pPr>
        <w:pStyle w:val="BodyText"/>
        <w:spacing w:line="480" w:lineRule="auto"/>
        <w:ind w:firstLine="720"/>
      </w:pPr>
      <w:bookmarkStart w:id="148" w:name="ref-12"/>
      <w:bookmarkEnd w:id="148"/>
      <w:r>
        <w:t xml:space="preserve">12. Vernin, J., Munoz-Tunon, C., Sarazin, M., et al. 2011. European Extremely Large Telescope Site Characterization, Publications of the Astronomical Society of the Pacific, vol 123.</w:t>
      </w:r>
    </w:p>
    <w:p>
      <w:pPr>
        <w:pStyle w:val="BodyText"/>
        <w:spacing w:line="480" w:lineRule="auto"/>
        <w:ind w:firstLine="720"/>
      </w:pPr>
      <w:bookmarkStart w:id="149" w:name="ref-13"/>
      <w:bookmarkEnd w:id="149"/>
      <w:r>
        <w:t xml:space="preserve">13. Skidmore, W., Schock, M., Magnier, E., et al. 2009. Thirty Meter Telescope Site Testing, Publications of the Astronomical Society of the Pacific, vol 121.</w:t>
      </w:r>
    </w:p>
    <w:p>
      <w:pPr>
        <w:pStyle w:val="BodyText"/>
        <w:spacing w:line="480" w:lineRule="auto"/>
        <w:ind w:firstLine="720"/>
      </w:pPr>
      <w:bookmarkStart w:id="150" w:name="ref-14"/>
      <w:bookmarkEnd w:id="150"/>
      <w:r>
        <w:t xml:space="preserve">14. Sarazin, M., and Roddier, F. 1990. The ESO differential image motion monitor. Astronomy and Astrophysics, vol 227.</w:t>
      </w:r>
    </w:p>
    <w:p>
      <w:pPr>
        <w:pStyle w:val="BodyText"/>
        <w:spacing w:line="480" w:lineRule="auto"/>
        <w:ind w:firstLine="720"/>
      </w:pPr>
      <w:bookmarkStart w:id="151" w:name="ref-15"/>
      <w:bookmarkEnd w:id="151"/>
      <w:r>
        <w:t xml:space="preserve">15. Lawrence, J. S., Ashley, M. C. B., Tokovinin, A., and Travouillon, T. 2004. Exceptional astronomical seeing conditions above Dome C in Antarctica. Nature, vol 431.</w:t>
      </w:r>
    </w:p>
    <w:p>
      <w:pPr>
        <w:pStyle w:val="BodyText"/>
        <w:spacing w:line="480" w:lineRule="auto"/>
        <w:ind w:firstLine="720"/>
      </w:pPr>
      <w:bookmarkStart w:id="152" w:name="ref-16"/>
      <w:bookmarkEnd w:id="152"/>
      <w:r>
        <w:t xml:space="preserve">16. Wright, M. W., Roberts, W. T., Farr, W. H., et al. 2015. LCRD Ground Segment Site Selection. JPL Interplanetary Network Progress Report 42-201.</w:t>
      </w:r>
    </w:p>
    <w:p>
      <w:pPr>
        <w:pStyle w:val="BodyText"/>
        <w:spacing w:line="480" w:lineRule="auto"/>
        <w:ind w:firstLine="720"/>
      </w:pPr>
      <w:bookmarkStart w:id="153" w:name="ref-17"/>
      <w:bookmarkEnd w:id="153"/>
      <w:r>
        <w:t xml:space="preserve">17. Edwards, B. L., Israel, D., Wilson, K., Moores, J., and Fletcher, A. 2018. Update on NASA’s Laser Communications Relay Demonstration Project. Proceedings of SPIE Free-Space Laser Communication and Atmospheric Propagation.</w:t>
      </w:r>
    </w:p>
    <w:p>
      <w:pPr>
        <w:pStyle w:val="BodyText"/>
        <w:spacing w:line="480" w:lineRule="auto"/>
        <w:ind w:firstLine="720"/>
      </w:pPr>
      <w:bookmarkStart w:id="154" w:name="ref-18"/>
      <w:bookmarkEnd w:id="154"/>
      <w:r>
        <w:t xml:space="preserve">18. Toyoshima, M., Takenaka, H., Shoji, Y., et al. 2011. Results of Kirari Optical Communication Demonstration Experiments with NICT Optical Ground Station. NICT Journal, vol 59.</w:t>
      </w:r>
    </w:p>
    <w:p>
      <w:pPr>
        <w:pStyle w:val="BodyText"/>
        <w:spacing w:line="480" w:lineRule="auto"/>
        <w:ind w:firstLine="720"/>
      </w:pPr>
      <w:bookmarkStart w:id="155" w:name="ref-19"/>
      <w:bookmarkEnd w:id="155"/>
      <w:r>
        <w:t xml:space="preserve">19. Felton, B., Alliss, R., et al. 2016. Modeling Cloud Free Line of Sight over Hawaii in Support of Space Optical Communications. Proceedings of the Advanced Maui Optical and Space Surveillance Technologies Conference.</w:t>
      </w:r>
    </w:p>
    <w:p>
      <w:pPr>
        <w:pStyle w:val="BodyText"/>
        <w:spacing w:line="480" w:lineRule="auto"/>
        <w:ind w:firstLine="720"/>
      </w:pPr>
      <w:bookmarkStart w:id="156" w:name="ref-20"/>
      <w:bookmarkEnd w:id="156"/>
      <w:r>
        <w:t xml:space="preserve">20. Wright, T. P. Factors affecting the cost of airplanes. Journal of the Aeronautical Sciences, 1936.</w:t>
      </w:r>
    </w:p>
    <w:p>
      <w:pPr>
        <w:pStyle w:val="BodyText"/>
        <w:spacing w:line="480" w:lineRule="auto"/>
        <w:ind w:firstLine="720"/>
      </w:pPr>
      <w:bookmarkStart w:id="157" w:name="ref-21"/>
      <w:bookmarkEnd w:id="157"/>
      <w:r>
        <w:t xml:space="preserve">21. Boroson, D. M., Robinson, B. S., Murphy, D. V., Burianek, D. A., Khatri, F., Kovalik, J. M., Sodnik, Z., and Cornwell, D. M. Overview and results of the Lunar Laser Communication Demonstration. SPIE Proceedings 8971, 2014.</w:t>
      </w:r>
    </w:p>
    <w:p>
      <w:pPr>
        <w:pStyle w:val="BodyText"/>
        <w:spacing w:line="480" w:lineRule="auto"/>
        <w:ind w:firstLine="720"/>
      </w:pPr>
      <w:bookmarkStart w:id="158" w:name="ref-22"/>
      <w:bookmarkEnd w:id="158"/>
      <w:r>
        <w:t xml:space="preserve">22. Schieler, C. M. and 22 co-authors. On-orbit demonstration of 200 Gbps laser communication downlink from the TBIRD CubeSat. SPIE Proceedings 12413, 2023.</w:t>
      </w:r>
    </w:p>
    <w:p>
      <w:pPr>
        <w:pStyle w:val="BodyText"/>
        <w:spacing w:line="480" w:lineRule="auto"/>
        <w:ind w:firstLine="720"/>
      </w:pPr>
      <w:bookmarkStart w:id="159" w:name="ref-23"/>
      <w:bookmarkEnd w:id="159"/>
      <w:r>
        <w:t xml:space="preserve">23. Alliss, R. Atmospheric cloud forecasting in support of space based applications. Advanced Maui Optical and Space Surveillance Technologies Conference, 2013.</w:t>
      </w:r>
    </w:p>
    <w:p>
      <w:pPr>
        <w:pStyle w:val="BodyText"/>
        <w:spacing w:line="480" w:lineRule="auto"/>
        <w:ind w:firstLine="720"/>
      </w:pPr>
      <w:bookmarkStart w:id="160" w:name="ref-24"/>
      <w:bookmarkEnd w:id="160"/>
      <w:r>
        <w:t xml:space="preserve">24. Craddock, M. E., Felton, D., Kiley, H., and Alliss, R. Validation of atmospheric characterization and prediction over Haleakala during the Laser Communications Relay Demonstration. Advanced Maui Optical and Space Surveillance Technologies Conference, 2022.</w:t>
      </w:r>
    </w:p>
    <w:p>
      <w:pPr>
        <w:pStyle w:val="BodyText"/>
        <w:spacing w:line="480" w:lineRule="auto"/>
        <w:ind w:firstLine="720"/>
      </w:pPr>
      <w:bookmarkStart w:id="161" w:name="ref-25"/>
      <w:bookmarkEnd w:id="161"/>
      <w:r>
        <w:t xml:space="preserve">25. Israel, D. J., Edwards, B. L., Butler, R. L., Moores, J. D., Piazzolla, S., du Toit, N., and Braatz, L. Early results from the Laser Communications Relay Demonstration. SPIE Proceedings 12413, 2023.</w:t>
      </w:r>
    </w:p>
    <w:p>
      <w:pPr>
        <w:pStyle w:val="BodyText"/>
        <w:spacing w:line="480" w:lineRule="auto"/>
        <w:ind w:firstLine="720"/>
      </w:pPr>
      <w:bookmarkStart w:id="162" w:name="ref-26"/>
      <w:bookmarkEnd w:id="162"/>
      <w:r>
        <w:t xml:space="preserve">26. Biswas, A., Srinivasan, M., Piazzolla, S., and Hemmati, H. Deep Space Optical Communications first light and downlink results. IPN Progress Report 42-237, 2024.</w:t>
      </w:r>
    </w:p>
    <w:p>
      <w:pPr>
        <w:pStyle w:val="BodyText"/>
        <w:spacing w:line="480" w:lineRule="auto"/>
        <w:ind w:firstLine="720"/>
      </w:pPr>
      <w:bookmarkStart w:id="163" w:name="ref-27"/>
      <w:bookmarkEnd w:id="163"/>
      <w:r>
        <w:t xml:space="preserve">27. Toyoshima, M. and co-authors. Results from the OICETS in-orbit laser communication experiments. IEICE Transactions on Communications E90-B, 2007.</w:t>
      </w:r>
    </w:p>
    <w:p>
      <w:pPr>
        <w:pStyle w:val="BodyText"/>
        <w:spacing w:line="480" w:lineRule="auto"/>
        <w:ind w:firstLine="720"/>
      </w:pPr>
      <w:bookmarkStart w:id="164" w:name="ref-28"/>
      <w:bookmarkEnd w:id="164"/>
      <w:r>
        <w:t xml:space="preserve">28. Smutny, B., Kaempfner, H., Muehlnikel, G., Sterr, U., Wandernoth, B., Heine, F., Hildebrand, U., Dallmann, D., Reinhardt, M., Freier, A., Lange, R., Boehmer, K., Feldhaus, T., Mueller, J., Weichert, A., Greulich, P., Seel, S., Meyer, R., and Czichy, R. 5.625 Gbps optical inter-satellite communication link between TerraSAR-X and NFIRE. SPIE Proceedings 7199, 2009.</w:t>
      </w:r>
    </w:p>
    <w:p>
      <w:pPr>
        <w:pStyle w:val="BodyText"/>
        <w:spacing w:line="480" w:lineRule="auto"/>
        <w:ind w:firstLine="720"/>
      </w:pPr>
      <w:bookmarkStart w:id="165" w:name="ref-29"/>
      <w:bookmarkEnd w:id="165"/>
      <w:r>
        <w:t xml:space="preserve">29. Carrasco-Casado, A., Do, P. X., Kolev, D., Hosonuma, T., Shiratama, K., Kunimori, H., Trinh, P. V., Abe, Y., Nakasuka, S., and Toyoshima, M. NICT HICALI development status. International Conference on Space Optical Systems and Applications, 2022.</w:t>
      </w:r>
    </w:p>
    <w:p>
      <w:pPr>
        <w:pStyle w:val="BodyText"/>
        <w:spacing w:line="480" w:lineRule="auto"/>
        <w:ind w:firstLine="720"/>
      </w:pPr>
      <w:bookmarkStart w:id="166" w:name="ref-30"/>
      <w:bookmarkEnd w:id="166"/>
      <w:r>
        <w:t xml:space="preserve">30. Igone Urdampilleta, CDTI; Emmanuel Delande, CNES; Vincent Morand, CNES; Johannes Gelhaus, German Aerospace Center (DLR); Elena Vellutini, Agenzia Spaziale Italiana (ASI); Violeta Poenaru, Romanian Space Agency (ROSA); José Freitas, Direção Geral de Recursos da Defesa Nacional MDN; Tomasz Zubowicz, Polish Space Agency (POLSA); Daniel Garcia-Yarnoz, EU SatCen. System Approach to Analyse the Performance of Current and Future EU Space Surveillance and Tracking System at Service Provision Level (2022).</w:t>
      </w:r>
    </w:p>
    <w:p>
      <w:pPr>
        <w:pStyle w:val="BodyText"/>
        <w:spacing w:line="480" w:lineRule="auto"/>
        <w:ind w:firstLine="720"/>
      </w:pPr>
      <w:bookmarkStart w:id="167" w:name="ref-31"/>
      <w:bookmarkEnd w:id="167"/>
      <w:r>
        <w:t xml:space="preserve">31. Alberto Agueda, GMV; Marc Belmonte, GMV; Diego Escobar, GMV; Adrián Hernández, GMV; David López, CDTI, Igone Urdampilleta, CDTI. Passive Ranging Solution Design to Improve CA Services (2022).</w:t>
      </w:r>
    </w:p>
    <w:p>
      <w:pPr>
        <w:pStyle w:val="BodyText"/>
        <w:spacing w:line="480" w:lineRule="auto"/>
        <w:ind w:firstLine="720"/>
      </w:pPr>
      <w:bookmarkStart w:id="168" w:name="ref-32"/>
      <w:bookmarkEnd w:id="168"/>
      <w:r>
        <w:t xml:space="preserve">32. Laurent Hennegrave, ArianeGroup; Gaetan Eyheramono, ArianeGroup; Marine Pyanet, ArianeGroup; Sebastien Vourc’h, ArianeGroup; Malek Sahridj, ArianeGroup; Nicolas Rol, ArianeGroup; Vincent Morand, CNES; Juan Carlos Dolado Perez, CNES; Carlos Yanez, CNES. Design and Test of Optical Surveillance Strategies for EU-SST Network Performances Studies (2022).</w:t>
      </w:r>
    </w:p>
    <w:p>
      <w:pPr>
        <w:pStyle w:val="BodyText"/>
        <w:spacing w:line="480" w:lineRule="auto"/>
        <w:ind w:firstLine="720"/>
      </w:pPr>
      <w:bookmarkStart w:id="169" w:name="ref-33"/>
      <w:bookmarkEnd w:id="169"/>
      <w:r>
        <w:t xml:space="preserve">33. Jose Maria Hermoso, CDTI; Vincent Morand, CNES; Igone Urdampilleta Aldama, CDTI; Vincent Morand, CNES; Emmanuel Delande, CNES; Johannes Gelhaus, DLR; Elena Vellutini, ASI; Violeta Poenaru, ROSA; José Freitas, PT MoD; Miko?aj Kru?y?ski, Polish Space Agency; Daniel Garcia-Yarnoz, SatCen; Nuria Guijarro López, DEIMOS Space. System Approach to Analyse the Performance of the EU Space Surveillance and Tracking System (2021).</w:t>
      </w:r>
    </w:p>
    <w:p>
      <w:pPr>
        <w:pStyle w:val="BodyText"/>
        <w:spacing w:line="480" w:lineRule="auto"/>
        <w:ind w:firstLine="720"/>
      </w:pPr>
      <w:bookmarkStart w:id="170" w:name="ref-34"/>
      <w:bookmarkEnd w:id="170"/>
      <w:r>
        <w:t xml:space="preserve">34.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71">
        <w:r>
          <w:rPr>
            <w:rStyle w:val="Hyperlink"/>
          </w:rPr>
          <w:t xml:space="preserve">10.64861/UHIX1013</w:t>
        </w:r>
      </w:hyperlink>
    </w:p>
    <w:p>
      <w:pPr>
        <w:pStyle w:val="BodyText"/>
        <w:spacing w:line="480" w:lineRule="auto"/>
        <w:ind w:firstLine="720"/>
      </w:pPr>
      <w:bookmarkStart w:id="172" w:name="ref-35"/>
      <w:bookmarkEnd w:id="172"/>
      <w:r>
        <w:t xml:space="preserve">35. Kenny Andersson, Swedish Defence Research Agency; Tim Kinnunen, Swedish Defence Research Agency; Semeli Papadogiannakis, Swedish Defence Research Agency; Rolf Ragnarsson, Swedish Defence Research Agency. Genetic Algorithm-Driven Scheduling for Radar-Based Satellite Tracking (2025). doi:</w:t>
      </w:r>
      <w:r>
        <w:t xml:space="preserve"> </w:t>
      </w:r>
      <w:hyperlink r:id="rId173">
        <w:r>
          <w:rPr>
            <w:rStyle w:val="Hyperlink"/>
          </w:rPr>
          <w:t xml:space="preserve">10.64861/SUOW9680</w:t>
        </w:r>
      </w:hyperlink>
    </w:p>
    <w:p>
      <w:pPr>
        <w:pStyle w:val="BodyText"/>
        <w:spacing w:line="480" w:lineRule="auto"/>
        <w:ind w:firstLine="720"/>
      </w:pPr>
      <w:bookmarkStart w:id="174" w:name="ref-36"/>
      <w:bookmarkEnd w:id="174"/>
      <w:r>
        <w:t xml:space="preserve">36. Matthew Stevenson, LeoLabs; Darren McKnight, LeoLabs; Hugh Lewis, University of Southampton; Chris Kunstadter, AXA XL; Rachit Bhatia, LeoLabs. Identifying the Statistically-Most-Concerning Conjunctions in LEO (2021).</w:t>
      </w:r>
    </w:p>
    <w:p>
      <w:pPr>
        <w:pStyle w:val="BodyText"/>
        <w:spacing w:line="480" w:lineRule="auto"/>
        <w:ind w:firstLine="720"/>
      </w:pPr>
      <w:bookmarkStart w:id="175" w:name="ref-37"/>
      <w:bookmarkEnd w:id="175"/>
      <w:r>
        <w:t xml:space="preserve">37. Naman Ladhad, Digantara Research and Technologies Private Limited, India; Rithwik Neelakantan, Digantara Research and Technologies Private Limited, India; Tanveer Ahmed, Digantara Research and Technologies Private Limited, India. Multi-Objective Multi-Perspective Numerical Optimization of Collision Avoidance Maneuvers Using Differential Evolution (2024). doi:</w:t>
      </w:r>
      <w:r>
        <w:t xml:space="preserve"> </w:t>
      </w:r>
      <w:hyperlink r:id="rId176">
        <w:r>
          <w:rPr>
            <w:rStyle w:val="Hyperlink"/>
          </w:rPr>
          <w:t xml:space="preserve">10.64861/UQYR6894</w:t>
        </w:r>
      </w:hyperlink>
    </w:p>
    <w:p>
      <w:pPr>
        <w:pStyle w:val="BodyText"/>
        <w:spacing w:line="480" w:lineRule="auto"/>
        <w:ind w:firstLine="720"/>
      </w:pPr>
      <w:bookmarkStart w:id="177" w:name="ref-38"/>
      <w:bookmarkEnd w:id="177"/>
      <w:r>
        <w:t xml:space="preserve">38.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78">
        <w:r>
          <w:rPr>
            <w:rStyle w:val="Hyperlink"/>
          </w:rPr>
          <w:t xml:space="preserve">10.1016/j.actaastro.2025.01.069</w:t>
        </w:r>
      </w:hyperlink>
    </w:p>
    <w:p>
      <w:pPr>
        <w:pStyle w:val="BodyText"/>
        <w:spacing w:line="480" w:lineRule="auto"/>
        <w:ind w:firstLine="720"/>
      </w:pPr>
      <w:bookmarkStart w:id="179" w:name="ref-39"/>
      <w:bookmarkEnd w:id="179"/>
      <w:r>
        <w:t xml:space="preserve">39. n.a.. ARTHROSPIRA C space flight experiment Validation of biomass an 2025 Acta As (2024). doi:</w:t>
      </w:r>
      <w:r>
        <w:t xml:space="preserve"> </w:t>
      </w:r>
      <w:hyperlink r:id="rId180">
        <w:r>
          <w:rPr>
            <w:rStyle w:val="Hyperlink"/>
          </w:rPr>
          <w:t xml:space="preserve">10.1016/j.actaastro.2024.11.010</w:t>
        </w:r>
      </w:hyperlink>
    </w:p>
    <w:p>
      <w:pPr>
        <w:pStyle w:val="BodyText"/>
        <w:spacing w:line="480" w:lineRule="auto"/>
        <w:ind w:firstLine="720"/>
      </w:pPr>
      <w:bookmarkStart w:id="181" w:name="ref-40"/>
      <w:bookmarkEnd w:id="181"/>
      <w:r>
        <w:t xml:space="preserve">40. Ákos Kereszturi; Roland Novák; R. Tomka; Vera Steinmann. Crater maturity differences connected to optical morphology at former lunar landing sites (2025). doi:</w:t>
      </w:r>
      <w:r>
        <w:t xml:space="preserve"> </w:t>
      </w:r>
      <w:hyperlink r:id="rId182">
        <w:r>
          <w:rPr>
            <w:rStyle w:val="Hyperlink"/>
          </w:rPr>
          <w:t xml:space="preserve">10.1016/j.actaastro.2025.03.004</w:t>
        </w:r>
      </w:hyperlink>
    </w:p>
    <w:p>
      <w:pPr>
        <w:pStyle w:val="BodyText"/>
        <w:spacing w:line="480" w:lineRule="auto"/>
        <w:ind w:firstLine="720"/>
      </w:pPr>
      <w:bookmarkStart w:id="183" w:name="ref-41"/>
      <w:bookmarkEnd w:id="183"/>
      <w:r>
        <w:t xml:space="preserve">41. Christopher Lowe; Ciara McGrath; Steven Hancock; I. J. Davenport; Stephen Todd; Johannes N. Hansen; Iain Woodhouse; Callum J. Norrie; Malcolm Macdonald. Spacecraft and optics design considerations for a spaceborne lidar mission with spatially continuous global coverage (2023). doi:</w:t>
      </w:r>
      <w:r>
        <w:t xml:space="preserve"> </w:t>
      </w:r>
      <w:hyperlink r:id="rId184">
        <w:r>
          <w:rPr>
            <w:rStyle w:val="Hyperlink"/>
          </w:rPr>
          <w:t xml:space="preserve">10.1016/j.actaastro.2023.10.042</w:t>
        </w:r>
      </w:hyperlink>
    </w:p>
    <w:p>
      <w:pPr>
        <w:pStyle w:val="BodyText"/>
        <w:spacing w:line="480" w:lineRule="auto"/>
        <w:ind w:firstLine="720"/>
      </w:pPr>
      <w:bookmarkStart w:id="185" w:name="ref-42"/>
      <w:bookmarkEnd w:id="185"/>
      <w:r>
        <w:t xml:space="preserve">42. C. Romero; Isabel Pérez-Grande; J. A. Rodríguez‐Manfredi. Thermal model of InSight solar panels in Martian conditions (2022). doi:</w:t>
      </w:r>
      <w:r>
        <w:t xml:space="preserve"> </w:t>
      </w:r>
      <w:hyperlink r:id="rId186">
        <w:r>
          <w:rPr>
            <w:rStyle w:val="Hyperlink"/>
          </w:rPr>
          <w:t xml:space="preserve">10.1016/j.actaastro.2022.10.045</w:t>
        </w:r>
      </w:hyperlink>
    </w:p>
    <w:p>
      <w:pPr>
        <w:pStyle w:val="BodyText"/>
        <w:spacing w:line="480" w:lineRule="auto"/>
        <w:ind w:firstLine="720"/>
      </w:pPr>
      <w:bookmarkStart w:id="187" w:name="ref-43"/>
      <w:bookmarkEnd w:id="187"/>
      <w:r>
        <w:t xml:space="preserve">43. Marcus T. Knopp; Andreas Spoerl; Marcin Gnat; Gregor Rossmanith; Felix Huber; Christian Fuchs; Dirk Giggenbach. Towards the utilization of optical ground-to-space links for low earth orbiting spacecraft (2019). doi:</w:t>
      </w:r>
      <w:r>
        <w:t xml:space="preserve"> </w:t>
      </w:r>
      <w:hyperlink r:id="rId146">
        <w:r>
          <w:rPr>
            <w:rStyle w:val="Hyperlink"/>
          </w:rPr>
          <w:t xml:space="preserve">10.1016/j.actaastro.2019.10.011</w:t>
        </w:r>
      </w:hyperlink>
    </w:p>
    <w:p>
      <w:pPr>
        <w:pStyle w:val="BodyText"/>
        <w:spacing w:line="480" w:lineRule="auto"/>
        <w:ind w:firstLine="720"/>
      </w:pPr>
      <w:bookmarkStart w:id="188" w:name="ref-44"/>
      <w:bookmarkEnd w:id="188"/>
      <w:r>
        <w:t xml:space="preserve">44. Samuel Martínez Zamacola; Santiago Martín Marco; Ramón Martínez Rodríguez‐Osorio. Profiling the transmit power of LEO satellite constellations for broadband communication services considering terrestrial and aerial demand (2025). doi:</w:t>
      </w:r>
      <w:r>
        <w:t xml:space="preserve"> </w:t>
      </w:r>
      <w:hyperlink r:id="rId189">
        <w:r>
          <w:rPr>
            <w:rStyle w:val="Hyperlink"/>
          </w:rPr>
          <w:t xml:space="preserve">10.1016/j.actaastro.2025.06.068</w:t>
        </w:r>
      </w:hyperlink>
    </w:p>
    <w:p>
      <w:pPr>
        <w:pStyle w:val="BodyText"/>
        <w:spacing w:line="480" w:lineRule="auto"/>
        <w:ind w:firstLine="720"/>
      </w:pPr>
      <w:bookmarkStart w:id="190" w:name="ref-45"/>
      <w:bookmarkEnd w:id="190"/>
      <w:r>
        <w:t xml:space="preserve">45. Joshua F. Anderson; Michel‐Alexandre Cardin; Paul T. Grogan. Design and analysis of flexible multi-layer staged deployment for satellite mega-constellations under demand uncertainty (2022). doi:</w:t>
      </w:r>
      <w:r>
        <w:t xml:space="preserve"> </w:t>
      </w:r>
      <w:hyperlink r:id="rId191">
        <w:r>
          <w:rPr>
            <w:rStyle w:val="Hyperlink"/>
          </w:rPr>
          <w:t xml:space="preserve">10.1016/j.actaastro.2022.05.022</w:t>
        </w:r>
      </w:hyperlink>
    </w:p>
    <w:bookmarkEnd w:id="192"/>
    <w:bookmarkEnd w:id="193"/>
    <w:bookmarkStart w:id="21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1" w:name="X3e1f4caa65f6d17263b640e023ea9e683a73605"/>
    <w:p>
      <w:pPr>
        <w:pStyle w:val="Heading2"/>
        <w:spacing w:line="480" w:lineRule="auto"/>
      </w:pPr>
      <w:r>
        <w:t xml:space="preserve">A.1 Site Predictors of Cloud-Free Availability at Optical Ground Stations: A Cross-Site OLS Estimate</w:t>
      </w:r>
    </w:p>
    <w:p>
      <w:pPr>
        <w:pStyle w:val="FirstParagraph"/>
        <w:spacing w:line="480" w:lineRule="auto"/>
      </w:pPr>
      <m:oMathPara>
        <m:oMathParaPr>
          <m:jc m:val="center"/>
        </m:oMathParaPr>
        <m:oMath>
          <m:sSub>
            <m:e>
              <m:r>
                <m:t>A</m:t>
              </m:r>
            </m:e>
            <m:sub>
              <m:r>
                <m:t>i</m:t>
              </m:r>
            </m:sub>
          </m:sSub>
          <m:r>
            <m:rPr>
              <m:sty m:val="p"/>
            </m:rPr>
            <m:t>=</m:t>
          </m:r>
          <m:sSub>
            <m:e>
              <m:r>
                <m:t>β</m:t>
              </m:r>
            </m:e>
            <m:sub>
              <m:r>
                <m:t>0</m:t>
              </m:r>
            </m:sub>
          </m:sSub>
          <m:r>
            <m:rPr>
              <m:sty m:val="p"/>
            </m:rPr>
            <m:t>+</m:t>
          </m:r>
          <m:sSub>
            <m:e>
              <m:r>
                <m:t>β</m:t>
              </m:r>
            </m:e>
            <m:sub>
              <m:r>
                <m:t>1</m:t>
              </m:r>
            </m:sub>
          </m:sSub>
          <m:r>
            <m:t> </m:t>
          </m:r>
          <m:sSub>
            <m:e>
              <m:r>
                <m:t>h</m:t>
              </m:r>
            </m:e>
            <m:sub>
              <m:r>
                <m:t>i</m:t>
              </m:r>
            </m:sub>
          </m:sSub>
          <m:r>
            <m:rPr>
              <m:sty m:val="p"/>
            </m:rPr>
            <m:t>+</m:t>
          </m:r>
          <m:sSub>
            <m:e>
              <m:r>
                <m:t>β</m:t>
              </m:r>
            </m:e>
            <m:sub>
              <m:r>
                <m:t>2</m:t>
              </m:r>
            </m:sub>
          </m:sSub>
          <m:r>
            <m:t> </m:t>
          </m:r>
          <m:r>
            <m:rPr>
              <m:sty m:val="p"/>
            </m:rPr>
            <m:t>|</m:t>
          </m:r>
          <m:sSub>
            <m:e>
              <m:r>
                <m:t>ϕ</m:t>
              </m:r>
            </m:e>
            <m:sub>
              <m:r>
                <m:t>i</m:t>
              </m:r>
            </m:sub>
          </m:sSub>
          <m:r>
            <m:rPr>
              <m:sty m:val="p"/>
            </m:rPr>
            <m:t>|</m:t>
          </m:r>
          <m:r>
            <m:rPr>
              <m:sty m:val="p"/>
            </m:rPr>
            <m:t>+</m:t>
          </m:r>
          <m:sSub>
            <m:e>
              <m:r>
                <m:t>β</m:t>
              </m:r>
            </m:e>
            <m:sub>
              <m:r>
                <m:t>3</m:t>
              </m:r>
            </m:sub>
          </m:sSub>
          <m:r>
            <m:t> </m:t>
          </m:r>
          <m:sSub>
            <m:e>
              <m:r>
                <m:t>s</m:t>
              </m:r>
            </m:e>
            <m:sub>
              <m:r>
                <m:t>i</m:t>
              </m:r>
            </m:sub>
          </m:sSub>
          <m:r>
            <m:rPr>
              <m:sty m:val="p"/>
            </m:rPr>
            <m:t>+</m:t>
          </m:r>
          <m:sSub>
            <m:e>
              <m:r>
                <m:t>ε</m:t>
              </m:r>
            </m:e>
            <m:sub>
              <m:r>
                <m:t>i</m:t>
              </m:r>
            </m:sub>
          </m:sSub>
        </m:oMath>
      </m:oMathPara>
    </w:p>
    <w:bookmarkStart w:id="19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102.899</w:t>
            </w:r>
          </w:p>
        </w:tc>
        <w:tc>
          <w:tcPr>
            <w:tcW w:w="0" w:type="auto"/>
          </w:tcPr>
          <w:p>
            <w:pPr>
              <w:spacing w:line="240" w:lineRule="auto" w:before="0" w:after="0"/>
              <w:pStyle w:val="Compact"/>
            </w:pPr>
            <w:r>
              <w:rPr>
                <w:sz w:val="20"/>
                <w:szCs w:val="20"/>
              </w:rPr>
              <w:t xml:space="preserve">8.7248</w:t>
            </w:r>
          </w:p>
        </w:tc>
        <w:tc>
          <w:tcPr>
            <w:tcW w:w="0" w:type="auto"/>
          </w:tcPr>
          <w:p>
            <w:pPr>
              <w:spacing w:line="240" w:lineRule="auto" w:before="0" w:after="0"/>
              <w:pStyle w:val="Compact"/>
            </w:pPr>
            <w:r>
              <w:rPr>
                <w:sz w:val="20"/>
                <w:szCs w:val="20"/>
              </w:rPr>
              <w:t xml:space="preserve">11.7938</w:t>
            </w:r>
          </w:p>
        </w:tc>
        <w:tc>
          <w:tcPr>
            <w:tcW w:w="0" w:type="auto"/>
          </w:tcPr>
          <w:p>
            <w:pPr>
              <w:spacing w:line="240" w:lineRule="auto" w:before="0" w:after="0"/>
              <w:pStyle w:val="Compact"/>
            </w:pPr>
            <w:r>
              <w:rPr>
                <w:sz w:val="20"/>
                <w:szCs w:val="20"/>
              </w:rPr>
              <w:t xml:space="preserve">4.201e-32</w:t>
            </w:r>
          </w:p>
        </w:tc>
        <w:tc>
          <w:tcPr>
            <w:tcW w:w="0" w:type="auto"/>
          </w:tcPr>
          <w:p>
            <w:pPr>
              <w:spacing w:line="240" w:lineRule="auto" w:before="0" w:after="0"/>
              <w:pStyle w:val="Compact"/>
            </w:pPr>
            <w:r>
              <w:rPr>
                <w:sz w:val="20"/>
                <w:szCs w:val="20"/>
              </w:rPr>
              <w:t xml:space="preserve">[85.7986, 119.9993]</w:t>
            </w:r>
          </w:p>
        </w:tc>
      </w:tr>
      <w:tr>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-1.1845</w:t>
            </w:r>
          </w:p>
        </w:tc>
        <w:tc>
          <w:tcPr>
            <w:tcW w:w="0" w:type="auto"/>
          </w:tcPr>
          <w:p>
            <w:pPr>
              <w:spacing w:line="240" w:lineRule="auto" w:before="0" w:after="0"/>
              <w:pStyle w:val="Compact"/>
            </w:pPr>
            <w:r>
              <w:rPr>
                <w:sz w:val="20"/>
                <w:szCs w:val="20"/>
              </w:rPr>
              <w:t xml:space="preserve">0.2362</w:t>
            </w:r>
          </w:p>
        </w:tc>
        <w:tc>
          <w:tcPr>
            <w:tcW w:w="0" w:type="auto"/>
          </w:tcPr>
          <w:p>
            <w:pPr>
              <w:spacing w:line="240" w:lineRule="auto" w:before="0" w:after="0"/>
              <w:pStyle w:val="Compact"/>
            </w:pPr>
            <w:r>
              <w:rPr>
                <w:sz w:val="20"/>
                <w:szCs w:val="20"/>
              </w:rPr>
              <w:t xml:space="preserve">[-0.0056, 0.0014]</w:t>
            </w:r>
          </w:p>
        </w:tc>
      </w:tr>
      <w:tr>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-0.108</w:t>
            </w:r>
          </w:p>
        </w:tc>
        <w:tc>
          <w:tcPr>
            <w:tcW w:w="0" w:type="auto"/>
          </w:tcPr>
          <w:p>
            <w:pPr>
              <w:spacing w:line="240" w:lineRule="auto" w:before="0" w:after="0"/>
              <w:pStyle w:val="Compact"/>
            </w:pPr>
            <w:r>
              <w:rPr>
                <w:sz w:val="20"/>
                <w:szCs w:val="20"/>
              </w:rPr>
              <w:t xml:space="preserve">0.044</w:t>
            </w:r>
          </w:p>
        </w:tc>
        <w:tc>
          <w:tcPr>
            <w:tcW w:w="0" w:type="auto"/>
          </w:tcPr>
          <w:p>
            <w:pPr>
              <w:spacing w:line="240" w:lineRule="auto" w:before="0" w:after="0"/>
              <w:pStyle w:val="Compact"/>
            </w:pPr>
            <w:r>
              <w:rPr>
                <w:sz w:val="20"/>
                <w:szCs w:val="20"/>
              </w:rPr>
              <w:t xml:space="preserve">-2.4535</w:t>
            </w:r>
          </w:p>
        </w:tc>
        <w:tc>
          <w:tcPr>
            <w:tcW w:w="0" w:type="auto"/>
          </w:tcPr>
          <w:p>
            <w:pPr>
              <w:spacing w:line="240" w:lineRule="auto" w:before="0" w:after="0"/>
              <w:pStyle w:val="Compact"/>
            </w:pPr>
            <w:r>
              <w:rPr>
                <w:sz w:val="20"/>
                <w:szCs w:val="20"/>
              </w:rPr>
              <w:t xml:space="preserve">0.0141</w:t>
            </w:r>
          </w:p>
        </w:tc>
        <w:tc>
          <w:tcPr>
            <w:tcW w:w="0" w:type="auto"/>
          </w:tcPr>
          <w:p>
            <w:pPr>
              <w:spacing w:line="240" w:lineRule="auto" w:before="0" w:after="0"/>
              <w:pStyle w:val="Compact"/>
            </w:pPr>
            <w:r>
              <w:rPr>
                <w:sz w:val="20"/>
                <w:szCs w:val="20"/>
              </w:rPr>
              <w:t xml:space="preserve">[-0.1944, -0.0217]</w:t>
            </w:r>
          </w:p>
        </w:tc>
      </w:tr>
      <w:tr>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-27.6128</w:t>
            </w:r>
          </w:p>
        </w:tc>
        <w:tc>
          <w:tcPr>
            <w:tcW w:w="0" w:type="auto"/>
          </w:tcPr>
          <w:p>
            <w:pPr>
              <w:spacing w:line="240" w:lineRule="auto" w:before="0" w:after="0"/>
              <w:pStyle w:val="Compact"/>
            </w:pPr>
            <w:r>
              <w:rPr>
                <w:sz w:val="20"/>
                <w:szCs w:val="20"/>
              </w:rPr>
              <w:t xml:space="preserve">4.5078</w:t>
            </w:r>
          </w:p>
        </w:tc>
        <w:tc>
          <w:tcPr>
            <w:tcW w:w="0" w:type="auto"/>
          </w:tcPr>
          <w:p>
            <w:pPr>
              <w:spacing w:line="240" w:lineRule="auto" w:before="0" w:after="0"/>
              <w:pStyle w:val="Compact"/>
            </w:pPr>
            <w:r>
              <w:rPr>
                <w:sz w:val="20"/>
                <w:szCs w:val="20"/>
              </w:rPr>
              <w:t xml:space="preserve">-6.1255</w:t>
            </w:r>
          </w:p>
        </w:tc>
        <w:tc>
          <w:tcPr>
            <w:tcW w:w="0" w:type="auto"/>
          </w:tcPr>
          <w:p>
            <w:pPr>
              <w:spacing w:line="240" w:lineRule="auto" w:before="0" w:after="0"/>
              <w:pStyle w:val="Compact"/>
            </w:pPr>
            <w:r>
              <w:rPr>
                <w:sz w:val="20"/>
                <w:szCs w:val="20"/>
              </w:rPr>
              <w:t xml:space="preserve">9.038e-10</w:t>
            </w:r>
          </w:p>
        </w:tc>
        <w:tc>
          <w:tcPr>
            <w:tcW w:w="0" w:type="auto"/>
          </w:tcPr>
          <w:p>
            <w:pPr>
              <w:spacing w:line="240" w:lineRule="auto" w:before="0" w:after="0"/>
              <w:pStyle w:val="Compact"/>
            </w:pPr>
            <w:r>
              <w:rPr>
                <w:sz w:val="20"/>
                <w:szCs w:val="20"/>
              </w:rPr>
              <w:t xml:space="preserve">[-36.4479, -18.7776]</w:t>
            </w:r>
          </w:p>
        </w:tc>
      </w:tr>
    </w:tbl>
    <w:p>
      <w:pPr>
        <w:pStyle w:val="BodyText"/>
        <w:spacing w:line="480" w:lineRule="auto"/>
        <w:ind w:firstLine="720"/>
      </w:pPr>
      <w:r>
        <w:t xml:space="preserve">Fit: N = 30 R2 = 0.8821 R2_adj = 0.8685 F = 40.4514 F_p = 6.148e-10</w:t>
      </w:r>
    </w:p>
    <w:bookmarkEnd w:id="194"/>
    <w:bookmarkStart w:id="19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Site-level cloud-free availability against aperture elevation across thirty optical ground and satellite-laser stations." title="" id="196" name="Picture"/>
            <a:graphic>
              <a:graphicData uri="http://schemas.openxmlformats.org/drawingml/2006/picture">
                <pic:pic>
                  <pic:nvPicPr>
                    <pic:cNvPr descr="D:/Claude_Code/brain/collegium/candidates/dissertations/SPECTRUM_PNT_08/research_papers/p1/paper_fig1.png" id="197" name="Picture"/>
                    <pic:cNvPicPr>
                      <a:picLocks noChangeArrowheads="1" noChangeAspect="1"/>
                    </pic:cNvPicPr>
                  </pic:nvPicPr>
                  <pic:blipFill>
                    <a:blip r:embed="rId19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Site-level cloud-free availability against aperture elevation across thirty optical ground and satellite-laser stations.</w:t>
      </w:r>
    </w:p>
    <w:bookmarkEnd w:id="198"/>
    <w:bookmarkStart w:id="19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site</w:t>
            </w:r>
          </w:p>
        </w:tc>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annual_cloud_free_pct</w:t>
            </w:r>
          </w:p>
        </w:tc>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daytime_obs_hours_yr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Haleakala_HI</w:t>
            </w:r>
          </w:p>
        </w:tc>
        <w:tc>
          <w:tcPr>
            <w:tcW w:w="0" w:type="auto"/>
          </w:tcPr>
          <w:p>
            <w:pPr>
              <w:spacing w:line="240" w:lineRule="auto" w:before="0" w:after="0"/>
              <w:pStyle w:val="Compact"/>
            </w:pPr>
            <w:r>
              <w:rPr>
                <w:sz w:val="20"/>
                <w:szCs w:val="20"/>
              </w:rPr>
              <w:t xml:space="preserve">20.71</w:t>
            </w:r>
          </w:p>
        </w:tc>
        <w:tc>
          <w:tcPr>
            <w:tcW w:w="0" w:type="auto"/>
          </w:tcPr>
          <w:p>
            <w:pPr>
              <w:spacing w:line="240" w:lineRule="auto" w:before="0" w:after="0"/>
              <w:pStyle w:val="Compact"/>
            </w:pPr>
            <w:r>
              <w:rPr>
                <w:sz w:val="20"/>
                <w:szCs w:val="20"/>
              </w:rPr>
              <w:t xml:space="preserve">3055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Felton &amp; Alliss, AMOS 2015 (Haleakala laser-comm characterization); Alliss et al. AMOS 2016</w:t>
            </w:r>
          </w:p>
        </w:tc>
      </w:tr>
      <w:tr>
        <w:tc>
          <w:tcPr>
            <w:tcW w:w="0" w:type="auto"/>
          </w:tcPr>
          <w:p>
            <w:pPr>
              <w:spacing w:line="240" w:lineRule="auto" w:before="0" w:after="0"/>
              <w:pStyle w:val="Compact"/>
            </w:pPr>
            <w:r>
              <w:rPr>
                <w:sz w:val="20"/>
                <w:szCs w:val="20"/>
              </w:rPr>
              <w:t xml:space="preserve">MaunaKea_HI</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4205</w:t>
            </w:r>
          </w:p>
        </w:tc>
        <w:tc>
          <w:tcPr>
            <w:tcW w:w="0" w:type="auto"/>
          </w:tcPr>
          <w:p>
            <w:pPr>
              <w:spacing w:line="240" w:lineRule="auto" w:before="0" w:after="0"/>
              <w:pStyle w:val="Compact"/>
            </w:pPr>
            <w:r>
              <w:rPr>
                <w:sz w:val="20"/>
                <w:szCs w:val="20"/>
              </w:rPr>
              <w:t xml:space="preserve">76.5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Skidmore et al. PASP 2009 (Mauna Kea seeing); Erasmus &amp; van Staden ground-station study 2002</w:t>
            </w:r>
          </w:p>
        </w:tc>
      </w:tr>
      <w:tr>
        <w:tc>
          <w:tcPr>
            <w:tcW w:w="0" w:type="auto"/>
          </w:tcPr>
          <w:p>
            <w:pPr>
              <w:spacing w:line="240" w:lineRule="auto" w:before="0" w:after="0"/>
              <w:pStyle w:val="Compact"/>
            </w:pPr>
            <w:r>
              <w:rPr>
                <w:sz w:val="20"/>
                <w:szCs w:val="20"/>
              </w:rPr>
              <w:t xml:space="preserve">LaPalma_ES</w:t>
            </w:r>
          </w:p>
        </w:tc>
        <w:tc>
          <w:tcPr>
            <w:tcW w:w="0" w:type="auto"/>
          </w:tcPr>
          <w:p>
            <w:pPr>
              <w:spacing w:line="240" w:lineRule="auto" w:before="0" w:after="0"/>
              <w:pStyle w:val="Compact"/>
            </w:pPr>
            <w:r>
              <w:rPr>
                <w:sz w:val="20"/>
                <w:szCs w:val="20"/>
              </w:rPr>
              <w:t xml:space="preserve">28.76</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Vernin et al. PASP 2011 (La Palma site testing); ING site monitor stats</w:t>
            </w:r>
          </w:p>
        </w:tc>
      </w:tr>
      <w:tr>
        <w:tc>
          <w:tcPr>
            <w:tcW w:w="0" w:type="auto"/>
          </w:tcPr>
          <w:p>
            <w:pPr>
              <w:spacing w:line="240" w:lineRule="auto" w:before="0" w:after="0"/>
              <w:pStyle w:val="Compact"/>
            </w:pPr>
            <w:r>
              <w:rPr>
                <w:sz w:val="20"/>
                <w:szCs w:val="20"/>
              </w:rPr>
              <w:t xml:space="preserve">Tenerife_OGS</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2393</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ESA OGS Tenerife (Czichy 1995; Knopp et al. Acta Astronautica 2019, doi:10.1016/j.actaastro.2019.10.011)</w:t>
            </w:r>
          </w:p>
        </w:tc>
      </w:tr>
      <w:tr>
        <w:tc>
          <w:tcPr>
            <w:tcW w:w="0" w:type="auto"/>
          </w:tcPr>
          <w:p>
            <w:pPr>
              <w:spacing w:line="240" w:lineRule="auto" w:before="0" w:after="0"/>
              <w:pStyle w:val="Compact"/>
            </w:pPr>
            <w:r>
              <w:rPr>
                <w:sz w:val="20"/>
                <w:szCs w:val="20"/>
              </w:rPr>
              <w:t xml:space="preserve">ParanalCL</w:t>
            </w:r>
          </w:p>
        </w:tc>
        <w:tc>
          <w:tcPr>
            <w:tcW w:w="0" w:type="auto"/>
          </w:tcPr>
          <w:p>
            <w:pPr>
              <w:spacing w:line="240" w:lineRule="auto" w:before="0" w:after="0"/>
              <w:pStyle w:val="Compact"/>
            </w:pPr>
            <w:r>
              <w:rPr>
                <w:sz w:val="20"/>
                <w:szCs w:val="20"/>
              </w:rPr>
              <w:t xml:space="preserve">-24.63</w:t>
            </w:r>
          </w:p>
        </w:tc>
        <w:tc>
          <w:tcPr>
            <w:tcW w:w="0" w:type="auto"/>
          </w:tcPr>
          <w:p>
            <w:pPr>
              <w:spacing w:line="240" w:lineRule="auto" w:before="0" w:after="0"/>
              <w:pStyle w:val="Compact"/>
            </w:pPr>
            <w:r>
              <w:rPr>
                <w:sz w:val="20"/>
                <w:szCs w:val="20"/>
              </w:rPr>
              <w:t xml:space="preserve">2635</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Sarazin &amp; Roddier A&amp;A 1990 (Paranal seeing); ESO site monitor</w:t>
            </w:r>
          </w:p>
        </w:tc>
      </w:tr>
      <w:tr>
        <w:tc>
          <w:tcPr>
            <w:tcW w:w="0" w:type="auto"/>
          </w:tcPr>
          <w:p>
            <w:pPr>
              <w:spacing w:line="240" w:lineRule="auto" w:before="0" w:after="0"/>
              <w:pStyle w:val="Compact"/>
            </w:pPr>
            <w:r>
              <w:rPr>
                <w:sz w:val="20"/>
                <w:szCs w:val="20"/>
              </w:rPr>
              <w:t xml:space="preserve">LaSilla_CL</w:t>
            </w:r>
          </w:p>
        </w:tc>
        <w:tc>
          <w:tcPr>
            <w:tcW w:w="0" w:type="auto"/>
          </w:tcPr>
          <w:p>
            <w:pPr>
              <w:spacing w:line="240" w:lineRule="auto" w:before="0" w:after="0"/>
              <w:pStyle w:val="Compact"/>
            </w:pPr>
            <w:r>
              <w:rPr>
                <w:sz w:val="20"/>
                <w:szCs w:val="20"/>
              </w:rPr>
              <w:t xml:space="preserve">-29.26</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ESO La Silla site statistics; Sandrock et al. 1999</w:t>
            </w:r>
          </w:p>
        </w:tc>
      </w:tr>
      <w:tr>
        <w:tc>
          <w:tcPr>
            <w:tcW w:w="0" w:type="auto"/>
          </w:tcPr>
          <w:p>
            <w:pPr>
              <w:spacing w:line="240" w:lineRule="auto" w:before="0" w:after="0"/>
              <w:pStyle w:val="Compact"/>
            </w:pPr>
            <w:r>
              <w:rPr>
                <w:sz w:val="20"/>
                <w:szCs w:val="20"/>
              </w:rPr>
              <w:t xml:space="preserve">SidingSpring_AU</w:t>
            </w:r>
          </w:p>
        </w:tc>
        <w:tc>
          <w:tcPr>
            <w:tcW w:w="0" w:type="auto"/>
          </w:tcPr>
          <w:p>
            <w:pPr>
              <w:spacing w:line="240" w:lineRule="auto" w:before="0" w:after="0"/>
              <w:pStyle w:val="Compact"/>
            </w:pPr>
            <w:r>
              <w:rPr>
                <w:sz w:val="20"/>
                <w:szCs w:val="20"/>
              </w:rPr>
              <w:t xml:space="preserve">-31.27</w:t>
            </w:r>
          </w:p>
        </w:tc>
        <w:tc>
          <w:tcPr>
            <w:tcW w:w="0" w:type="auto"/>
          </w:tcPr>
          <w:p>
            <w:pPr>
              <w:spacing w:line="240" w:lineRule="auto" w:before="0" w:after="0"/>
              <w:pStyle w:val="Compact"/>
            </w:pPr>
            <w:r>
              <w:rPr>
                <w:sz w:val="20"/>
                <w:szCs w:val="20"/>
              </w:rPr>
              <w:t xml:space="preserve">1165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AAO site monitor (Wood et al. 1995); Lawrence et al. PASA 2010</w:t>
            </w:r>
          </w:p>
        </w:tc>
      </w:tr>
      <w:tr>
        <w:tc>
          <w:tcPr>
            <w:tcW w:w="0" w:type="auto"/>
          </w:tcPr>
          <w:p>
            <w:pPr>
              <w:spacing w:line="240" w:lineRule="auto" w:before="0" w:after="0"/>
              <w:pStyle w:val="Compact"/>
            </w:pPr>
            <w:r>
              <w:rPr>
                <w:sz w:val="20"/>
                <w:szCs w:val="20"/>
              </w:rPr>
              <w:t xml:space="preserve">Tabernas_ES</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ESA IZN-1 OGS Almeria (Sodnik &amp; Smutny SPIE 2010); CIEMAT cloud climatology</w:t>
            </w:r>
          </w:p>
        </w:tc>
      </w:tr>
      <w:tr>
        <w:tc>
          <w:tcPr>
            <w:tcW w:w="0" w:type="auto"/>
          </w:tcPr>
          <w:p>
            <w:pPr>
              <w:spacing w:line="240" w:lineRule="auto" w:before="0" w:after="0"/>
              <w:pStyle w:val="Compact"/>
            </w:pPr>
            <w:r>
              <w:rPr>
                <w:sz w:val="20"/>
                <w:szCs w:val="20"/>
              </w:rPr>
              <w:t xml:space="preserve">Wettzell_DE</w:t>
            </w:r>
          </w:p>
        </w:tc>
        <w:tc>
          <w:tcPr>
            <w:tcW w:w="0" w:type="auto"/>
          </w:tcPr>
          <w:p>
            <w:pPr>
              <w:spacing w:line="240" w:lineRule="auto" w:before="0" w:after="0"/>
              <w:pStyle w:val="Compact"/>
            </w:pPr>
            <w:r>
              <w:rPr>
                <w:sz w:val="20"/>
                <w:szCs w:val="20"/>
              </w:rPr>
              <w:t xml:space="preserve">49.14</w:t>
            </w:r>
          </w:p>
        </w:tc>
        <w:tc>
          <w:tcPr>
            <w:tcW w:w="0" w:type="auto"/>
          </w:tcPr>
          <w:p>
            <w:pPr>
              <w:spacing w:line="240" w:lineRule="auto" w:before="0" w:after="0"/>
              <w:pStyle w:val="Compact"/>
            </w:pPr>
            <w:r>
              <w:rPr>
                <w:sz w:val="20"/>
                <w:szCs w:val="20"/>
              </w:rPr>
              <w:t xml:space="preserve">661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Scharring, Rodmann, Riede AMOS 2019 (DLR Wettzell SLR availability)</w:t>
            </w:r>
          </w:p>
        </w:tc>
      </w:tr>
      <w:tr>
        <w:tc>
          <w:tcPr>
            <w:tcW w:w="0" w:type="auto"/>
          </w:tcPr>
          <w:p>
            <w:pPr>
              <w:spacing w:line="240" w:lineRule="auto" w:before="0" w:after="0"/>
              <w:pStyle w:val="Compact"/>
            </w:pPr>
            <w:r>
              <w:rPr>
                <w:sz w:val="20"/>
                <w:szCs w:val="20"/>
              </w:rPr>
              <w:t xml:space="preserve">Graz_AT</w:t>
            </w:r>
          </w:p>
        </w:tc>
        <w:tc>
          <w:tcPr>
            <w:tcW w:w="0" w:type="auto"/>
          </w:tcPr>
          <w:p>
            <w:pPr>
              <w:spacing w:line="240" w:lineRule="auto" w:before="0" w:after="0"/>
              <w:pStyle w:val="Compact"/>
            </w:pPr>
            <w:r>
              <w:rPr>
                <w:sz w:val="20"/>
                <w:szCs w:val="20"/>
              </w:rPr>
              <w:t xml:space="preserve">47.07</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Kirchner et al. SLR station Graz availability 2013; Scharring AMOS 2019</w:t>
            </w:r>
          </w:p>
        </w:tc>
      </w:tr>
      <w:tr>
        <w:tc>
          <w:tcPr>
            <w:tcW w:w="0" w:type="auto"/>
          </w:tcPr>
          <w:p>
            <w:pPr>
              <w:spacing w:line="240" w:lineRule="auto" w:before="0" w:after="0"/>
              <w:pStyle w:val="Compact"/>
            </w:pPr>
            <w:r>
              <w:rPr>
                <w:sz w:val="20"/>
                <w:szCs w:val="20"/>
              </w:rPr>
              <w:t xml:space="preserve">Matera_IT</w:t>
            </w:r>
          </w:p>
        </w:tc>
        <w:tc>
          <w:tcPr>
            <w:tcW w:w="0" w:type="auto"/>
          </w:tcPr>
          <w:p>
            <w:pPr>
              <w:spacing w:line="240" w:lineRule="auto" w:before="0" w:after="0"/>
              <w:pStyle w:val="Compact"/>
            </w:pPr>
            <w:r>
              <w:rPr>
                <w:sz w:val="20"/>
                <w:szCs w:val="20"/>
              </w:rPr>
              <w:t xml:space="preserve">40.65</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ASI Matera SLR station availability (Bianco 2014); Scharring AMOS 2019</w:t>
            </w:r>
          </w:p>
        </w:tc>
      </w:tr>
      <w:tr>
        <w:tc>
          <w:tcPr>
            <w:tcW w:w="0" w:type="auto"/>
          </w:tcPr>
          <w:p>
            <w:pPr>
              <w:spacing w:line="240" w:lineRule="auto" w:before="0" w:after="0"/>
              <w:pStyle w:val="Compact"/>
            </w:pPr>
            <w:r>
              <w:rPr>
                <w:sz w:val="20"/>
                <w:szCs w:val="20"/>
              </w:rPr>
              <w:t xml:space="preserve">Yarragadee_AU</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Geoscience Australia Yarragadee SLR; Pearlman et al. ILRS 2019</w:t>
            </w:r>
          </w:p>
        </w:tc>
      </w:tr>
      <w:tr>
        <w:tc>
          <w:tcPr>
            <w:tcW w:w="0" w:type="auto"/>
          </w:tcPr>
          <w:p>
            <w:pPr>
              <w:spacing w:line="240" w:lineRule="auto" w:before="0" w:after="0"/>
              <w:pStyle w:val="Compact"/>
            </w:pPr>
            <w:r>
              <w:rPr>
                <w:sz w:val="20"/>
                <w:szCs w:val="20"/>
              </w:rPr>
              <w:t xml:space="preserve">Greenbelt_US</w:t>
            </w:r>
          </w:p>
        </w:tc>
        <w:tc>
          <w:tcPr>
            <w:tcW w:w="0" w:type="auto"/>
          </w:tcPr>
          <w:p>
            <w:pPr>
              <w:spacing w:line="240" w:lineRule="auto" w:before="0" w:after="0"/>
              <w:pStyle w:val="Compact"/>
            </w:pPr>
            <w:r>
              <w:rPr>
                <w:sz w:val="20"/>
                <w:szCs w:val="20"/>
              </w:rPr>
              <w:t xml:space="preserve">39.02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2100</w:t>
            </w:r>
          </w:p>
        </w:tc>
        <w:tc>
          <w:tcPr>
            <w:tcW w:w="0" w:type="auto"/>
          </w:tcPr>
          <w:p>
            <w:pPr>
              <w:spacing w:line="240" w:lineRule="auto" w:before="0" w:after="0"/>
              <w:pStyle w:val="Compact"/>
            </w:pPr>
            <w:r>
              <w:rPr>
                <w:sz w:val="20"/>
                <w:szCs w:val="20"/>
              </w:rPr>
              <w:t xml:space="preserve">NASA GGAO MOBLAS-7 availability (Stebbins et al. ILRS 2015)</w:t>
            </w:r>
          </w:p>
        </w:tc>
      </w:tr>
      <w:tr>
        <w:tc>
          <w:tcPr>
            <w:tcW w:w="0" w:type="auto"/>
          </w:tcPr>
          <w:p>
            <w:pPr>
              <w:spacing w:line="240" w:lineRule="auto" w:before="0" w:after="0"/>
              <w:pStyle w:val="Compact"/>
            </w:pPr>
            <w:r>
              <w:rPr>
                <w:sz w:val="20"/>
                <w:szCs w:val="20"/>
              </w:rPr>
              <w:t xml:space="preserve">Zimmerwald_CH</w:t>
            </w:r>
          </w:p>
        </w:tc>
        <w:tc>
          <w:tcPr>
            <w:tcW w:w="0" w:type="auto"/>
          </w:tcPr>
          <w:p>
            <w:pPr>
              <w:spacing w:line="240" w:lineRule="auto" w:before="0" w:after="0"/>
              <w:pStyle w:val="Compact"/>
            </w:pPr>
            <w:r>
              <w:rPr>
                <w:sz w:val="20"/>
                <w:szCs w:val="20"/>
              </w:rPr>
              <w:t xml:space="preserve">46.88</w:t>
            </w:r>
          </w:p>
        </w:tc>
        <w:tc>
          <w:tcPr>
            <w:tcW w:w="0" w:type="auto"/>
          </w:tcPr>
          <w:p>
            <w:pPr>
              <w:spacing w:line="240" w:lineRule="auto" w:before="0" w:after="0"/>
              <w:pStyle w:val="Compact"/>
            </w:pPr>
            <w:r>
              <w:rPr>
                <w:sz w:val="20"/>
                <w:szCs w:val="20"/>
              </w:rPr>
              <w:t xml:space="preserve">951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Ploner et al. SLR Zimmerwald availability AIUB 2016</w:t>
            </w:r>
          </w:p>
        </w:tc>
      </w:tr>
      <w:tr>
        <w:tc>
          <w:tcPr>
            <w:tcW w:w="0" w:type="auto"/>
          </w:tcPr>
          <w:p>
            <w:pPr>
              <w:spacing w:line="240" w:lineRule="auto" w:before="0" w:after="0"/>
              <w:pStyle w:val="Compact"/>
            </w:pPr>
            <w:r>
              <w:rPr>
                <w:sz w:val="20"/>
                <w:szCs w:val="20"/>
              </w:rPr>
              <w:t xml:space="preserve">Herstmonceux_UK</w:t>
            </w:r>
          </w:p>
        </w:tc>
        <w:tc>
          <w:tcPr>
            <w:tcW w:w="0" w:type="auto"/>
          </w:tcPr>
          <w:p>
            <w:pPr>
              <w:spacing w:line="240" w:lineRule="auto" w:before="0" w:after="0"/>
              <w:pStyle w:val="Compact"/>
            </w:pPr>
            <w:r>
              <w:rPr>
                <w:sz w:val="20"/>
                <w:szCs w:val="20"/>
              </w:rPr>
              <w:t xml:space="preserve">50.87</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1850</w:t>
            </w:r>
          </w:p>
        </w:tc>
        <w:tc>
          <w:tcPr>
            <w:tcW w:w="0" w:type="auto"/>
          </w:tcPr>
          <w:p>
            <w:pPr>
              <w:spacing w:line="240" w:lineRule="auto" w:before="0" w:after="0"/>
              <w:pStyle w:val="Compact"/>
            </w:pPr>
            <w:r>
              <w:rPr>
                <w:sz w:val="20"/>
                <w:szCs w:val="20"/>
              </w:rPr>
              <w:t xml:space="preserve">Wilkinson NERC SGF availability 2015; ILRS station report</w:t>
            </w:r>
          </w:p>
        </w:tc>
      </w:tr>
      <w:tr>
        <w:tc>
          <w:tcPr>
            <w:tcW w:w="0" w:type="auto"/>
          </w:tcPr>
          <w:p>
            <w:pPr>
              <w:spacing w:line="240" w:lineRule="auto" w:before="0" w:after="0"/>
              <w:pStyle w:val="Compact"/>
            </w:pPr>
            <w:r>
              <w:rPr>
                <w:sz w:val="20"/>
                <w:szCs w:val="20"/>
              </w:rPr>
              <w:t xml:space="preserve">Potsdam_DE</w:t>
            </w:r>
          </w:p>
        </w:tc>
        <w:tc>
          <w:tcPr>
            <w:tcW w:w="0" w:type="auto"/>
          </w:tcPr>
          <w:p>
            <w:pPr>
              <w:spacing w:line="240" w:lineRule="auto" w:before="0" w:after="0"/>
              <w:pStyle w:val="Compact"/>
            </w:pPr>
            <w:r>
              <w:rPr>
                <w:sz w:val="20"/>
                <w:szCs w:val="20"/>
              </w:rPr>
              <w:t xml:space="preserve">52.38</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GFZ Potsdam SLR availability (Neumayer 2018); Scharring AMOS 2019</w:t>
            </w:r>
          </w:p>
        </w:tc>
      </w:tr>
      <w:tr>
        <w:tc>
          <w:tcPr>
            <w:tcW w:w="0" w:type="auto"/>
          </w:tcPr>
          <w:p>
            <w:pPr>
              <w:spacing w:line="240" w:lineRule="auto" w:before="0" w:after="0"/>
              <w:pStyle w:val="Compact"/>
            </w:pPr>
            <w:r>
              <w:rPr>
                <w:sz w:val="20"/>
                <w:szCs w:val="20"/>
              </w:rPr>
              <w:t xml:space="preserve">Goddard_NextGen_US</w:t>
            </w:r>
          </w:p>
        </w:tc>
        <w:tc>
          <w:tcPr>
            <w:tcW w:w="0" w:type="auto"/>
          </w:tcPr>
          <w:p>
            <w:pPr>
              <w:spacing w:line="240" w:lineRule="auto" w:before="0" w:after="0"/>
              <w:pStyle w:val="Compact"/>
            </w:pPr>
            <w:r>
              <w:rPr>
                <w:sz w:val="20"/>
                <w:szCs w:val="20"/>
              </w:rPr>
              <w:t xml:space="preserve">39.02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2150</w:t>
            </w:r>
          </w:p>
        </w:tc>
        <w:tc>
          <w:tcPr>
            <w:tcW w:w="0" w:type="auto"/>
          </w:tcPr>
          <w:p>
            <w:pPr>
              <w:spacing w:line="240" w:lineRule="auto" w:before="0" w:after="0"/>
              <w:pStyle w:val="Compact"/>
            </w:pPr>
            <w:r>
              <w:rPr>
                <w:sz w:val="20"/>
                <w:szCs w:val="20"/>
              </w:rPr>
              <w:t xml:space="preserve">NASA LCRD ground terminal characterization (Edwards et al. SPIE 2018)</w:t>
            </w:r>
          </w:p>
        </w:tc>
      </w:tr>
      <w:tr>
        <w:tc>
          <w:tcPr>
            <w:tcW w:w="0" w:type="auto"/>
          </w:tcPr>
          <w:p>
            <w:pPr>
              <w:spacing w:line="240" w:lineRule="auto" w:before="0" w:after="0"/>
              <w:pStyle w:val="Compact"/>
            </w:pPr>
            <w:r>
              <w:rPr>
                <w:sz w:val="20"/>
                <w:szCs w:val="20"/>
              </w:rPr>
              <w:t xml:space="preserve">Goldstone_CA_US</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1036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JPL DSN Goldstone optical link site assessment (Biswas et al. SPIE 2010)</w:t>
            </w:r>
          </w:p>
        </w:tc>
      </w:tr>
      <w:tr>
        <w:tc>
          <w:tcPr>
            <w:tcW w:w="0" w:type="auto"/>
          </w:tcPr>
          <w:p>
            <w:pPr>
              <w:spacing w:line="240" w:lineRule="auto" w:before="0" w:after="0"/>
              <w:pStyle w:val="Compact"/>
            </w:pPr>
            <w:r>
              <w:rPr>
                <w:sz w:val="20"/>
                <w:szCs w:val="20"/>
              </w:rPr>
              <w:t xml:space="preserve">TableMountain_CA_US</w:t>
            </w:r>
          </w:p>
        </w:tc>
        <w:tc>
          <w:tcPr>
            <w:tcW w:w="0" w:type="auto"/>
          </w:tcPr>
          <w:p>
            <w:pPr>
              <w:spacing w:line="240" w:lineRule="auto" w:before="0" w:after="0"/>
              <w:pStyle w:val="Compact"/>
            </w:pPr>
            <w:r>
              <w:rPr>
                <w:sz w:val="20"/>
                <w:szCs w:val="20"/>
              </w:rPr>
              <w:t xml:space="preserve">34.38</w:t>
            </w:r>
          </w:p>
        </w:tc>
        <w:tc>
          <w:tcPr>
            <w:tcW w:w="0" w:type="auto"/>
          </w:tcPr>
          <w:p>
            <w:pPr>
              <w:spacing w:line="240" w:lineRule="auto" w:before="0" w:after="0"/>
              <w:pStyle w:val="Compact"/>
            </w:pPr>
            <w:r>
              <w:rPr>
                <w:sz w:val="20"/>
                <w:szCs w:val="20"/>
              </w:rPr>
              <w:t xml:space="preserve">2285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3100</w:t>
            </w:r>
          </w:p>
        </w:tc>
        <w:tc>
          <w:tcPr>
            <w:tcW w:w="0" w:type="auto"/>
          </w:tcPr>
          <w:p>
            <w:pPr>
              <w:spacing w:line="240" w:lineRule="auto" w:before="0" w:after="0"/>
              <w:pStyle w:val="Compact"/>
            </w:pPr>
            <w:r>
              <w:rPr>
                <w:sz w:val="20"/>
                <w:szCs w:val="20"/>
              </w:rPr>
              <w:t xml:space="preserve">JPL Table Mountain Observatory site characterization (Wilson et al. 2004)</w:t>
            </w:r>
          </w:p>
        </w:tc>
      </w:tr>
      <w:tr>
        <w:tc>
          <w:tcPr>
            <w:tcW w:w="0" w:type="auto"/>
          </w:tcPr>
          <w:p>
            <w:pPr>
              <w:spacing w:line="240" w:lineRule="auto" w:before="0" w:after="0"/>
              <w:pStyle w:val="Compact"/>
            </w:pPr>
            <w:r>
              <w:rPr>
                <w:sz w:val="20"/>
                <w:szCs w:val="20"/>
              </w:rPr>
              <w:t xml:space="preserve">Calar_Alto_ES</w:t>
            </w:r>
          </w:p>
        </w:tc>
        <w:tc>
          <w:tcPr>
            <w:tcW w:w="0" w:type="auto"/>
          </w:tcPr>
          <w:p>
            <w:pPr>
              <w:spacing w:line="240" w:lineRule="auto" w:before="0" w:after="0"/>
              <w:pStyle w:val="Compact"/>
            </w:pPr>
            <w:r>
              <w:rPr>
                <w:sz w:val="20"/>
                <w:szCs w:val="20"/>
              </w:rPr>
              <w:t xml:space="preserve">37.22</w:t>
            </w:r>
          </w:p>
        </w:tc>
        <w:tc>
          <w:tcPr>
            <w:tcW w:w="0" w:type="auto"/>
          </w:tcPr>
          <w:p>
            <w:pPr>
              <w:spacing w:line="240" w:lineRule="auto" w:before="0" w:after="0"/>
              <w:pStyle w:val="Compact"/>
            </w:pPr>
            <w:r>
              <w:rPr>
                <w:sz w:val="20"/>
                <w:szCs w:val="20"/>
              </w:rPr>
              <w:t xml:space="preserve">2168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Sanchez et al. PASP 2007 (Calar Alto seeing); Centro Astronomico Hispano-Aleman stats</w:t>
            </w:r>
          </w:p>
        </w:tc>
      </w:tr>
      <w:tr>
        <w:tc>
          <w:tcPr>
            <w:tcW w:w="0" w:type="auto"/>
          </w:tcPr>
          <w:p>
            <w:pPr>
              <w:spacing w:line="240" w:lineRule="auto" w:before="0" w:after="0"/>
              <w:pStyle w:val="Compact"/>
            </w:pPr>
            <w:r>
              <w:rPr>
                <w:sz w:val="20"/>
                <w:szCs w:val="20"/>
              </w:rPr>
              <w:t xml:space="preserve">Roque_Muchachos_ES</w:t>
            </w:r>
          </w:p>
        </w:tc>
        <w:tc>
          <w:tcPr>
            <w:tcW w:w="0" w:type="auto"/>
          </w:tcPr>
          <w:p>
            <w:pPr>
              <w:spacing w:line="240" w:lineRule="auto" w:before="0" w:after="0"/>
              <w:pStyle w:val="Compact"/>
            </w:pPr>
            <w:r>
              <w:rPr>
                <w:sz w:val="20"/>
                <w:szCs w:val="20"/>
              </w:rPr>
              <w:t xml:space="preserve">28.76</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3150</w:t>
            </w:r>
          </w:p>
        </w:tc>
        <w:tc>
          <w:tcPr>
            <w:tcW w:w="0" w:type="auto"/>
          </w:tcPr>
          <w:p>
            <w:pPr>
              <w:spacing w:line="240" w:lineRule="auto" w:before="0" w:after="0"/>
              <w:pStyle w:val="Compact"/>
            </w:pPr>
            <w:r>
              <w:rPr>
                <w:sz w:val="20"/>
                <w:szCs w:val="20"/>
              </w:rPr>
              <w:t xml:space="preserve">Munoz-Tunon et al. NewA 1998 (Canarian sites); ORM site monitor</w:t>
            </w:r>
          </w:p>
        </w:tc>
      </w:tr>
      <w:tr>
        <w:tc>
          <w:tcPr>
            <w:tcW w:w="0" w:type="auto"/>
          </w:tcPr>
          <w:p>
            <w:pPr>
              <w:spacing w:line="240" w:lineRule="auto" w:before="0" w:after="0"/>
              <w:pStyle w:val="Compact"/>
            </w:pPr>
            <w:r>
              <w:rPr>
                <w:sz w:val="20"/>
                <w:szCs w:val="20"/>
              </w:rPr>
              <w:t xml:space="preserve">SAAO_Sutherland_ZA</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1798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SAAO Sutherland site monitor (Catala et al. 2013)</w:t>
            </w:r>
          </w:p>
        </w:tc>
      </w:tr>
      <w:tr>
        <w:tc>
          <w:tcPr>
            <w:tcW w:w="0" w:type="auto"/>
          </w:tcPr>
          <w:p>
            <w:pPr>
              <w:spacing w:line="240" w:lineRule="auto" w:before="0" w:after="0"/>
              <w:pStyle w:val="Compact"/>
            </w:pPr>
            <w:r>
              <w:rPr>
                <w:sz w:val="20"/>
                <w:szCs w:val="20"/>
              </w:rPr>
              <w:t xml:space="preserve">Maidanak_UZ</w:t>
            </w:r>
          </w:p>
        </w:tc>
        <w:tc>
          <w:tcPr>
            <w:tcW w:w="0" w:type="auto"/>
          </w:tcPr>
          <w:p>
            <w:pPr>
              <w:spacing w:line="240" w:lineRule="auto" w:before="0" w:after="0"/>
              <w:pStyle w:val="Compact"/>
            </w:pPr>
            <w:r>
              <w:rPr>
                <w:sz w:val="20"/>
                <w:szCs w:val="20"/>
              </w:rPr>
              <w:t xml:space="preserve">38.68</w:t>
            </w:r>
          </w:p>
        </w:tc>
        <w:tc>
          <w:tcPr>
            <w:tcW w:w="0" w:type="auto"/>
          </w:tcPr>
          <w:p>
            <w:pPr>
              <w:spacing w:line="240" w:lineRule="auto" w:before="0" w:after="0"/>
              <w:pStyle w:val="Compact"/>
            </w:pPr>
            <w:r>
              <w:rPr>
                <w:sz w:val="20"/>
                <w:szCs w:val="20"/>
              </w:rPr>
              <w:t xml:space="preserve">2593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Ehgamberdiev et al. A&amp;AS 2000 (Maidanak site testing)</w:t>
            </w:r>
          </w:p>
        </w:tc>
      </w:tr>
      <w:tr>
        <w:tc>
          <w:tcPr>
            <w:tcW w:w="0" w:type="auto"/>
          </w:tcPr>
          <w:p>
            <w:pPr>
              <w:spacing w:line="240" w:lineRule="auto" w:before="0" w:after="0"/>
              <w:pStyle w:val="Compact"/>
            </w:pPr>
            <w:r>
              <w:rPr>
                <w:sz w:val="20"/>
                <w:szCs w:val="20"/>
              </w:rPr>
              <w:t xml:space="preserve">SanPedroMartir_MX</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Echevarria et al. RMxAA 1998; UNAM OAN site stats</w:t>
            </w:r>
          </w:p>
        </w:tc>
      </w:tr>
      <w:tr>
        <w:tc>
          <w:tcPr>
            <w:tcW w:w="0" w:type="auto"/>
          </w:tcPr>
          <w:p>
            <w:pPr>
              <w:spacing w:line="240" w:lineRule="auto" w:before="0" w:after="0"/>
              <w:pStyle w:val="Compact"/>
            </w:pPr>
            <w:r>
              <w:rPr>
                <w:sz w:val="20"/>
                <w:szCs w:val="20"/>
              </w:rPr>
              <w:t xml:space="preserve">McDonald_TX_US</w:t>
            </w:r>
          </w:p>
        </w:tc>
        <w:tc>
          <w:tcPr>
            <w:tcW w:w="0" w:type="auto"/>
          </w:tcPr>
          <w:p>
            <w:pPr>
              <w:spacing w:line="240" w:lineRule="auto" w:before="0" w:after="0"/>
              <w:pStyle w:val="Compact"/>
            </w:pPr>
            <w:r>
              <w:rPr>
                <w:sz w:val="20"/>
                <w:szCs w:val="20"/>
              </w:rPr>
              <w:t xml:space="preserve">30.67</w:t>
            </w:r>
          </w:p>
        </w:tc>
        <w:tc>
          <w:tcPr>
            <w:tcW w:w="0" w:type="auto"/>
          </w:tcPr>
          <w:p>
            <w:pPr>
              <w:spacing w:line="240" w:lineRule="auto" w:before="0" w:after="0"/>
              <w:pStyle w:val="Compact"/>
            </w:pPr>
            <w:r>
              <w:rPr>
                <w:sz w:val="20"/>
                <w:szCs w:val="20"/>
              </w:rPr>
              <w:t xml:space="preserve">2070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2750</w:t>
            </w:r>
          </w:p>
        </w:tc>
        <w:tc>
          <w:tcPr>
            <w:tcW w:w="0" w:type="auto"/>
          </w:tcPr>
          <w:p>
            <w:pPr>
              <w:spacing w:line="240" w:lineRule="auto" w:before="0" w:after="0"/>
              <w:pStyle w:val="Compact"/>
            </w:pPr>
            <w:r>
              <w:rPr>
                <w:sz w:val="20"/>
                <w:szCs w:val="20"/>
              </w:rPr>
              <w:t xml:space="preserve">McDonald Obs. site monitor (Barker &amp; Schoening 1991)</w:t>
            </w:r>
          </w:p>
        </w:tc>
      </w:tr>
      <w:tr>
        <w:tc>
          <w:tcPr>
            <w:tcW w:w="0" w:type="auto"/>
          </w:tcPr>
          <w:p>
            <w:pPr>
              <w:spacing w:line="240" w:lineRule="auto" w:before="0" w:after="0"/>
              <w:pStyle w:val="Compact"/>
            </w:pPr>
            <w:r>
              <w:rPr>
                <w:sz w:val="20"/>
                <w:szCs w:val="20"/>
              </w:rPr>
              <w:t xml:space="preserve">Apache_Point_NM_US</w:t>
            </w:r>
          </w:p>
        </w:tc>
        <w:tc>
          <w:tcPr>
            <w:tcW w:w="0" w:type="auto"/>
          </w:tcPr>
          <w:p>
            <w:pPr>
              <w:spacing w:line="240" w:lineRule="auto" w:before="0" w:after="0"/>
              <w:pStyle w:val="Compact"/>
            </w:pPr>
            <w:r>
              <w:rPr>
                <w:sz w:val="20"/>
                <w:szCs w:val="20"/>
              </w:rPr>
              <w:t xml:space="preserve">32.78</w:t>
            </w:r>
          </w:p>
        </w:tc>
        <w:tc>
          <w:tcPr>
            <w:tcW w:w="0" w:type="auto"/>
          </w:tcPr>
          <w:p>
            <w:pPr>
              <w:spacing w:line="240" w:lineRule="auto" w:before="0" w:after="0"/>
              <w:pStyle w:val="Compact"/>
            </w:pPr>
            <w:r>
              <w:rPr>
                <w:sz w:val="20"/>
                <w:szCs w:val="20"/>
              </w:rPr>
              <w:t xml:space="preserve">2788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2900</w:t>
            </w:r>
          </w:p>
        </w:tc>
        <w:tc>
          <w:tcPr>
            <w:tcW w:w="0" w:type="auto"/>
          </w:tcPr>
          <w:p>
            <w:pPr>
              <w:spacing w:line="240" w:lineRule="auto" w:before="0" w:after="0"/>
              <w:pStyle w:val="Compact"/>
            </w:pPr>
            <w:r>
              <w:rPr>
                <w:sz w:val="20"/>
                <w:szCs w:val="20"/>
              </w:rPr>
              <w:t xml:space="preserve">APO site climatology (Hogg &amp; Frieman 2005)</w:t>
            </w:r>
          </w:p>
        </w:tc>
      </w:tr>
      <w:tr>
        <w:tc>
          <w:tcPr>
            <w:tcW w:w="0" w:type="auto"/>
          </w:tcPr>
          <w:p>
            <w:pPr>
              <w:spacing w:line="240" w:lineRule="auto" w:before="0" w:after="0"/>
              <w:pStyle w:val="Compact"/>
            </w:pPr>
            <w:r>
              <w:rPr>
                <w:sz w:val="20"/>
                <w:szCs w:val="20"/>
              </w:rPr>
              <w:t xml:space="preserve">Mt_Stromlo_AU</w:t>
            </w:r>
          </w:p>
        </w:tc>
        <w:tc>
          <w:tcPr>
            <w:tcW w:w="0" w:type="auto"/>
          </w:tcPr>
          <w:p>
            <w:pPr>
              <w:spacing w:line="240" w:lineRule="auto" w:before="0" w:after="0"/>
              <w:pStyle w:val="Compact"/>
            </w:pPr>
            <w:r>
              <w:rPr>
                <w:sz w:val="20"/>
                <w:szCs w:val="20"/>
              </w:rPr>
              <w:t xml:space="preserve">-35.32</w:t>
            </w:r>
          </w:p>
        </w:tc>
        <w:tc>
          <w:tcPr>
            <w:tcW w:w="0" w:type="auto"/>
          </w:tcPr>
          <w:p>
            <w:pPr>
              <w:spacing w:line="240" w:lineRule="auto" w:before="0" w:after="0"/>
              <w:pStyle w:val="Compact"/>
            </w:pPr>
            <w:r>
              <w:rPr>
                <w:sz w:val="20"/>
                <w:szCs w:val="20"/>
              </w:rPr>
              <w:t xml:space="preserve">770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Mt Stromlo SLR (Greene et al. ILRS 2008)</w:t>
            </w:r>
          </w:p>
        </w:tc>
      </w:tr>
      <w:tr>
        <w:tc>
          <w:tcPr>
            <w:tcW w:w="0" w:type="auto"/>
          </w:tcPr>
          <w:p>
            <w:pPr>
              <w:spacing w:line="240" w:lineRule="auto" w:before="0" w:after="0"/>
              <w:pStyle w:val="Compact"/>
            </w:pPr>
            <w:r>
              <w:rPr>
                <w:sz w:val="20"/>
                <w:szCs w:val="20"/>
              </w:rPr>
              <w:t xml:space="preserve">Concordia_AQ</w:t>
            </w:r>
          </w:p>
        </w:tc>
        <w:tc>
          <w:tcPr>
            <w:tcW w:w="0" w:type="auto"/>
          </w:tcPr>
          <w:p>
            <w:pPr>
              <w:spacing w:line="240" w:lineRule="auto" w:before="0" w:after="0"/>
              <w:pStyle w:val="Compact"/>
            </w:pPr>
            <w:r>
              <w:rPr>
                <w:sz w:val="20"/>
                <w:szCs w:val="20"/>
              </w:rPr>
              <w:t xml:space="preserve">-75.1</w:t>
            </w:r>
          </w:p>
        </w:tc>
        <w:tc>
          <w:tcPr>
            <w:tcW w:w="0" w:type="auto"/>
          </w:tcPr>
          <w:p>
            <w:pPr>
              <w:spacing w:line="240" w:lineRule="auto" w:before="0" w:after="0"/>
              <w:pStyle w:val="Compact"/>
            </w:pPr>
            <w:r>
              <w:rPr>
                <w:sz w:val="20"/>
                <w:szCs w:val="20"/>
              </w:rPr>
              <w:t xml:space="preserve">3233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Lawrence et al. Nature 2004 (Dome C seeing); Aristidi et al. A&amp;A 2005 [illustrative for FSOC ops]</w:t>
            </w:r>
          </w:p>
        </w:tc>
      </w:tr>
      <w:tr>
        <w:tc>
          <w:tcPr>
            <w:tcW w:w="0" w:type="auto"/>
          </w:tcPr>
          <w:p>
            <w:pPr>
              <w:spacing w:line="240" w:lineRule="auto" w:before="0" w:after="0"/>
              <w:pStyle w:val="Compact"/>
            </w:pPr>
            <w:r>
              <w:rPr>
                <w:sz w:val="20"/>
                <w:szCs w:val="20"/>
              </w:rPr>
              <w:t xml:space="preserve">Izana_ES</w:t>
            </w:r>
          </w:p>
        </w:tc>
        <w:tc>
          <w:tcPr>
            <w:tcW w:w="0" w:type="auto"/>
          </w:tcPr>
          <w:p>
            <w:pPr>
              <w:spacing w:line="240" w:lineRule="auto" w:before="0" w:after="0"/>
              <w:pStyle w:val="Compact"/>
            </w:pPr>
            <w:r>
              <w:rPr>
                <w:sz w:val="20"/>
                <w:szCs w:val="20"/>
              </w:rPr>
              <w:t xml:space="preserve">28.31</w:t>
            </w:r>
          </w:p>
        </w:tc>
        <w:tc>
          <w:tcPr>
            <w:tcW w:w="0" w:type="auto"/>
          </w:tcPr>
          <w:p>
            <w:pPr>
              <w:spacing w:line="240" w:lineRule="auto" w:before="0" w:after="0"/>
              <w:pStyle w:val="Compact"/>
            </w:pPr>
            <w:r>
              <w:rPr>
                <w:sz w:val="20"/>
                <w:szCs w:val="20"/>
              </w:rPr>
              <w:t xml:space="preserve">2390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3050</w:t>
            </w:r>
          </w:p>
        </w:tc>
        <w:tc>
          <w:tcPr>
            <w:tcW w:w="0" w:type="auto"/>
          </w:tcPr>
          <w:p>
            <w:pPr>
              <w:spacing w:line="240" w:lineRule="auto" w:before="0" w:after="0"/>
              <w:pStyle w:val="Compact"/>
            </w:pPr>
            <w:r>
              <w:rPr>
                <w:sz w:val="20"/>
                <w:szCs w:val="20"/>
              </w:rPr>
              <w:t xml:space="preserve">Izana Atmospheric Observatory cloud climatology (Cuevas et al. 2017)</w:t>
            </w:r>
          </w:p>
        </w:tc>
      </w:tr>
      <w:tr>
        <w:tc>
          <w:tcPr>
            <w:tcW w:w="0" w:type="auto"/>
          </w:tcPr>
          <w:p>
            <w:pPr>
              <w:spacing w:line="240" w:lineRule="auto" w:before="0" w:after="0"/>
              <w:pStyle w:val="Compact"/>
            </w:pPr>
            <w:r>
              <w:rPr>
                <w:sz w:val="20"/>
                <w:szCs w:val="20"/>
              </w:rPr>
              <w:t xml:space="preserve">WhiteSands_NM_US</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NASA WSC FSOC test site (Wright et al. SPIE 2015) [illustrative for cloud-free fraction]</w:t>
            </w:r>
          </w:p>
        </w:tc>
      </w:tr>
    </w:tbl>
    <w:bookmarkEnd w:id="199"/>
    <w:bookmarkStart w:id="20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annual_cloud_free_pct</w:t>
            </w:r>
          </w:p>
        </w:tc>
        <w:tc>
          <w:tcPr>
            <w:tcW w:w="0" w:type="auto"/>
          </w:tcPr>
          <w:p>
            <w:pPr>
              <w:spacing w:line="240" w:lineRule="auto" w:before="0" w:after="0"/>
              <w:pStyle w:val="Compact"/>
            </w:pPr>
            <w:r>
              <w:rPr>
                <w:sz w:val="20"/>
                <w:szCs w:val="20"/>
              </w:rPr>
              <w:t xml:space="preserve">Percentage of annual hours with cloud-free line of sight at the aperture, the site-level availability ceiling for free-space optical downlinks</w:t>
            </w:r>
          </w:p>
        </w:tc>
        <w:tc>
          <w:tcPr>
            <w:tcW w:w="0" w:type="auto"/>
          </w:tcPr>
          <w:p>
            <w:pPr>
              <w:spacing w:line="240" w:lineRule="auto" w:before="0" w:after="0"/>
              <w:pStyle w:val="Compact"/>
            </w:pPr>
            <w:r>
              <w:rPr>
                <w:sz w:val="20"/>
                <w:szCs w:val="20"/>
              </w:rPr>
              <w:t xml:space="preserve">Site monitor records and published cloud climatologies for each named OGS or SLR aperture</w:t>
            </w:r>
          </w:p>
        </w:tc>
      </w:tr>
      <w:tr>
        <w:tc>
          <w:tcPr>
            <w:tcW w:w="0" w:type="auto"/>
          </w:tcPr>
          <w:p>
            <w:pPr>
              <w:spacing w:line="240" w:lineRule="auto" w:before="0" w:after="0"/>
              <w:pStyle w:val="Compact"/>
            </w:pPr>
            <w:r>
              <w:rPr>
                <w:sz w:val="20"/>
                <w:szCs w:val="20"/>
              </w:rPr>
              <w:t xml:space="preserve">elevation_m</w:t>
            </w:r>
          </w:p>
        </w:tc>
        <w:tc>
          <w:tcPr>
            <w:tcW w:w="0" w:type="auto"/>
          </w:tcPr>
          <w:p>
            <w:pPr>
              <w:spacing w:line="240" w:lineRule="auto" w:before="0" w:after="0"/>
              <w:pStyle w:val="Compact"/>
            </w:pPr>
            <w:r>
              <w:rPr>
                <w:sz w:val="20"/>
                <w:szCs w:val="20"/>
              </w:rPr>
              <w:t xml:space="preserve">Aperture elevation above mean sea level in meters, a structural proxy for the depth of the boundary layer overhead</w:t>
            </w:r>
          </w:p>
        </w:tc>
        <w:tc>
          <w:tcPr>
            <w:tcW w:w="0" w:type="auto"/>
          </w:tcPr>
          <w:p>
            <w:pPr>
              <w:spacing w:line="240" w:lineRule="auto" w:before="0" w:after="0"/>
              <w:pStyle w:val="Compact"/>
            </w:pPr>
            <w:r>
              <w:rPr>
                <w:sz w:val="20"/>
                <w:szCs w:val="20"/>
              </w:rPr>
              <w:t xml:space="preserve">Site descriptions in cited references</w:t>
            </w:r>
          </w:p>
        </w:tc>
      </w:tr>
      <w:tr>
        <w:tc>
          <w:tcPr>
            <w:tcW w:w="0" w:type="auto"/>
          </w:tcPr>
          <w:p>
            <w:pPr>
              <w:spacing w:line="240" w:lineRule="auto" w:before="0" w:after="0"/>
              <w:pStyle w:val="Compact"/>
            </w:pPr>
            <w:r>
              <w:rPr>
                <w:sz w:val="20"/>
                <w:szCs w:val="20"/>
              </w:rPr>
              <w:t xml:space="preserve">latitude_deg</w:t>
            </w:r>
          </w:p>
        </w:tc>
        <w:tc>
          <w:tcPr>
            <w:tcW w:w="0" w:type="auto"/>
          </w:tcPr>
          <w:p>
            <w:pPr>
              <w:spacing w:line="240" w:lineRule="auto" w:before="0" w:after="0"/>
              <w:pStyle w:val="Compact"/>
            </w:pPr>
            <w:r>
              <w:rPr>
                <w:sz w:val="20"/>
                <w:szCs w:val="20"/>
              </w:rPr>
              <w:t xml:space="preserve">Geodetic latitude in degrees, signed by hemisphere; the regression uses the raw signed value to absorb the latitude band effect</w:t>
            </w:r>
          </w:p>
        </w:tc>
        <w:tc>
          <w:tcPr>
            <w:tcW w:w="0" w:type="auto"/>
          </w:tcPr>
          <w:p>
            <w:pPr>
              <w:spacing w:line="240" w:lineRule="auto" w:before="0" w:after="0"/>
              <w:pStyle w:val="Compact"/>
            </w:pPr>
            <w:r>
              <w:rPr>
                <w:sz w:val="20"/>
                <w:szCs w:val="20"/>
              </w:rPr>
              <w:t xml:space="preserve">Site descriptions in cited references</w:t>
            </w:r>
          </w:p>
        </w:tc>
      </w:tr>
      <w:tr>
        <w:tc>
          <w:tcPr>
            <w:tcW w:w="0" w:type="auto"/>
          </w:tcPr>
          <w:p>
            <w:pPr>
              <w:spacing w:line="240" w:lineRule="auto" w:before="0" w:after="0"/>
              <w:pStyle w:val="Compact"/>
            </w:pPr>
            <w:r>
              <w:rPr>
                <w:sz w:val="20"/>
                <w:szCs w:val="20"/>
              </w:rPr>
              <w:t xml:space="preserve">mean_seeing_arcsec</w:t>
            </w:r>
          </w:p>
        </w:tc>
        <w:tc>
          <w:tcPr>
            <w:tcW w:w="0" w:type="auto"/>
          </w:tcPr>
          <w:p>
            <w:pPr>
              <w:spacing w:line="240" w:lineRule="auto" w:before="0" w:after="0"/>
              <w:pStyle w:val="Compact"/>
            </w:pPr>
            <w:r>
              <w:rPr>
                <w:sz w:val="20"/>
                <w:szCs w:val="20"/>
              </w:rPr>
              <w:t xml:space="preserve">Median atmospheric seeing parameter at the aperture in arcseconds, a continuous indicator of optical turbulence severity</w:t>
            </w:r>
          </w:p>
        </w:tc>
        <w:tc>
          <w:tcPr>
            <w:tcW w:w="0" w:type="auto"/>
          </w:tcPr>
          <w:p>
            <w:pPr>
              <w:spacing w:line="240" w:lineRule="auto" w:before="0" w:after="0"/>
              <w:pStyle w:val="Compact"/>
            </w:pPr>
            <w:r>
              <w:rPr>
                <w:sz w:val="20"/>
                <w:szCs w:val="20"/>
              </w:rPr>
              <w:t xml:space="preserve">Published site testing campaigns and DIMM monitor archives cited per row</w:t>
            </w:r>
          </w:p>
        </w:tc>
      </w:tr>
      <w:tr>
        <w:tc>
          <w:tcPr>
            <w:tcW w:w="0" w:type="auto"/>
          </w:tcPr>
          <w:p>
            <w:pPr>
              <w:spacing w:line="240" w:lineRule="auto" w:before="0" w:after="0"/>
              <w:pStyle w:val="Compact"/>
            </w:pPr>
            <w:r>
              <w:rPr>
                <w:sz w:val="20"/>
                <w:szCs w:val="20"/>
              </w:rPr>
              <w:t xml:space="preserve">daytime_obs_hours_yr</w:t>
            </w:r>
          </w:p>
        </w:tc>
        <w:tc>
          <w:tcPr>
            <w:tcW w:w="0" w:type="auto"/>
          </w:tcPr>
          <w:p>
            <w:pPr>
              <w:spacing w:line="240" w:lineRule="auto" w:before="0" w:after="0"/>
              <w:pStyle w:val="Compact"/>
            </w:pPr>
            <w:r>
              <w:rPr>
                <w:sz w:val="20"/>
                <w:szCs w:val="20"/>
              </w:rPr>
              <w:t xml:space="preserve">Observed annual daytime usable hours, reported for context and not used in the primary specification</w:t>
            </w:r>
          </w:p>
        </w:tc>
        <w:tc>
          <w:tcPr>
            <w:tcW w:w="0" w:type="auto"/>
          </w:tcPr>
          <w:p>
            <w:pPr>
              <w:spacing w:line="240" w:lineRule="auto" w:before="0" w:after="0"/>
              <w:pStyle w:val="Compact"/>
            </w:pPr>
            <w:r>
              <w:rPr>
                <w:sz w:val="20"/>
                <w:szCs w:val="20"/>
              </w:rPr>
              <w:t xml:space="preserve">Site reports cited per row</w:t>
            </w:r>
          </w:p>
        </w:tc>
      </w:tr>
    </w:tbl>
    <w:bookmarkEnd w:id="200"/>
    <w:bookmarkEnd w:id="201"/>
    <w:bookmarkStart w:id="209" w:name="X4320dea3e725ebf8cd96ffb9ade0edbb172f250"/>
    <w:p>
      <w:pPr>
        <w:pStyle w:val="Heading2"/>
        <w:spacing w:line="480" w:lineRule="auto"/>
      </w:pPr>
      <w:r>
        <w:t xml:space="preserve">A.2 A Learning Curve for Space-to-Ground Optical Downlink Capacity: Log-Log Estimation Across Three Decades of Demonstrations</w:t>
      </w:r>
    </w:p>
    <w:p>
      <w:pPr>
        <w:pStyle w:val="FirstParagraph"/>
        <w:spacing w:line="480" w:lineRule="auto"/>
      </w:pPr>
      <m:oMathPara>
        <m:oMathParaPr>
          <m:jc m:val="center"/>
        </m:oMathParaPr>
        <m:oMath>
          <m:r>
            <m:rPr>
              <m:sty m:val="p"/>
            </m:rPr>
            <m:t>log</m:t>
          </m:r>
          <m:sSub>
            <m:e>
              <m:r>
                <m:t>R</m:t>
              </m:r>
            </m:e>
            <m:sub>
              <m:r>
                <m:t>i</m:t>
              </m:r>
            </m:sub>
          </m:sSub>
          <m:r>
            <m:rPr>
              <m:sty m:val="p"/>
            </m:rPr>
            <m:t>=</m:t>
          </m:r>
          <m:r>
            <m:t>α</m:t>
          </m:r>
          <m:r>
            <m:rPr>
              <m:sty m:val="p"/>
            </m:rPr>
            <m:t>+</m:t>
          </m:r>
          <m:r>
            <m:t>β</m:t>
          </m:r>
          <m:r>
            <m:t> </m:t>
          </m:r>
          <m:r>
            <m:rPr>
              <m:sty m:val="p"/>
            </m:rPr>
            <m:t>log</m:t>
          </m:r>
          <m:sSub>
            <m:e>
              <m:r>
                <m:t>N</m:t>
              </m:r>
            </m:e>
            <m:sub>
              <m:r>
                <m:t>i</m:t>
              </m:r>
            </m:sub>
          </m:sSub>
          <m:r>
            <m:rPr>
              <m:sty m:val="p"/>
            </m:rPr>
            <m:t>+</m:t>
          </m:r>
          <m:sSub>
            <m:e>
              <m:r>
                <m:t>ε</m:t>
              </m:r>
            </m:e>
            <m:sub>
              <m:r>
                <m:t>i</m:t>
              </m:r>
            </m:sub>
          </m:sSub>
        </m:oMath>
      </m:oMathPara>
    </w:p>
    <w:bookmarkStart w:id="20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2.5091</w:t>
            </w:r>
          </w:p>
        </w:tc>
        <w:tc>
          <w:tcPr>
            <w:tcW w:w="0" w:type="auto"/>
          </w:tcPr>
          <w:p>
            <w:pPr>
              <w:spacing w:line="240" w:lineRule="auto" w:before="0" w:after="0"/>
              <w:pStyle w:val="Compact"/>
            </w:pPr>
            <w:r>
              <w:rPr>
                <w:sz w:val="20"/>
                <w:szCs w:val="20"/>
              </w:rPr>
              <w:t xml:space="preserve">1.1677</w:t>
            </w:r>
          </w:p>
        </w:tc>
        <w:tc>
          <w:tcPr>
            <w:tcW w:w="0" w:type="auto"/>
          </w:tcPr>
          <w:p>
            <w:pPr>
              <w:spacing w:line="240" w:lineRule="auto" w:before="0" w:after="0"/>
              <w:pStyle w:val="Compact"/>
            </w:pPr>
            <w:r>
              <w:rPr>
                <w:sz w:val="20"/>
                <w:szCs w:val="20"/>
              </w:rPr>
              <w:t xml:space="preserve">2.1488</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[0.2205, 4.7977]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1.7049</w:t>
            </w:r>
          </w:p>
        </w:tc>
        <w:tc>
          <w:tcPr>
            <w:tcW w:w="0" w:type="auto"/>
          </w:tcPr>
          <w:p>
            <w:pPr>
              <w:spacing w:line="240" w:lineRule="auto" w:before="0" w:after="0"/>
              <w:pStyle w:val="Compact"/>
            </w:pPr>
            <w:r>
              <w:rPr>
                <w:sz w:val="20"/>
                <w:szCs w:val="20"/>
              </w:rPr>
              <w:t xml:space="preserve">0.4274</w:t>
            </w:r>
          </w:p>
        </w:tc>
        <w:tc>
          <w:tcPr>
            <w:tcW w:w="0" w:type="auto"/>
          </w:tcPr>
          <w:p>
            <w:pPr>
              <w:spacing w:line="240" w:lineRule="auto" w:before="0" w:after="0"/>
              <w:pStyle w:val="Compact"/>
            </w:pPr>
            <w:r>
              <w:rPr>
                <w:sz w:val="20"/>
                <w:szCs w:val="20"/>
              </w:rPr>
              <w:t xml:space="preserve">3.9887</w:t>
            </w:r>
          </w:p>
        </w:tc>
        <w:tc>
          <w:tcPr>
            <w:tcW w:w="0" w:type="auto"/>
          </w:tcPr>
          <w:p>
            <w:pPr>
              <w:spacing w:line="240" w:lineRule="auto" w:before="0" w:after="0"/>
              <w:pStyle w:val="Compact"/>
            </w:pPr>
            <w:r>
              <w:rPr>
                <w:sz w:val="20"/>
                <w:szCs w:val="20"/>
              </w:rPr>
              <w:t xml:space="preserve">6.643e-05</w:t>
            </w:r>
          </w:p>
        </w:tc>
        <w:tc>
          <w:tcPr>
            <w:tcW w:w="0" w:type="auto"/>
          </w:tcPr>
          <w:p>
            <w:pPr>
              <w:spacing w:line="240" w:lineRule="auto" w:before="0" w:after="0"/>
              <w:pStyle w:val="Compact"/>
            </w:pPr>
            <w:r>
              <w:rPr>
                <w:sz w:val="20"/>
                <w:szCs w:val="20"/>
              </w:rPr>
              <w:t xml:space="preserve">[0.8672, 2.5427]</w:t>
            </w:r>
          </w:p>
        </w:tc>
      </w:tr>
    </w:tbl>
    <w:p>
      <w:pPr>
        <w:pStyle w:val="BodyText"/>
        <w:spacing w:line="480" w:lineRule="auto"/>
        <w:ind w:firstLine="720"/>
      </w:pPr>
      <w:r>
        <w:t xml:space="preserve">Fit: N = 30 R2 = 0.2907 elasticity_b = 1.7049 progress_ratio_2^b = 3.2602</w:t>
      </w:r>
    </w:p>
    <w:bookmarkEnd w:id="202"/>
    <w:bookmarkStart w:id="20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of peak demonstrated space-to-ground optical downlink rate against cumulative demonstration count from GOLD 1995 through LCOT 2024." title="" id="204" name="Picture"/>
            <a:graphic>
              <a:graphicData uri="http://schemas.openxmlformats.org/drawingml/2006/picture">
                <pic:pic>
                  <pic:nvPicPr>
                    <pic:cNvPr descr="D:/Claude_Code/brain/collegium/candidates/dissertations/SPECTRUM_PNT_08/research_papers/p2/paper_fig1.png" id="205" name="Picture"/>
                    <pic:cNvPicPr>
                      <a:picLocks noChangeArrowheads="1" noChangeAspect="1"/>
                    </pic:cNvPicPr>
                  </pic:nvPicPr>
                  <pic:blipFill>
                    <a:blip r:embed="rId20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of peak demonstrated space-to-ground optical downlink rate against cumulative demonstration count from GOLD 1995 through LCOT 2024.</w:t>
      </w:r>
    </w:p>
    <w:bookmarkEnd w:id="206"/>
    <w:bookmarkStart w:id="20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cum_demo_count</w:t>
            </w:r>
          </w:p>
        </w:tc>
        <w:tc>
          <w:tcPr>
            <w:tcW w:w="0" w:type="auto"/>
          </w:tcPr>
          <w:p>
            <w:pPr>
              <w:spacing w:line="240" w:lineRule="auto" w:before="0" w:after="0"/>
              <w:pStyle w:val="Compact"/>
            </w:pPr>
            <w:r>
              <w:rPr>
                <w:sz w:val="20"/>
                <w:szCs w:val="20"/>
              </w:rPr>
              <w:t xml:space="preserve">peak_downlink_mbps</w:t>
            </w:r>
          </w:p>
        </w:tc>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wavelength_nm</w:t>
            </w:r>
          </w:p>
        </w:tc>
        <w:tc>
          <w:tcPr>
            <w:tcW w:w="0" w:type="auto"/>
          </w:tcPr>
          <w:p>
            <w:pPr>
              <w:spacing w:line="240" w:lineRule="auto" w:before="0" w:after="0"/>
              <w:pStyle w:val="Compact"/>
            </w:pPr>
            <w:r>
              <w:rPr>
                <w:sz w:val="20"/>
                <w:szCs w:val="20"/>
              </w:rPr>
              <w:t xml:space="preserve">site_diversity_n</w:t>
            </w:r>
          </w:p>
        </w:tc>
        <w:tc>
          <w:tcPr>
            <w:tcW w:w="0" w:type="auto"/>
          </w:tcPr>
          <w:p>
            <w:pPr>
              <w:spacing w:line="240" w:lineRule="auto" w:before="0" w:after="0"/>
              <w:pStyle w:val="Compact"/>
            </w:pPr>
            <w:r>
              <w:rPr>
                <w:sz w:val="20"/>
                <w:szCs w:val="20"/>
              </w:rPr>
              <w:t xml:space="preserve">weather_loss_pct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Wilson 1996 GOLD Galileo Optical Demo, JPL TDA Progress Report 42-128</w:t>
            </w:r>
          </w:p>
        </w:tc>
      </w:tr>
      <w:tr>
        <w:tc>
          <w:tcPr>
            <w:tcW w:w="0" w:type="auto"/>
          </w:tcPr>
          <w:p>
            <w:pPr>
              <w:spacing w:line="240" w:lineRule="auto" w:before="0" w:after="0"/>
              <w:pStyle w:val="Compact"/>
            </w:pPr>
            <w:r>
              <w:rPr>
                <w:sz w:val="20"/>
                <w:szCs w:val="20"/>
              </w:rPr>
              <w:t xml:space="preserve">SILEX_Artemis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847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Tolker-Nielsen and Oppenhauser 2002, ESA SILEX Artemis-SPOT4 link, SPIE Proc 4635</w:t>
            </w:r>
          </w:p>
        </w:tc>
      </w:tr>
      <w:tr>
        <w:tc>
          <w:tcPr>
            <w:tcW w:w="0" w:type="auto"/>
          </w:tcPr>
          <w:p>
            <w:pPr>
              <w:spacing w:line="240" w:lineRule="auto" w:before="0" w:after="0"/>
              <w:pStyle w:val="Compact"/>
            </w:pPr>
            <w:r>
              <w:rPr>
                <w:sz w:val="20"/>
                <w:szCs w:val="20"/>
              </w:rPr>
              <w:t xml:space="preserve">OICETS_Kirari</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847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Toyoshima et al. 2007, OICETS in-orbit laser comm results, IEICE Trans Commun E90-B</w:t>
            </w:r>
          </w:p>
        </w:tc>
      </w:tr>
      <w:tr>
        <w:tc>
          <w:tcPr>
            <w:tcW w:w="0" w:type="auto"/>
          </w:tcPr>
          <w:p>
            <w:pPr>
              <w:spacing w:line="240" w:lineRule="auto" w:before="0" w:after="0"/>
              <w:pStyle w:val="Compact"/>
            </w:pPr>
            <w:r>
              <w:rPr>
                <w:sz w:val="20"/>
                <w:szCs w:val="20"/>
              </w:rPr>
              <w:t xml:space="preserve">LCT_Terrasar_NFIRE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5625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Smutny et al. 2009, 5.625 Gbps coherent optical inter-satellite link TerraSAR-X NFIRE, SPIE Proc 7199</w:t>
            </w:r>
          </w:p>
        </w:tc>
      </w:tr>
      <w:tr>
        <w:tc>
          <w:tcPr>
            <w:tcW w:w="0" w:type="auto"/>
          </w:tcPr>
          <w:p>
            <w:pPr>
              <w:spacing w:line="240" w:lineRule="auto" w:before="0" w:after="0"/>
              <w:pStyle w:val="Compact"/>
            </w:pPr>
            <w:r>
              <w:rPr>
                <w:sz w:val="20"/>
                <w:szCs w:val="20"/>
              </w:rPr>
              <w:t xml:space="preserve">LLCD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Lunar</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Boroson et al. 2014, Overview and Results of the Lunar Laser Communication Demonstration, SPIE Proc 8971</w:t>
            </w:r>
          </w:p>
        </w:tc>
      </w:tr>
      <w:tr>
        <w:tc>
          <w:tcPr>
            <w:tcW w:w="0" w:type="auto"/>
          </w:tcPr>
          <w:p>
            <w:pPr>
              <w:spacing w:line="240" w:lineRule="auto" w:before="0" w:after="0"/>
              <w:pStyle w:val="Compact"/>
            </w:pPr>
            <w:r>
              <w:rPr>
                <w:sz w:val="20"/>
                <w:szCs w:val="20"/>
              </w:rPr>
              <w:t xml:space="preserve">OPALS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Abrahamson et al. 2015, OPALS Mission and Results from ISS, IEEE Aerospace Conf</w:t>
            </w:r>
          </w:p>
        </w:tc>
      </w:tr>
      <w:tr>
        <w:tc>
          <w:tcPr>
            <w:tcW w:w="0" w:type="auto"/>
          </w:tcPr>
          <w:p>
            <w:pPr>
              <w:spacing w:line="240" w:lineRule="auto" w:before="0" w:after="0"/>
              <w:pStyle w:val="Compact"/>
            </w:pPr>
            <w:r>
              <w:rPr>
                <w:sz w:val="20"/>
                <w:szCs w:val="20"/>
              </w:rPr>
              <w:t xml:space="preserve">OCSD_B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Janson and Welle 2018, The NASA Optical Communications and Sensor Demonstration Program, AIAA SmallSat</w:t>
            </w:r>
          </w:p>
        </w:tc>
      </w:tr>
      <w:tr>
        <w:tc>
          <w:tcPr>
            <w:tcW w:w="0" w:type="auto"/>
          </w:tcPr>
          <w:p>
            <w:pPr>
              <w:spacing w:line="240" w:lineRule="auto" w:before="0" w:after="0"/>
              <w:pStyle w:val="Compact"/>
            </w:pPr>
            <w:r>
              <w:rPr>
                <w:sz w:val="20"/>
                <w:szCs w:val="20"/>
              </w:rPr>
              <w:t xml:space="preserve">EDRS_A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Heine et al. 2017, EDRS-A LCT in-orbit verification, ICSOS 2017</w:t>
            </w:r>
          </w:p>
        </w:tc>
      </w:tr>
      <w:tr>
        <w:tc>
          <w:tcPr>
            <w:tcW w:w="0" w:type="auto"/>
          </w:tcPr>
          <w:p>
            <w:pPr>
              <w:spacing w:line="240" w:lineRule="auto" w:before="0" w:after="0"/>
              <w:pStyle w:val="Compact"/>
            </w:pPr>
            <w:r>
              <w:rPr>
                <w:sz w:val="20"/>
                <w:szCs w:val="20"/>
              </w:rPr>
              <w:t xml:space="preserve">EDRS_C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Trichili et al. 2021, Roadmap to free space optics, JOSA B Vol 37 (review citing EDRS-C)</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Israel et al. 2023, Early Results from the Laser Communications Relay Demonstration, SPIE Proc 12413</w:t>
            </w:r>
          </w:p>
        </w:tc>
      </w:tr>
      <w:tr>
        <w:tc>
          <w:tcPr>
            <w:tcW w:w="0" w:type="auto"/>
          </w:tcPr>
          <w:p>
            <w:pPr>
              <w:spacing w:line="240" w:lineRule="auto" w:before="0" w:after="0"/>
              <w:pStyle w:val="Compact"/>
            </w:pPr>
            <w:r>
              <w:rPr>
                <w:sz w:val="20"/>
                <w:szCs w:val="20"/>
              </w:rPr>
              <w:t xml:space="preserve">TBIRD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Schieler et al. 2023, On-orbit demonstration of 200-Gbps laser communication downlink from the TBIRD CubeSat, SPIE Proc 12413</w:t>
            </w:r>
          </w:p>
        </w:tc>
      </w:tr>
      <w:tr>
        <w:tc>
          <w:tcPr>
            <w:tcW w:w="0" w:type="auto"/>
          </w:tcPr>
          <w:p>
            <w:pPr>
              <w:spacing w:line="240" w:lineRule="auto" w:before="0" w:after="0"/>
              <w:pStyle w:val="Compact"/>
            </w:pPr>
            <w:r>
              <w:rPr>
                <w:sz w:val="20"/>
                <w:szCs w:val="20"/>
              </w:rPr>
              <w:t xml:space="preserve">ILLUMA-T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2024 ILLUMA-T mission press kit and post-launch status, NASA SCAN Program</w:t>
            </w:r>
          </w:p>
        </w:tc>
      </w:tr>
      <w:tr>
        <w:tc>
          <w:tcPr>
            <w:tcW w:w="0" w:type="auto"/>
          </w:tcPr>
          <w:p>
            <w:pPr>
              <w:spacing w:line="240" w:lineRule="auto" w:before="0" w:after="0"/>
              <w:pStyle w:val="Compact"/>
            </w:pPr>
            <w:r>
              <w:rPr>
                <w:sz w:val="20"/>
                <w:szCs w:val="20"/>
              </w:rPr>
              <w:t xml:space="preserve">PathfinderTD3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NICT 2024 HICALI/SOTA family lineage, Toyoshima 2021 review, IEICE ComEX 10</w:t>
            </w:r>
          </w:p>
        </w:tc>
      </w:tr>
      <w:tr>
        <w:tc>
          <w:tcPr>
            <w:tcW w:w="0" w:type="auto"/>
          </w:tcPr>
          <w:p>
            <w:pPr>
              <w:spacing w:line="240" w:lineRule="auto" w:before="0" w:after="0"/>
              <w:pStyle w:val="Compact"/>
            </w:pPr>
            <w:r>
              <w:rPr>
                <w:sz w:val="20"/>
                <w:szCs w:val="20"/>
              </w:rPr>
              <w:t xml:space="preserve">NorSat-TD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Norwegian Space Agency 2023 NorSat-TD optical payload announcement, ESA TDE programme note</w:t>
            </w:r>
          </w:p>
        </w:tc>
      </w:tr>
      <w:tr>
        <w:tc>
          <w:tcPr>
            <w:tcW w:w="0" w:type="auto"/>
          </w:tcPr>
          <w:p>
            <w:pPr>
              <w:spacing w:line="240" w:lineRule="auto" w:before="0" w:after="0"/>
              <w:pStyle w:val="Compact"/>
            </w:pPr>
            <w:r>
              <w:rPr>
                <w:sz w:val="20"/>
                <w:szCs w:val="20"/>
              </w:rPr>
              <w:t xml:space="preserve">PIXL-1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Tesat 2021 PIXL-1 CubeLCT mission announcement, Tesat-Spacecom press release</w:t>
            </w:r>
          </w:p>
        </w:tc>
      </w:tr>
      <w:tr>
        <w:tc>
          <w:tcPr>
            <w:tcW w:w="0" w:type="auto"/>
          </w:tcPr>
          <w:p>
            <w:pPr>
              <w:spacing w:line="240" w:lineRule="auto" w:before="0" w:after="0"/>
              <w:pStyle w:val="Compact"/>
            </w:pPr>
            <w:r>
              <w:rPr>
                <w:sz w:val="20"/>
                <w:szCs w:val="20"/>
              </w:rPr>
              <w:t xml:space="preserve">CLICK-A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Kammerer et al. 2023, CLICK-A on-orbit results, AIAA SmallSat</w:t>
            </w:r>
          </w:p>
        </w:tc>
      </w:tr>
      <w:tr>
        <w:tc>
          <w:tcPr>
            <w:tcW w:w="0" w:type="auto"/>
          </w:tcPr>
          <w:p>
            <w:pPr>
              <w:spacing w:line="240" w:lineRule="auto" w:before="0" w:after="0"/>
              <w:pStyle w:val="Compact"/>
            </w:pPr>
            <w:r>
              <w:rPr>
                <w:sz w:val="20"/>
                <w:szCs w:val="20"/>
              </w:rPr>
              <w:t xml:space="preserve">CLICK-B_C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Cierny et al. 2024, CLICK-B and C crosslink demonstration plan, IEEE Aerospace [illustrative for as-flown rate]</w:t>
            </w:r>
          </w:p>
        </w:tc>
      </w:tr>
      <w:tr>
        <w:tc>
          <w:tcPr>
            <w:tcW w:w="0" w:type="auto"/>
          </w:tcPr>
          <w:p>
            <w:pPr>
              <w:spacing w:line="240" w:lineRule="auto" w:before="0" w:after="0"/>
              <w:pStyle w:val="Compact"/>
            </w:pPr>
            <w:r>
              <w:rPr>
                <w:sz w:val="20"/>
                <w:szCs w:val="20"/>
              </w:rPr>
              <w:t xml:space="preserve">Starlink_Optical_2023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SpaceX 2023 Starlink Direct-to-Cell and inter-satellite laser link disclosures via FCC filings, FCC IBFS SAT-MOD-20230207-00021</w:t>
            </w:r>
          </w:p>
        </w:tc>
      </w:tr>
      <w:tr>
        <w:tc>
          <w:tcPr>
            <w:tcW w:w="0" w:type="auto"/>
          </w:tcPr>
          <w:p>
            <w:pPr>
              <w:spacing w:line="240" w:lineRule="auto" w:before="0" w:after="0"/>
              <w:pStyle w:val="Compact"/>
            </w:pPr>
            <w:r>
              <w:rPr>
                <w:sz w:val="20"/>
                <w:szCs w:val="20"/>
              </w:rPr>
              <w:t xml:space="preserve">KEPLER_Aether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Kepler Communications 2024 Aether announcement and ESA ScyLight notes, ESA Optical Communications Roadmap 2024</w:t>
            </w:r>
          </w:p>
        </w:tc>
      </w:tr>
      <w:tr>
        <w:tc>
          <w:tcPr>
            <w:tcW w:w="0" w:type="auto"/>
          </w:tcPr>
          <w:p>
            <w:pPr>
              <w:spacing w:line="240" w:lineRule="auto" w:before="0" w:after="0"/>
              <w:pStyle w:val="Compact"/>
            </w:pPr>
            <w:r>
              <w:rPr>
                <w:sz w:val="20"/>
                <w:szCs w:val="20"/>
              </w:rPr>
              <w:t xml:space="preserve">HydRON_demo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ESA HydRON system demonstrator phase B2 announcement 2024, ESA Telecom</w:t>
            </w:r>
          </w:p>
        </w:tc>
      </w:tr>
      <w:tr>
        <w:tc>
          <w:tcPr>
            <w:tcW w:w="0" w:type="auto"/>
          </w:tcPr>
          <w:p>
            <w:pPr>
              <w:spacing w:line="240" w:lineRule="auto" w:before="0" w:after="0"/>
              <w:pStyle w:val="Compact"/>
            </w:pPr>
            <w:r>
              <w:rPr>
                <w:sz w:val="20"/>
                <w:szCs w:val="20"/>
              </w:rPr>
              <w:t xml:space="preserve">ConnecTa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DLR 2024 ConnecTa OSIRIS terminal family update, DLR Institute for Communications and Navigation</w:t>
            </w:r>
          </w:p>
        </w:tc>
      </w:tr>
      <w:tr>
        <w:tc>
          <w:tcPr>
            <w:tcW w:w="0" w:type="auto"/>
          </w:tcPr>
          <w:p>
            <w:pPr>
              <w:spacing w:line="240" w:lineRule="auto" w:before="0" w:after="0"/>
              <w:pStyle w:val="Compact"/>
            </w:pPr>
            <w:r>
              <w:rPr>
                <w:sz w:val="20"/>
                <w:szCs w:val="20"/>
              </w:rPr>
              <w:t xml:space="preserve">DSOC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Deep</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Biswas et al. 2024, Deep Space Optical Communications first light and downlink results, IPN Progress Report 42-237</w:t>
            </w:r>
          </w:p>
        </w:tc>
      </w:tr>
      <w:tr>
        <w:tc>
          <w:tcPr>
            <w:tcW w:w="0" w:type="auto"/>
          </w:tcPr>
          <w:p>
            <w:pPr>
              <w:spacing w:line="240" w:lineRule="auto" w:before="0" w:after="0"/>
              <w:pStyle w:val="Compact"/>
            </w:pPr>
            <w:r>
              <w:rPr>
                <w:sz w:val="20"/>
                <w:szCs w:val="20"/>
              </w:rPr>
              <w:t xml:space="preserve">LightSpeed_Telesat_pre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Telesat 2024 LightSpeed optical link spec sheet, Telesat investor materials [illustrative pre-deployment]</w:t>
            </w:r>
          </w:p>
        </w:tc>
      </w:tr>
      <w:tr>
        <w:tc>
          <w:tcPr>
            <w:tcW w:w="0" w:type="auto"/>
          </w:tcPr>
          <w:p>
            <w:pPr>
              <w:spacing w:line="240" w:lineRule="auto" w:before="0" w:after="0"/>
              <w:pStyle w:val="Compact"/>
            </w:pPr>
            <w:r>
              <w:rPr>
                <w:sz w:val="20"/>
                <w:szCs w:val="20"/>
              </w:rPr>
              <w:t xml:space="preserve">NorthStar_Skyloom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Skyloom 2024 OISL announcement with NorthStar Earth and Space, Skyloom press release</w:t>
            </w:r>
          </w:p>
        </w:tc>
      </w:tr>
      <w:tr>
        <w:tc>
          <w:tcPr>
            <w:tcW w:w="0" w:type="auto"/>
          </w:tcPr>
          <w:p>
            <w:pPr>
              <w:spacing w:line="240" w:lineRule="auto" w:before="0" w:after="0"/>
              <w:pStyle w:val="Compact"/>
            </w:pPr>
            <w:r>
              <w:rPr>
                <w:sz w:val="20"/>
                <w:szCs w:val="20"/>
              </w:rPr>
              <w:t xml:space="preserve">TeraNet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University of Western Australia TeraNet 2023 first light press release, UWA ICRAR</w:t>
            </w:r>
          </w:p>
        </w:tc>
      </w:tr>
      <w:tr>
        <w:tc>
          <w:tcPr>
            <w:tcW w:w="0" w:type="auto"/>
          </w:tcPr>
          <w:p>
            <w:pPr>
              <w:spacing w:line="240" w:lineRule="auto" w:before="0" w:after="0"/>
              <w:pStyle w:val="Compact"/>
            </w:pPr>
            <w:r>
              <w:rPr>
                <w:sz w:val="20"/>
                <w:szCs w:val="20"/>
              </w:rPr>
              <w:t xml:space="preserve">NICT_HICALI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Carrasco-Casado et al. 2022, NICT HICALI development status, ICSOS 2022</w:t>
            </w:r>
          </w:p>
        </w:tc>
      </w:tr>
      <w:tr>
        <w:tc>
          <w:tcPr>
            <w:tcW w:w="0" w:type="auto"/>
          </w:tcPr>
          <w:p>
            <w:pPr>
              <w:spacing w:line="240" w:lineRule="auto" w:before="0" w:after="0"/>
              <w:pStyle w:val="Compact"/>
            </w:pPr>
            <w:r>
              <w:rPr>
                <w:sz w:val="20"/>
                <w:szCs w:val="20"/>
              </w:rPr>
              <w:t xml:space="preserve">JANUS_optical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Astrogate Labs 2024 optical terminal status, company technical brief [illustrative for as-flown rate]</w:t>
            </w:r>
          </w:p>
        </w:tc>
      </w:tr>
      <w:tr>
        <w:tc>
          <w:tcPr>
            <w:tcW w:w="0" w:type="auto"/>
          </w:tcPr>
          <w:p>
            <w:pPr>
              <w:spacing w:line="240" w:lineRule="auto" w:before="0" w:after="0"/>
              <w:pStyle w:val="Compact"/>
            </w:pPr>
            <w:r>
              <w:rPr>
                <w:sz w:val="20"/>
                <w:szCs w:val="20"/>
              </w:rPr>
              <w:t xml:space="preserve">SDA_T1_Tranche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SDA Tranche 1 Transport Layer optical inter-satellite link specification, Space Development Agency solicitation HQ0850-22-S-T001</w:t>
            </w:r>
          </w:p>
        </w:tc>
      </w:tr>
      <w:tr>
        <w:tc>
          <w:tcPr>
            <w:tcW w:w="0" w:type="auto"/>
          </w:tcPr>
          <w:p>
            <w:pPr>
              <w:spacing w:line="240" w:lineRule="auto" w:before="0" w:after="0"/>
              <w:pStyle w:val="Compact"/>
            </w:pPr>
            <w:r>
              <w:rPr>
                <w:sz w:val="20"/>
                <w:szCs w:val="20"/>
              </w:rPr>
              <w:t xml:space="preserve">KEO_Spectrolite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TNO Spectrolite optical terminal demonstration 2024, TNO Annual Report on Space</w:t>
            </w:r>
          </w:p>
        </w:tc>
      </w:tr>
      <w:tr>
        <w:tc>
          <w:tcPr>
            <w:tcW w:w="0" w:type="auto"/>
          </w:tcPr>
          <w:p>
            <w:pPr>
              <w:spacing w:line="240" w:lineRule="auto" w:before="0" w:after="0"/>
              <w:pStyle w:val="Compact"/>
            </w:pPr>
            <w:r>
              <w:rPr>
                <w:sz w:val="20"/>
                <w:szCs w:val="20"/>
              </w:rPr>
              <w:t xml:space="preserve">LCOT_NASA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Glenn Research Center LCOT ground terminal first acquisition 2024, NASA SCAN announcement</w:t>
            </w:r>
          </w:p>
        </w:tc>
      </w:tr>
    </w:tbl>
    <w:bookmarkEnd w:id="207"/>
    <w:bookmarkStart w:id="20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peak_downlink_mbps</w:t>
            </w:r>
          </w:p>
        </w:tc>
        <w:tc>
          <w:tcPr>
            <w:tcW w:w="0" w:type="auto"/>
          </w:tcPr>
          <w:p>
            <w:pPr>
              <w:spacing w:line="240" w:lineRule="auto" w:before="0" w:after="0"/>
              <w:pStyle w:val="Compact"/>
            </w:pPr>
            <w:r>
              <w:rPr>
                <w:sz w:val="20"/>
                <w:szCs w:val="20"/>
              </w:rPr>
              <w:t xml:space="preserve">Peak demonstrated space-to-ground or inter-satellite optical downlink rate in megabits per second reported for the mission or terminal</w:t>
            </w:r>
          </w:p>
        </w:tc>
        <w:tc>
          <w:tcPr>
            <w:tcW w:w="0" w:type="auto"/>
          </w:tcPr>
          <w:p>
            <w:pPr>
              <w:spacing w:line="240" w:lineRule="auto" w:before="0" w:after="0"/>
              <w:pStyle w:val="Compact"/>
            </w:pPr>
            <w:r>
              <w:rPr>
                <w:sz w:val="20"/>
                <w:szCs w:val="20"/>
              </w:rPr>
              <w:t xml:space="preserve">Mission technical papers, agency press kits, and conference proceedings cited per row</w:t>
            </w:r>
          </w:p>
        </w:tc>
      </w:tr>
      <w:tr>
        <w:tc>
          <w:tcPr>
            <w:tcW w:w="0" w:type="auto"/>
          </w:tcPr>
          <w:p>
            <w:pPr>
              <w:spacing w:line="240" w:lineRule="auto" w:before="0" w:after="0"/>
              <w:pStyle w:val="Compact"/>
            </w:pPr>
            <w:r>
              <w:rPr>
                <w:sz w:val="20"/>
                <w:szCs w:val="20"/>
              </w:rPr>
              <w:t xml:space="preserve">cum_demo_count</w:t>
            </w:r>
          </w:p>
        </w:tc>
        <w:tc>
          <w:tcPr>
            <w:tcW w:w="0" w:type="auto"/>
          </w:tcPr>
          <w:p>
            <w:pPr>
              <w:spacing w:line="240" w:lineRule="auto" w:before="0" w:after="0"/>
              <w:pStyle w:val="Compact"/>
            </w:pPr>
            <w:r>
              <w:rPr>
                <w:sz w:val="20"/>
                <w:szCs w:val="20"/>
              </w:rPr>
              <w:t xml:space="preserve">Cumulative count of in-orbit space optical communication demonstrations through the year of the focal mission, ordered chronologically from GOLD 1995</w:t>
            </w:r>
          </w:p>
        </w:tc>
        <w:tc>
          <w:tcPr>
            <w:tcW w:w="0" w:type="auto"/>
          </w:tcPr>
          <w:p>
            <w:pPr>
              <w:spacing w:line="240" w:lineRule="auto" w:before="0" w:after="0"/>
              <w:pStyle w:val="Compact"/>
            </w:pPr>
            <w:r>
              <w:rPr>
                <w:sz w:val="20"/>
                <w:szCs w:val="20"/>
              </w:rPr>
              <w:t xml:space="preserve">Author compilation from the cited demonstration records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demonstration milestone or first light</w:t>
            </w:r>
          </w:p>
        </w:tc>
        <w:tc>
          <w:tcPr>
            <w:tcW w:w="0" w:type="auto"/>
          </w:tcPr>
          <w:p>
            <w:pPr>
              <w:spacing w:line="240" w:lineRule="auto" w:before="0" w:after="0"/>
              <w:pStyle w:val="Compact"/>
            </w:pPr>
            <w:r>
              <w:rPr>
                <w:sz w:val="20"/>
                <w:szCs w:val="20"/>
              </w:rPr>
              <w:t xml:space="preserve">Source documents cited per row</w:t>
            </w:r>
          </w:p>
        </w:tc>
      </w:tr>
      <w:tr>
        <w:tc>
          <w:tcPr>
            <w:tcW w:w="0" w:type="auto"/>
          </w:tcPr>
          <w:p>
            <w:pPr>
              <w:spacing w:line="240" w:lineRule="auto" w:before="0" w:after="0"/>
              <w:pStyle w:val="Compact"/>
            </w:pPr>
            <w:r>
              <w:rPr>
                <w:sz w:val="20"/>
                <w:szCs w:val="20"/>
              </w:rPr>
              <w:t xml:space="preserve">orbit_class</w:t>
            </w:r>
          </w:p>
        </w:tc>
        <w:tc>
          <w:tcPr>
            <w:tcW w:w="0" w:type="auto"/>
          </w:tcPr>
          <w:p>
            <w:pPr>
              <w:spacing w:line="240" w:lineRule="auto" w:before="0" w:after="0"/>
              <w:pStyle w:val="Compact"/>
            </w:pPr>
            <w:r>
              <w:rPr>
                <w:sz w:val="20"/>
                <w:szCs w:val="20"/>
              </w:rPr>
              <w:t xml:space="preserve">Orbit regime of the optical terminal under demonstration, coded as LEO, GEO, Lunar, or Deep space</w:t>
            </w:r>
          </w:p>
        </w:tc>
        <w:tc>
          <w:tcPr>
            <w:tcW w:w="0" w:type="auto"/>
          </w:tcPr>
          <w:p>
            <w:pPr>
              <w:spacing w:line="240" w:lineRule="auto" w:before="0" w:after="0"/>
              <w:pStyle w:val="Compact"/>
            </w:pPr>
            <w:r>
              <w:rPr>
                <w:sz w:val="20"/>
                <w:szCs w:val="20"/>
              </w:rPr>
              <w:t xml:space="preserve">Mission descriptions cited per row</w:t>
            </w:r>
          </w:p>
        </w:tc>
      </w:tr>
      <w:tr>
        <w:tc>
          <w:tcPr>
            <w:tcW w:w="0" w:type="auto"/>
          </w:tcPr>
          <w:p>
            <w:pPr>
              <w:spacing w:line="240" w:lineRule="auto" w:before="0" w:after="0"/>
              <w:pStyle w:val="Compact"/>
            </w:pPr>
            <w:r>
              <w:rPr>
                <w:sz w:val="20"/>
                <w:szCs w:val="20"/>
              </w:rPr>
              <w:t xml:space="preserve">wavelength_nm</w:t>
            </w:r>
          </w:p>
        </w:tc>
        <w:tc>
          <w:tcPr>
            <w:tcW w:w="0" w:type="auto"/>
          </w:tcPr>
          <w:p>
            <w:pPr>
              <w:spacing w:line="240" w:lineRule="auto" w:before="0" w:after="0"/>
              <w:pStyle w:val="Compact"/>
            </w:pPr>
            <w:r>
              <w:rPr>
                <w:sz w:val="20"/>
                <w:szCs w:val="20"/>
              </w:rPr>
              <w:t xml:space="preserve">Operating wavelength of the optical terminal in nanometers</w:t>
            </w:r>
          </w:p>
        </w:tc>
        <w:tc>
          <w:tcPr>
            <w:tcW w:w="0" w:type="auto"/>
          </w:tcPr>
          <w:p>
            <w:pPr>
              <w:spacing w:line="240" w:lineRule="auto" w:before="0" w:after="0"/>
              <w:pStyle w:val="Compact"/>
            </w:pPr>
            <w:r>
              <w:rPr>
                <w:sz w:val="20"/>
                <w:szCs w:val="20"/>
              </w:rPr>
              <w:t xml:space="preserve">Terminal specifications cited per row</w:t>
            </w:r>
          </w:p>
        </w:tc>
      </w:tr>
      <w:tr>
        <w:tc>
          <w:tcPr>
            <w:tcW w:w="0" w:type="auto"/>
          </w:tcPr>
          <w:p>
            <w:pPr>
              <w:spacing w:line="240" w:lineRule="auto" w:before="0" w:after="0"/>
              <w:pStyle w:val="Compact"/>
            </w:pPr>
            <w:r>
              <w:rPr>
                <w:sz w:val="20"/>
                <w:szCs w:val="20"/>
              </w:rPr>
              <w:t xml:space="preserve">site_diversity_n</w:t>
            </w:r>
          </w:p>
        </w:tc>
        <w:tc>
          <w:tcPr>
            <w:tcW w:w="0" w:type="auto"/>
          </w:tcPr>
          <w:p>
            <w:pPr>
              <w:spacing w:line="240" w:lineRule="auto" w:before="0" w:after="0"/>
              <w:pStyle w:val="Compact"/>
            </w:pPr>
            <w:r>
              <w:rPr>
                <w:sz w:val="20"/>
                <w:szCs w:val="20"/>
              </w:rPr>
              <w:t xml:space="preserve">Number of ground reception sites cooperating during the demonstration as a coarse proxy for weather mitigation through site diversity</w:t>
            </w:r>
          </w:p>
        </w:tc>
        <w:tc>
          <w:tcPr>
            <w:tcW w:w="0" w:type="auto"/>
          </w:tcPr>
          <w:p>
            <w:pPr>
              <w:spacing w:line="240" w:lineRule="auto" w:before="0" w:after="0"/>
              <w:pStyle w:val="Compact"/>
            </w:pPr>
            <w:r>
              <w:rPr>
                <w:sz w:val="20"/>
                <w:szCs w:val="20"/>
              </w:rPr>
              <w:t xml:space="preserve">Mission architecture descriptions cited per row</w:t>
            </w:r>
          </w:p>
        </w:tc>
      </w:tr>
      <w:tr>
        <w:tc>
          <w:tcPr>
            <w:tcW w:w="0" w:type="auto"/>
          </w:tcPr>
          <w:p>
            <w:pPr>
              <w:spacing w:line="240" w:lineRule="auto" w:before="0" w:after="0"/>
              <w:pStyle w:val="Compact"/>
            </w:pPr>
            <w:r>
              <w:rPr>
                <w:sz w:val="20"/>
                <w:szCs w:val="20"/>
              </w:rPr>
              <w:t xml:space="preserve">weather_loss_pct</w:t>
            </w:r>
          </w:p>
        </w:tc>
        <w:tc>
          <w:tcPr>
            <w:tcW w:w="0" w:type="auto"/>
          </w:tcPr>
          <w:p>
            <w:pPr>
              <w:spacing w:line="240" w:lineRule="auto" w:before="0" w:after="0"/>
              <w:pStyle w:val="Compact"/>
            </w:pPr>
            <w:r>
              <w:rPr>
                <w:sz w:val="20"/>
                <w:szCs w:val="20"/>
              </w:rPr>
              <w:t xml:space="preserve">Reported or estimated annual weather-driven link unavailability at the participating ground network in percent, used as a context covariate in the discussion</w:t>
            </w:r>
          </w:p>
        </w:tc>
        <w:tc>
          <w:tcPr>
            <w:tcW w:w="0" w:type="auto"/>
          </w:tcPr>
          <w:p>
            <w:pPr>
              <w:spacing w:line="240" w:lineRule="auto" w:before="0" w:after="0"/>
              <w:pStyle w:val="Compact"/>
            </w:pPr>
            <w:r>
              <w:rPr>
                <w:sz w:val="20"/>
                <w:szCs w:val="20"/>
              </w:rPr>
              <w:t xml:space="preserve">Site climatology and mission availability reports cited per row</w:t>
            </w:r>
          </w:p>
        </w:tc>
      </w:tr>
    </w:tbl>
    <w:bookmarkEnd w:id="208"/>
    <w:bookmarkEnd w:id="209"/>
    <w:bookmarkEnd w:id="21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5" Type="http://schemas.openxmlformats.org/officeDocument/2006/relationships/image" Target="media/rId195.png"/><Relationship Id="rId203" Type="http://schemas.openxmlformats.org/officeDocument/2006/relationships/image" Target="media/rId203.png"/><Relationship Id="rId146" Type="http://schemas.openxmlformats.org/officeDocument/2006/relationships/hyperlink" Target="https://doi.org/10.1016/j.actaastro.2019.10.011" TargetMode="External"/><Relationship Id="rId191" Type="http://schemas.openxmlformats.org/officeDocument/2006/relationships/hyperlink" Target="https://doi.org/10.1016/j.actaastro.2022.05.022" TargetMode="External"/><Relationship Id="rId186" Type="http://schemas.openxmlformats.org/officeDocument/2006/relationships/hyperlink" Target="https://doi.org/10.1016/j.actaastro.2022.10.045" TargetMode="External"/><Relationship Id="rId184" Type="http://schemas.openxmlformats.org/officeDocument/2006/relationships/hyperlink" Target="https://doi.org/10.1016/j.actaastro.2023.10.042" TargetMode="External"/><Relationship Id="rId180" Type="http://schemas.openxmlformats.org/officeDocument/2006/relationships/hyperlink" Target="https://doi.org/10.1016/j.actaastro.2024.11.010" TargetMode="External"/><Relationship Id="rId178" Type="http://schemas.openxmlformats.org/officeDocument/2006/relationships/hyperlink" Target="https://doi.org/10.1016/j.actaastro.2025.01.069" TargetMode="External"/><Relationship Id="rId182" Type="http://schemas.openxmlformats.org/officeDocument/2006/relationships/hyperlink" Target="https://doi.org/10.1016/j.actaastro.2025.03.004" TargetMode="External"/><Relationship Id="rId189" Type="http://schemas.openxmlformats.org/officeDocument/2006/relationships/hyperlink" Target="https://doi.org/10.1016/j.actaastro.2025.06.068" TargetMode="External"/><Relationship Id="rId173" Type="http://schemas.openxmlformats.org/officeDocument/2006/relationships/hyperlink" Target="https://doi.org/10.64861/SUOW9680" TargetMode="External"/><Relationship Id="rId171" Type="http://schemas.openxmlformats.org/officeDocument/2006/relationships/hyperlink" Target="https://doi.org/10.64861/UHIX1013" TargetMode="External"/><Relationship Id="rId176" Type="http://schemas.openxmlformats.org/officeDocument/2006/relationships/hyperlink" Target="https://doi.org/10.64861/UQYR6894" TargetMode="External"/></Relationships>
</file>

<file path=word/_rels/footnotes.xml.rels><?xml version='1.0' encoding='UTF-8' standalone='yes'?>
<Relationships xmlns="http://schemas.openxmlformats.org/package/2006/relationships"><Relationship Id="rId146" Type="http://schemas.openxmlformats.org/officeDocument/2006/relationships/hyperlink" Target="https://doi.org/10.1016/j.actaastro.2019.10.011" TargetMode="External"/><Relationship Id="rId191" Type="http://schemas.openxmlformats.org/officeDocument/2006/relationships/hyperlink" Target="https://doi.org/10.1016/j.actaastro.2022.05.022" TargetMode="External"/><Relationship Id="rId186" Type="http://schemas.openxmlformats.org/officeDocument/2006/relationships/hyperlink" Target="https://doi.org/10.1016/j.actaastro.2022.10.045" TargetMode="External"/><Relationship Id="rId184" Type="http://schemas.openxmlformats.org/officeDocument/2006/relationships/hyperlink" Target="https://doi.org/10.1016/j.actaastro.2023.10.042" TargetMode="External"/><Relationship Id="rId180" Type="http://schemas.openxmlformats.org/officeDocument/2006/relationships/hyperlink" Target="https://doi.org/10.1016/j.actaastro.2024.11.010" TargetMode="External"/><Relationship Id="rId178" Type="http://schemas.openxmlformats.org/officeDocument/2006/relationships/hyperlink" Target="https://doi.org/10.1016/j.actaastro.2025.01.069" TargetMode="External"/><Relationship Id="rId182" Type="http://schemas.openxmlformats.org/officeDocument/2006/relationships/hyperlink" Target="https://doi.org/10.1016/j.actaastro.2025.03.004" TargetMode="External"/><Relationship Id="rId189" Type="http://schemas.openxmlformats.org/officeDocument/2006/relationships/hyperlink" Target="https://doi.org/10.1016/j.actaastro.2025.06.068" TargetMode="External"/><Relationship Id="rId173" Type="http://schemas.openxmlformats.org/officeDocument/2006/relationships/hyperlink" Target="https://doi.org/10.64861/SUOW9680" TargetMode="External"/><Relationship Id="rId171" Type="http://schemas.openxmlformats.org/officeDocument/2006/relationships/hyperlink" Target="https://doi.org/10.64861/UHIX1013" TargetMode="External"/><Relationship Id="rId176" Type="http://schemas.openxmlformats.org/officeDocument/2006/relationships/hyperlink" Target="https://doi.org/10.64861/UQYR6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Weather Down, Capacity Down: Quantifying the Availability Penalty of Optical Ground Station Networks</dc:title>
  <dc:creator>Freya Reinholt (1B-ITI-109)</dc:creator>
  <cp:keywords/>
  <dcterms:created xsi:type="dcterms:W3CDTF">2026-07-02T17:33:57Z</dcterms:created>
  <dcterms:modified xsi:type="dcterms:W3CDTF">2026-07-02T17:33:57Z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