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OPTICAL-COMMS ADOPTION CURVE: IS FREE-SPACE LASER CROSSLINK UPTAKE FOLLOWING A BASS DIFFUSION TRAJECTORY CONSISTENT WITH PRIOR SPACE INFRASTRUCTURE TRANSITIONS?</w:t>
      </w:r>
    </w:p>
    <w:p>
      <w:pPr>
        <w:jc w:val="center"/>
      </w:pPr>
    </w:p>
    <w:p>
      <w:pPr>
        <w:jc w:val="center"/>
      </w:pPr>
      <w:r>
        <w:rPr>
          <w:rFonts w:ascii="Times New Roman" w:hAnsi="Times New Roman"/>
          <w:sz w:val="24"/>
        </w:rPr>
        <w:t>by</w:t>
      </w:r>
    </w:p>
    <w:p>
      <w:pPr>
        <w:jc w:val="center"/>
      </w:pPr>
      <w:r>
        <w:rPr>
          <w:rFonts w:ascii="Times New Roman" w:hAnsi="Times New Roman"/>
          <w:b/>
          <w:sz w:val="28"/>
        </w:rPr>
        <w:t>Kofi Saito</w:t>
      </w:r>
    </w:p>
    <w:p>
      <w:pPr>
        <w:jc w:val="center"/>
      </w:pPr>
      <w:r>
        <w:rPr>
          <w:rFonts w:ascii="Times New Roman" w:hAnsi="Times New Roman"/>
          <w:sz w:val="24"/>
        </w:rPr>
        <w:t>1B-ITI-138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Free-space optical communication has stopped being a laboratory curiosity. Laser crosslink terminals now fly on operational relay spacecraft, on proliferated low-Earth-orbit constellations, and on CubeSat busses small enough to fit in a shoebox</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transition matters because data, not launch mass, is becoming the binding constraint on what a satellite architecture can deliver. A radio-frequency downlink that saturates its allocated spectrum caps the science return of an Earth-observing mission or the throughput of a broadband constellation. An optical link sidesteps that ceiling by moving to carrier frequencies four to five orders of magnitude higher, where the available bandwidth is enormous and the spectrum is unlicensed. The engineering community has understood this argument for three decades. What it has not done is measure, in the public flight record, how fast the capability has actually scaled and when it crosses from demonstration into service.</w:t>
      </w:r>
    </w:p>
    <w:p>
      <w:pPr>
        <w:pStyle w:val="BodyText"/>
        <w:spacing w:line="480" w:lineRule="auto"/>
        <w:ind w:firstLine="720"/>
      </w:pPr>
      <w:r>
        <w:t xml:space="preserve">This dissertation measures both. It treats the flight-demonstration record of space laser communications as data rather than as anecdote, and it asks two empirical questions that the vendor forecasts and program roadmaps assume rather than test. First, has the reported optical link rate scaled upward over the elapsed history of the field, and at what rate? Second, does the move from a standalone demonstration to an operational service track calendar time, or does it track something else, namely whether the optical link is embedded in a crosslink or relay architecture? The answers turn out to be different, and the difference is the intellectual spine of the argument that follows.</w:t>
      </w:r>
    </w:p>
    <w:bookmarkStart w:id="61" w:name="the-problem"/>
    <w:p>
      <w:pPr>
        <w:pStyle w:val="Heading2"/>
        <w:spacing w:line="480" w:lineRule="auto"/>
      </w:pPr>
      <w:r>
        <w:t xml:space="preserve">1.1 The problem</w:t>
      </w:r>
    </w:p>
    <w:p>
      <w:pPr>
        <w:pStyle w:val="FirstParagraph"/>
        <w:spacing w:line="480" w:lineRule="auto"/>
      </w:pPr>
      <w:r>
        <w:t xml:space="preserve">Infrastructure planners cannot schedule what they cannot characterize. If reported optical link rates are climbing on a steep curve, then ground-segment buildout, terminal-production capacity, weather-diverse optical ground stations, and network scheduling all have to be sized for a much higher-capacity optical layer than the one flying today. If instead the record is flat or dominated by mission-specific geometry, then the aggressive forecasts are premature and capital committed against them is stranded. Neither claim can be settled by pointing to a single headline mission. The 200 gigabit-per-second downlink that a CubeSat achieved in the TBIRD demonstration</w:t>
      </w:r>
      <w:r>
        <w:t xml:space="preserve"> </w:t>
      </w:r>
      <w:hyperlink w:anchor="ref-12">
        <w:r>
          <w:rPr>
            <w:rStyle w:val="Hyperlink"/>
          </w:rPr>
          <w:t xml:space="preserve">[12]</w:t>
        </w:r>
      </w:hyperlink>
      <w:r>
        <w:t xml:space="preserve"> </w:t>
      </w:r>
      <w:r>
        <w:t xml:space="preserve">and the 25 megabit-per-second downlink that the Deep Space Optical Communications payload returned from Mars distance</w:t>
      </w:r>
      <w:r>
        <w:t xml:space="preserve"> </w:t>
      </w:r>
      <w:hyperlink w:anchor="ref-15">
        <w:r>
          <w:rPr>
            <w:rStyle w:val="Hyperlink"/>
          </w:rPr>
          <w:t xml:space="preserve">[15]</w:t>
        </w:r>
      </w:hyperlink>
      <w:r>
        <w:t xml:space="preserve"> </w:t>
      </w:r>
      <w:r>
        <w:t xml:space="preserve">are both real, both recent, and both technically advanced. Read in isolation, each supports a different story. Read together, inside a fitted model, they describe an envelope.</w:t>
      </w:r>
    </w:p>
    <w:p>
      <w:pPr>
        <w:pStyle w:val="BodyText"/>
        <w:spacing w:line="480" w:lineRule="auto"/>
        <w:ind w:firstLine="720"/>
      </w:pPr>
      <w:r>
        <w:t xml:space="preserve">The second problem is subtler and, for policy, more consequential. Adoption of a space technology is usually narrated as a diffusion process: a few pioneers fly it, imitators follow, and the curve saturates. That narrative implicitly counts every flight of the technology as a step toward adoption. Optical communications breaks the assumption. A high-rate laser downlink can be a one-off experiment that changes no operational practice. A slower relay link can be genuine infrastructure that reroutes how an agency moves data. Counting terminals conflates the two. If the adoption question is really a question about operational service, then the unit of analysis must distinguish demonstration heritage from networked function, and the empirical model must let time and architecture compete for explanatory weight.</w:t>
      </w:r>
    </w:p>
    <w:bookmarkEnd w:id="61"/>
    <w:bookmarkStart w:id="62" w:name="X4dc6bfa3a41827755e27a5d36bff619180aee63"/>
    <w:p>
      <w:pPr>
        <w:pStyle w:val="Heading2"/>
        <w:spacing w:line="480" w:lineRule="auto"/>
      </w:pPr>
      <w:r>
        <w:t xml:space="preserve">1.2 Why the existing literature does not answer this</w:t>
      </w:r>
    </w:p>
    <w:p>
      <w:pPr>
        <w:pStyle w:val="FirstParagraph"/>
        <w:spacing w:line="480" w:lineRule="auto"/>
      </w:pPr>
      <w:r>
        <w:t xml:space="preserve">The engineering corpus is deep on components and thin on adoption dynamics. Acta Astronautica has documented the miniaturization pathway in detail: a miniaturized terminal for small satellites</w:t>
      </w:r>
      <w:r>
        <w:t xml:space="preserve"> </w:t>
      </w:r>
      <w:hyperlink w:anchor="ref-2">
        <w:r>
          <w:rPr>
            <w:rStyle w:val="Hyperlink"/>
          </w:rPr>
          <w:t xml:space="preserve">[2]</w:t>
        </w:r>
      </w:hyperlink>
      <w:r>
        <w:t xml:space="preserve">, the CubeLCT state of the art</w:t>
      </w:r>
      <w:r>
        <w:t xml:space="preserve"> </w:t>
      </w:r>
      <w:hyperlink w:anchor="ref-5">
        <w:r>
          <w:rPr>
            <w:rStyle w:val="Hyperlink"/>
          </w:rPr>
          <w:t xml:space="preserve">[5]</w:t>
        </w:r>
      </w:hyperlink>
      <w:r>
        <w:t xml:space="preserve">, the LaserCube terminal for nano and micro satellites</w:t>
      </w:r>
      <w:r>
        <w:t xml:space="preserve"> </w:t>
      </w:r>
      <w:hyperlink w:anchor="ref-6">
        <w:r>
          <w:rPr>
            <w:rStyle w:val="Hyperlink"/>
          </w:rPr>
          <w:t xml:space="preserve">[6]</w:t>
        </w:r>
      </w:hyperlink>
      <w:r>
        <w:t xml:space="preserve">, and control allocation for over-actuated laser communication systems</w:t>
      </w:r>
      <w:r>
        <w:t xml:space="preserve"> </w:t>
      </w:r>
      <w:hyperlink w:anchor="ref-9">
        <w:r>
          <w:rPr>
            <w:rStyle w:val="Hyperlink"/>
          </w:rPr>
          <w:t xml:space="preserve">[9]</w:t>
        </w:r>
      </w:hyperlink>
      <w:r>
        <w:t xml:space="preserve">. These papers establish that the hardware exists and is shrinking. They do not fit a curve to the fleet, and they do not test whether adoption follows the pattern of prior space-infrastructure transitions. The AMOS literature adds operational texture, including drag management and conjunction prevention for a crosslink CubeSat laser communications mission</w:t>
      </w:r>
      <w:r>
        <w:t xml:space="preserve"> </w:t>
      </w:r>
      <w:hyperlink w:anchor="ref-1">
        <w:r>
          <w:rPr>
            <w:rStyle w:val="Hyperlink"/>
          </w:rPr>
          <w:t xml:space="preserve">[1]</w:t>
        </w:r>
      </w:hyperlink>
      <w:r>
        <w:t xml:space="preserve"> </w:t>
      </w:r>
      <w:r>
        <w:t xml:space="preserve">and microsat laser terminal integration</w:t>
      </w:r>
      <w:r>
        <w:t xml:space="preserve"> </w:t>
      </w:r>
      <w:hyperlink w:anchor="ref-25">
        <w:r>
          <w:rPr>
            <w:rStyle w:val="Hyperlink"/>
          </w:rPr>
          <w:t xml:space="preserve">[25]</w:t>
        </w:r>
      </w:hyperlink>
      <w:r>
        <w:t xml:space="preserve">, but it too stops short of a quantitative adoption estimate. The space-economy literature treats large-scale satellite communications as a driver of architectural change</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r>
        <w:t xml:space="preserve">without quantifying the diffusion rate. The gap, in other words, is not a shortage of missions to describe. It is the absence of a falsifiable estimate: a coefficient, a standard error, a p-value, attached to a claim that can be wrong.</w:t>
      </w:r>
    </w:p>
    <w:p>
      <w:pPr>
        <w:pStyle w:val="BodyText"/>
        <w:spacing w:line="480" w:lineRule="auto"/>
        <w:ind w:firstLine="720"/>
      </w:pPr>
      <w:r>
        <w:t xml:space="preserve">Counting terminals is not measuring adoption. The two must be kept apart.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delivers one contribution, stated so that it can fail. It fits two estimators to the 1994 to 2024 public flight-demonstration and service record of space optical communications and reports their coefficients as the empirical adoption signature of the field. The first estimator is a learning-curve log-log regression of reported link rate on elapsed time. Its null is that the elasticity is zero, meaning the field shows no measurable temporal scaling. The second estimator is a linear probability model of operational-service status on elapsed time and on crosslink-or-relay architecture. Its null is that architecture carries no weight once time is controlled, meaning operationalization is merely a function of the calendar. If both nulls survive, the adoption thesis collapses into noise. If the first null falls and the second reveals that architecture, not time, drives service, then the dissertation has identified where adoption actually happens.</w:t>
      </w:r>
    </w:p>
    <w:p>
      <w:pPr>
        <w:pStyle w:val="BodyText"/>
        <w:spacing w:line="480" w:lineRule="auto"/>
        <w:ind w:firstLine="720"/>
      </w:pPr>
      <w:r>
        <w:t xml:space="preserve">The results, reported in full in Chapter 6, reject the first null decisively and reshape the second. The learning-curve elasticity is 2.03 with a standard error of 0.42 and a p-value near two in a million, implying that a doubling of the elapsed-time index is associated with roughly a fourfold rise in reported link rate. In the operationalization model, calendar time is positive but statistically indistinguishable from zero, while crosslink-or-relay architecture carries a coefficient of 0.63 that is significant by a wide margin. Performance has scaled sharply. Service has followed architecture, not the calendar. Those two findings, taken together, are the falsifiable core.</w:t>
      </w:r>
    </w:p>
    <w:bookmarkEnd w:id="63"/>
    <w:bookmarkStart w:id="64" w:name="X2f31c03ed00777a6848705ba4d12960bec8fbc7"/>
    <w:p>
      <w:pPr>
        <w:pStyle w:val="Heading2"/>
        <w:spacing w:line="480" w:lineRule="auto"/>
      </w:pPr>
      <w:r>
        <w:t xml:space="preserve">1.4 Scope and what this dissertation does not claim</w:t>
      </w:r>
    </w:p>
    <w:p>
      <w:pPr>
        <w:pStyle w:val="FirstParagraph"/>
        <w:spacing w:line="480" w:lineRule="auto"/>
      </w:pPr>
      <w:r>
        <w:t xml:space="preserve">Honesty about scope is a precondition for credibility. The dataset is small, twenty observations in each paper, drawn from public mission pages, agency fact sheets, and the peer-reviewed terminal literature. It pools heterogeneous mission classes: lunar downlinks, ISS payloads, operational relay services, CubeSat demonstrations, and deep-space links. It does not normalize link rate by range, aperture, wavelength, coding scheme, transmitter power, or atmospheric path, because the public sources do not report those fields consistently. The estimates therefore describe a public performance record, not a controlled engineering law, and they should be read as a first-order summary of a larger process rather than as a deterministic forecast for any single future mission. Chapter 7 develops these limitations in detail and shows which of them threaten the central claims and which merely bound their precision.</w:t>
      </w:r>
    </w:p>
    <w:p>
      <w:pPr>
        <w:pStyle w:val="BodyText"/>
        <w:spacing w:line="480" w:lineRule="auto"/>
        <w:ind w:firstLine="720"/>
      </w:pPr>
      <w:r>
        <w:t xml:space="preserve">There is also a framing caveat worth stating at the outset. An earlier articulation of this research proposed a Bass diffusion model calibrated against a reference set of prior infrastructure transitions. That framing survives here as motivation, because the Bass logic of innovation and imitation is exactly the intuition that the two estimators operationalize in a form the public data can actually support. The learning curve captures the performance side of diffusion; the operationalization model captures the service side. The dissertation does not claim to have fit and inverted a full Bass generator against a bootstrapped analog distribution, because the flight record is too short and too right-censored to identify a saturation ceiling with any honesty. What it claims instead is narrower and defensible: a measured performance elasticity and a measured architecture effect, each reproducible from the deposited data.</w:t>
      </w:r>
    </w:p>
    <w:bookmarkEnd w:id="64"/>
    <w:bookmarkStart w:id="65" w:name="the-transition-in-historical-context"/>
    <w:p>
      <w:pPr>
        <w:pStyle w:val="Heading2"/>
        <w:spacing w:line="480" w:lineRule="auto"/>
      </w:pPr>
      <w:r>
        <w:t xml:space="preserve">1.5 The transition in historical context</w:t>
      </w:r>
    </w:p>
    <w:p>
      <w:pPr>
        <w:pStyle w:val="FirstParagraph"/>
        <w:spacing w:line="480" w:lineRule="auto"/>
      </w:pPr>
      <w:r>
        <w:t xml:space="preserve">Optical communication is not the first carrier transition in the history of spaceflight, and reading it against its predecessors sharpens the stakes. Spacecraft telemetry began in the VHF band, migrated to S-band as data volumes grew, and migrated again to X-band and Ka-band as science instruments outran the bandwidth their allocations could supply. Each migration followed the same logic: an instrument or mission generated more data than the incumbent link could carry, and the operator moved up the spectrum to a band with more room. Optical is the terminal step in that progression, moving off the radio spectrum entirely to carrier frequencies where the available bandwidth is, for practical purposes, unbounded. The pattern is familiar, but the magnitude of the jump is not. A move from S-band to X-band buys perhaps an order of magnitude in available bandwidth; the move from radio to optical buys four or five.</w:t>
      </w:r>
    </w:p>
    <w:p>
      <w:pPr>
        <w:pStyle w:val="BodyText"/>
        <w:spacing w:line="480" w:lineRule="auto"/>
        <w:ind w:firstLine="720"/>
      </w:pPr>
      <w:r>
        <w:t xml:space="preserve">That magnitude is what makes the adoption question genuinely open rather than a foregone conclusion. A modest carrier migration can be absorbed by incremental upgrades to an existing ground network. An optical transition demands a new ground segment built around telescopes rather than dishes, sited for clear-sky statistics rather than for radio-quiet valleys, and operated with weather-aware scheduling that has no analog in the radio world. The connectivity-service literature has begun to grapple with these operational demands, treating the optical ground link as a service to be engineered rather than a feat to be demonstrated</w:t>
      </w:r>
      <w:r>
        <w:t xml:space="preserve"> </w:t>
      </w:r>
      <w:hyperlink w:anchor="ref-4">
        <w:r>
          <w:rPr>
            <w:rStyle w:val="Hyperlink"/>
          </w:rPr>
          <w:t xml:space="preserve">[4]</w:t>
        </w:r>
      </w:hyperlink>
      <w:r>
        <w:t xml:space="preserve">, and the ground-to-space utilization literature has confronted the cloud-cover and scheduling problems head-on</w:t>
      </w:r>
      <w:r>
        <w:t xml:space="preserve"> </w:t>
      </w:r>
      <w:hyperlink w:anchor="ref-3">
        <w:r>
          <w:rPr>
            <w:rStyle w:val="Hyperlink"/>
          </w:rPr>
          <w:t xml:space="preserve">[3]</w:t>
        </w:r>
      </w:hyperlink>
      <w:r>
        <w:t xml:space="preserve">. The scale of the required investment is precisely why a measured adoption trajectory, rather than a vendor forecast, is what a planner needs.</w:t>
      </w:r>
    </w:p>
    <w:p>
      <w:pPr>
        <w:pStyle w:val="BodyText"/>
        <w:spacing w:line="480" w:lineRule="auto"/>
        <w:ind w:firstLine="720"/>
      </w:pPr>
      <w:r>
        <w:t xml:space="preserve">The jump is not incremental. It is categorical. That is why adoption is worth measuring rather than assuming.</w:t>
      </w:r>
    </w:p>
    <w:bookmarkEnd w:id="65"/>
    <w:bookmarkStart w:id="66" w:name="the-economic-stakes-in-concrete-terms"/>
    <w:p>
      <w:pPr>
        <w:pStyle w:val="Heading2"/>
        <w:spacing w:line="480" w:lineRule="auto"/>
      </w:pPr>
      <w:r>
        <w:t xml:space="preserve">1.6 The economic stakes in concrete terms</w:t>
      </w:r>
    </w:p>
    <w:p>
      <w:pPr>
        <w:pStyle w:val="FirstParagraph"/>
        <w:spacing w:line="480" w:lineRule="auto"/>
      </w:pPr>
      <w:r>
        <w:t xml:space="preserve">The abstract claim that data is becoming the binding constraint deserves a concrete illustration. Consider a proliferated low-Earth-orbit constellation whose value proposition is continuous broadband coverage. Without optical intersatellite links, every spacecraft must be in view of a ground gateway to move traffic, which forces a dense and expensive global gateway network and leaves oceanic and polar regions underserved wherever gateway access is thin. With optical crosslinks, traffic routes through the constellation itself, reaching a gateway many hops away, which collapses the gateway requirement and extends coverage to regions no ground station can see. The crosslink is not a marginal upgrade to such an architecture; it is the feature that makes the architecture economically viable. This is why the orbital-capacity literature treats high-rate connectivity as a strategically scarce resource whose allocation shapes which constellations can exist at all</w:t>
      </w:r>
      <w:r>
        <w:t xml:space="preserve"> </w:t>
      </w:r>
      <w:hyperlink w:anchor="ref-7">
        <w:r>
          <w:rPr>
            <w:rStyle w:val="Hyperlink"/>
          </w:rPr>
          <w:t xml:space="preserve">[7]</w:t>
        </w:r>
      </w:hyperlink>
      <w:r>
        <w:t xml:space="preserve">, and why the whole-of-nation framing places communications infrastructure at the center of an argument about industrial capability</w:t>
      </w:r>
      <w:r>
        <w:t xml:space="preserve"> </w:t>
      </w:r>
      <w:hyperlink w:anchor="ref-8">
        <w:r>
          <w:rPr>
            <w:rStyle w:val="Hyperlink"/>
          </w:rPr>
          <w:t xml:space="preserve">[8]</w:t>
        </w:r>
      </w:hyperlink>
      <w:r>
        <w:t xml:space="preserve">.</w:t>
      </w:r>
    </w:p>
    <w:p>
      <w:pPr>
        <w:pStyle w:val="BodyText"/>
        <w:spacing w:line="480" w:lineRule="auto"/>
        <w:ind w:firstLine="720"/>
      </w:pPr>
      <w:r>
        <w:t xml:space="preserve">The same logic applies, with different weighting, to government relay architectures and to deep-space missions. A relay layer lets a low-orbiting spacecraft return data continuously rather than only during the brief windows when it overflies a ground station, which multiplies the science return of an Earth-observing mission. A deep-space optical link promises to lift the data return of a planetary mission by orders of magnitude over its radio equivalent, even though, as the record shows, the link budget at planetary distances still constrains the achievable rate far below near-Earth values</w:t>
      </w:r>
      <w:r>
        <w:t xml:space="preserve"> </w:t>
      </w:r>
      <w:hyperlink w:anchor="ref-15">
        <w:r>
          <w:rPr>
            <w:rStyle w:val="Hyperlink"/>
          </w:rPr>
          <w:t xml:space="preserve">[15]</w:t>
        </w:r>
      </w:hyperlink>
      <w:r>
        <w:t xml:space="preserve">. In every one of these cases, the economic payoff depends on optical communications actually being adopted as operational service, not merely demonstrated. That dependence is what gives the operationalization question its practical edge, and it is why the dissertation refuses to let flight heritage stand in for adoption.</w:t>
      </w:r>
    </w:p>
    <w:bookmarkEnd w:id="66"/>
    <w:bookmarkStart w:id="67" w:name="X2ce85eae3562e4f65544eb087e430337e94f7ac"/>
    <w:p>
      <w:pPr>
        <w:pStyle w:val="Heading2"/>
        <w:spacing w:line="480" w:lineRule="auto"/>
      </w:pPr>
      <w:r>
        <w:t xml:space="preserve">1.7 Why a falsifiable estimate, and not a narrative, is the right deliverable</w:t>
      </w:r>
    </w:p>
    <w:p>
      <w:pPr>
        <w:pStyle w:val="FirstParagraph"/>
        <w:spacing w:line="480" w:lineRule="auto"/>
      </w:pPr>
      <w:r>
        <w:t xml:space="preserve">A dissertation could approach this subject as a qualitative history, tracing the arc of optical communications from ETS-VI through DSOC and drawing thematic lessons. That approach would be readable and would surely contain truth. It would also be unfalsifiable, and unfalsifiable claims cannot discipline investment. A planner who reads that optical communications is maturing rapidly cannot size a ground network against the word rapidly. A regulator who reads that crosslinks are becoming important cannot write policy against the word important. What both need is a number with an error bar, so that they can act on the central estimate while hedging against the uncertainty the error bar quantifies. The decision to deliver two coefficients rather than a narrative is therefore not a stylistic preference but a claim about what kind of knowledge is useful here.</w:t>
      </w:r>
    </w:p>
    <w:p>
      <w:pPr>
        <w:pStyle w:val="BodyText"/>
        <w:spacing w:line="480" w:lineRule="auto"/>
        <w:ind w:firstLine="720"/>
      </w:pPr>
      <w:r>
        <w:t xml:space="preserve">The falsifiability standard also protects against a subtler failure. A narrative can accommodate any outcome after the fact, because it selects and weights episodes to fit the theme. A pre-specified estimator cannot. By committing in advance to a log-log elasticity and a two-variable probability model, and by depositing the data so the fit can be recomputed, the dissertation binds itself to whatever the record says. Had the elasticity come back near zero, the learning-curve claim would have failed publicly and irreversibly. Had architecture washed out once time was controlled, the operationalization thesis would have collapsed. That the results instead reject their nulls is meaningful precisely because they were allowed to survive them. This posture, a small number of pre-committed, reproducible claims, is the standard the whole dissertation holds itself to, and it is worth stating at the outset because it explains every design choice that follows: the sparse specifications, the conservative coding, the robust standard errors, and the candid limitations chapter.</w:t>
      </w:r>
    </w:p>
    <w:bookmarkEnd w:id="67"/>
    <w:bookmarkStart w:id="68" w:name="X6ab80fc0808eb9241a9cf93cc3ea6cda30a2b38"/>
    <w:p>
      <w:pPr>
        <w:pStyle w:val="Heading2"/>
        <w:spacing w:line="480" w:lineRule="auto"/>
      </w:pPr>
      <w:r>
        <w:t xml:space="preserve">1.8 A note on the relationship between the two papers</w:t>
      </w:r>
    </w:p>
    <w:p>
      <w:pPr>
        <w:pStyle w:val="FirstParagraph"/>
        <w:spacing w:line="480" w:lineRule="auto"/>
      </w:pPr>
      <w:r>
        <w:t xml:space="preserve">The two empirical papers that anchor this dissertation are not redundant tests of one idea; they are complementary halves of a two-stage account, and the introduction closes by making that relationship explicit. The learning-curve paper measures capability: how fast the field’s representative performance is climbing. The operationalization paper measures adoption: whether that capability has been embedded in service architectures. A field could have one without the other. Rapid performance scaling with no operational uptake would describe a technology admired in the laboratory but unused in practice. Widespread operational service with flat performance would describe a mature, commoditized technology past its growth phase. The interest of space optical communications is that it appears to have both a steep capability curve and an architecture-gated adoption pattern, and the two papers together are what let the dissertation say so with evidence. Neither paper alone could support the two-stage claim; read together, they do. Chapters 6, 7, and 8 develop this joint reading in full, but the reader should carry the two-stage frame from the beginning, because it is the frame through which every subsequent result is interpreted.</w:t>
      </w:r>
    </w:p>
    <w:bookmarkEnd w:id="68"/>
    <w:bookmarkStart w:id="69" w:name="roadmap"/>
    <w:p>
      <w:pPr>
        <w:pStyle w:val="Heading2"/>
        <w:spacing w:line="480" w:lineRule="auto"/>
      </w:pPr>
      <w:r>
        <w:t xml:space="preserve">1.9 Roadmap</w:t>
      </w:r>
    </w:p>
    <w:p>
      <w:pPr>
        <w:pStyle w:val="FirstParagraph"/>
        <w:spacing w:line="480" w:lineRule="auto"/>
      </w:pPr>
      <w:r>
        <w:t xml:space="preserve">The remaining chapters build the argument in order. Chapter 2 situates the work against the engineering, operational, and economic literatures, showing precisely which questions prior work answered and which it left open. Chapter 3 develops the theory: the mechanisms that should produce a rising performance curve, the distinction between capability and service, and the testable predictions each mechanism implies. Chapter 4 sets out the two estimators, the log-log learning curve and the linear probability model, and explains why each identifies the effect it targets and what identifying assumptions it rests on. Chapter 5 documents the dataset in full, including how every observation was coded, corroborated, and, where necessary, excluded. Chapter 6 reports the results exactly as the estimator produced them and interprets the signs and magnitudes. Chapter 7 confronts the threats to validity and states plainly what the data cannot show. Chapter 8 draws the contribution together, connects it to orbital-capacity and spectrum governance, and specifies the future work that a larger dataset would enable.</w:t>
      </w:r>
    </w:p>
    <w:p>
      <w:pPr>
        <w:pStyle w:val="BodyText"/>
        <w:spacing w:line="480" w:lineRule="auto"/>
        <w:ind w:firstLine="720"/>
      </w:pPr>
      <w:r>
        <w:t xml:space="preserve">The through-line is a single claim, held to a single standard. Space optical communications has a measurable performance trajectory and an architecture-dependent adoption pattern, and both are estimated here from a documented record that any reader can reopen and recompute. The engineering community has long asserted that laser links are the future of high-rate space communication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This dissertation supplies the missing empirical warrant, and it supplies it in a form that could have come out the other way. The chapters that follow are, in the end, an extended defense of two numbers and an honest accounting of what they can and cannot bear, and that narrowness is deliberate: a single well-defended pair of estimates is worth more to a planner or a regulator than a wide survey that commits to nothing falsifiable.</w:t>
      </w:r>
    </w:p>
    <w:bookmarkEnd w:id="69"/>
    <w:bookmarkEnd w:id="70"/>
    <w:bookmarkStart w:id="80" w:name="chapter-2.-literature-review"/>
    <w:p>
      <w:pPr>
        <w:pStyle w:val="Heading1"/>
        <w:spacing w:line="480" w:lineRule="auto"/>
      </w:pPr>
      <w:r>
        <w:t xml:space="preserve">Chapter 2. Literature Review</w:t>
      </w:r>
    </w:p>
    <w:p>
      <w:pPr>
        <w:pStyle w:val="FirstParagraph"/>
        <w:spacing w:line="480" w:lineRule="auto"/>
      </w:pPr>
      <w:r>
        <w:t xml:space="preserve">The literature on space laser communications is large, but it is organized around questions that are adjacent to the one this dissertation asks. Engineers have written extensively about how to build an optical terminal, how to point it, and how to close a link budget across a given range. Program offices have written about what a particular relay service delivers. Economists and strategists have written about why high-rate connectivity reshapes the value of an orbital architecture. Almost none of this work fits a model to the record and asks whether the field, taken as a whole, is scaling and operationalizing on a measurable trajectory. This chapter maps the three bodies of work, shows where each stops, and locates the empirical gap the dissertation fills.</w:t>
      </w:r>
    </w:p>
    <w:bookmarkStart w:id="71" w:name="the-engineering-maturation-literature"/>
    <w:p>
      <w:pPr>
        <w:pStyle w:val="Heading2"/>
        <w:spacing w:line="480" w:lineRule="auto"/>
      </w:pPr>
      <w:r>
        <w:t xml:space="preserve">2.1 The engineering maturation literature</w:t>
      </w:r>
    </w:p>
    <w:p>
      <w:pPr>
        <w:pStyle w:val="FirstParagraph"/>
        <w:spacing w:line="480" w:lineRule="auto"/>
      </w:pPr>
      <w:r>
        <w:t xml:space="preserve">One strand stands out for rigor. It is the terminal-engineering literature, concentrated in Acta Astronautica. Carrasco-Casado and colleagues document the development of a miniaturized laser-communication terminal for small satellites, tracing the mass, power, and pointing budgets down to a scale compatible with microsat busses</w:t>
      </w:r>
      <w:r>
        <w:t xml:space="preserve"> </w:t>
      </w:r>
      <w:hyperlink w:anchor="ref-2">
        <w:r>
          <w:rPr>
            <w:rStyle w:val="Hyperlink"/>
          </w:rPr>
          <w:t xml:space="preserve">[2]</w:t>
        </w:r>
      </w:hyperlink>
      <w:r>
        <w:t xml:space="preserve">. Martin Pimentel and colleagues report the CubeLCT state of the art, a terminal engineered specifically for the CubeSat form factor, and record the data-rate class it achieves</w:t>
      </w:r>
      <w:r>
        <w:t xml:space="preserve"> </w:t>
      </w:r>
      <w:hyperlink w:anchor="ref-5">
        <w:r>
          <w:rPr>
            <w:rStyle w:val="Hyperlink"/>
          </w:rPr>
          <w:t xml:space="preserve">[5]</w:t>
        </w:r>
      </w:hyperlink>
      <w:r>
        <w:t xml:space="preserve">. Sansone and colleagues describe the LaserCube optical communication terminal for nano and micro satellites, extending the miniaturization frontier still further and reporting a hundred-megabit-class terminal</w:t>
      </w:r>
      <w:r>
        <w:t xml:space="preserve"> </w:t>
      </w:r>
      <w:hyperlink w:anchor="ref-6">
        <w:r>
          <w:rPr>
            <w:rStyle w:val="Hyperlink"/>
          </w:rPr>
          <w:t xml:space="preserve">[6]</w:t>
        </w:r>
      </w:hyperlink>
      <w:r>
        <w:t xml:space="preserve">. These three papers form a coherent narrative of shrinking hardware, and they anchor several rows of the dataset used in later chapters.</w:t>
      </w:r>
    </w:p>
    <w:p>
      <w:pPr>
        <w:pStyle w:val="BodyText"/>
        <w:spacing w:line="480" w:lineRule="auto"/>
        <w:ind w:firstLine="720"/>
      </w:pPr>
      <w:r>
        <w:t xml:space="preserve">What this strand establishes is capability. What it does not do is aggregate. Each paper reports the performance of a single terminal or terminal family, and each is careful to bound its claims to the specific design. Ruddenklau and Schitter address control allocation for over-actuated satellite laser communication systems, a control-theory contribution that improves pointing performance without asserting anything about fleet-level adoption</w:t>
      </w:r>
      <w:r>
        <w:t xml:space="preserve"> </w:t>
      </w:r>
      <w:hyperlink w:anchor="ref-9">
        <w:r>
          <w:rPr>
            <w:rStyle w:val="Hyperlink"/>
          </w:rPr>
          <w:t xml:space="preserve">[9]</w:t>
        </w:r>
      </w:hyperlink>
      <w:r>
        <w:t xml:space="preserve">. The engineering literature, in short, answers the question can this be built and made smaller. It does not answer the question is the built base scaling in aggregate performance over time, which requires pooling across designs and mission classes rather than isolating one.</w:t>
      </w:r>
    </w:p>
    <w:p>
      <w:pPr>
        <w:pStyle w:val="BodyText"/>
        <w:spacing w:line="480" w:lineRule="auto"/>
        <w:ind w:firstLine="720"/>
      </w:pPr>
      <w:r>
        <w:t xml:space="preserve">A second engineering thread concerns the link itself rather than the terminal. Knopp and colleagues examine the utilization of optical ground-to-space links for low-Earth-orbiting spacecraft, confronting the atmospheric and scheduling problems that distinguish an optical downlink from a radio one</w:t>
      </w:r>
      <w:r>
        <w:t xml:space="preserve"> </w:t>
      </w:r>
      <w:hyperlink w:anchor="ref-3">
        <w:r>
          <w:rPr>
            <w:rStyle w:val="Hyperlink"/>
          </w:rPr>
          <w:t xml:space="preserve">[3]</w:t>
        </w:r>
      </w:hyperlink>
      <w:r>
        <w:t xml:space="preserve">. A companion paper by the same group develops connectivity services based on optical ground-to-space links, moving one step toward the operational framing that this dissertation formalizes</w:t>
      </w:r>
      <w:r>
        <w:t xml:space="preserve"> </w:t>
      </w:r>
      <w:hyperlink w:anchor="ref-4">
        <w:r>
          <w:rPr>
            <w:rStyle w:val="Hyperlink"/>
          </w:rPr>
          <w:t xml:space="preserve">[4]</w:t>
        </w:r>
      </w:hyperlink>
      <w:r>
        <w:t xml:space="preserve">. These papers are important because they take seriously the operations side, weather, cloud cover, ground-station diversity, that a pure terminal paper can set aside. Yet they still treat the service as a design problem to be solved, not as an outcome to be measured across a population of missions.</w:t>
      </w:r>
    </w:p>
    <w:bookmarkEnd w:id="71"/>
    <w:bookmarkStart w:id="72" w:name="X1e630377467857e99cbe51af54b216edea487b9"/>
    <w:p>
      <w:pPr>
        <w:pStyle w:val="Heading2"/>
        <w:spacing w:line="480" w:lineRule="auto"/>
      </w:pPr>
      <w:r>
        <w:t xml:space="preserve">2.2 The operational and surveillance literature</w:t>
      </w:r>
    </w:p>
    <w:p>
      <w:pPr>
        <w:pStyle w:val="FirstParagraph"/>
        <w:spacing w:line="480" w:lineRule="auto"/>
      </w:pPr>
      <w:r>
        <w:t xml:space="preserve">The AMOS conference corpus contributes a different vantage: the optical link as an object flying in a congested orbital environment, with consequences for space situational awareness and conjunction management. Forester and colleagues report drag management and conjunction prevention for a crosslink CubeSat laser communications mission, a paper that sits at the intersection of link engineering and orbital safety and that supplies a late, crosslink-coded observation in the operationalization dataset</w:t>
      </w:r>
      <w:r>
        <w:t xml:space="preserve"> </w:t>
      </w:r>
      <w:hyperlink w:anchor="ref-1">
        <w:r>
          <w:rPr>
            <w:rStyle w:val="Hyperlink"/>
          </w:rPr>
          <w:t xml:space="preserve">[1]</w:t>
        </w:r>
      </w:hyperlink>
      <w:r>
        <w:t xml:space="preserve">. Robie and colleagues describe microsat laser communication terminals and infrared imaging payloads for space-based applications, documenting the integration of a laser terminal onto a small operational bus</w:t>
      </w:r>
      <w:r>
        <w:t xml:space="preserve"> </w:t>
      </w:r>
      <w:hyperlink w:anchor="ref-25">
        <w:r>
          <w:rPr>
            <w:rStyle w:val="Hyperlink"/>
          </w:rPr>
          <w:t xml:space="preserve">[25]</w:t>
        </w:r>
      </w:hyperlink>
      <w:r>
        <w:t xml:space="preserve">. This literature is valuable precisely because it does not treat the terminal in isolation; it treats it as part of a spacecraft with a mission, an orbit, and neighbors.</w:t>
      </w:r>
    </w:p>
    <w:p>
      <w:pPr>
        <w:pStyle w:val="BodyText"/>
        <w:spacing w:line="480" w:lineRule="auto"/>
        <w:ind w:firstLine="720"/>
      </w:pPr>
      <w:r>
        <w:t xml:space="preserve">Adjacent AMOS work on constellation operations and situational awareness frames the environment into which optical crosslinks are being deployed. Studies of formation-flying and distributed missions, including NASA’s Starling mission and its situational-awareness implications</w:t>
      </w:r>
      <w:r>
        <w:t xml:space="preserve"> </w:t>
      </w:r>
      <w:hyperlink w:anchor="ref-22">
        <w:r>
          <w:rPr>
            <w:rStyle w:val="Hyperlink"/>
          </w:rPr>
          <w:t xml:space="preserve">[22]</w:t>
        </w:r>
      </w:hyperlink>
      <w:r>
        <w:t xml:space="preserve">, and analyses of orbit families and utilization in adjacent domains</w:t>
      </w:r>
      <w:r>
        <w:t xml:space="preserve"> </w:t>
      </w:r>
      <w:hyperlink w:anchor="ref-23">
        <w:r>
          <w:rPr>
            <w:rStyle w:val="Hyperlink"/>
          </w:rPr>
          <w:t xml:space="preserve">[23]</w:t>
        </w:r>
      </w:hyperlink>
      <w:r>
        <w:t xml:space="preserve">, establish that the operational context for crosslinks is a crowded, dynamically managed one. None of these papers estimate an adoption curve. Their contribution to this dissertation is contextual: they show that operationalization is not merely a link-budget achievement but an integration into a managed orbital network, which is exactly the distinction the linear probability model in Chapter 4 is built to detect.</w:t>
      </w:r>
    </w:p>
    <w:bookmarkEnd w:id="72"/>
    <w:bookmarkStart w:id="73" w:name="X13e44fcf43644f700d4cd529f1a0ca1d064de53"/>
    <w:p>
      <w:pPr>
        <w:pStyle w:val="Heading2"/>
        <w:spacing w:line="480" w:lineRule="auto"/>
      </w:pPr>
      <w:r>
        <w:t xml:space="preserve">2.3 The space-economy and infrastructure literature</w:t>
      </w:r>
    </w:p>
    <w:p>
      <w:pPr>
        <w:pStyle w:val="FirstParagraph"/>
        <w:spacing w:line="480" w:lineRule="auto"/>
      </w:pPr>
      <w:r>
        <w:t xml:space="preserve">A third body of work reasons from the top down. It treats optical communications as an element of orbital capacity and national space strategy. Stilwell’s treatment of orbital capacity frames high-rate connectivity as a scarce and strategically significant resource, one whose allocation shapes what constellations can do and who can afford to operate them</w:t>
      </w:r>
      <w:r>
        <w:t xml:space="preserve"> </w:t>
      </w:r>
      <w:hyperlink w:anchor="ref-7">
        <w:r>
          <w:rPr>
            <w:rStyle w:val="Hyperlink"/>
          </w:rPr>
          <w:t xml:space="preserve">[7]</w:t>
        </w:r>
      </w:hyperlink>
      <w:r>
        <w:t xml:space="preserve">. The whole-of-nation framing in the space-imperative material situates communications infrastructure inside a broader argument about industrial base and strategic advantage</w:t>
      </w:r>
      <w:r>
        <w:t xml:space="preserve"> </w:t>
      </w:r>
      <w:hyperlink w:anchor="ref-8">
        <w:r>
          <w:rPr>
            <w:rStyle w:val="Hyperlink"/>
          </w:rPr>
          <w:t xml:space="preserve">[8]</w:t>
        </w:r>
      </w:hyperlink>
      <w:r>
        <w:t xml:space="preserve">. This literature supplies the stakes. It explains why a measured adoption trajectory matters for capacity planning, spectrum policy, and ground-segment investment, and it is the source of the practical motivation stated in Chapter 1.</w:t>
      </w:r>
    </w:p>
    <w:p>
      <w:pPr>
        <w:pStyle w:val="BodyText"/>
        <w:spacing w:line="480" w:lineRule="auto"/>
        <w:ind w:firstLine="720"/>
      </w:pPr>
      <w:r>
        <w:t xml:space="preserve">But the economic literature reasons in scenarios and imperatives rather than in fitted coefficients. It asserts that connectivity is a driver of architectural transformation without estimating the rate at which optical connectivity is actually being adopted. That is not a criticism of its purpose; strategic analysis operates at a different altitude. It is, however, the precise point at which this dissertation attaches. The strategic literature says adoption matters. The engineering literature says the hardware is ready. Neither measures how fast adoption is happening or where in the architecture it takes hold.</w:t>
      </w:r>
    </w:p>
    <w:bookmarkEnd w:id="73"/>
    <w:bookmarkStart w:id="74" w:name="Xdebbdec4ecb9dee0b6af9cab7658521cfa08f74"/>
    <w:p>
      <w:pPr>
        <w:pStyle w:val="Heading2"/>
        <w:spacing w:line="480" w:lineRule="auto"/>
      </w:pPr>
      <w:r>
        <w:t xml:space="preserve">2.4 Diffusion and learning-curve method as applied to space technology</w:t>
      </w:r>
    </w:p>
    <w:p>
      <w:pPr>
        <w:pStyle w:val="FirstParagraph"/>
        <w:spacing w:line="480" w:lineRule="auto"/>
      </w:pPr>
      <w:r>
        <w:t xml:space="preserve">Methodologically, the dissertation draws on two established traditions that the space literature has rarely joined to it. The learning-curve tradition holds that the performance or cost of a technology improves as a power-law function of cumulative experience or elapsed time, a regularity observed across manufacturing, aviation, and semiconductors. Applying it to a public flight record of optical link rates is a natural move that the engineering papers, focused on single designs, could not make, because a learning curve requires pooling across the population. The diffusion tradition, associated with the Bass model of innovation and imitation, holds that adoption of a new technology follows an S-shaped path driven by a coefficient of innovation and a coefficient of imitation. The prospectus framing invoked this tradition directly, and while the flight record is too short and too right-censored to identify a full Bass generator with honesty, the intuition survives in the operationalization test: early adopters and later imitators should show up as a time trend, while the mechanism of adoption should show up as an architecture effect.</w:t>
      </w:r>
    </w:p>
    <w:p>
      <w:pPr>
        <w:pStyle w:val="BodyText"/>
        <w:spacing w:line="480" w:lineRule="auto"/>
        <w:ind w:firstLine="720"/>
      </w:pPr>
      <w:r>
        <w:t xml:space="preserve">Joining these traditions to the space record is the methodological contribution. The learning-curve elasticity, estimated in Chapter 6, is the first published power-law fit to the public optical-link-rate record. The operationalization model is the first attempt to separate calendar maturity from network function as competing explanations for service status. Both are modest in ambition and transparent in construction, which is the appropriate posture for a first pass over a small and heterogeneous dataset.</w:t>
      </w:r>
    </w:p>
    <w:bookmarkEnd w:id="74"/>
    <w:bookmarkStart w:id="75" w:name="where-the-gap-is-precisely"/>
    <w:p>
      <w:pPr>
        <w:pStyle w:val="Heading2"/>
        <w:spacing w:line="480" w:lineRule="auto"/>
      </w:pPr>
      <w:r>
        <w:t xml:space="preserve">2.5 Where the gap is, precisely</w:t>
      </w:r>
    </w:p>
    <w:p>
      <w:pPr>
        <w:pStyle w:val="FirstParagraph"/>
        <w:spacing w:line="480" w:lineRule="auto"/>
      </w:pPr>
      <w:r>
        <w:t xml:space="preserve">Three specific absences define the gap. First, no published study fits a temporal scaling model to the pooled optical-link-rate record; the engineering papers report single-design performance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and the strategic papers assert scaling without estimating it</w:t>
      </w:r>
      <w:r>
        <w:t xml:space="preserve"> </w:t>
      </w:r>
      <w:hyperlink w:anchor="ref-7">
        <w:r>
          <w:rPr>
            <w:rStyle w:val="Hyperlink"/>
          </w:rPr>
          <w:t xml:space="preserve">[7]</w:t>
        </w:r>
      </w:hyperlink>
      <w:r>
        <w:t xml:space="preserve"> </w:t>
      </w:r>
      <w:hyperlink w:anchor="ref-8">
        <w:r>
          <w:rPr>
            <w:rStyle w:val="Hyperlink"/>
          </w:rPr>
          <w:t xml:space="preserve">[8]</w:t>
        </w:r>
      </w:hyperlink>
      <w:r>
        <w:t xml:space="preserve">. Second, no study distinguishes empirically between demonstration heritage and operational service using a coded population; the operational papers describe individual missions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r>
        <w:t xml:space="preserve">without a classification test. Third, no study reports a falsifiable coefficient, with a standard error and a p-value, for either claim. The consequence is that infrastructure planners, spectrum regulators, and constellation architects are operating on forecasts that have never been checked against a fitted model of the actual record.</w:t>
      </w:r>
    </w:p>
    <w:p>
      <w:pPr>
        <w:pStyle w:val="BodyText"/>
        <w:spacing w:line="480" w:lineRule="auto"/>
        <w:ind w:firstLine="720"/>
      </w:pPr>
      <w:r>
        <w:t xml:space="preserve">This dissertation closes the gap by fitting two estimators to a documented, corroborated dataset and reporting their output exactly. It does not replace the engineering literature, which remains the authoritative source on how to build and point a terminal, nor the strategic literature, which remains the authoritative source on why capacity matters. It supplies the missing measurement layer between them. The miniaturization papers tell us the terminals are ready</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relay and crosslink papers tell us the architectures exist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strategic papers tell us the stakes are high</w:t>
      </w:r>
      <w:r>
        <w:t xml:space="preserve"> </w:t>
      </w:r>
      <w:hyperlink w:anchor="ref-7">
        <w:r>
          <w:rPr>
            <w:rStyle w:val="Hyperlink"/>
          </w:rPr>
          <w:t xml:space="preserve">[7]</w:t>
        </w:r>
      </w:hyperlink>
      <w:r>
        <w:t xml:space="preserve"> </w:t>
      </w:r>
      <w:hyperlink w:anchor="ref-8">
        <w:r>
          <w:rPr>
            <w:rStyle w:val="Hyperlink"/>
          </w:rPr>
          <w:t xml:space="preserve">[8]</w:t>
        </w:r>
      </w:hyperlink>
      <w:r>
        <w:t xml:space="preserve">. What has been missing is a number that says how fast performance is scaling and where operationalization actually occurs. Chapters 3 through 6 supply those numbers, and Chapter 7 states honestly what they can and cannot bear.</w:t>
      </w:r>
    </w:p>
    <w:bookmarkEnd w:id="75"/>
    <w:bookmarkStart w:id="76" w:name="X24db3fbc135d5927f36b057d65287e5b0084fca"/>
    <w:p>
      <w:pPr>
        <w:pStyle w:val="Heading2"/>
        <w:spacing w:line="480" w:lineRule="auto"/>
      </w:pPr>
      <w:r>
        <w:t xml:space="preserve">2.6 The relay-service literature as a distinct strand</w:t>
      </w:r>
    </w:p>
    <w:p>
      <w:pPr>
        <w:pStyle w:val="FirstParagraph"/>
        <w:spacing w:line="480" w:lineRule="auto"/>
      </w:pPr>
      <w:r>
        <w:t xml:space="preserve">A strand worth separating from the general engineering corpus is the literature on optical relay services specifically, because it is the closest prior work to the operationalization question this dissertation formalizes. Knopp and colleagues, in developing connectivity services based on optical ground-to-space links, treat the optical link as a service with availability requirements, scheduling constraints, and users, rather than as a demonstration to be completed once</w:t>
      </w:r>
      <w:r>
        <w:t xml:space="preserve"> </w:t>
      </w:r>
      <w:hyperlink w:anchor="ref-4">
        <w:r>
          <w:rPr>
            <w:rStyle w:val="Hyperlink"/>
          </w:rPr>
          <w:t xml:space="preserve">[4]</w:t>
        </w:r>
      </w:hyperlink>
      <w:r>
        <w:t xml:space="preserve">. This is a conceptual shift from the terminal papers, which optimize a device, to a service framing that optimizes a delivered capability. The companion ground-to-space utilization work confronts the operational reality that an optical downlink is hostage to weather in a way a radio downlink is not, and that operational service therefore requires either ground-station diversity or weather-aware scheduling or both</w:t>
      </w:r>
      <w:r>
        <w:t xml:space="preserve"> </w:t>
      </w:r>
      <w:hyperlink w:anchor="ref-3">
        <w:r>
          <w:rPr>
            <w:rStyle w:val="Hyperlink"/>
          </w:rPr>
          <w:t xml:space="preserve">[3]</w:t>
        </w:r>
      </w:hyperlink>
      <w:r>
        <w:t xml:space="preserve">. These two papers are the intellectual ancestors of the demonstration-versus-service distinction that Chapter 3 turns into a testable hypothesis.</w:t>
      </w:r>
    </w:p>
    <w:p>
      <w:pPr>
        <w:pStyle w:val="BodyText"/>
        <w:spacing w:line="480" w:lineRule="auto"/>
        <w:ind w:firstLine="720"/>
      </w:pPr>
      <w:r>
        <w:t xml:space="preserve">What the relay-service literature does not do is populate its service framing with a coded population and test it. It develops the concept of an optical service and engineers toward it, but it does not ask, across the whole public record, which observations qualify as operational service and what predicts that status. The move from a service concept to a service classification test is the specific advance the operationalization model makes. The concept was available in the literature; the population-level test was not.</w:t>
      </w:r>
    </w:p>
    <w:bookmarkEnd w:id="76"/>
    <w:bookmarkStart w:id="77" w:name="X2454c0d49937324b737774a8ada626000f63472"/>
    <w:p>
      <w:pPr>
        <w:pStyle w:val="Heading2"/>
        <w:spacing w:line="480" w:lineRule="auto"/>
      </w:pPr>
      <w:r>
        <w:t xml:space="preserve">2.7 What the diffusion literature contributes and where it strains</w:t>
      </w:r>
    </w:p>
    <w:p>
      <w:pPr>
        <w:pStyle w:val="FirstParagraph"/>
        <w:spacing w:line="480" w:lineRule="auto"/>
      </w:pPr>
      <w:r>
        <w:t xml:space="preserve">One tradition deserves direct engagement, and a candid one. The Bass diffusion tradition motivated the original framing of this project, so its strain against the available data must be faced. The tradition models cumulative adoption as the product of an innovation coefficient, capturing adoption driven by external influence such as advertising or mandate, and an imitation coefficient, capturing adoption driven by prior adopters. Its great strength is that it explains the characteristic S-shape of technology adoption from two interpretable parameters. Its requirement, however, is a saturation ceiling: the model cannot be identified without an estimate of the eventual market size, because the imitation term is scaled by the fraction of that market already captured.</w:t>
      </w:r>
    </w:p>
    <w:p>
      <w:pPr>
        <w:pStyle w:val="BodyText"/>
        <w:spacing w:line="480" w:lineRule="auto"/>
        <w:ind w:firstLine="720"/>
      </w:pPr>
      <w:r>
        <w:t xml:space="preserve">Herein lies the strain. The public optical-communications record ends in the deployment ramp, before any plausible saturation, which means the ceiling is not identified by the data. Fitting a Bass model to such a record would force the ceiling to be assumed rather than estimated, and the fitted innovation and imitation coefficients would inherit whatever ceiling the analyst imposed. That is not falsifiable inference; it is assumption dressed as estimate. The dissertation’s response is to retain the diffusion intuition, that adoption has an innovation-like early phase and an imitation-like following phase, while declining to fit a model the data cannot identify. The learning curve captures the acceleration that a pre-saturation diffusion process would exhibit, and the operationalization model captures the mechanism, architecture, through which imitation would spread. The Bass framing thus survives as motivation and is discharged responsibly rather than fit dishonestly, a point Chapter 4 returns to when it explains why two identifiable estimators replace one unidentifiable one.</w:t>
      </w:r>
    </w:p>
    <w:bookmarkEnd w:id="77"/>
    <w:bookmarkStart w:id="78" w:name="X85b619d64020841b047dc050aa0d252e2303b13"/>
    <w:p>
      <w:pPr>
        <w:pStyle w:val="Heading2"/>
        <w:spacing w:line="480" w:lineRule="auto"/>
      </w:pPr>
      <w:r>
        <w:t xml:space="preserve">2.8 Positioning within the broader Acta corpus</w:t>
      </w:r>
    </w:p>
    <w:p>
      <w:pPr>
        <w:pStyle w:val="FirstParagraph"/>
        <w:spacing w:line="480" w:lineRule="auto"/>
      </w:pPr>
      <w:r>
        <w:t xml:space="preserve">Beyond the directly cited terminal and mission papers, the wider Acta Astronautica corpus of the last decade demonstrates that optical and photonic payloads are proliferating across mission types, from formation-flying nanosatellite crosslink concepts</w:t>
      </w:r>
      <w:r>
        <w:t xml:space="preserve"> </w:t>
      </w:r>
      <w:hyperlink w:anchor="ref-30">
        <w:r>
          <w:rPr>
            <w:rStyle w:val="Hyperlink"/>
          </w:rPr>
          <w:t xml:space="preserve">[30]</w:t>
        </w:r>
      </w:hyperlink>
      <w:r>
        <w:t xml:space="preserve"> </w:t>
      </w:r>
      <w:r>
        <w:t xml:space="preserve">to CubeSat photonic experiments carrying laser systems for entirely different scientific purposes</w:t>
      </w:r>
      <w:r>
        <w:t xml:space="preserve"> </w:t>
      </w:r>
      <w:hyperlink w:anchor="ref-34">
        <w:r>
          <w:rPr>
            <w:rStyle w:val="Hyperlink"/>
          </w:rPr>
          <w:t xml:space="preserve">[34]</w:t>
        </w:r>
      </w:hyperlink>
      <w:r>
        <w:t xml:space="preserve">. This proliferation matters for the present argument because it signals that optical terminals are no longer confined to flagship relay programs; they are becoming a general-purpose bus capability. A general-purpose capability is precisely the kind of technology whose adoption a learning curve and a diffusion framing are designed to characterize. The breadth of the corpus, in other words, is itself indirect evidence that the adoption question is now well posed. What remains is to answer it with a fitted model rather than an inventory, and that is the task the following chapters take up.</w:t>
      </w:r>
    </w:p>
    <w:p>
      <w:pPr>
        <w:pStyle w:val="BodyText"/>
        <w:spacing w:line="480" w:lineRule="auto"/>
        <w:ind w:firstLine="720"/>
      </w:pPr>
      <w:r>
        <w:t xml:space="preserve">The corpus also documents an important adjacent trend: the appearance of optical crosslink concepts built specifically for distributed and formation-flying architectures rather than for point-to-point relay. The VISION concept of laser crosslink systems using nanosatellites in formation flying is the clearest example, proposing an optical mesh among small spacecraft rather than a single relay hop</w:t>
      </w:r>
      <w:r>
        <w:t xml:space="preserve"> </w:t>
      </w:r>
      <w:hyperlink w:anchor="ref-30">
        <w:r>
          <w:rPr>
            <w:rStyle w:val="Hyperlink"/>
          </w:rPr>
          <w:t xml:space="preserve">[30]</w:t>
        </w:r>
      </w:hyperlink>
      <w:r>
        <w:t xml:space="preserve">. Formation-flying and distributed-mission work more broadly, including situational-awareness studies of clustered small spacecraft</w:t>
      </w:r>
      <w:r>
        <w:t xml:space="preserve"> </w:t>
      </w:r>
      <w:hyperlink w:anchor="ref-22">
        <w:r>
          <w:rPr>
            <w:rStyle w:val="Hyperlink"/>
          </w:rPr>
          <w:t xml:space="preserve">[22]</w:t>
        </w:r>
      </w:hyperlink>
      <w:r>
        <w:t xml:space="preserve">, shows that the operational context for crosslinks is shifting from a handful of large relay nodes toward dense meshes of small ones. This shift is exactly what the operationalization model is positioned to detect, because it changes which observations count as crosslink architecture and therefore bears directly on the architecture coefficient the dissertation estimates.</w:t>
      </w:r>
    </w:p>
    <w:p>
      <w:pPr>
        <w:pStyle w:val="BodyText"/>
        <w:spacing w:line="480" w:lineRule="auto"/>
        <w:ind w:firstLine="720"/>
      </w:pPr>
      <w:r>
        <w:t xml:space="preserve">The concept was there. The population test was not. That absence is the opening.</w:t>
      </w:r>
    </w:p>
    <w:bookmarkEnd w:id="78"/>
    <w:bookmarkStart w:id="79" w:name="Xa379670cb0b6b53cdc087603bf09328c10d5548"/>
    <w:p>
      <w:pPr>
        <w:pStyle w:val="Heading2"/>
        <w:spacing w:line="480" w:lineRule="auto"/>
      </w:pPr>
      <w:r>
        <w:t xml:space="preserve">2.9 The state of measurement before this dissertation</w:t>
      </w:r>
    </w:p>
    <w:p>
      <w:pPr>
        <w:pStyle w:val="FirstParagraph"/>
        <w:spacing w:line="480" w:lineRule="auto"/>
      </w:pPr>
      <w:r>
        <w:t xml:space="preserve">It is worth summarizing, in one place, what could and could not be said about optical-communications adoption from the literature as it stood before this work. From the engineering corpus, one could say that terminals exist, are shrinking, and can close links across a range of geometries</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 From the operational corpus, one could say that specific relay and crosslink missions had flown and, in some cases, entered service</w:t>
      </w:r>
      <w:r>
        <w:t xml:space="preserve"> </w:t>
      </w:r>
      <w:hyperlink w:anchor="ref-1">
        <w:r>
          <w:rPr>
            <w:rStyle w:val="Hyperlink"/>
          </w:rPr>
          <w:t xml:space="preserve">[1]</w:t>
        </w:r>
      </w:hyperlink>
      <w:r>
        <w:t xml:space="preserve"> </w:t>
      </w:r>
      <w:hyperlink w:anchor="ref-4">
        <w:r>
          <w:rPr>
            <w:rStyle w:val="Hyperlink"/>
          </w:rPr>
          <w:t xml:space="preserve">[4]</w:t>
        </w:r>
      </w:hyperlink>
      <w:r>
        <w:t xml:space="preserve">. From the strategic corpus, one could say that connectivity mattered for orbital capacity and national capability</w:t>
      </w:r>
      <w:r>
        <w:t xml:space="preserve"> </w:t>
      </w:r>
      <w:hyperlink w:anchor="ref-7">
        <w:r>
          <w:rPr>
            <w:rStyle w:val="Hyperlink"/>
          </w:rPr>
          <w:t xml:space="preserve">[7]</w:t>
        </w:r>
      </w:hyperlink>
      <w:r>
        <w:t xml:space="preserve"> </w:t>
      </w:r>
      <w:hyperlink w:anchor="ref-8">
        <w:r>
          <w:rPr>
            <w:rStyle w:val="Hyperlink"/>
          </w:rPr>
          <w:t xml:space="preserve">[8]</w:t>
        </w:r>
      </w:hyperlink>
      <w:r>
        <w:t xml:space="preserve">. What one could not say, from any of these, was how fast the field’s performance was scaling in aggregate, or what distinguished the missions that became operational services from those that remained demonstrations. Those two quantities had never been estimated.</w:t>
      </w:r>
    </w:p>
    <w:p>
      <w:pPr>
        <w:pStyle w:val="BodyText"/>
        <w:spacing w:line="480" w:lineRule="auto"/>
        <w:ind w:firstLine="720"/>
      </w:pPr>
      <w:r>
        <w:t xml:space="preserve">This absence is not a criticism of the prior literature, which was answering its own questions well. It is a statement of where the frontier of measurement sat. The engineering papers were not trying to fit a fleet-level curve; the operational papers were not trying to code a population; the strategic papers were not trying to estimate a rate. The dissertation occupies the specific empty cell in this matrix: a population-level, model-based measurement of both capability scaling and service adoption, reported as coefficients with standard errors. Chapters 3 through 6 fill that cell, and the remainder of the dissertation interprets and bounds what fills it.</w:t>
      </w:r>
    </w:p>
    <w:p>
      <w:pPr>
        <w:pStyle w:val="BodyText"/>
        <w:spacing w:line="480" w:lineRule="auto"/>
        <w:ind w:firstLine="720"/>
      </w:pPr>
      <w:r>
        <w:t xml:space="preserve">One further gap in the prior literature is methodological rather than substantive, and it is worth naming because it shapes the contribution. The engineering and operational papers report their results in the idiom of their subfields: a terminal paper reports a data-rate class and a mass budget</w:t>
      </w:r>
      <w:r>
        <w:t xml:space="preserve"> </w:t>
      </w:r>
      <w:hyperlink w:anchor="ref-6">
        <w:r>
          <w:rPr>
            <w:rStyle w:val="Hyperlink"/>
          </w:rPr>
          <w:t xml:space="preserve">[6]</w:t>
        </w:r>
      </w:hyperlink>
      <w:r>
        <w:t xml:space="preserve">, a mission paper reports a link achieved under a stated geometry</w:t>
      </w:r>
      <w:r>
        <w:t xml:space="preserve"> </w:t>
      </w:r>
      <w:hyperlink w:anchor="ref-1">
        <w:r>
          <w:rPr>
            <w:rStyle w:val="Hyperlink"/>
          </w:rPr>
          <w:t xml:space="preserve">[1]</w:t>
        </w:r>
      </w:hyperlink>
      <w:r>
        <w:t xml:space="preserve">, and neither reports a coefficient with a standard error and a p-value, because that is not the idiom of a systems or mission paper. The strategic papers report scenarios and imperatives</w:t>
      </w:r>
      <w:r>
        <w:t xml:space="preserve"> </w:t>
      </w:r>
      <w:hyperlink w:anchor="ref-7">
        <w:r>
          <w:rPr>
            <w:rStyle w:val="Hyperlink"/>
          </w:rPr>
          <w:t xml:space="preserve">[7]</w:t>
        </w:r>
      </w:hyperlink>
      <w:r>
        <w:t xml:space="preserve"> </w:t>
      </w:r>
      <w:hyperlink w:anchor="ref-8">
        <w:r>
          <w:rPr>
            <w:rStyle w:val="Hyperlink"/>
          </w:rPr>
          <w:t xml:space="preserve">[8]</w:t>
        </w:r>
      </w:hyperlink>
      <w:r>
        <w:t xml:space="preserve">, again without inferential statistics, because that is not their idiom either. The dissertation therefore imports the idiom of applied econometrics, coefficient, standard error, p-value, fit statistic, into a literature that has not previously spoken it, and part of the contribution is simply the translation: rendering claims about optical-communications adoption in a form where they can be falsified, compared across studies, and updated as evidence accumulates. That translation is the precondition for the measurement layer the dissertation supplies, and it is why the following chapters are built around estimators rather than around case narratives.</w:t>
      </w:r>
    </w:p>
    <w:bookmarkEnd w:id="79"/>
    <w:bookmarkEnd w:id="80"/>
    <w:bookmarkStart w:id="91"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dissertation that fits models to a record needs a theory of why the record should behave one way rather than another. Without it, a significant coefficient is a fact without a mechanism, and a mechanism is what lets a finding travel beyond the twenty rows that produced it. This chapter supplies two mechanisms and derives the testable predictions each one implies. The first mechanism concerns performance: why reported optical link rates should rise with elapsed time. The second concerns service: why operationalization should attach to network architecture rather than to the calendar. The two are related but distinct, and keeping them distinct is the theoretical contribution.</w:t>
      </w:r>
    </w:p>
    <w:bookmarkStart w:id="81" w:name="Xa3ae3917d34934143efbcf98d95949d645535dc"/>
    <w:p>
      <w:pPr>
        <w:pStyle w:val="Heading2"/>
        <w:spacing w:line="480" w:lineRule="auto"/>
      </w:pPr>
      <w:r>
        <w:t xml:space="preserve">3.1 The performance mechanism: learning across a heterogeneous population</w:t>
      </w:r>
    </w:p>
    <w:p>
      <w:pPr>
        <w:pStyle w:val="FirstParagraph"/>
        <w:spacing w:line="480" w:lineRule="auto"/>
      </w:pPr>
      <w:r>
        <w:t xml:space="preserve">Learning-curve theory rests on a simple premise. As a field accumulates experience, its representative performance improves along a power-law path, because each generation of hardware inherits the solved problems of its predecessors and confronts a smaller residual of unsolved ones. Applied to optical communications, three concrete sub-mechanisms drive the improvement.</w:t>
      </w:r>
    </w:p>
    <w:p>
      <w:pPr>
        <w:pStyle w:val="BodyText"/>
        <w:spacing w:line="480" w:lineRule="auto"/>
        <w:ind w:firstLine="720"/>
      </w:pPr>
      <w:r>
        <w:t xml:space="preserve">The first is component maturation. Detectors, pointing assemblies, acquisition and tracking control loops, and onboard signal processing have improved across successive missions. The miniaturization literature documents this pathway directly, showing terminals that deliver comparable or higher rates at a fraction of the mass and power of their predecessors</w:t>
      </w:r>
      <w:r>
        <w:t xml:space="preserve"> </w:t>
      </w:r>
      <w:hyperlink w:anchor="ref-2">
        <w:r>
          <w:rPr>
            <w:rStyle w:val="Hyperlink"/>
          </w:rPr>
          <w:t xml:space="preserve">[2]</w:t>
        </w:r>
      </w:hyperlink>
      <w:r>
        <w:t xml:space="preserve"> </w:t>
      </w:r>
      <w:hyperlink w:anchor="ref-6">
        <w:r>
          <w:rPr>
            <w:rStyle w:val="Hyperlink"/>
          </w:rPr>
          <w:t xml:space="preserve">[6]</w:t>
        </w:r>
      </w:hyperlink>
      <w:r>
        <w:t xml:space="preserve">. When a control-allocation advance lets an over-actuated terminal hold a tighter pointing solution</w:t>
      </w:r>
      <w:r>
        <w:t xml:space="preserve"> </w:t>
      </w:r>
      <w:hyperlink w:anchor="ref-9">
        <w:r>
          <w:rPr>
            <w:rStyle w:val="Hyperlink"/>
          </w:rPr>
          <w:t xml:space="preserve">[9]</w:t>
        </w:r>
      </w:hyperlink>
      <w:r>
        <w:t xml:space="preserve">, the achievable rate for a given aperture rises, and the improvement propagates to every subsequent design that adopts it. Maturation is cumulative, which is exactly the condition under which a learning curve applies.</w:t>
      </w:r>
    </w:p>
    <w:p>
      <w:pPr>
        <w:pStyle w:val="BodyText"/>
        <w:spacing w:line="480" w:lineRule="auto"/>
        <w:ind w:firstLine="720"/>
      </w:pPr>
      <w:r>
        <w:t xml:space="preserve">The second sub-mechanism is architectural diversification. Early missions were single-purpose demonstrations. The later record includes lunar downlinks, ISS payloads, operational relay services, CubeSat downlinks, and deep-space links, each imposing a different combination of range, power, pointing, and atmospheric constraints. Diversification raises the ceiling because it lets designers optimize for regimes where extreme rates are achievable, such as the near-Earth CubeSat downlink that reached hundreds of gigabits in the TBIRD demonstration</w:t>
      </w:r>
      <w:r>
        <w:t xml:space="preserve"> </w:t>
      </w:r>
      <w:hyperlink w:anchor="ref-12">
        <w:r>
          <w:rPr>
            <w:rStyle w:val="Hyperlink"/>
          </w:rPr>
          <w:t xml:space="preserve">[12]</w:t>
        </w:r>
      </w:hyperlink>
      <w:r>
        <w:t xml:space="preserve">, even as other regimes, such as deep space, remain link-budget-limited</w:t>
      </w:r>
      <w:r>
        <w:t xml:space="preserve"> </w:t>
      </w:r>
      <w:hyperlink w:anchor="ref-15">
        <w:r>
          <w:rPr>
            <w:rStyle w:val="Hyperlink"/>
          </w:rPr>
          <w:t xml:space="preserve">[15]</w:t>
        </w:r>
      </w:hyperlink>
      <w:r>
        <w:t xml:space="preserve">. The pooled curve rises because the population now includes points from the favorable regimes.</w:t>
      </w:r>
    </w:p>
    <w:p>
      <w:pPr>
        <w:pStyle w:val="BodyText"/>
        <w:spacing w:line="480" w:lineRule="auto"/>
        <w:ind w:firstLine="720"/>
      </w:pPr>
      <w:r>
        <w:t xml:space="preserve">The third sub-mechanism is demand pull. Operational relay systems create a requirement for repeatable, schedulable performance rather than one-off laboratory achievement. When an agency commits to a relay service, it funds sustained engineering investment in the terminals and ground segment that feed it, and that investment feeds back into the performance frontier. The connectivity-service literature makes this pull explicit, treating the optical link as a service to be delivered rather than a feat to be demonstrated</w:t>
      </w:r>
      <w:r>
        <w:t xml:space="preserve"> </w:t>
      </w:r>
      <w:hyperlink w:anchor="ref-4">
        <w:r>
          <w:rPr>
            <w:rStyle w:val="Hyperlink"/>
          </w:rPr>
          <w:t xml:space="preserve">[4]</w:t>
        </w:r>
      </w:hyperlink>
      <w:r>
        <w:t xml:space="preserve">.</w:t>
      </w:r>
    </w:p>
    <w:p>
      <w:pPr>
        <w:pStyle w:val="BodyText"/>
        <w:spacing w:line="480" w:lineRule="auto"/>
        <w:ind w:firstLine="720"/>
      </w:pPr>
      <w:r>
        <w:t xml:space="preserve">These three sub-mechanisms do not require that every later mission exceed every earlier one. Deep-space geometry can lower the achievable rate even when the underlying technology is more advanced, which is why the DSOC points sit below the near-Earth frontier despite being among the most sophisticated payloads ever flown</w:t>
      </w:r>
      <w:r>
        <w:t xml:space="preserve"> </w:t>
      </w:r>
      <w:hyperlink w:anchor="ref-15">
        <w:r>
          <w:rPr>
            <w:rStyle w:val="Hyperlink"/>
          </w:rPr>
          <w:t xml:space="preserve">[15]</w:t>
        </w:r>
      </w:hyperlink>
      <w:r>
        <w:t xml:space="preserve">. The theoretical claim is about the envelope, not about monotonicity. It predicts a positive elasticity of reported rate with respect to elapsed time, with substantial residual variance contributed by mission-class heterogeneity.</w:t>
      </w:r>
    </w:p>
    <w:bookmarkEnd w:id="81"/>
    <w:bookmarkStart w:id="82" w:name="hypothesis-1"/>
    <w:p>
      <w:pPr>
        <w:pStyle w:val="Heading2"/>
        <w:spacing w:line="480" w:lineRule="auto"/>
      </w:pPr>
      <w:r>
        <w:t xml:space="preserve">3.2 Hypothesis 1</w:t>
      </w:r>
    </w:p>
    <w:p>
      <w:pPr>
        <w:pStyle w:val="FirstParagraph"/>
        <w:spacing w:line="480" w:lineRule="auto"/>
      </w:pPr>
      <w:r>
        <w:t xml:space="preserve">The performance mechanism yields the first hypothesis, stated in the log-log form the estimator uses.</w:t>
      </w:r>
    </w:p>
    <w:p>
      <w:pPr>
        <w:pStyle w:val="BlockText"/>
        <w:spacing w:line="480" w:lineRule="auto"/>
      </w:pPr>
      <w:r>
        <w:rPr>
          <w:b/>
          <w:bCs/>
        </w:rPr>
        <w:t xml:space="preserve">H1.</w:t>
      </w:r>
      <w:r>
        <w:t xml:space="preserve"> </w:t>
      </w:r>
      <w:r>
        <w:t xml:space="preserve">Reported optical communication link rate increases with elapsed time in the space laser communications demonstration and service record. In the specification ln(R) = alpha + beta ln(T), the elasticity beta is strictly positive.</w:t>
      </w:r>
    </w:p>
    <w:p>
      <w:pPr>
        <w:pStyle w:val="FirstParagraph"/>
        <w:spacing w:line="480" w:lineRule="auto"/>
      </w:pPr>
      <w:r>
        <w:t xml:space="preserve">The null is beta equal to zero: no measurable temporal scaling, with any apparent trend attributable to sampling. A rejection of the null in favor of a positive elasticity supports a learning-curve interpretation of the field. A weak or negative estimate would indicate that mission geometry and platform constraints dominate any temporal learning, which would be a substantively important negative result. The theory also predicts a modest coefficient of determination, because the pooled population deliberately mixes regimes with very different achievable rates; a learning curve that explained nearly all the variance would be suspicious in a dataset this heterogeneous.</w:t>
      </w:r>
    </w:p>
    <w:bookmarkEnd w:id="82"/>
    <w:bookmarkStart w:id="83" w:name="X2171d776f44d49120e9903a53ccfb70e0dd0085"/>
    <w:p>
      <w:pPr>
        <w:pStyle w:val="Heading2"/>
        <w:spacing w:line="480" w:lineRule="auto"/>
      </w:pPr>
      <w:r>
        <w:t xml:space="preserve">3.3 The service mechanism: capability versus network function</w:t>
      </w:r>
    </w:p>
    <w:p>
      <w:pPr>
        <w:pStyle w:val="FirstParagraph"/>
        <w:spacing w:line="480" w:lineRule="auto"/>
      </w:pPr>
      <w:r>
        <w:t xml:space="preserve">A second mechanism turns on a distinction the engineering literature tends to blur. It is the difference between proving a capability and delivering a service. A direct optical downlink can demonstrate high rate, precise pointing, and atmospheric mitigation, and still change nothing about how a mission operates. It proves that the link can be closed. A relay or crosslink architecture does something categorically different. It embeds the optical link in a network, connecting a spacecraft to other spacecraft or to a relay layer so that data can move through the orbital segment before reaching the ground. That embedding changes routing, latency, ground-station dependence, and constellation design. It is the moment at which optical communications becomes infrastructure rather than experiment.</w:t>
      </w:r>
    </w:p>
    <w:p>
      <w:pPr>
        <w:pStyle w:val="BodyText"/>
        <w:spacing w:line="480" w:lineRule="auto"/>
        <w:ind w:firstLine="720"/>
      </w:pPr>
      <w:r>
        <w:t xml:space="preserve">Why should this distinction dominate calendar time as a predictor of operational status? Because operationalization is a decision about network role, not a milestone reached by the passage of years. The clearest operational relay in the record, the European SpaceDataHighway, was operational because it was architected as a relay service from the outset, and the connectivity-service framing that describes such systems is explicit about this network role</w:t>
      </w:r>
      <w:r>
        <w:t xml:space="preserve"> </w:t>
      </w:r>
      <w:hyperlink w:anchor="ref-4">
        <w:r>
          <w:rPr>
            <w:rStyle w:val="Hyperlink"/>
          </w:rPr>
          <w:t xml:space="preserve">[4]</w:t>
        </w:r>
      </w:hyperlink>
      <w:r>
        <w:t xml:space="preserve">. NASA’s relay demonstration and its user-terminal extension carried the relay logic into a United States architecture, and they read as operational for the same architectural reason</w:t>
      </w:r>
      <w:r>
        <w:t xml:space="preserve"> </w:t>
      </w:r>
      <w:hyperlink w:anchor="ref-4">
        <w:r>
          <w:rPr>
            <w:rStyle w:val="Hyperlink"/>
          </w:rPr>
          <w:t xml:space="preserve">[4]</w:t>
        </w:r>
      </w:hyperlink>
      <w:r>
        <w:t xml:space="preserve">. Conversely, some of the most recent and technically advanced missions in the record remain demonstrations precisely because they are not embedded in a network: a deep-space first-light link proves an extraordinary capability but routes no operational traffic</w:t>
      </w:r>
      <w:r>
        <w:t xml:space="preserve"> </w:t>
      </w:r>
      <w:hyperlink w:anchor="ref-15">
        <w:r>
          <w:rPr>
            <w:rStyle w:val="Hyperlink"/>
          </w:rPr>
          <w:t xml:space="preserve">[15]</w:t>
        </w:r>
      </w:hyperlink>
      <w:r>
        <w:t xml:space="preserve">, and a record-setting CubeSat downlink is still a downlink, not a relay</w:t>
      </w:r>
      <w:r>
        <w:t xml:space="preserve"> </w:t>
      </w:r>
      <w:hyperlink w:anchor="ref-12">
        <w:r>
          <w:rPr>
            <w:rStyle w:val="Hyperlink"/>
          </w:rPr>
          <w:t xml:space="preserve">[12]</w:t>
        </w:r>
      </w:hyperlink>
      <w:r>
        <w:t xml:space="preserve">.</w:t>
      </w:r>
    </w:p>
    <w:p>
      <w:pPr>
        <w:pStyle w:val="BodyText"/>
        <w:spacing w:line="480" w:lineRule="auto"/>
        <w:ind w:firstLine="720"/>
      </w:pPr>
      <w:r>
        <w:t xml:space="preserve">The mechanism therefore predicts an asymmetry. Time should carry little independent weight once architecture is controlled, because the calendar produces opportunity rather than operational meaning. Architecture should carry large weight, because it is the variable that captures whether the optical link performs a network function. This is a falsifiable prediction: if operationalization were merely a maturity phenomenon, time would dominate and architecture would wash out. The theory predicts the opposite.</w:t>
      </w:r>
    </w:p>
    <w:p>
      <w:pPr>
        <w:pStyle w:val="BodyText"/>
        <w:spacing w:line="480" w:lineRule="auto"/>
        <w:ind w:firstLine="720"/>
      </w:pPr>
      <w:r>
        <w:t xml:space="preserve">Architecture, then, should carry the weight. Time should not. The next hypothesis states this sharply.</w:t>
      </w:r>
    </w:p>
    <w:bookmarkEnd w:id="83"/>
    <w:bookmarkStart w:id="84" w:name="hypothesis-2"/>
    <w:p>
      <w:pPr>
        <w:pStyle w:val="Heading2"/>
        <w:spacing w:line="480" w:lineRule="auto"/>
      </w:pPr>
      <w:r>
        <w:t xml:space="preserve">3.4 Hypothesis 2</w:t>
      </w:r>
    </w:p>
    <w:p>
      <w:pPr>
        <w:pStyle w:val="FirstParagraph"/>
        <w:spacing w:line="480" w:lineRule="auto"/>
      </w:pPr>
      <w:r>
        <w:t xml:space="preserve">The service mechanism yields the second hypothesis, stated in the two-variable linear form the estimator uses.</w:t>
      </w:r>
    </w:p>
    <w:p>
      <w:pPr>
        <w:pStyle w:val="BlockText"/>
        <w:spacing w:line="480" w:lineRule="auto"/>
      </w:pPr>
      <w:r>
        <w:rPr>
          <w:b/>
          <w:bCs/>
        </w:rPr>
        <w:t xml:space="preserve">H2.</w:t>
      </w:r>
      <w:r>
        <w:t xml:space="preserve"> </w:t>
      </w:r>
      <w:r>
        <w:t xml:space="preserve">Operational service is more likely for crosslink or relay architectures than for isolated direct-downlink demonstrations, and this architecture effect is substantively larger than any independent effect of elapsed time. In the specification O = alpha + beta1 T + beta2 C, the architecture coefficient beta2 is positive and large, while the time coefficient beta1 is positive but small and may be statistically indistinguishable from zero.</w:t>
      </w:r>
    </w:p>
    <w:p>
      <w:pPr>
        <w:pStyle w:val="FirstParagraph"/>
        <w:spacing w:line="480" w:lineRule="auto"/>
      </w:pPr>
      <w:r>
        <w:t xml:space="preserve">The null of interest is beta2 equal to zero: architecture carries no weight, and operationalization is either random or a pure function of time. A rejection in favor of a large positive beta2, combined with a small and insignificant beta1, supports the claim that adoption as infrastructure is an architectural event rather than a chronological one. This is the sharper of the two hypotheses because it makes a prediction about the relative magnitude of two coefficients, not merely about the sign of one.</w:t>
      </w:r>
    </w:p>
    <w:bookmarkEnd w:id="84"/>
    <w:bookmarkStart w:id="85" w:name="how-the-two-hypotheses-combine"/>
    <w:p>
      <w:pPr>
        <w:pStyle w:val="Heading2"/>
        <w:spacing w:line="480" w:lineRule="auto"/>
      </w:pPr>
      <w:r>
        <w:t xml:space="preserve">3.5 How the two hypotheses combine</w:t>
      </w:r>
    </w:p>
    <w:p>
      <w:pPr>
        <w:pStyle w:val="FirstParagraph"/>
        <w:spacing w:line="480" w:lineRule="auto"/>
      </w:pPr>
      <w:r>
        <w:t xml:space="preserve">The hypotheses are complementary halves of a single adoption theory. H1 establishes that the field has a rising performance frontier, which is a necessary condition for adoption: a technology with no measurable performance scaling would be unlikely to diffuse beyond specialized demonstrations. H2 establishes that translating that performance into operational service depends on network architecture rather than on the mere passage of time. Together they specify a two-stage picture. Performance scales, creating the capability; architecture then determines whether the capability becomes infrastructure. A diffusion model that counted terminals alone would miss the second stage entirely, treating every optical payload as equivalent and overstating infrastructure adoption. The theory says the relevant adoption unit is the operational network function, and the two estimators are designed to test exactly that.</w:t>
      </w:r>
    </w:p>
    <w:p>
      <w:pPr>
        <w:pStyle w:val="BodyText"/>
        <w:spacing w:line="480" w:lineRule="auto"/>
        <w:ind w:firstLine="720"/>
      </w:pPr>
      <w:r>
        <w:t xml:space="preserve">There is a deliberate tension between the two hypotheses that strengthens the design. H1 predicts that time matters for performance; H2 predicts that time does not matter much for service. If both hold, they jointly tell a story that neither could tell alone: the field is improving fast, but improvement and adoption are governed by different variables. If, instead, time dominated both models, the story would collapse into a simple maturity narrative. If architecture dominated both, performance scaling would appear to be an artifact of which architectures happened to fly. The fact that the two mechanisms predict different roles for time is what makes the combined result informative rather than tautological.</w:t>
      </w:r>
    </w:p>
    <w:bookmarkEnd w:id="85"/>
    <w:bookmarkStart w:id="86" w:name="X0466e56636a79ffc9d0c893ae6e3e067e21e69e"/>
    <w:p>
      <w:pPr>
        <w:pStyle w:val="Heading2"/>
        <w:spacing w:line="480" w:lineRule="auto"/>
      </w:pPr>
      <w:r>
        <w:t xml:space="preserve">3.6 A formal statement of the performance mechanism</w:t>
      </w:r>
    </w:p>
    <w:p>
      <w:pPr>
        <w:pStyle w:val="FirstParagraph"/>
        <w:spacing w:line="480" w:lineRule="auto"/>
      </w:pPr>
      <w:r>
        <w:t xml:space="preserve">It is worth writing the performance mechanism formally, because the log-log estimator of Chapter 4 is the direct empirical counterpart of a specific functional-form assumption, and stating the assumption exposes what the estimate does and does not commit to. Suppose the representative achievable link rate R of the field is a power-law function of accumulated experience, proxied by the elapsed-time index T, so that R equals A times T raised to a constant power beta, where A is a scale constant. Taking logarithms yields ln(R) equal to ln(A) plus beta times ln(T), which is exactly the regression Chapter 4 estimates, with ln(A) playing the role of the intercept and beta the elasticity. The power-law form is the mathematical content of the learning-curve claim: it says that each proportional increase in experience buys a constant proportional increase in performance, which is the empirical regularity observed in manufacturing, aviation, and semiconductor cost curves for the better part of a century.</w:t>
      </w:r>
    </w:p>
    <w:p>
      <w:pPr>
        <w:pStyle w:val="BodyText"/>
        <w:spacing w:line="480" w:lineRule="auto"/>
        <w:ind w:firstLine="720"/>
      </w:pPr>
      <w:r>
        <w:t xml:space="preserve">The form makes a specific prediction that a linear-in-levels model would not. It predicts that performance gains compound: the same doubling of the time index that took the field from a single megabit to a handful of megabits in its first years should, later, take it from thousands to tens of thousands of megabits, because the multiplier is constant in proportional terms even as it is enormous in absolute terms. The record is consistent with this compounding. The absolute jumps late in the window, from gigabit relay services to the hundred-gigabit CubeSat downlinks</w:t>
      </w:r>
      <w:r>
        <w:t xml:space="preserve"> </w:t>
      </w:r>
      <w:hyperlink w:anchor="ref-12">
        <w:r>
          <w:rPr>
            <w:rStyle w:val="Hyperlink"/>
          </w:rPr>
          <w:t xml:space="preserve">[12]</w:t>
        </w:r>
      </w:hyperlink>
      <w:r>
        <w:t xml:space="preserve">, dwarf the absolute jumps early in the window, yet in proportional terms they are of comparable order. This is why the logarithmic specification, rather than a levels specification, is the theoretically correct one, and it is why the estimated elasticity above two is interpretable as a compounding rate rather than an additive slope.</w:t>
      </w:r>
    </w:p>
    <w:bookmarkEnd w:id="86"/>
    <w:bookmarkStart w:id="87" w:name="X788cddc770f7f1e5eef2405b38c2de7eb7d6efa"/>
    <w:p>
      <w:pPr>
        <w:pStyle w:val="Heading2"/>
        <w:spacing w:line="480" w:lineRule="auto"/>
      </w:pPr>
      <w:r>
        <w:t xml:space="preserve">3.7 The mechanism’s prediction about residual variance</w:t>
      </w:r>
    </w:p>
    <w:p>
      <w:pPr>
        <w:pStyle w:val="FirstParagraph"/>
        <w:spacing w:line="480" w:lineRule="auto"/>
      </w:pPr>
      <w:r>
        <w:t xml:space="preserve">A subtle but testable implication of the theory concerns not the central tendency but the spread. Because the mechanism operates through a heterogeneous population of mission classes, each with its own achievable-rate ceiling set by range, power, and geometry, the theory predicts substantial residual variance around the fitted curve. Deep-space missions sit far below the near-Earth frontier at any given time because their link budget is harder, not because their technology is older</w:t>
      </w:r>
      <w:r>
        <w:t xml:space="preserve"> </w:t>
      </w:r>
      <w:hyperlink w:anchor="ref-15">
        <w:r>
          <w:rPr>
            <w:rStyle w:val="Hyperlink"/>
          </w:rPr>
          <w:t xml:space="preserve">[15]</w:t>
        </w:r>
      </w:hyperlink>
      <w:r>
        <w:t xml:space="preserve">. CubeSat downlinks in favorable near-Earth geometry can sit far above the contemporaneous relay services</w:t>
      </w:r>
      <w:r>
        <w:t xml:space="preserve"> </w:t>
      </w:r>
      <w:hyperlink w:anchor="ref-12">
        <w:r>
          <w:rPr>
            <w:rStyle w:val="Hyperlink"/>
          </w:rPr>
          <w:t xml:space="preserve">[12]</w:t>
        </w:r>
      </w:hyperlink>
      <w:r>
        <w:t xml:space="preserve">. The theory does not treat this spread as measurement error to be minimized; it treats it as a structural feature of a field defined across regimes. The empirical prediction is therefore a moderate rather than a high coefficient of determination, and a coefficient of determination near one would actually be evidence against the mechanism as described, because it would imply a homogeneity the field does not have. Chapter 6 confirms the moderate fit, and this confirmation is a point in the theory’s favor that a naive reading, which equates higher fit with a better model, would miss.</w:t>
      </w:r>
    </w:p>
    <w:bookmarkEnd w:id="87"/>
    <w:bookmarkStart w:id="88" w:name="Xdaaf0b7d325f1ee53cc6c1cbb6268e4306ea2c5"/>
    <w:p>
      <w:pPr>
        <w:pStyle w:val="Heading2"/>
        <w:spacing w:line="480" w:lineRule="auto"/>
      </w:pPr>
      <w:r>
        <w:t xml:space="preserve">3.8 Scope conditions and boundary of the theory</w:t>
      </w:r>
    </w:p>
    <w:p>
      <w:pPr>
        <w:pStyle w:val="FirstParagraph"/>
        <w:spacing w:line="480" w:lineRule="auto"/>
      </w:pPr>
      <w:r>
        <w:t xml:space="preserve">Every theory has a domain of validity, and stating it is part of stating the theory. Three scope conditions bound these predictions. First, they apply to the public flight-demonstration and service record, not to classified programs, whose selective disclosure could bias any population-level estimate. Second, they apply to the deployment ramp of the technology, not to a saturated market; the record ends before any plausible saturation ceiling, so the learning curve describes acceleration rather than an S-curve inflection. Third, they treat the demonstration-versus-service coding as a binary classification of network role, which is a simplification of a continuum in which some demonstrations are nearly operational and some operational systems are transitional. The coding is conservative and transparent, and Chapter 5 documents it fully, but the theory should be read as applying to the clear cases that dominate the record rather than to the ambiguous boundary. Within these conditions, the two hypotheses are precise, and Chapter 6 tests them against the deposited data exactly as stated here.</w:t>
      </w:r>
    </w:p>
    <w:bookmarkEnd w:id="88"/>
    <w:bookmarkStart w:id="89" w:name="rival-explanations-the-theory-must-beat"/>
    <w:p>
      <w:pPr>
        <w:pStyle w:val="Heading2"/>
        <w:spacing w:line="480" w:lineRule="auto"/>
      </w:pPr>
      <w:r>
        <w:t xml:space="preserve">3.9 Rival explanations the theory must beat</w:t>
      </w:r>
    </w:p>
    <w:p>
      <w:pPr>
        <w:pStyle w:val="FirstParagraph"/>
        <w:spacing w:line="480" w:lineRule="auto"/>
      </w:pPr>
      <w:r>
        <w:t xml:space="preserve">A theory earns its keep by outperforming the rivals, and two deserve explicit treatment because a reader will raise them. The first rival holds that any apparent performance trend is a selection artifact: later missions are reported precisely because they are impressive, so the record over-represents high-rate achievements at recent dates and manufactures a rising curve from nothing. This rival is real but bounded. The dataset deliberately includes low-rate recent observations, most conspicuously the deep-space links that report tens to hundreds of megabits in 2023 and 2024 despite being state of the art</w:t>
      </w:r>
      <w:r>
        <w:t xml:space="preserve"> </w:t>
      </w:r>
      <w:hyperlink w:anchor="ref-15">
        <w:r>
          <w:rPr>
            <w:rStyle w:val="Hyperlink"/>
          </w:rPr>
          <w:t xml:space="preserve">[15]</w:t>
        </w:r>
      </w:hyperlink>
      <w:r>
        <w:t xml:space="preserve">, and it includes terminal-paper rows characterized at modest hundred-megabit classes rather than at headline demonstration rates</w:t>
      </w:r>
      <w:r>
        <w:t xml:space="preserve"> </w:t>
      </w:r>
      <w:hyperlink w:anchor="ref-6">
        <w:r>
          <w:rPr>
            <w:rStyle w:val="Hyperlink"/>
          </w:rPr>
          <w:t xml:space="preserve">[6]</w:t>
        </w:r>
      </w:hyperlink>
      <w:r>
        <w:t xml:space="preserve">. The presence of these deliberately unflattering recent points is the design’s answer to the selection rival: if the curve rose only because recent points were cherry-picked for impressiveness, the deep-space and terminal rows would not appear, and their appearance holds the elasticity honest.</w:t>
      </w:r>
    </w:p>
    <w:p>
      <w:pPr>
        <w:pStyle w:val="BodyText"/>
        <w:spacing w:line="480" w:lineRule="auto"/>
        <w:ind w:firstLine="720"/>
      </w:pPr>
      <w:r>
        <w:t xml:space="preserve">The second rival holds that operationalization is really about funding maturity: older programs are operational simply because they have had more years to move from demonstration to service, so architecture is a proxy for age. The operationalization model is built to defeat exactly this rival by including elapsed time as a competing regressor. If operationalization were an age phenomenon, the time coefficient would carry the weight and the architecture coefficient would attenuate once time was controlled. The theory predicts the reverse, and Chapter 6 confirms it: architecture dominates and time collapses. That the age rival is nested inside the estimated model, rather than argued away in prose, is what gives the architecture finding its force. The theory does not merely assert that architecture matters more than age; it stages a contest between them on the same data and reports which wins.</w:t>
      </w:r>
    </w:p>
    <w:bookmarkEnd w:id="89"/>
    <w:bookmarkStart w:id="90" w:name="from-mechanism-to-measurement"/>
    <w:p>
      <w:pPr>
        <w:pStyle w:val="Heading2"/>
        <w:spacing w:line="480" w:lineRule="auto"/>
      </w:pPr>
      <w:r>
        <w:t xml:space="preserve">3.10 From mechanism to measurement</w:t>
      </w:r>
    </w:p>
    <w:p>
      <w:pPr>
        <w:pStyle w:val="FirstParagraph"/>
        <w:spacing w:line="480" w:lineRule="auto"/>
      </w:pPr>
      <w:r>
        <w:t xml:space="preserve">The two mechanisms and their rivals lead directly into the measurement chapters, and it is worth closing the theoretical development by making the bridge explicit. The performance mechanism, formalized as a power law, dictates a log-log estimator, because that is the functional form under which a constant proportional gain per proportional increase in experience becomes a linear coefficient. The service mechanism, formalized as a contest between architecture and time, dictates a two-regressor model in which both compete for the same variance, because only such a model can adjudicate the age rival rather than assume it away. The theory, in other words, does not merely motivate the empirical work in a general way; it specifies the estimators. A different theory would call for different estimators, and the tight coupling between the mechanism and the model is what makes the eventual coefficients interpretable as tests of the mechanism rather than as free-standing curve fits.</w:t>
      </w:r>
    </w:p>
    <w:p>
      <w:pPr>
        <w:pStyle w:val="BodyText"/>
        <w:spacing w:line="480" w:lineRule="auto"/>
        <w:ind w:firstLine="720"/>
      </w:pPr>
      <w:r>
        <w:t xml:space="preserve">This coupling also fixes what would count as a refutation. The performance mechanism is refuted by an elasticity indistinguishable from zero, and the service mechanism is refuted either by an architecture coefficient indistinguishable from zero or by a time coefficient that dominates architecture. Both refutation conditions are stated in advance, both are checkable against the deposited data, and neither was guaranteed by the design to fail to occur. The theory has thus been built to expose itself to the data rather than to accommodate whatever the data happen to show, and Chapter 6 reports the outcome of that exposure exactly as the estimators produced it.</w:t>
      </w:r>
    </w:p>
    <w:bookmarkEnd w:id="90"/>
    <w:bookmarkEnd w:id="91"/>
    <w:bookmarkStart w:id="102"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The first is a log-log learning-curve regression that tests whether reported optical link rate scales with elapsed time. The second is a linear probability model that tests whether operational service attaches to network architecture or to the calendar. This chapter states each estimator precisely, derives the quantity it identifies, and defends the identifying assumptions against the obvious objections. The guiding principle is transparency over sophistication: with twenty observations and heterogeneous mission classes, a simple, auditable specification that a reader can recompute is worth more than an elaborate one whose degrees of freedom exceed its data.</w:t>
      </w:r>
    </w:p>
    <w:bookmarkStart w:id="92" w:name="the-learning-curve-estimator"/>
    <w:p>
      <w:pPr>
        <w:pStyle w:val="Heading2"/>
        <w:spacing w:line="480" w:lineRule="auto"/>
      </w:pPr>
      <w:r>
        <w:t xml:space="preserve">4.1 The learning-curve estimator</w:t>
      </w:r>
    </w:p>
    <w:p>
      <w:pPr>
        <w:pStyle w:val="FirstParagraph"/>
        <w:spacing w:line="480" w:lineRule="auto"/>
      </w:pPr>
      <w:r>
        <w:t xml:space="preserve">Start with the performance question. It is estimated with a power-law learning curve in logarithms. Let R_i denote the reported optical link rate in megabits per second for observation i, and let T_i denote the positive elapsed-time index, equal to the observation year minus 1994, so that the first-generation orbital demonstration sits at T equal to one. The specification is</w:t>
      </w:r>
    </w:p>
    <w:p>
      <w:pPr>
        <w:pStyle w:val="BodyText"/>
        <w:spacing w:line="480" w:lineRule="auto"/>
        <w:ind w:firstLine="720"/>
      </w:pPr>
      <w:r>
        <w:t xml:space="preserve">ln(R_i) = alpha + beta ln(T_i) + epsilon_i.</w:t>
      </w:r>
    </w:p>
    <w:p>
      <w:pPr>
        <w:pStyle w:val="BodyText"/>
        <w:spacing w:line="480" w:lineRule="auto"/>
        <w:ind w:firstLine="720"/>
      </w:pPr>
      <w:r>
        <w:t xml:space="preserve">The estimator is ordinary least squares on the log-transformed variables, with heteroskedasticity-consistent HC1 standard errors. Both variables are logged, so beta is an elasticity: the percentage change in reported link rate associated with a one-percent change in the elapsed-time index. A beta greater than zero means link rates rise as the field accumulates elapsed time, which is the learning-curve prediction of H1.</w:t>
      </w:r>
    </w:p>
    <w:p>
      <w:pPr>
        <w:pStyle w:val="BodyText"/>
        <w:spacing w:line="480" w:lineRule="auto"/>
        <w:ind w:firstLine="720"/>
      </w:pPr>
      <w:r>
        <w:t xml:space="preserve">This log-log form is not a cosmetic choice. It earns its place. Learning-curve theory posits a multiplicative rather than additive relationship, in which performance improves by a roughly constant proportion for each proportional increase in experience, and the logarithmic transformation is what turns that multiplicative regularity into a linear one that OLS can estimate. It also tames the extreme range of the dependent variable, which spans from single-digit megabit experiments to the 200-gigabit CubeSat downlink</w:t>
      </w:r>
      <w:r>
        <w:t xml:space="preserve"> </w:t>
      </w:r>
      <w:hyperlink w:anchor="ref-12">
        <w:r>
          <w:rPr>
            <w:rStyle w:val="Hyperlink"/>
          </w:rPr>
          <w:t xml:space="preserve">[12]</w:t>
        </w:r>
      </w:hyperlink>
      <w:r>
        <w:t xml:space="preserve">, a spread of five orders of magnitude that would make a levels regression hostage to the largest few points. In logs, each order-of-magnitude improvement contributes equally to the fit, which is the correct weighting for a claim about proportional scaling.</w:t>
      </w:r>
    </w:p>
    <w:p>
      <w:pPr>
        <w:pStyle w:val="BodyText"/>
        <w:spacing w:line="480" w:lineRule="auto"/>
        <w:ind w:firstLine="720"/>
      </w:pPr>
      <w:r>
        <w:t xml:space="preserve">From beta the estimator derives a progress ratio, defined as two raised to the power beta. Because the dependent variable is performance rather than cost, a progress ratio above one indicates performance gain when the elapsed-time index doubles: a ratio of four means that doubling the time index is associated with roughly a fourfold increase in reported rate. This is the interpretable summary the dissertation reports alongside the raw elasticity.</w:t>
      </w:r>
    </w:p>
    <w:bookmarkEnd w:id="92"/>
    <w:bookmarkStart w:id="93" w:name="Xf779f24a5c4b4fe526219608c55cb53157460c4"/>
    <w:p>
      <w:pPr>
        <w:pStyle w:val="Heading2"/>
        <w:spacing w:line="480" w:lineRule="auto"/>
      </w:pPr>
      <w:r>
        <w:t xml:space="preserve">4.2 What the learning curve identifies, and what it does not</w:t>
      </w:r>
    </w:p>
    <w:p>
      <w:pPr>
        <w:pStyle w:val="FirstParagraph"/>
        <w:spacing w:line="480" w:lineRule="auto"/>
      </w:pPr>
      <w:r>
        <w:t xml:space="preserve">What does the learning-curve coefficient actually identify? It identifies the average proportional association between elapsed time and reported link rate across the pooled public record. That is all. It does not identify a causal engineering law, and the dissertation does not claim it does. The specification is deliberately sparse. It omits range, aperture, wavelength, modulation, coding, transmitter power, and atmospheric path, all of which physically determine an achievable rate, because the public sources do not report those fields consistently across the twenty observations. Their omission means the elasticity absorbs whatever correlation exists between elapsed time and the unmeasured link-budget variables. If later missions systematically fly larger apertures, part of the estimated time effect is really an aperture effect operating through time.</w:t>
      </w:r>
    </w:p>
    <w:p>
      <w:pPr>
        <w:pStyle w:val="BodyText"/>
        <w:spacing w:line="480" w:lineRule="auto"/>
        <w:ind w:firstLine="720"/>
      </w:pPr>
      <w:r>
        <w:t xml:space="preserve">This is a genuine limitation, and it bounds the interpretation rather than invalidating it. The identifying assumption is modest: that elapsed time is a meaningful proxy for cumulative field experience, and that the association between time and reported rate is informative about the performance trajectory even if it is not a clean partial derivative holding link budget fixed. The claim the estimator supports is therefore a claim about the observed envelope of the public record, which is exactly the object infrastructure planners care about, rather than a claim about the marginal effect of a year on a physically controlled link. Chapter 7 returns to this distinction and shows why it does not undermine the central finding.</w:t>
      </w:r>
    </w:p>
    <w:bookmarkEnd w:id="93"/>
    <w:bookmarkStart w:id="94" w:name="the-operationalization-estimator"/>
    <w:p>
      <w:pPr>
        <w:pStyle w:val="Heading2"/>
        <w:spacing w:line="480" w:lineRule="auto"/>
      </w:pPr>
      <w:r>
        <w:t xml:space="preserve">4.3 The operationalization estimator</w:t>
      </w:r>
    </w:p>
    <w:p>
      <w:pPr>
        <w:pStyle w:val="FirstParagraph"/>
        <w:spacing w:line="480" w:lineRule="auto"/>
      </w:pPr>
      <w:r>
        <w:t xml:space="preserve">Now the service question. It is estimated with a linear probability model. Let O_i be a binary indicator equal to one when observation i represents an operational relay, crosslink, or constellation service and zero when it represents a standalone demonstration or a terminal paper. Let T_i again be years since 1994, and let C_i be a binary indicator equal to one when the optical system provides intersatellite crosslink or relay service rather than only direct downlink. The specification is</w:t>
      </w:r>
    </w:p>
    <w:p>
      <w:pPr>
        <w:pStyle w:val="BodyText"/>
        <w:spacing w:line="480" w:lineRule="auto"/>
        <w:ind w:firstLine="720"/>
      </w:pPr>
      <w:r>
        <w:t xml:space="preserve">O_i = alpha + beta1 T_i + beta2 C_i + epsilon_i,</w:t>
      </w:r>
    </w:p>
    <w:p>
      <w:pPr>
        <w:pStyle w:val="BodyText"/>
        <w:spacing w:line="480" w:lineRule="auto"/>
        <w:ind w:firstLine="720"/>
      </w:pPr>
      <w:r>
        <w:t xml:space="preserve">estimated by OLS with HC1 standard errors. Because the estimator is linear in a binary outcome, the coefficients read directly as changes in the fitted probability of operational service: beta1 is the percentage-point change per elapsed year, and beta2 is the percentage-point change associated with crosslink or relay architecture relative to direct downlink.</w:t>
      </w:r>
    </w:p>
    <w:p>
      <w:pPr>
        <w:pStyle w:val="BodyText"/>
        <w:spacing w:line="480" w:lineRule="auto"/>
        <w:ind w:firstLine="720"/>
      </w:pPr>
      <w:r>
        <w:t xml:space="preserve">Why a linear probability model rather than a logit? The choice is forced by the data. A logit specification was evaluated and produced separation in the small sample, because architecture predicts operational status nearly perfectly for several observations, which drives logit coefficients toward infinity and makes their standard errors uninterpretable. The linear probability model does not suffer separation; it yields finite, auditable coefficients whose inference is clean. Its known cost is that fitted probabilities can fall outside the unit interval, which is a real defect for prediction but not for the hypothesis test at issue here, since H2 concerns the sign and relative magnitude of two coefficients, not out-of-sample probability forecasts.</w:t>
      </w:r>
    </w:p>
    <w:bookmarkEnd w:id="94"/>
    <w:bookmarkStart w:id="95" w:name="X7616213d5213d30ff147196e1324142cb4367ee"/>
    <w:p>
      <w:pPr>
        <w:pStyle w:val="Heading2"/>
        <w:spacing w:line="480" w:lineRule="auto"/>
      </w:pPr>
      <w:r>
        <w:t xml:space="preserve">4.4 What the operationalization model identifies</w:t>
      </w:r>
    </w:p>
    <w:p>
      <w:pPr>
        <w:pStyle w:val="FirstParagraph"/>
        <w:spacing w:line="480" w:lineRule="auto"/>
      </w:pPr>
      <w:r>
        <w:t xml:space="preserve">Consider what each coefficient measures. Architecture coefficient beta2 identifies the association between crosslink-or-relay network function and operational-service status, holding elapsed time constant, within the coded public record. Time coefficient beta1 identifies the residual association between the calendar and operational status once architecture is controlled. The hypothesis test is essentially a comparison: if beta2 is large and significant while beta1 is small and insignificant, the data say that operationalization tracks network function rather than maturity, which is the core theoretical claim of Chapter 3.</w:t>
      </w:r>
    </w:p>
    <w:p>
      <w:pPr>
        <w:pStyle w:val="BodyText"/>
        <w:spacing w:line="480" w:lineRule="auto"/>
        <w:ind w:firstLine="720"/>
      </w:pPr>
      <w:r>
        <w:t xml:space="preserve">The identifying assumption is that the demonstration-versus-service coding of O and the crosslink-or-relay coding of C are accurate reflections of network role as documented in the public sources. This is a coding-validity assumption, and it is where the model is most vulnerable, because the coding is hand-assigned from mission descriptions rather than read from a structured database field. Chapter 5 documents the coding rules and the corroboration discipline in full. The relevant point for identification is that the coding is conservative and transparent: ambiguous cases are coded against the hypothesis where possible, so that the architecture effect is if anything understated rather than inflated. A large, significant beta2 under conservative coding is stronger evidence than the same coefficient under generous coding.</w:t>
      </w:r>
    </w:p>
    <w:p>
      <w:pPr>
        <w:pStyle w:val="BodyText"/>
        <w:spacing w:line="480" w:lineRule="auto"/>
        <w:ind w:firstLine="720"/>
      </w:pPr>
      <w:r>
        <w:t xml:space="preserve">One outcome is continuous. The other is binary. They cannot share a single model.</w:t>
      </w:r>
    </w:p>
    <w:bookmarkEnd w:id="95"/>
    <w:bookmarkStart w:id="96" w:name="why-two-estimators-rather-than-one"/>
    <w:p>
      <w:pPr>
        <w:pStyle w:val="Heading2"/>
        <w:spacing w:line="480" w:lineRule="auto"/>
      </w:pPr>
      <w:r>
        <w:t xml:space="preserve">4.5 Why two estimators rather than one</w:t>
      </w:r>
    </w:p>
    <w:p>
      <w:pPr>
        <w:pStyle w:val="FirstParagraph"/>
        <w:spacing w:line="480" w:lineRule="auto"/>
      </w:pPr>
      <w:r>
        <w:t xml:space="preserve">A single model cannot answer both questions, because performance and service are different outcomes measured on different scales. Reported link rate is a continuous quantity spanning five orders of magnitude, appropriate for a log-log elasticity. Operational status is a binary classification, appropriate for a probability model. Forcing both into one specification would require either discretizing the rich rate variable, discarding information, or treating the binary outcome as continuous without the interpretive discipline of a probability model. The two-estimator design keeps each outcome on its natural scale and lets each hypothesis be tested by the tool suited to it.</w:t>
      </w:r>
    </w:p>
    <w:p>
      <w:pPr>
        <w:pStyle w:val="BodyText"/>
        <w:spacing w:line="480" w:lineRule="auto"/>
        <w:ind w:firstLine="720"/>
      </w:pPr>
      <w:r>
        <w:t xml:space="preserve">This design also serves the argument. Consider the contrast it exposes. H1 and H2 make different predictions about the role of elapsed time, and separating the estimators lets that difference surface cleanly. Time appears as the sole regressor in the learning curve, where it should carry weight, and as one of two regressors in the operationalization model, where the theory predicts it should not. If the same time variable is significant in the first model and insignificant in the second, that contrast is itself a finding, and it is only legible because the two estimators are kept apart.</w:t>
      </w:r>
    </w:p>
    <w:bookmarkEnd w:id="96"/>
    <w:bookmarkStart w:id="97" w:name="Xe05ae301bce4c8d4c8fa29a2c5847191f2d9643"/>
    <w:p>
      <w:pPr>
        <w:pStyle w:val="Heading2"/>
        <w:spacing w:line="480" w:lineRule="auto"/>
      </w:pPr>
      <w:r>
        <w:t xml:space="preserve">4.6 The progress ratio and its interpretation as a planning quantity</w:t>
      </w:r>
    </w:p>
    <w:p>
      <w:pPr>
        <w:pStyle w:val="FirstParagraph"/>
        <w:spacing w:line="480" w:lineRule="auto"/>
      </w:pPr>
      <w:r>
        <w:t xml:space="preserve">The progress ratio deserves fuller treatment than a one-line definition, because it is the quantity a planner actually uses and because its interpretation for a performance variable differs from its familiar interpretation for a cost variable. In the classical learning curve, applied to unit cost, the progress ratio is below one: each doubling of cumulative output cuts cost to some fraction, and an eighty-percent progress ratio means cost falls to eighty percent of its prior level per doubling. Here the dependent variable is performance rather than cost, so the arithmetic inverts. A progress ratio above one means performance rises by that multiple per doubling of the elapsed-time index, and the estimated ratio of roughly four means performance quadruples per doubling. The sign convention is the only thing that changes; the underlying mathematics, two raised to the elasticity, is identical.</w:t>
      </w:r>
    </w:p>
    <w:p>
      <w:pPr>
        <w:pStyle w:val="BodyText"/>
        <w:spacing w:line="480" w:lineRule="auto"/>
        <w:ind w:firstLine="720"/>
      </w:pPr>
      <w:r>
        <w:t xml:space="preserve">For a planner the ratio is more useful than the raw elasticity because it is stated in the doubling units that infrastructure roadmaps already use. A ground-segment plan that must serve the optical layer over, say, the next doubling of the field’s elapsed history can read directly from the ratio that it should be sized for roughly a fourfold increase in per-link throughput, subject to the wide residual variance the moderate fit implies. The elasticity and the ratio carry the same information, but the ratio carries it in a form a capacity model can consume without translation. This is why Chapter 6 reports both, and why the estimator computes the ratio as a first-class output rather than leaving it to the reader to exponentiate.</w:t>
      </w:r>
    </w:p>
    <w:bookmarkEnd w:id="97"/>
    <w:bookmarkStart w:id="98" w:name="why-not-a-richer-specification"/>
    <w:p>
      <w:pPr>
        <w:pStyle w:val="Heading2"/>
        <w:spacing w:line="480" w:lineRule="auto"/>
      </w:pPr>
      <w:r>
        <w:t xml:space="preserve">4.7 Why not a richer specification</w:t>
      </w:r>
    </w:p>
    <w:p>
      <w:pPr>
        <w:pStyle w:val="FirstParagraph"/>
        <w:spacing w:line="480" w:lineRule="auto"/>
      </w:pPr>
      <w:r>
        <w:t xml:space="preserve">A skeptical methodologist will ask why the specifications are so lean when richer models are available, and the answer is a principled one about the ratio of parameters to data rather than a confession of laziness. With twenty observations, every additional regressor consumes a degree of freedom that the small sample can ill afford, and every interaction term or higher-order polynomial risks fitting noise that will not replicate. A model with six link-budget covariates plus their interactions might achieve a higher in-sample fit, but it would do so by contorting itself around the particular twenty points in hand, and its coefficients would be neither stable nor interpretable. The lean specifications trade in-sample fit for out-of-sample credibility, which is the correct trade for a first pass over a small documented record whose purpose is to reject or fail to reject a null, not to maximize predictive accuracy.</w:t>
      </w:r>
    </w:p>
    <w:p>
      <w:pPr>
        <w:pStyle w:val="BodyText"/>
        <w:spacing w:line="480" w:lineRule="auto"/>
        <w:ind w:firstLine="720"/>
      </w:pPr>
      <w:r>
        <w:t xml:space="preserve">There is also a data-availability constraint that forecloses the richer models regardless of the degrees-of-freedom argument. The link-budget covariates that would enrich the learning curve, range and aperture and transmitter power, are simply not reported consistently across the public sources, so a specification requiring them would either shrink the usable sample below viability or force imputation of values the sources do not supply. A model that can be estimated only by inventing its own inputs is worse than a lean model estimated on real ones. The specifications are as rich as the data honestly permit, and no richer, which is a discipline rather than a shortcut.</w:t>
      </w:r>
    </w:p>
    <w:bookmarkEnd w:id="98"/>
    <w:bookmarkStart w:id="99" w:name="inference-robustness-and-reproducibility"/>
    <w:p>
      <w:pPr>
        <w:pStyle w:val="Heading2"/>
        <w:spacing w:line="480" w:lineRule="auto"/>
      </w:pPr>
      <w:r>
        <w:t xml:space="preserve">4.8 Inference, robustness, and reproducibility</w:t>
      </w:r>
    </w:p>
    <w:p>
      <w:pPr>
        <w:pStyle w:val="FirstParagraph"/>
        <w:spacing w:line="480" w:lineRule="auto"/>
      </w:pPr>
      <w:r>
        <w:t xml:space="preserve">Inference in both models uses HC1 heteroskedasticity-consistent standard errors, the appropriate default when the error variance is unlikely to be constant across such heterogeneous observations. Reporting robust standard errors rather than classical ones is a conservative choice that widens confidence intervals and makes rejection of a null harder, not easier, which is the correct posture for a small-sample claim. The dissertation reports the full estimator output, coefficients, standard errors, p-values, the coefficient of determination, and, for the operationalization model, the F statistic and its p-value, so that every inferential quantity is on the record.</w:t>
      </w:r>
    </w:p>
    <w:p>
      <w:pPr>
        <w:pStyle w:val="BodyText"/>
        <w:spacing w:line="480" w:lineRule="auto"/>
        <w:ind w:firstLine="720"/>
      </w:pPr>
      <w:r>
        <w:t xml:space="preserve">Robustness is bounded by sample size but not ignored. The learning-curve result is checked for sensitivity to the extreme high-rate points by confirming that the log transformation prevents any single observation from dominating the fit, and the operationalization result is checked against the coding rules to ensure that reclassifying the most ambiguous rows does not overturn the sign or significance of the architecture coefficient. A larger dataset would permit the platform-class stratification and out-of-sample censoring checks that the original design envisioned; with twenty observations those checks would exhaust the degrees of freedom, so they are deferred to the future-work agenda of Chapter 8 rather than performed on data too thin to support them. Every number reported in Chapter 6 is reproducible from the deposited configuration and comma-separated data files by re-running the same estimator, which is the reproducibility standard the dissertation holds itself to. The engineering context that motivates the coding, the miniaturized terminals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relay services</w:t>
      </w:r>
      <w:r>
        <w:t xml:space="preserve"> </w:t>
      </w:r>
      <w:hyperlink w:anchor="ref-4">
        <w:r>
          <w:rPr>
            <w:rStyle w:val="Hyperlink"/>
          </w:rPr>
          <w:t xml:space="preserve">[4]</w:t>
        </w:r>
      </w:hyperlink>
      <w:r>
        <w:t xml:space="preserve">, and the crosslink missions</w:t>
      </w:r>
      <w:r>
        <w:t xml:space="preserve"> </w:t>
      </w:r>
      <w:hyperlink w:anchor="ref-1">
        <w:r>
          <w:rPr>
            <w:rStyle w:val="Hyperlink"/>
          </w:rPr>
          <w:t xml:space="preserve">[1]</w:t>
        </w:r>
      </w:hyperlink>
      <w:r>
        <w:t xml:space="preserve">, is documented in the sources cited throughout, so that a reader can trace every observation from the fitted coefficient back to the mission that produced it.</w:t>
      </w:r>
    </w:p>
    <w:bookmarkEnd w:id="99"/>
    <w:bookmarkStart w:id="100" w:name="X87b339b30997c9fe7779aa0d0519aee6d71d099"/>
    <w:p>
      <w:pPr>
        <w:pStyle w:val="Heading2"/>
        <w:spacing w:line="480" w:lineRule="auto"/>
      </w:pPr>
      <w:r>
        <w:t xml:space="preserve">4.9 The choice of HC1 over classical standard errors</w:t>
      </w:r>
    </w:p>
    <w:p>
      <w:pPr>
        <w:pStyle w:val="FirstParagraph"/>
        <w:spacing w:line="480" w:lineRule="auto"/>
      </w:pPr>
      <w:r>
        <w:t xml:space="preserve">Why HC1 standard errors, and not classical ones? The decision shapes every p-value in Chapter 6, and a reader is entitled to know why the more conservative option was chosen. Classical standard errors assume that the variance of the error term is constant across observations, an assumption called homoskedasticity. In a dataset that pools deep-space links, near-Earth CubeSat downlinks, operational relays, and terminal papers, that assumption is implausible on its face: the dispersion of reported rates around the fitted curve almost certainly differs across mission classes, with deep-space observations clustering tightly below the frontier and near-Earth demonstrations scattering widely. When the constant-variance assumption fails, classical standard errors are biased, often downward, which would make coefficients look more precise than they are and would inflate the apparent significance of the findings.</w:t>
      </w:r>
    </w:p>
    <w:p>
      <w:pPr>
        <w:pStyle w:val="BodyText"/>
        <w:spacing w:line="480" w:lineRule="auto"/>
        <w:ind w:firstLine="720"/>
      </w:pPr>
      <w:r>
        <w:t xml:space="preserve">HC1 standard errors relax the constant-variance assumption, estimating the error variance observation by observation and correcting the standard errors accordingly. The HC1 variant additionally applies a small-sample degrees-of-freedom correction, which is appropriate given the twenty-observation samples. The consequence for the dissertation is uniformly conservative: HC1 standard errors are, in this setting, generally wider than their classical counterparts, so every p-value reported is harder to clear than it would be under the classical assumption. A finding that survives HC1 inference is therefore more credible than the same finding under classical inference, and choosing the conservative option is the correct posture when the goal is to reject a null only when the data genuinely warrant it. That the central coefficients clear significance under this stricter standard, rather than under the looser classical one, is part of why Chapter 7 can argue that they survive their limitations.</w:t>
      </w:r>
    </w:p>
    <w:bookmarkEnd w:id="100"/>
    <w:bookmarkStart w:id="101" w:name="X54cebee60888f9d6ef4a76c6f4a3d6b1446288e"/>
    <w:p>
      <w:pPr>
        <w:pStyle w:val="Heading2"/>
        <w:spacing w:line="480" w:lineRule="auto"/>
      </w:pPr>
      <w:r>
        <w:t xml:space="preserve">4.10 What identification means in an observational record</w:t>
      </w:r>
    </w:p>
    <w:p>
      <w:pPr>
        <w:pStyle w:val="FirstParagraph"/>
        <w:spacing w:line="480" w:lineRule="auto"/>
      </w:pPr>
      <w:r>
        <w:t xml:space="preserve">A final conceptual point closes the chapter, because the word identification is used throughout and its meaning in an observational, non-experimental record is easy to overstate. Identification in a controlled experiment means isolating a causal effect by randomization. Neither estimator here is an experiment, and neither claims randomization. What identification means in this observational setting is more modest and must be stated precisely: it means that, under stated assumptions, the estimated coefficient corresponds to a well-defined feature of the population, namely the average proportional association between time and rate for the learning curve, and the average difference in service probability by architecture for the operationalization model. The assumptions are the ones stated in Sections 4.2 and 4.4: that elapsed time proxies cumulative experience, and that the service and architecture codings reflect network role. Under those assumptions the coefficients are identified as associations, not as causal effects. The dissertation is careful throughout to phrase its conclusions as associations and envelopes rather than as causal laws, and this section states, once and plainly, that the careful phrasing is a substantive commitment about what the estimators can and cannot identify, not a rhetorical hedge.</w:t>
      </w:r>
    </w:p>
    <w:bookmarkEnd w:id="101"/>
    <w:bookmarkEnd w:id="102"/>
    <w:bookmarkStart w:id="114" w:name="chapter-5.-data-and-measurement"/>
    <w:p>
      <w:pPr>
        <w:pStyle w:val="Heading1"/>
        <w:spacing w:line="480" w:lineRule="auto"/>
      </w:pPr>
      <w:r>
        <w:t xml:space="preserve">Chapter 5. Data and Measurement</w:t>
      </w:r>
    </w:p>
    <w:p>
      <w:pPr>
        <w:pStyle w:val="FirstParagraph"/>
        <w:spacing w:line="480" w:lineRule="auto"/>
      </w:pPr>
      <w:r>
        <w:t xml:space="preserve">The credibility of every coefficient in Chapter 6 rests on the dataset described here. Two datasets, in fact, each with twenty observations, share a common backbone of missions but differ in their outcome variable and coding. The learning-curve dataset records reported link rate; the operationalization dataset records service status and architecture. This chapter documents the unit of analysis, the sources, the construction of each variable, the coding rules, and the corroboration discipline, so that a reader can trace any row back to the mission that produced it and, if they wish, recompute the entire analysis.</w:t>
      </w:r>
    </w:p>
    <w:bookmarkStart w:id="103" w:name="unit-of-analysis-and-coverage"/>
    <w:p>
      <w:pPr>
        <w:pStyle w:val="Heading2"/>
        <w:spacing w:line="480" w:lineRule="auto"/>
      </w:pPr>
      <w:r>
        <w:t xml:space="preserve">5.1 Unit of analysis and coverage</w:t>
      </w:r>
    </w:p>
    <w:p>
      <w:pPr>
        <w:pStyle w:val="FirstParagraph"/>
        <w:spacing w:line="480" w:lineRule="auto"/>
      </w:pPr>
      <w:r>
        <w:t xml:space="preserve">Consider the unit of analysis first. It is a reported mission, system, service, or terminal observation drawn from the public record of space laser communications. Each row corresponds to a distinct optical communications event or capability: a demonstration mission, an operational relay service, a constellation crosslink deployment, or a published terminal design flown or characterized for flight. The record begins in 1995 with the first-generation orbital laser communication experiment aboard ETS-VI and extends through 2024 for the learning-curve dataset and through 2025 for the operationalization dataset, which includes two recent crosslink-demonstration entries at the end of the window.</w:t>
      </w:r>
    </w:p>
    <w:p>
      <w:pPr>
        <w:pStyle w:val="BodyText"/>
        <w:spacing w:line="480" w:lineRule="auto"/>
        <w:ind w:firstLine="720"/>
      </w:pPr>
      <w:r>
        <w:t xml:space="preserve">Coverage is deliberately broad across mission class. The learning-curve dataset spans government demonstrations, operational relay services, lunar and ISS downlinks, CubeSat demonstrations, terminal papers, and deep-space links. This heterogeneity is a feature, not a defect, because the research question concerns the observed performance envelope of the field as a whole rather than the behavior of any single mission class. A dataset restricted to, say, operational relays would answer a narrower question and could not test whether the pooled record shows temporal scaling.</w:t>
      </w:r>
    </w:p>
    <w:bookmarkEnd w:id="103"/>
    <w:bookmarkStart w:id="104" w:name="sources-and-provenance"/>
    <w:p>
      <w:pPr>
        <w:pStyle w:val="Heading2"/>
        <w:spacing w:line="480" w:lineRule="auto"/>
      </w:pPr>
      <w:r>
        <w:t xml:space="preserve">5.2 Sources and provenance</w:t>
      </w:r>
    </w:p>
    <w:p>
      <w:pPr>
        <w:pStyle w:val="FirstParagraph"/>
        <w:spacing w:line="480" w:lineRule="auto"/>
      </w:pPr>
      <w:r>
        <w:t xml:space="preserve">Every observation carries a source in the final column of its data file, and no observation is illustrative or invented. The sources fall into five families. NASA mission pages and technology fact sheets support the rows for the Lunar Laser Communication Demonstration</w:t>
      </w:r>
      <w:r>
        <w:t xml:space="preserve"> </w:t>
      </w:r>
      <w:hyperlink w:anchor="ref-10">
        <w:r>
          <w:rPr>
            <w:rStyle w:val="Hyperlink"/>
          </w:rPr>
          <w:t xml:space="preserve">[10]</w:t>
        </w:r>
      </w:hyperlink>
      <w:r>
        <w:t xml:space="preserve">, the ISS optical payload OPALS</w:t>
      </w:r>
      <w:r>
        <w:t xml:space="preserve"> </w:t>
      </w:r>
      <w:hyperlink w:anchor="ref-11">
        <w:r>
          <w:rPr>
            <w:rStyle w:val="Hyperlink"/>
          </w:rPr>
          <w:t xml:space="preserve">[11]</w:t>
        </w:r>
      </w:hyperlink>
      <w:r>
        <w:t xml:space="preserve">, the TBIRD CubeSat downlink demonstrations</w:t>
      </w:r>
      <w:r>
        <w:t xml:space="preserve"> </w:t>
      </w:r>
      <w:hyperlink w:anchor="ref-12">
        <w:r>
          <w:rPr>
            <w:rStyle w:val="Hyperlink"/>
          </w:rPr>
          <w:t xml:space="preserve">[12]</w:t>
        </w:r>
      </w:hyperlink>
      <w:r>
        <w:t xml:space="preserve">, the Laser Communications Relay Demonstration</w:t>
      </w:r>
      <w:r>
        <w:t xml:space="preserve"> </w:t>
      </w:r>
      <w:hyperlink w:anchor="ref-13">
        <w:r>
          <w:rPr>
            <w:rStyle w:val="Hyperlink"/>
          </w:rPr>
          <w:t xml:space="preserve">[13]</w:t>
        </w:r>
      </w:hyperlink>
      <w:r>
        <w:t xml:space="preserve">, the ILLUMA-T user terminal</w:t>
      </w:r>
      <w:r>
        <w:t xml:space="preserve"> </w:t>
      </w:r>
      <w:hyperlink w:anchor="ref-14">
        <w:r>
          <w:rPr>
            <w:rStyle w:val="Hyperlink"/>
          </w:rPr>
          <w:t xml:space="preserve">[14]</w:t>
        </w:r>
      </w:hyperlink>
      <w:r>
        <w:t xml:space="preserve">, and the Deep Space Optical Communications payload</w:t>
      </w:r>
      <w:r>
        <w:t xml:space="preserve"> </w:t>
      </w:r>
      <w:hyperlink w:anchor="ref-15">
        <w:r>
          <w:rPr>
            <w:rStyle w:val="Hyperlink"/>
          </w:rPr>
          <w:t xml:space="preserve">[15]</w:t>
        </w:r>
      </w:hyperlink>
      <w:r>
        <w:t xml:space="preserve">. European Space Agency program material supports the SpaceDataHighway and EDRS relay-service rows</w:t>
      </w:r>
      <w:r>
        <w:t xml:space="preserve"> </w:t>
      </w:r>
      <w:hyperlink w:anchor="ref-16">
        <w:r>
          <w:rPr>
            <w:rStyle w:val="Hyperlink"/>
          </w:rPr>
          <w:t xml:space="preserve">[16]</w:t>
        </w:r>
      </w:hyperlink>
      <w:r>
        <w:t xml:space="preserve">. JAXA and NICT historical summaries support the ETS-VI and OICETS lineage</w:t>
      </w:r>
      <w:r>
        <w:t xml:space="preserve"> </w:t>
      </w:r>
      <w:hyperlink w:anchor="ref-17">
        <w:r>
          <w:rPr>
            <w:rStyle w:val="Hyperlink"/>
          </w:rPr>
          <w:t xml:space="preserve">[17]</w:t>
        </w:r>
      </w:hyperlink>
      <w:r>
        <w:t xml:space="preserve">. Peer-reviewed Acta Astronautica papers support the terminal-design rows, including the LaserCube terminal</w:t>
      </w:r>
      <w:r>
        <w:t xml:space="preserve"> </w:t>
      </w:r>
      <w:hyperlink w:anchor="ref-6">
        <w:r>
          <w:rPr>
            <w:rStyle w:val="Hyperlink"/>
          </w:rPr>
          <w:t xml:space="preserve">[6]</w:t>
        </w:r>
      </w:hyperlink>
      <w:r>
        <w:t xml:space="preserve"> </w:t>
      </w:r>
      <w:r>
        <w:t xml:space="preserve">and the CubeLCT state of the art</w:t>
      </w:r>
      <w:r>
        <w:t xml:space="preserve"> </w:t>
      </w:r>
      <w:hyperlink w:anchor="ref-5">
        <w:r>
          <w:rPr>
            <w:rStyle w:val="Hyperlink"/>
          </w:rPr>
          <w:t xml:space="preserve">[5]</w:t>
        </w:r>
      </w:hyperlink>
      <w:r>
        <w:t xml:space="preserve">. AMOS conference material and additional Acta papers support the late crosslink observations, including the crosslink CubeSat mission</w:t>
      </w:r>
      <w:r>
        <w:t xml:space="preserve"> </w:t>
      </w:r>
      <w:hyperlink w:anchor="ref-1">
        <w:r>
          <w:rPr>
            <w:rStyle w:val="Hyperlink"/>
          </w:rPr>
          <w:t xml:space="preserve">[1]</w:t>
        </w:r>
      </w:hyperlink>
      <w:r>
        <w:t xml:space="preserve"> </w:t>
      </w:r>
      <w:r>
        <w:t xml:space="preserve">and the VISION nanosatellite formation crosslink concept</w:t>
      </w:r>
      <w:r>
        <w:t xml:space="preserve"> </w:t>
      </w:r>
      <w:hyperlink w:anchor="ref-30">
        <w:r>
          <w:rPr>
            <w:rStyle w:val="Hyperlink"/>
          </w:rPr>
          <w:t xml:space="preserve">[30]</w:t>
        </w:r>
      </w:hyperlink>
      <w:r>
        <w:t xml:space="preserve">.</w:t>
      </w:r>
    </w:p>
    <w:p>
      <w:pPr>
        <w:pStyle w:val="BodyText"/>
        <w:spacing w:line="480" w:lineRule="auto"/>
        <w:ind w:firstLine="720"/>
      </w:pPr>
      <w:r>
        <w:t xml:space="preserve">Provenance discipline follows a simple rule stated in the prospectus and honored in construction. Each spacecraft or system record carries the source database or publication, the corroborating agency description or filing where one exists, and the year of first operational service or demonstration. Rate values are transcribed from the source as reported, not derived or rounded to a convenient figure. Where a source reports a rate in gigabits, it is converted to megabits for consistency of units, so that the 5.625-gigabit NFIRE-to-TerraSAR-X intersatellite link enters the dataset as 5,625 megabits per second and the 1.8-gigabit SpaceDataHighway service enters as 1,800. No transformation beyond unit conversion is applied to the raw reported values before the logarithm.</w:t>
      </w:r>
    </w:p>
    <w:bookmarkEnd w:id="104"/>
    <w:bookmarkStart w:id="105" w:name="the-learning-curve-variables"/>
    <w:p>
      <w:pPr>
        <w:pStyle w:val="Heading2"/>
        <w:spacing w:line="480" w:lineRule="auto"/>
      </w:pPr>
      <w:r>
        <w:t xml:space="preserve">5.3 The learning-curve variables</w:t>
      </w:r>
    </w:p>
    <w:p>
      <w:pPr>
        <w:pStyle w:val="FirstParagraph"/>
        <w:spacing w:line="480" w:lineRule="auto"/>
      </w:pPr>
      <w:r>
        <w:t xml:space="preserve">Start with the dependent variable. In the first dataset it is</w:t>
      </w:r>
      <w:r>
        <w:t xml:space="preserve"> </w:t>
      </w:r>
      <w:r>
        <w:rPr>
          <w:rStyle w:val="VerbatimChar"/>
        </w:rPr>
        <w:t xml:space="preserve">link_rate_mbps</w:t>
      </w:r>
      <w:r>
        <w:t xml:space="preserve">, the reported optical communication link rate in megabits per second for a mission, terminal, or service demonstration. It is transcribed from mission agency pages, NASA technology reports, Acta Astronautica papers, AMOS papers, ESA and DLR program material, and JPL DSOC releases. The values span an enormous range, from the 1.024-megabit ETS-VI experiment and the 2-megabit LUCE pathfinder mode at the low end to the 100,000- and 200,000-megabit TBIRD downlinks at the high end. This five-order-of-magnitude spread is what motivates the logarithmic specification of Chapter 4.</w:t>
      </w:r>
    </w:p>
    <w:p>
      <w:pPr>
        <w:pStyle w:val="BodyText"/>
        <w:spacing w:line="480" w:lineRule="auto"/>
        <w:ind w:firstLine="720"/>
      </w:pPr>
      <w:r>
        <w:t xml:space="preserve">The explanatory variable is</w:t>
      </w:r>
      <w:r>
        <w:t xml:space="preserve"> </w:t>
      </w:r>
      <w:r>
        <w:rPr>
          <w:rStyle w:val="VerbatimChar"/>
        </w:rPr>
        <w:t xml:space="preserve">years_since_1994</w:t>
      </w:r>
      <w:r>
        <w:t xml:space="preserve">, a positive time index equal to the observation year minus 1994, constructed from each source’s reported mission, service, or publication year. The 1994 baseline is the year before the first-generation orbital demonstration, chosen so that the earliest observation sits at a time index of one and the logarithm is defined for every row. The index ranges from one for the 1995 ETS-VI experiment to thirty for the 2024 DSOC downlink. Because the index is a simple linear function of calendar year, it inherits the calendar’s meaning while placing the origin where the learning curve requires it.</w:t>
      </w:r>
    </w:p>
    <w:p>
      <w:pPr>
        <w:pStyle w:val="BodyText"/>
        <w:spacing w:line="480" w:lineRule="auto"/>
        <w:ind w:firstLine="720"/>
      </w:pPr>
      <w:r>
        <w:t xml:space="preserve">Two features of the rate variable deserve emphasis because they shape the interpretation. First, the deep-space observations are low by design: the DSOC first-light link reports 267 megabits and the 2024 farthest-distance downlink reports 25 megabits, both far below near-Earth demonstrations of the same era, because deep-space distance imposes a far harder link budget</w:t>
      </w:r>
      <w:r>
        <w:t xml:space="preserve"> </w:t>
      </w:r>
      <w:hyperlink w:anchor="ref-15">
        <w:r>
          <w:rPr>
            <w:rStyle w:val="Hyperlink"/>
          </w:rPr>
          <w:t xml:space="preserve">[15]</w:t>
        </w:r>
      </w:hyperlink>
      <w:r>
        <w:t xml:space="preserve">. Second, the terminal-paper rows report a data-rate class rather than an achieved flight rate, entering the LaserCube and CubeLCT terminals at their characterized hundred-megabit class</w:t>
      </w:r>
      <w:r>
        <w:t xml:space="preserve"> </w:t>
      </w:r>
      <w:hyperlink w:anchor="ref-6">
        <w:r>
          <w:rPr>
            <w:rStyle w:val="Hyperlink"/>
          </w:rPr>
          <w:t xml:space="preserve">[6]</w:t>
        </w:r>
      </w:hyperlink>
      <w:r>
        <w:t xml:space="preserve"> </w:t>
      </w:r>
      <w:hyperlink w:anchor="ref-5">
        <w:r>
          <w:rPr>
            <w:rStyle w:val="Hyperlink"/>
          </w:rPr>
          <w:t xml:space="preserve">[5]</w:t>
        </w:r>
      </w:hyperlink>
      <w:r>
        <w:t xml:space="preserve">. Both features widen the residual variance and are the reason the learning curve is expected to explain a moderate rather than an overwhelming share of the variation.</w:t>
      </w:r>
    </w:p>
    <w:bookmarkEnd w:id="105"/>
    <w:bookmarkStart w:id="106" w:name="the-operationalization-variables"/>
    <w:p>
      <w:pPr>
        <w:pStyle w:val="Heading2"/>
        <w:spacing w:line="480" w:lineRule="auto"/>
      </w:pPr>
      <w:r>
        <w:t xml:space="preserve">5.4 The operationalization variables</w:t>
      </w:r>
    </w:p>
    <w:p>
      <w:pPr>
        <w:pStyle w:val="FirstParagraph"/>
        <w:spacing w:line="480" w:lineRule="auto"/>
      </w:pPr>
      <w:r>
        <w:t xml:space="preserve">Now turn to the second dataset. It shares the mission backbone but recodes the outcome. Its dependent variable is</w:t>
      </w:r>
      <w:r>
        <w:t xml:space="preserve"> </w:t>
      </w:r>
      <w:r>
        <w:rPr>
          <w:rStyle w:val="VerbatimChar"/>
        </w:rPr>
        <w:t xml:space="preserve">operational_service</w:t>
      </w:r>
      <w:r>
        <w:t xml:space="preserve">, a binary indicator equal to one when the observation represents an operational relay, crosslink, or constellation service and zero when it represents a standalone demonstration or a terminal paper. It is coded from mission agency descriptions, ESA and DLR service descriptions, NASA mission pages, SpaceX and FCC constellation records, and the retrieved literature. It equals one for SILEX, EDRS-A, EDRS-C, LCRD, ILLUMA-T, and the Starlink laser-link entries, and zero for the standalone demonstrations and terminal papers.</w:t>
      </w:r>
    </w:p>
    <w:p>
      <w:pPr>
        <w:pStyle w:val="BodyText"/>
        <w:spacing w:line="480" w:lineRule="auto"/>
        <w:ind w:firstLine="720"/>
      </w:pPr>
      <w:r>
        <w:t xml:space="preserve">The first explanatory variable is again</w:t>
      </w:r>
      <w:r>
        <w:t xml:space="preserve"> </w:t>
      </w:r>
      <w:r>
        <w:rPr>
          <w:rStyle w:val="VerbatimChar"/>
        </w:rPr>
        <w:t xml:space="preserve">years_since_1994</w:t>
      </w:r>
      <w:r>
        <w:t xml:space="preserve">, identical in construction to the learning-curve dataset. The second is</w:t>
      </w:r>
      <w:r>
        <w:t xml:space="preserve"> </w:t>
      </w:r>
      <w:r>
        <w:rPr>
          <w:rStyle w:val="VerbatimChar"/>
        </w:rPr>
        <w:t xml:space="preserve">crosslink_or_relay</w:t>
      </w:r>
      <w:r>
        <w:t xml:space="preserve">, a binary indicator equal to one when the optical system provides intersatellite crosslink or relay service rather than only direct downlink. It is coded from source descriptions of SILEX, EDRS, LCRD, ILLUMA-T, Starlink laser links, and the other mission records. The distinction between C and O is deliberate and central to the design: an observation can be a crosslink architecture without yet being an operational service, as with the recent VISION and crosslink-CubeSat demonstrations, which are coded C equal to one and O equal to zero because they demonstrate the network function without yet delivering routine service</w:t>
      </w:r>
      <w:r>
        <w:t xml:space="preserve"> </w:t>
      </w:r>
      <w:hyperlink w:anchor="ref-1">
        <w:r>
          <w:rPr>
            <w:rStyle w:val="Hyperlink"/>
          </w:rPr>
          <w:t xml:space="preserve">[1]</w:t>
        </w:r>
      </w:hyperlink>
      <w:r>
        <w:t xml:space="preserve"> </w:t>
      </w:r>
      <w:hyperlink w:anchor="ref-30">
        <w:r>
          <w:rPr>
            <w:rStyle w:val="Hyperlink"/>
          </w:rPr>
          <w:t xml:space="preserve">[30]</w:t>
        </w:r>
      </w:hyperlink>
      <w:r>
        <w:t xml:space="preserve">.</w:t>
      </w:r>
    </w:p>
    <w:bookmarkEnd w:id="106"/>
    <w:bookmarkStart w:id="107" w:name="coding-rules-and-conservatism"/>
    <w:p>
      <w:pPr>
        <w:pStyle w:val="Heading2"/>
        <w:spacing w:line="480" w:lineRule="auto"/>
      </w:pPr>
      <w:r>
        <w:t xml:space="preserve">5.5 Coding rules and conservatism</w:t>
      </w:r>
    </w:p>
    <w:p>
      <w:pPr>
        <w:pStyle w:val="FirstParagraph"/>
        <w:spacing w:line="480" w:lineRule="auto"/>
      </w:pPr>
      <w:r>
        <w:t xml:space="preserve">The coding is conservative by construction, and the rule for ambiguous cases is stated so it can be audited. An observation is coded as operational service only when the public source describes routine relay, crosslink, or constellation service rather than a one-time demonstration. This means that some transitional missions that are close to operational use are coded zero, which biases the estimated architecture effect downward rather than upward. OICETS and the NFIRE-to-TerraSAR-X link, for example, are genuine intersatellite crosslink demonstrations and are coded C equal to one, but they are coded O equal to zero because the sources describe them as demonstrations rather than services. The effect of this conservatism is that a large, significant architecture coefficient in Chapter 6 is a lower bound on the true association, not an inflated one.</w:t>
      </w:r>
    </w:p>
    <w:p>
      <w:pPr>
        <w:pStyle w:val="BodyText"/>
        <w:spacing w:line="480" w:lineRule="auto"/>
        <w:ind w:firstLine="720"/>
      </w:pPr>
      <w:r>
        <w:t xml:space="preserve">The purpose of the coding, stated plainly, is not to label a program permanently or to adjudicate its engineering merit. It is to separate networked service architecture from isolated demonstration records using the public descriptions as they stand. A mission that graduates from demonstration to service in a later year would properly appear as two observations, and the dataset does treat some programs this way where the record supports it, as with the separate EDRS-A and EDRS-C entries and the separate Starlink Gen1 and Gen2 crosslink deployments.</w:t>
      </w:r>
    </w:p>
    <w:p>
      <w:pPr>
        <w:pStyle w:val="BodyText"/>
        <w:spacing w:line="480" w:lineRule="auto"/>
        <w:ind w:firstLine="720"/>
      </w:pPr>
      <w:r>
        <w:t xml:space="preserve">Conservatism is the rule. Ambiguity is coded against the hypothesis. The effect is a lower bound, not an inflated one.</w:t>
      </w:r>
    </w:p>
    <w:bookmarkEnd w:id="107"/>
    <w:bookmarkStart w:id="108" w:name="the-starlink-observations-and-disclosure"/>
    <w:p>
      <w:pPr>
        <w:pStyle w:val="Heading2"/>
        <w:spacing w:line="480" w:lineRule="auto"/>
      </w:pPr>
      <w:r>
        <w:t xml:space="preserve">5.6 The Starlink observations and disclosure</w:t>
      </w:r>
    </w:p>
    <w:p>
      <w:pPr>
        <w:pStyle w:val="FirstParagraph"/>
        <w:spacing w:line="480" w:lineRule="auto"/>
      </w:pPr>
      <w:r>
        <w:t xml:space="preserve">Two rows warrant separate discussion. They rest on commercial rather than agency disclosure. The Starlink observations, the v1.5 laser intersatellite links and the Gen2 laser links, are coded from SpaceX and FCC public materials describing optical intersatellite links on the constellation, and both are coded as crosslink architecture and operational service. These rows carry more coding risk than the agency missions, because commercial operators disclose payload details selectively and the public record is less complete than a structured spacecraft-level database would be. The dissertation flags this openly. The Starlink observations are the clearest instance where disclosure bias could affect the coding, and Chapter 7 treats disclosure bias as a named threat to validity rather than burying it.</w:t>
      </w:r>
    </w:p>
    <w:bookmarkEnd w:id="108"/>
    <w:bookmarkStart w:id="109" w:name="X613376c81920713f9ef3f46ed943ec061c8f49a"/>
    <w:p>
      <w:pPr>
        <w:pStyle w:val="Heading2"/>
        <w:spacing w:line="480" w:lineRule="auto"/>
      </w:pPr>
      <w:r>
        <w:t xml:space="preserve">5.7 A walk through representative observations</w:t>
      </w:r>
    </w:p>
    <w:p>
      <w:pPr>
        <w:pStyle w:val="FirstParagraph"/>
        <w:spacing w:line="480" w:lineRule="auto"/>
      </w:pPr>
      <w:r>
        <w:t xml:space="preserve">Because the datasets are small enough to inspect row by row, it is worth walking through several representative observations to show how the coding rules apply in practice, since an abstract rule is only as good as its application to hard cases. Consider the 2008 NFIRE-to-TerraSAR-X link, which reports 5,625 megabits per second [the DLR and Tesat flight-demonstration literature documents the 5.625-gigabit intersatellite link]. In the learning-curve dataset it enters as a high early rate, one of the fastest points of its era, and it pulls the early portion of the curve upward. In the operationalization dataset the same mission is coded as crosslink architecture, because it is a genuine intersatellite link, but as a demonstration rather than a service, because the sources describe a flight demonstration rather than a routine relay. This split coding is exactly the design at work: the mission is architecturally a crosslink yet operationally a demonstration, and the two datasets record the two facts separately.</w:t>
      </w:r>
    </w:p>
    <w:p>
      <w:pPr>
        <w:pStyle w:val="BodyText"/>
        <w:spacing w:line="480" w:lineRule="auto"/>
        <w:ind w:firstLine="720"/>
      </w:pPr>
      <w:r>
        <w:t xml:space="preserve">Contrast this with the 2016 EDRS-A SpaceDataHighway entry. It reports 1,800 megabits, a lower rate than the 2008 NFIRE link, yet it is coded as both crosslink architecture and operational service, because the European relay program delivers routine relay service to users rather than a one-time demonstration</w:t>
      </w:r>
      <w:r>
        <w:t xml:space="preserve"> </w:t>
      </w:r>
      <w:hyperlink w:anchor="ref-16">
        <w:r>
          <w:rPr>
            <w:rStyle w:val="Hyperlink"/>
          </w:rPr>
          <w:t xml:space="preserve">[16]</w:t>
        </w:r>
      </w:hyperlink>
      <w:r>
        <w:t xml:space="preserve">. The juxtaposition of these two rows is instructive. A newer, faster link is a demonstration; an older, slower one is operational service. This is precisely the pattern that makes calendar time a poor predictor of operationalization and architecture-embedded-in-service a good one, and it is visible in two adjacent rows of the raw data before any model is fit. The deep-space rows sharpen the same point from the other direction: the 2023 DSOC first-light link reports a respectable 267 megabits and the 2024 farthest downlink only 25, and both are coded as direct demonstrations despite representing the most advanced deep-space optical technology flown, because neither routes operational traffic</w:t>
      </w:r>
      <w:r>
        <w:t xml:space="preserve"> </w:t>
      </w:r>
      <w:hyperlink w:anchor="ref-15">
        <w:r>
          <w:rPr>
            <w:rStyle w:val="Hyperlink"/>
          </w:rPr>
          <w:t xml:space="preserve">[15]</w:t>
        </w:r>
      </w:hyperlink>
      <w:r>
        <w:t xml:space="preserve">.</w:t>
      </w:r>
    </w:p>
    <w:bookmarkEnd w:id="109"/>
    <w:bookmarkStart w:id="110" w:name="X7f27ce0fb7dc6872b21da9f8ad695b4882fb40a"/>
    <w:p>
      <w:pPr>
        <w:pStyle w:val="Heading2"/>
        <w:spacing w:line="480" w:lineRule="auto"/>
      </w:pPr>
      <w:r>
        <w:t xml:space="preserve">5.8 Cross-dataset consistency and the shared backbone</w:t>
      </w:r>
    </w:p>
    <w:p>
      <w:pPr>
        <w:pStyle w:val="FirstParagraph"/>
        <w:spacing w:line="480" w:lineRule="auto"/>
      </w:pPr>
      <w:r>
        <w:t xml:space="preserve">The two datasets share a backbone of missions but are not identical, and the relationship between them is worth stating precisely so a reader understands what is held constant and what varies. Both datasets draw on the same underlying population of optical-communications events, and many missions appear in both: ETS-VI, SILEX, OICETS, NFIRE, LADEE, OPALS, the EDRS services, LCRD, TBIRD, ILLUMA-T, and DSOC are common to both. The learning-curve dataset adds observations that carry a reported rate but whose service status is not the object of study, and it splits the two LADEE directions into separate downlink and uplink rows because each carries a distinct rate. The operationalization dataset adds the Starlink crosslink deployments and the late VISION and crosslink-CubeSat demonstrations, which carry an architecture and service coding but whose rate is not the object of that model.</w:t>
      </w:r>
    </w:p>
    <w:p>
      <w:pPr>
        <w:pStyle w:val="BodyText"/>
        <w:spacing w:line="480" w:lineRule="auto"/>
        <w:ind w:firstLine="720"/>
      </w:pPr>
      <w:r>
        <w:t xml:space="preserve">This shared-backbone design is deliberate. It means the two findings are not drawn from disjoint samples that might differ in unmeasured ways; they are two views of substantially the same field, coded for two different outcomes. When Chapter 6 reads the two results together to argue that performance scales with time while service follows architecture, the argument is strengthened by the fact that the two models see largely the same missions. The reversal in the role of the time variable, significant for rate, insignificant for service, is therefore a statement about the same underlying population viewed through two outcomes, not an artifact of two unrelated datasets that happen to point in different directions.</w:t>
      </w:r>
    </w:p>
    <w:bookmarkEnd w:id="110"/>
    <w:bookmarkStart w:id="111" w:name="Xcecb09a4cbf8ab9e000552c3bab86db9a1c805d"/>
    <w:p>
      <w:pPr>
        <w:pStyle w:val="Heading2"/>
        <w:spacing w:line="480" w:lineRule="auto"/>
      </w:pPr>
      <w:r>
        <w:t xml:space="preserve">5.9 Sample size, exclusions, and what the dataset is not</w:t>
      </w:r>
    </w:p>
    <w:p>
      <w:pPr>
        <w:pStyle w:val="FirstParagraph"/>
        <w:spacing w:line="480" w:lineRule="auto"/>
      </w:pPr>
      <w:r>
        <w:t xml:space="preserve">Both datasets contain twenty observations, a number set by the size of the well-corroborated public record over the window rather than by an arbitrary cap. Observations that could not be corroborated from at least the primary source, with a corroborating description where the prospectus discipline required one, were excluded from the analysis rather than coded on a single unverified claim. The dataset is therefore smaller than an exhaustive inventory of every optical payload ever flown, because it privileges corroboration over coverage.</w:t>
      </w:r>
    </w:p>
    <w:p>
      <w:pPr>
        <w:pStyle w:val="BodyText"/>
        <w:spacing w:line="480" w:lineRule="auto"/>
        <w:ind w:firstLine="720"/>
      </w:pPr>
      <w:r>
        <w:t xml:space="preserve">What the dataset is not is equally important to state. It is not a link-budget-normalized engineering database. It does not record range, aperture, wavelength, coding, transmitter power, or atmospheric path, because those fields are not reported consistently across the public sources. It is not a complete spacecraft-level census, because classified programs and selectively disclosed commercial payloads fall outside its reach. And it is not a longitudinal panel with repeated measures on the same spacecraft, but a cross-section of distinct mission and terminal observations. These boundaries are the honest perimeter of the measurement, and every claim in the following chapters is scoped to stay inside it. Within that perimeter, the dataset is fully documented, corroborated, and reproducible, and it is sufficient to test the two hypotheses exactly as Chapter 3 stated them and Chapter 4 specified them. The terminal and mission literature that anchors the rows, from miniaturized small-satellite terminals</w:t>
      </w:r>
      <w:r>
        <w:t xml:space="preserve"> </w:t>
      </w:r>
      <w:hyperlink w:anchor="ref-2">
        <w:r>
          <w:rPr>
            <w:rStyle w:val="Hyperlink"/>
          </w:rPr>
          <w:t xml:space="preserve">[2]</w:t>
        </w:r>
      </w:hyperlink>
      <w:r>
        <w:t xml:space="preserve"> </w:t>
      </w:r>
      <w:r>
        <w:t xml:space="preserve">to the crosslink and relay missions that define the operational category</w:t>
      </w:r>
      <w:r>
        <w:t xml:space="preserve"> </w:t>
      </w:r>
      <w:hyperlink w:anchor="ref-4">
        <w:r>
          <w:rPr>
            <w:rStyle w:val="Hyperlink"/>
          </w:rPr>
          <w:t xml:space="preserve">[4]</w:t>
        </w:r>
      </w:hyperlink>
      <w:r>
        <w:t xml:space="preserve">, is cited throughout so that the path from coefficient to source remains open at every step.</w:t>
      </w:r>
    </w:p>
    <w:bookmarkEnd w:id="111"/>
    <w:bookmarkStart w:id="112" w:name="Xfa8f641b7f4186de0140a1597c18a5ff6534b6e"/>
    <w:p>
      <w:pPr>
        <w:pStyle w:val="Heading2"/>
        <w:spacing w:line="480" w:lineRule="auto"/>
      </w:pPr>
      <w:r>
        <w:t xml:space="preserve">5.10 Unit conventions and the treatment of extreme values</w:t>
      </w:r>
    </w:p>
    <w:p>
      <w:pPr>
        <w:pStyle w:val="FirstParagraph"/>
        <w:spacing w:line="480" w:lineRule="auto"/>
      </w:pPr>
      <w:r>
        <w:t xml:space="preserve">Two measurement conventions shape the datasets in ways a careful reader should understand, because they affect how the extreme observations enter the models. The first is the unit convention for link rate. All rates are expressed in megabits per second, and rates reported by sources in gigabits are converted by multiplying by one thousand. This keeps the dependent variable on a single scale and lets the logarithm operate uniformly. The convention has no effect on the estimated elasticity, because a constant multiplicative rescaling of the dependent variable shifts only the intercept in a log-log regression and leaves the slope untouched. It does, however, make the raw data easier to read and audit, since a reviewer comparing the 1.024-megabit ETS-VI experiment against the 200,000-megabit TBIRD downlink can see the five-order-of-magnitude span directly rather than mentally converting mixed units.</w:t>
      </w:r>
    </w:p>
    <w:p>
      <w:pPr>
        <w:pStyle w:val="BodyText"/>
        <w:spacing w:line="480" w:lineRule="auto"/>
        <w:ind w:firstLine="720"/>
      </w:pPr>
      <w:r>
        <w:t xml:space="preserve">The second convention concerns the treatment of the extreme high-rate observations, the two TBIRD downlinks at 100,000 and 200,000 megabits. In a levels regression these two points would dominate the fit, because their absolute magnitude dwarfs every other observation, and the estimated slope would be little more than a line drawn to those two points. The logarithmic transformation is what prevents this. In logs, the TBIRD points are large but not overwhelming, contributing the same weight per order of magnitude as any other observation, so the fit reflects the whole population rather than its two largest members. This is a substantive reason for the log specification beyond the theoretical multiplicative-scaling argument of Chapter 4: it is also the transformation that makes a twenty-point dataset with a five-order span estimable without a handful of points hijacking the result. The deep-space observations at the low end play the mirror-image role, anchoring the curve at recent dates with modest rates, and together the extreme high and low points bracket the fit rather than distort it.</w:t>
      </w:r>
    </w:p>
    <w:bookmarkEnd w:id="112"/>
    <w:bookmarkStart w:id="113" w:name="reproducibility-of-the-coding-itself"/>
    <w:p>
      <w:pPr>
        <w:pStyle w:val="Heading2"/>
        <w:spacing w:line="480" w:lineRule="auto"/>
      </w:pPr>
      <w:r>
        <w:t xml:space="preserve">5.11 Reproducibility of the coding itself</w:t>
      </w:r>
    </w:p>
    <w:p>
      <w:pPr>
        <w:pStyle w:val="FirstParagraph"/>
        <w:spacing w:line="480" w:lineRule="auto"/>
      </w:pPr>
      <w:r>
        <w:t xml:space="preserve">Reproducibility usually refers to recomputing a model from a fixed dataset, but for a hand-coded dataset it must extend one step further, to the reproducibility of the coding decisions themselves. The dissertation supports this by stating the coding rules explicitly, by recording a source for every observation, and by identifying the specific rows where coding judgment was exercised. A second analyst working from the same public sources and the same stated rules would reproduce the coding of the unambiguous majority of observations exactly, and would face the same small set of judgment calls, the transitional crosslink demonstrations and the commercially disclosed constellation rows, that this dissertation flags. Reproducibility of coding does not require that every analyst agree on every judgment call; it requires that the judgment calls be visible and that the rule for resolving them be stated. Both conditions are met here, which is the strongest form of coding transparency a hand-coded dataset can offer, and it is the reason Chapter 7 can reason about the sensitivity of the findings to alternative codings rather than treating the coding as an opaque given.</w:t>
      </w:r>
    </w:p>
    <w:bookmarkEnd w:id="113"/>
    <w:bookmarkEnd w:id="114"/>
    <w:bookmarkStart w:id="125" w:name="chapter-6.-results"/>
    <w:p>
      <w:pPr>
        <w:pStyle w:val="Heading1"/>
        <w:spacing w:line="480" w:lineRule="auto"/>
      </w:pPr>
      <w:r>
        <w:t xml:space="preserve">Chapter 6. Results</w:t>
      </w:r>
    </w:p>
    <w:p>
      <w:pPr>
        <w:pStyle w:val="FirstParagraph"/>
        <w:spacing w:line="480" w:lineRule="auto"/>
      </w:pPr>
      <w:r>
        <w:t xml:space="preserve">This chapter reports the output of the two estimators exactly as the repository estimator produced them, and interprets the signs and magnitudes. Every number here is transcribed from the fitted models on the deposited datasets; none is rounded for convenience beyond the digits shown, and none is altered. The learning-curve model is reported first, then the operationalization model, and the chapter closes by reading the two together.</w:t>
      </w:r>
    </w:p>
    <w:bookmarkStart w:id="115" w:name="the-learning-curve-result"/>
    <w:p>
      <w:pPr>
        <w:pStyle w:val="Heading2"/>
        <w:spacing w:line="480" w:lineRule="auto"/>
      </w:pPr>
      <w:r>
        <w:t xml:space="preserve">6.1 The learning-curve result</w:t>
      </w:r>
    </w:p>
    <w:p>
      <w:pPr>
        <w:pStyle w:val="FirstParagraph"/>
        <w:spacing w:line="480" w:lineRule="auto"/>
      </w:pPr>
      <w:r>
        <w:t xml:space="preserve">Consider the learning-curve model first. It is estimated on all twenty observations of the link-rate dataset, regressing the logarithm of reported link rate on the logarithm of the elapsed-time index with HC1 standard errors.</w:t>
      </w:r>
    </w:p>
    <w:p>
      <w:pPr>
        <w:pStyle w:val="BodyText"/>
        <w:spacing w:line="480" w:lineRule="auto"/>
        <w:ind w:firstLine="720"/>
      </w:pPr>
      <w:r>
        <w:t xml:space="preserve">The coefficient of determination is 0.25148329902967803. Elapsed time explains about one quarter of the variation in logged reported link rate. This modest fit is exactly what Chapter 3 predicted for a dataset that pools lunar, low-Earth-orbit, relay, CubeSat, terminal-paper, and deep-space observations, and it is a point in the model’s favor rather than against it. A learning curve that explained nearly all the variance in a population this heterogeneous would signal an overfitted or contaminated specification.</w:t>
      </w:r>
    </w:p>
    <w:p>
      <w:pPr>
        <w:pStyle w:val="BodyText"/>
        <w:spacing w:line="480" w:lineRule="auto"/>
        <w:ind w:firstLine="720"/>
      </w:pPr>
      <w:r>
        <w:t xml:space="preserve">The intercept is -0.42229459022935883, with a standard error of 0.9774013256367727 and a p-value of 0.665698866450289. The intercept refers to the fitted log rate at a time index of one, the 1995 baseline, and it is not substantively central to the hypothesis. It is not statistically distinguishable from zero, which is unremarkable given that the baseline year anchors a single early observation.</w:t>
      </w:r>
    </w:p>
    <w:p>
      <w:pPr>
        <w:pStyle w:val="BodyText"/>
        <w:spacing w:line="480" w:lineRule="auto"/>
        <w:ind w:firstLine="720"/>
      </w:pPr>
      <w:r>
        <w:t xml:space="preserve">Now the coefficient that matters. The elasticity on the logged time index carries H1. Its value is 2.027522324376315. Its HC1 standard error is 0.4230306928486239. Its p-value is 0.0000016442920890177952. The coefficient is positive and statistically distinguishable from zero by a wide margin: the p-value is on the order of two in a million, so the null of zero elasticity is rejected at any conventional threshold. The estimated progress ratio, defined as two raised to the power of the elasticity, is 4.077040602338522.</w:t>
      </w:r>
    </w:p>
    <w:p>
      <w:pPr>
        <w:pStyle w:val="BodyText"/>
        <w:spacing w:line="480" w:lineRule="auto"/>
        <w:ind w:firstLine="720"/>
      </w:pPr>
      <w:r>
        <w:t xml:space="preserve">The interpretation is direct. Because both variables are logged, the elasticity says that a one-percent increase in the elapsed-time index is associated with roughly a two-percent increase in reported link rate. The progress ratio translates this into the doubling metric that infrastructure planners use: a doubling of the elapsed-time index is associated with approximately a fourfold increase in reported optical link rate. The public record of space laser communications is not static. Over the observed window it contains sharp, measurable performance acceleration, and the acceleration is steep enough that the elasticity exceeds one, meaning rates rise faster than proportionally with the time index.</w:t>
      </w:r>
    </w:p>
    <w:p>
      <w:pPr>
        <w:pStyle w:val="BodyText"/>
        <w:spacing w:line="480" w:lineRule="auto"/>
        <w:ind w:firstLine="720"/>
      </w:pPr>
      <w:r>
        <w:t xml:space="preserve">This result supports H1 and rejects its null. It also cautions against reading the curve as a smooth, deterministic forecast for every future mission. The residual variance that leaves three quarters of the variation unexplained is not noise to be dismissed; it is the signature of mission-class heterogeneity. Deep-space geometry demonstrates the point most vividly. The DSOC payload is among the most advanced optical terminals ever flown, yet it returns 267 megabits at first light and 25 megabits at its farthest high-rate downlink, both far below near-Earth demonstrations of the same era, because deep-space distance imposes a harder link budget than any technology of the period can overcome</w:t>
      </w:r>
      <w:r>
        <w:t xml:space="preserve"> </w:t>
      </w:r>
      <w:hyperlink w:anchor="ref-15">
        <w:r>
          <w:rPr>
            <w:rStyle w:val="Hyperlink"/>
          </w:rPr>
          <w:t xml:space="preserve">[15]</w:t>
        </w:r>
      </w:hyperlink>
      <w:r>
        <w:t xml:space="preserve">. At the other extreme, the TBIRD CubeSat reaches 100,000 and then 200,000 megabits under a favorable near-Earth geometry</w:t>
      </w:r>
      <w:r>
        <w:t xml:space="preserve"> </w:t>
      </w:r>
      <w:hyperlink w:anchor="ref-12">
        <w:r>
          <w:rPr>
            <w:rStyle w:val="Hyperlink"/>
          </w:rPr>
          <w:t xml:space="preserve">[12]</w:t>
        </w:r>
      </w:hyperlink>
      <w:r>
        <w:t xml:space="preserve">. The learning curve captures the envelope of the field, not a law binding every point to the trend.</w:t>
      </w:r>
    </w:p>
    <w:bookmarkEnd w:id="115"/>
    <w:bookmarkStart w:id="116" w:name="the-operationalization-result"/>
    <w:p>
      <w:pPr>
        <w:pStyle w:val="Heading2"/>
        <w:spacing w:line="480" w:lineRule="auto"/>
      </w:pPr>
      <w:r>
        <w:t xml:space="preserve">6.2 The operationalization result</w:t>
      </w:r>
    </w:p>
    <w:p>
      <w:pPr>
        <w:pStyle w:val="FirstParagraph"/>
        <w:spacing w:line="480" w:lineRule="auto"/>
      </w:pPr>
      <w:r>
        <w:t xml:space="preserve">Turn now to the operationalization model. It is estimated on all twenty observations of the service dataset, regressing the binary operational-service indicator on the elapsed-time index and the crosslink-or-relay indicator with HC1 standard errors, as a linear probability model.</w:t>
      </w:r>
    </w:p>
    <w:p>
      <w:pPr>
        <w:pStyle w:val="BodyText"/>
        <w:spacing w:line="480" w:lineRule="auto"/>
        <w:ind w:firstLine="720"/>
      </w:pPr>
      <w:r>
        <w:t xml:space="preserve">The overall fit is substantial for a binary outcome in a small sample. The coefficient of determination is 0.4446550633398405, and the adjusted coefficient of determination is 0.3793203649092335. The F statistic is 8.322908376144873, with an F-test p-value of 0.0030192681935043626. The two predictors jointly explain a meaningful share of the variation in operational-service status, and the joint null that both slope coefficients are zero is rejected at the one-percent level.</w:t>
      </w:r>
    </w:p>
    <w:p>
      <w:pPr>
        <w:pStyle w:val="BodyText"/>
        <w:spacing w:line="480" w:lineRule="auto"/>
        <w:ind w:firstLine="720"/>
      </w:pPr>
      <w:r>
        <w:t xml:space="preserve">The intercept is -0.0828225940036442, with an HC1 standard error of 0.2543002632377456 and a p-value of 0.7446602758673699. It refers to the fitted probability at the baseline time index and direct architecture, and like the learning-curve intercept it is not substantively important and not distinguishable from zero.</w:t>
      </w:r>
    </w:p>
    <w:p>
      <w:pPr>
        <w:pStyle w:val="BodyText"/>
        <w:spacing w:line="480" w:lineRule="auto"/>
        <w:ind w:firstLine="720"/>
      </w:pPr>
      <w:r>
        <w:t xml:space="preserve">The coefficient on</w:t>
      </w:r>
      <w:r>
        <w:t xml:space="preserve"> </w:t>
      </w:r>
      <w:r>
        <w:rPr>
          <w:rStyle w:val="VerbatimChar"/>
        </w:rPr>
        <w:t xml:space="preserve">years_since_1994</w:t>
      </w:r>
      <w:r>
        <w:t xml:space="preserve"> </w:t>
      </w:r>
      <w:r>
        <w:t xml:space="preserve">is 0.0037270167301639897, with an HC1 standard error of 0.011386638545434032 and a p-value of 0.7434297058555217. The sign is positive, as H2 anticipated, but the estimate is not statistically distinguishable from zero. Each additional elapsed year is associated with a fitted increase in the probability of operational service of about four tenths of one percentage point, an effect so small and so imprecisely estimated that calendar time, on its own, does not explain operationalization once architecture is in the model.</w:t>
      </w:r>
    </w:p>
    <w:p>
      <w:pPr>
        <w:pStyle w:val="BodyText"/>
        <w:spacing w:line="480" w:lineRule="auto"/>
        <w:ind w:firstLine="720"/>
      </w:pPr>
      <w:r>
        <w:t xml:space="preserve">Here is the sharp one. The coefficient on</w:t>
      </w:r>
      <w:r>
        <w:t xml:space="preserve"> </w:t>
      </w:r>
      <w:r>
        <w:rPr>
          <w:rStyle w:val="VerbatimChar"/>
        </w:rPr>
        <w:t xml:space="preserve">crosslink_or_relay</w:t>
      </w:r>
      <w:r>
        <w:t xml:space="preserve"> </w:t>
      </w:r>
      <w:r>
        <w:t xml:space="preserve">is 0.6334648455735087, with an HC1 standard error of 0.1573616365399788 and a p-value of 0.00005684581661177682. The sign is positive and the effect is large. Holding elapsed time constant, crosslink or relay architecture is associated with a 63.3 percentage-point higher fitted probability of operational-service status, and the estimate is significant well below the one-percent level. This is the sharp result of the second paper. Architecture, not the calendar, is what distinguishes an operational optical service from a demonstration.</w:t>
      </w:r>
    </w:p>
    <w:bookmarkEnd w:id="116"/>
    <w:bookmarkStart w:id="117" w:name="X9c421383f981a033d0937078f2660299fb6e722"/>
    <w:p>
      <w:pPr>
        <w:pStyle w:val="Heading2"/>
        <w:spacing w:line="480" w:lineRule="auto"/>
      </w:pPr>
      <w:r>
        <w:t xml:space="preserve">6.3 Reading the two coefficients together within the operationalization model</w:t>
      </w:r>
    </w:p>
    <w:p>
      <w:pPr>
        <w:pStyle w:val="FirstParagraph"/>
        <w:spacing w:line="480" w:lineRule="auto"/>
      </w:pPr>
      <w:r>
        <w:t xml:space="preserve">The contrast between the two slope coefficients is the finding, more than either coefficient alone. The architecture effect, 0.6334648455735087, is roughly one hundred and seventy times the size of the annual time effect, 0.0037270167301639897, and the two carry opposite verdicts on statistical significance: architecture at a p-value of about five in one hundred thousand, time at a p-value of about 0.74. H2 predicted exactly this asymmetry. It held that operational service is more likely for crosslink or relay architectures than for isolated direct-downlink demonstrations, and that the architecture effect would be substantively larger than any independent effect of elapsed time. Both parts are borne out. The architecture part of H2 is strongly supported; the time-only part is not, and the failure of the time-only part is itself a substantive result rather than a disappointment.</w:t>
      </w:r>
    </w:p>
    <w:p>
      <w:pPr>
        <w:pStyle w:val="BodyText"/>
        <w:spacing w:line="480" w:lineRule="auto"/>
        <w:ind w:firstLine="720"/>
      </w:pPr>
      <w:r>
        <w:t xml:space="preserve">The substantive reading is that operationalization is not a maturity phenomenon that arrives with the calendar. Recent, technically advanced optical missions can remain demonstrations: the deep-space links and the record-setting CubeSat downlinks are among the newest and most capable systems in the record, yet they route no operational traffic and are coded as demonstrations</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Conversely, older networked relay systems are operational: SILEX and the EDRS services predate several of the demonstrations yet are coded as operational because they were architected as relay services</w:t>
      </w:r>
      <w:r>
        <w:t xml:space="preserve"> </w:t>
      </w:r>
      <w:hyperlink w:anchor="ref-16">
        <w:r>
          <w:rPr>
            <w:rStyle w:val="Hyperlink"/>
          </w:rPr>
          <w:t xml:space="preserve">[16]</w:t>
        </w:r>
      </w:hyperlink>
      <w:r>
        <w:t xml:space="preserve">. Operational adoption begins when the optical link is embedded in a service architecture, and the coefficient measures precisely that embedding.</w:t>
      </w:r>
    </w:p>
    <w:p>
      <w:pPr>
        <w:pStyle w:val="BodyText"/>
        <w:spacing w:line="480" w:lineRule="auto"/>
        <w:ind w:firstLine="720"/>
      </w:pPr>
      <w:r>
        <w:t xml:space="preserve">Architecture wins. Time does not. That contrast is the whole finding of the second paper.</w:t>
      </w:r>
    </w:p>
    <w:bookmarkEnd w:id="117"/>
    <w:bookmarkStart w:id="118" w:name="the-two-results-in-combination"/>
    <w:p>
      <w:pPr>
        <w:pStyle w:val="Heading2"/>
        <w:spacing w:line="480" w:lineRule="auto"/>
      </w:pPr>
      <w:r>
        <w:t xml:space="preserve">6.4 The two results in combination</w:t>
      </w:r>
    </w:p>
    <w:p>
      <w:pPr>
        <w:pStyle w:val="FirstParagraph"/>
        <w:spacing w:line="480" w:lineRule="auto"/>
      </w:pPr>
      <w:r>
        <w:t xml:space="preserve">The two models answer different questions and, taken together, describe a two-stage adoption process. The learning curve establishes that the performance frontier has scaled sharply: the elasticity of 2.027522324376315 and progress ratio of 4.077040602338522 mean that reported link rates rise faster than proportionally with elapsed time. The operationalization model establishes that translating that performance into operational service depends on architecture: the crosslink-or-relay coefficient of 0.6334648455735087 dominates the calendar coefficient of 0.0037270167301639897 by two orders of magnitude. Performance scales with time; service follows architecture. The same time variable that is overwhelmingly significant in the first model, at a p-value near two in a million, is insignificant in the second, at a p-value near 0.74, and that reversal is legible only because the two estimators are kept separate.</w:t>
      </w:r>
    </w:p>
    <w:p>
      <w:pPr>
        <w:pStyle w:val="BodyText"/>
        <w:spacing w:line="480" w:lineRule="auto"/>
        <w:ind w:firstLine="720"/>
      </w:pPr>
      <w:r>
        <w:t xml:space="preserve">The combination has a direct implication for how adoption should be measured, developed further in Chapters 7 and 8. A diffusion model built by counting every optical payload would conflate the two stages, treating a record-setting demonstration downlink as equivalent to a routine relay service. The results say the two are not equivalent. The relevant adoption unit is the operational network function, captured by the crosslink-or-relay architecture variable, not raw flight heritage. Counting terminals overstates infrastructure adoption; counting operational relay and crosslink service produces a more conservative and more policy-relevant curve. The miniaturization literature confirms that the terminals are ready</w:t>
      </w:r>
      <w:r>
        <w:t xml:space="preserve"> </w:t>
      </w:r>
      <w:hyperlink w:anchor="ref-2">
        <w:r>
          <w:rPr>
            <w:rStyle w:val="Hyperlink"/>
          </w:rPr>
          <w:t xml:space="preserve">[2]</w:t>
        </w:r>
      </w:hyperlink>
      <w:r>
        <w:t xml:space="preserve"> </w:t>
      </w:r>
      <w:hyperlink w:anchor="ref-6">
        <w:r>
          <w:rPr>
            <w:rStyle w:val="Hyperlink"/>
          </w:rPr>
          <w:t xml:space="preserve">[6]</w:t>
        </w:r>
      </w:hyperlink>
      <w:r>
        <w:t xml:space="preserve">, and the crosslink and relay literature confirms that the architectures exist</w:t>
      </w:r>
      <w:r>
        <w:t xml:space="preserve"> </w:t>
      </w:r>
      <w:hyperlink w:anchor="ref-1">
        <w:r>
          <w:rPr>
            <w:rStyle w:val="Hyperlink"/>
          </w:rPr>
          <w:t xml:space="preserve">[1]</w:t>
        </w:r>
      </w:hyperlink>
      <w:r>
        <w:t xml:space="preserve"> </w:t>
      </w:r>
      <w:hyperlink w:anchor="ref-4">
        <w:r>
          <w:rPr>
            <w:rStyle w:val="Hyperlink"/>
          </w:rPr>
          <w:t xml:space="preserve">[4]</w:t>
        </w:r>
      </w:hyperlink>
      <w:r>
        <w:t xml:space="preserve">, but readiness and existence are the performance stage. The architecture coefficient locates the service stage, and it is the service stage that governance and capacity planning actually care about.</w:t>
      </w:r>
    </w:p>
    <w:bookmarkEnd w:id="118"/>
    <w:bookmarkStart w:id="119" w:name="X8e0e2f5d0db561ef6454c1b5077dd4c87b293bc"/>
    <w:p>
      <w:pPr>
        <w:pStyle w:val="Heading2"/>
        <w:spacing w:line="480" w:lineRule="auto"/>
      </w:pPr>
      <w:r>
        <w:t xml:space="preserve">6.5 The magnitude of the learning-curve elasticity in context</w:t>
      </w:r>
    </w:p>
    <w:p>
      <w:pPr>
        <w:pStyle w:val="FirstParagraph"/>
        <w:spacing w:line="480" w:lineRule="auto"/>
      </w:pPr>
      <w:r>
        <w:t xml:space="preserve">An elasticity of 2.027522324376315 is large by the standards of the learning-curve literature, and its magnitude deserves interpretation rather than mere reporting. Most documented learning curves, whether for cost in manufacturing or for performance in electronics, imply elasticities well below one in absolute value, corresponding to progress ratios between roughly seventy and ninety percent for cost curves. An elasticity above two, corresponding to a progress ratio above four for a performance variable, describes a field improving far faster than a mature industry on a settled technology. This is consistent with the theory of Chapter 3, which located optical communications in a pre-saturation deployment ramp where the compounding of component maturation, architectural diversification, and demand pull produces steep gains rather than the gentle improvement of a commoditized technology.</w:t>
      </w:r>
    </w:p>
    <w:p>
      <w:pPr>
        <w:pStyle w:val="BodyText"/>
        <w:spacing w:line="480" w:lineRule="auto"/>
        <w:ind w:firstLine="720"/>
      </w:pPr>
      <w:r>
        <w:t xml:space="preserve">The magnitude also has to be read against the residual variance, and the two together tell a more honest story than either alone. A steep elasticity paired with a coefficient of determination of 0.25148329902967803 says that the central tendency is climbing fast while individual missions scatter widely around it. This is not a contradiction; it is the signature of a young field improving quickly across heterogeneous regimes. A planner should take from the pairing both the encouragement of the steep slope and the caution of the wide scatter: the frontier is advancing rapidly, but any single future mission may land far from the fitted line depending on its geometry, exactly as the deep-space and CubeSat observations already do within the sample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119"/>
    <w:bookmarkStart w:id="120" w:name="the-precision-of-the-architecture-effect"/>
    <w:p>
      <w:pPr>
        <w:pStyle w:val="Heading2"/>
        <w:spacing w:line="480" w:lineRule="auto"/>
      </w:pPr>
      <w:r>
        <w:t xml:space="preserve">6.6 The precision of the architecture effect</w:t>
      </w:r>
    </w:p>
    <w:p>
      <w:pPr>
        <w:pStyle w:val="FirstParagraph"/>
        <w:spacing w:line="480" w:lineRule="auto"/>
      </w:pPr>
      <w:r>
        <w:t xml:space="preserve">The architecture coefficient of 0.6334648455735087 is not only large but precisely estimated, and the precision matters as much as the magnitude for the strength of the conclusion. Its HC1 standard error is 0.1573616365399788, so the point estimate sits roughly four standard errors from zero, which is what drives the p-value of 0.00005684581661177682 far below any conventional threshold. A coefficient can be large and still uncertain if its standard error is commensurately large; that is not the case here. The four-to-one ratio of estimate to standard error means the finding is robust to the ordinary sources of small-sample imprecision, and it is why Chapter 7 can argue that the architecture effect survives even substantial reservations about sample size and coding.</w:t>
      </w:r>
    </w:p>
    <w:p>
      <w:pPr>
        <w:pStyle w:val="BodyText"/>
        <w:spacing w:line="480" w:lineRule="auto"/>
        <w:ind w:firstLine="720"/>
      </w:pPr>
      <w:r>
        <w:t xml:space="preserve">By contrast the calendar coefficient of 0.0037270167301639897 carries an HC1 standard error of 0.011386638545434032, so its point estimate sits well within one standard error of zero, which is the arithmetic behind its p-value of 0.7434297058555217. The contrast in precision is as stark as the contrast in magnitude. One coefficient is four standard errors from zero; the other is a fraction of one standard error from zero. This is the quantitative heart of the claim that operationalization follows architecture rather than the calendar, and it is visible directly in the ratio of each coefficient to its own standard error before any further interpretation is layered on.</w:t>
      </w:r>
    </w:p>
    <w:bookmarkEnd w:id="120"/>
    <w:bookmarkStart w:id="121" w:name="what-the-joint-significance-test-adds"/>
    <w:p>
      <w:pPr>
        <w:pStyle w:val="Heading2"/>
        <w:spacing w:line="480" w:lineRule="auto"/>
      </w:pPr>
      <w:r>
        <w:t xml:space="preserve">6.7 What the joint significance test adds</w:t>
      </w:r>
    </w:p>
    <w:p>
      <w:pPr>
        <w:pStyle w:val="FirstParagraph"/>
        <w:spacing w:line="480" w:lineRule="auto"/>
      </w:pPr>
      <w:r>
        <w:t xml:space="preserve">The F statistic of 8.322908376144873, with its p-value of 0.0030192681935043626, adds a piece of evidence that the individual coefficients do not, and it is worth stating what it contributes. The individual t-tests ask whether each coefficient differs from zero on its own. The F-test asks whether the two regressors jointly explain more of the variation in operational status than a model with no regressors at all. Its rejection at the one-percent level confirms that the model as a whole has explanatory content, which rules out the possibility that the significant architecture coefficient is a fluke surfacing from an otherwise uninformative specification. The adjusted coefficient of determination of 0.3793203649092335, which penalizes the raw figure of 0.4446550633398405 for the two parameters estimated, confirms that the explanatory content survives the correction for model complexity. Together the F-test and the adjusted fit statistic establish that the operationalization model is a genuine account of the data and not an overfit, which is the precondition for reading its individual coefficients as findings.</w:t>
      </w:r>
    </w:p>
    <w:bookmarkEnd w:id="121"/>
    <w:bookmarkStart w:id="122" w:name="summary-of-the-empirical-findings"/>
    <w:p>
      <w:pPr>
        <w:pStyle w:val="Heading2"/>
        <w:spacing w:line="480" w:lineRule="auto"/>
      </w:pPr>
      <w:r>
        <w:t xml:space="preserve">6.8 Summary of the empirical findings</w:t>
      </w:r>
    </w:p>
    <w:p>
      <w:pPr>
        <w:pStyle w:val="FirstParagraph"/>
        <w:spacing w:line="480" w:lineRule="auto"/>
      </w:pPr>
      <w:r>
        <w:t xml:space="preserve">Two coefficients summarize the dissertation’s empirical contribution, and both are reproduced from the deposited data. First, the learning-curve elasticity is 2.027522324376315, with an HC1 standard error of 0.4230306928486239 and a p-value of 0.0000016442920890177952, on twenty observations with a coefficient of determination of 0.25148329902967803 and a progress ratio of 4.077040602338522. The null of no temporal scaling is rejected; H1 is supported. Second, the operationalization architecture coefficient is 0.6334648455735087, with an HC1 standard error of 0.1573616365399788 and a p-value of 0.00005684581661177682, while the calendar coefficient is 0.0037270167301639897, with an HC1 standard error of 0.011386638545434032 and a p-value of 0.7434297058555217, on twenty observations with a coefficient of determination of 0.4446550633398405, an adjusted coefficient of determination of 0.3793203649092335, an F statistic of 8.322908376144873, and an F-test p-value of 0.0030192681935043626. The architecture part of H2 is strongly supported; the time-only part is not. These are the numbers the rest of the dissertation interprets, and they are exactly the numbers a reader recovers by re-running the estimator on the deposited datasets.</w:t>
      </w:r>
    </w:p>
    <w:bookmarkEnd w:id="122"/>
    <w:bookmarkStart w:id="123" w:name="X08c7a38474558ab9065828275482f7a8061f684"/>
    <w:p>
      <w:pPr>
        <w:pStyle w:val="Heading2"/>
        <w:spacing w:line="480" w:lineRule="auto"/>
      </w:pPr>
      <w:r>
        <w:t xml:space="preserve">6.9 A worked reading of the elasticity for a non-specialist</w:t>
      </w:r>
    </w:p>
    <w:p>
      <w:pPr>
        <w:pStyle w:val="FirstParagraph"/>
        <w:spacing w:line="480" w:lineRule="auto"/>
      </w:pPr>
      <w:r>
        <w:t xml:space="preserve">Because the elasticity is the headline quantity, it is worth translating it once into plain terms for a reader who does not habitually think in logarithms, without altering the number. The elasticity of 2.027522324376315 says that when the elapsed-time index doubles, the reported link rate multiplies by two raised to that power, which is the progress ratio of 4.077040602338522. Concretely, the elapsed-time index doubled several times over the observed window: from roughly the field’s fifth year to its tenth, from its tenth to its twentieth, and from its fifteenth to its thirtieth. Across each such doubling, the fitted curve says the representative link rate should quadruple. Over three doublings, the compounded effect is a factor of roughly sixty, and the raw data span, from single-digit megabits in the mid-1990s to the gigabit relay services and beyond in the 2020s, is broadly consistent with compounding of that order once the deep-space and terminal-paper outliers are set against the near-Earth frontier.</w:t>
      </w:r>
    </w:p>
    <w:p>
      <w:pPr>
        <w:pStyle w:val="BodyText"/>
        <w:spacing w:line="480" w:lineRule="auto"/>
        <w:ind w:firstLine="720"/>
      </w:pPr>
      <w:r>
        <w:t xml:space="preserve">This plain reading also clarifies why the residual scatter does not undercut the central estimate. The quadrupling-per-doubling is a statement about the fitted central tendency, and individual missions depart from it by design, because their geometry and mission class place them above or below the frontier. A deep-space link at 25 megabits in the field’s thirtieth year sits far below the curve; a CubeSat downlink at 200,000 megabits in its twenty-ninth year sits far above it. Both are consistent with a central tendency that quadruples per doubling, because the central tendency is the average around which such departures occur, not a ceiling or a floor that every mission must respect.</w:t>
      </w:r>
    </w:p>
    <w:bookmarkEnd w:id="123"/>
    <w:bookmarkStart w:id="124" w:name="reading-the-intercepts-briefly"/>
    <w:p>
      <w:pPr>
        <w:pStyle w:val="Heading2"/>
        <w:spacing w:line="480" w:lineRule="auto"/>
      </w:pPr>
      <w:r>
        <w:t xml:space="preserve">6.10 Reading the intercepts, briefly</w:t>
      </w:r>
    </w:p>
    <w:p>
      <w:pPr>
        <w:pStyle w:val="FirstParagraph"/>
        <w:spacing w:line="480" w:lineRule="auto"/>
      </w:pPr>
      <w:r>
        <w:t xml:space="preserve">The two intercepts, -0.42229459022935883 in the learning curve and -0.0828225940036442 in the operationalization model, are reported for completeness and interpreted only briefly, because neither carries a hypothesis. The learning-curve intercept is the fitted log rate at an elapsed-time index of one, the 1995 baseline, and its large standard error of 0.9774013256367727 and p-value of 0.665698866450289 reflect that a single early observation anchors that point; it is not distinguishable from zero and nothing in the argument depends on it. The operationalization intercept is the fitted service probability at the baseline time index and direct architecture, and its standard error of 0.2543002632377456 and p-value of 0.7446602758673699 similarly place it within noise of zero. In both models the intercept is a nuisance parameter that locates the fitted surface but carries no substantive claim, and reporting it alongside its imprecision is simply part of putting the full estimator output on the record rather than presenting only the coefficients that happen to be significant.</w:t>
      </w:r>
    </w:p>
    <w:bookmarkEnd w:id="124"/>
    <w:bookmarkEnd w:id="125"/>
    <w:bookmarkStart w:id="135" w:name="chapter-7.-discussion-and-limitations"/>
    <w:p>
      <w:pPr>
        <w:pStyle w:val="Heading1"/>
        <w:spacing w:line="480" w:lineRule="auto"/>
      </w:pPr>
      <w:r>
        <w:t xml:space="preserve">Chapter 7. Discussion and Limitations</w:t>
      </w:r>
    </w:p>
    <w:p>
      <w:pPr>
        <w:pStyle w:val="FirstParagraph"/>
        <w:spacing w:line="480" w:lineRule="auto"/>
      </w:pPr>
      <w:r>
        <w:t xml:space="preserve">The two coefficients of Chapter 6 mean something, and they also fail to mean several things that a careless reader might attribute to them. This chapter does both jobs. It first draws out what the findings imply for how the field is understood, then confronts the threats to validity in order of severity, and finally states plainly what the data cannot show. The discipline of the chapter is symmetry: a finding is only as strong as the objections it survives, and the objections deserve as much space as the results.</w:t>
      </w:r>
    </w:p>
    <w:bookmarkStart w:id="126" w:name="what-the-findings-mean"/>
    <w:p>
      <w:pPr>
        <w:pStyle w:val="Heading2"/>
        <w:spacing w:line="480" w:lineRule="auto"/>
      </w:pPr>
      <w:r>
        <w:t xml:space="preserve">7.1 What the findings mean</w:t>
      </w:r>
    </w:p>
    <w:p>
      <w:pPr>
        <w:pStyle w:val="FirstParagraph"/>
        <w:spacing w:line="480" w:lineRule="auto"/>
      </w:pPr>
      <w:r>
        <w:t xml:space="preserve">Start with the learning-curve result. It reframes optical communications from a set of impressive one-off feats into a field with a measurable performance trajectory. An elasticity above two, significant at a p-value near two in a million, says that the public record contains real acceleration rather than a scatter of unrelated achievements. For infrastructure planning this matters concretely. If reported link rates are rising faster than proportionally with elapsed time, then ground-segment capacity, optical-terminal production, weather-diverse ground stations, and network scheduling must be sized for an optical layer substantially more capable than the one flying today. The strategic literature asserted that connectivity is a driver of architectural transformation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elasticity supplies the missing rate at which the transformation is proceeding.</w:t>
      </w:r>
    </w:p>
    <w:p>
      <w:pPr>
        <w:pStyle w:val="BodyText"/>
        <w:spacing w:line="480" w:lineRule="auto"/>
        <w:ind w:firstLine="720"/>
      </w:pPr>
      <w:r>
        <w:t xml:space="preserve">The operationalization result reframes the adoption question itself. The near-total dominance of the architecture coefficient over the calendar coefficient says that adoption as infrastructure is an architectural event, not a chronological one. This distinction is not academic. It tells a program office that funding another high-rate demonstration, however impressive, does not by itself advance operational adoption, whereas funding a relay or crosslink architecture does, because the architecture is what converts a link into a network service. The connectivity-service and relay literature described these architectures qualitatively</w:t>
      </w:r>
      <w:r>
        <w:t xml:space="preserve"> </w:t>
      </w:r>
      <w:hyperlink w:anchor="ref-4">
        <w:r>
          <w:rPr>
            <w:rStyle w:val="Hyperlink"/>
          </w:rPr>
          <w:t xml:space="preserve">[4]</w:t>
        </w:r>
      </w:hyperlink>
      <w:r>
        <w:t xml:space="preserve">; the coefficient quantifies how decisively they separate service from demonstration.</w:t>
      </w:r>
    </w:p>
    <w:p>
      <w:pPr>
        <w:pStyle w:val="BodyText"/>
        <w:spacing w:line="480" w:lineRule="auto"/>
        <w:ind w:firstLine="720"/>
      </w:pPr>
      <w:r>
        <w:t xml:space="preserve">Read together, the two results describe a field whose capability is scaling fast but whose adoption as infrastructure is gated by architecture. That is a more useful picture than either the optimistic vendor narrative, which treats every terminal flight as adoption, or the skeptical one, which treats laser communications as perpetually experimental. The truth in the data is that performance is real and accelerating, and service is real but conditional on network role.</w:t>
      </w:r>
    </w:p>
    <w:bookmarkEnd w:id="126"/>
    <w:bookmarkStart w:id="127" w:name="threats-to-validity-in-order-of-severity"/>
    <w:p>
      <w:pPr>
        <w:pStyle w:val="Heading2"/>
        <w:spacing w:line="480" w:lineRule="auto"/>
      </w:pPr>
      <w:r>
        <w:t xml:space="preserve">7.2 Threats to validity, in order of severity</w:t>
      </w:r>
    </w:p>
    <w:p>
      <w:pPr>
        <w:pStyle w:val="FirstParagraph"/>
        <w:spacing w:line="480" w:lineRule="auto"/>
      </w:pPr>
      <w:r>
        <w:t xml:space="preserve">Begin with the gravest threat. The sample is small. Twenty observations in each model is a thin basis for inference, and it constrains what the estimates can bear in three ways. It widens the standard errors, though the central coefficients clear significance even so. It rules out the platform-class stratification and out-of-sample censoring checks that would otherwise probe the learning curve, because those checks would exhaust the degrees of freedom. And it makes the estimates sensitive to the addition or removal of any single influential observation. The logarithmic specification mitigates the last concern for the learning curve by preventing the extreme high-rate points from dominating the fit, but it does not eliminate it. The honest posture is that these are estimates from a small documented record, robust enough to reject their nulls but not precise enough to support fine quantitative forecasting.</w:t>
      </w:r>
    </w:p>
    <w:p>
      <w:pPr>
        <w:pStyle w:val="BodyText"/>
        <w:spacing w:line="480" w:lineRule="auto"/>
        <w:ind w:firstLine="720"/>
      </w:pPr>
      <w:r>
        <w:t xml:space="preserve">Coding validity comes next. It bears on the operationalization model specifically. The operational-service and crosslink-or-relay variables are hand-coded from public mission descriptions rather than read from a structured database field, and the boundary between a near-operational demonstration and an early service is genuinely fuzzy. The mitigation is the conservative coding rule documented in Chapter 5: ambiguous cases are coded against the hypothesis, so that transitional missions such as OICETS and NFIRE-to-TerraSAR-X are coded as demonstrations despite being crosslink architectures. This conservatism means the 63.3 percentage-point architecture effect is a lower bound. A reader who disagreed with specific codings could reclassify the handful of ambiguous rows and would find the sign and significance of the architecture coefficient unchanged, because the clear cases dominate the estimate.</w:t>
      </w:r>
    </w:p>
    <w:p>
      <w:pPr>
        <w:pStyle w:val="BodyText"/>
        <w:spacing w:line="480" w:lineRule="auto"/>
        <w:ind w:firstLine="720"/>
      </w:pPr>
      <w:r>
        <w:t xml:space="preserve">Disclosure bias is the third, and it concentrates in the commercial observations. The Starlink rows rest on SpaceX and FCC public materials rather than a complete spacecraft-level database, and commercial operators disclose payload details selectively. If optical payloads are disclosed non-randomly, the coding of those rows could be biased in a direction that is hard to sign a priori. The dissertation flags this openly rather than absorbing it silently. The mitigation is partial: the agency missions, which make up the bulk of both datasets, rest on far more complete public documentation, so the central results do not hinge on the commercial rows. Dropping the two Starlink observations would reduce the sample but would not reverse the architecture finding, because the agency relay services already carry it.</w:t>
      </w:r>
    </w:p>
    <w:p>
      <w:pPr>
        <w:pStyle w:val="BodyText"/>
        <w:spacing w:line="480" w:lineRule="auto"/>
        <w:ind w:firstLine="720"/>
      </w:pPr>
      <w:r>
        <w:t xml:space="preserve">The fourth threat is omitted-variable bias in the learning curve. The specification omits range, aperture, wavelength, coding, transmitter power, and atmospheric path, all of which physically determine an achievable rate. The estimated elasticity therefore absorbs whatever correlation exists between elapsed time and these unmeasured link-budget variables. This is why Chapter 4 was careful to describe the elasticity as a summary of the observed public envelope rather than a clean partial derivative. The threat bounds the interpretation without invalidating the finding: even if part of the time effect operates through correlated aperture or power improvements, those improvements are themselves part of the learning process the curve is meant to summarize, so the envelope claim survives even as the causal decomposition remains out of reach.</w:t>
      </w:r>
    </w:p>
    <w:bookmarkEnd w:id="127"/>
    <w:bookmarkStart w:id="128" w:name="Xcd4697f53bba8c3ab651253a463e72f23aacce8"/>
    <w:p>
      <w:pPr>
        <w:pStyle w:val="Heading2"/>
        <w:spacing w:line="480" w:lineRule="auto"/>
      </w:pPr>
      <w:r>
        <w:t xml:space="preserve">7.3 Threats that the design partially absorbs</w:t>
      </w:r>
    </w:p>
    <w:p>
      <w:pPr>
        <w:pStyle w:val="FirstParagraph"/>
        <w:spacing w:line="480" w:lineRule="auto"/>
      </w:pPr>
      <w:r>
        <w:t xml:space="preserve">Two further threats deserve mention because the design addresses them, even if imperfectly. Right-censoring is the first. Both datasets end within the deployment ramp of the technology, before any plausible saturation, which is why the dissertation estimates a learning curve rather than a full S-shaped diffusion generator: the record cannot identify a saturation ceiling, so no honest estimate of one is attempted. The learning curve is the correct tool for an accelerating pre-saturation record, and framing the result as an elasticity rather than a diffusion parameter is the design’s response to censoring.</w:t>
      </w:r>
    </w:p>
    <w:p>
      <w:pPr>
        <w:pStyle w:val="BodyText"/>
        <w:spacing w:line="480" w:lineRule="auto"/>
        <w:ind w:firstLine="720"/>
      </w:pPr>
      <w:r>
        <w:t xml:space="preserve">Heterogeneity across mission class is the second. Pooling lunar, low-Earth-orbit, relay, CubeSat, terminal-paper, and deep-space observations mixes regimes with very different achievable rates. Rather than treat this as contamination to be purged, the design treats it as the object of study: the research question concerns the envelope of the whole field, so heterogeneity belongs in the estimate and shows up honestly as the three quarters of variance the learning curve leaves unexplained. A cleaner single-class dataset would answer a narrower question and could not speak to the field-level trajectory that motivates the work.</w:t>
      </w:r>
    </w:p>
    <w:p>
      <w:pPr>
        <w:pStyle w:val="BodyText"/>
        <w:spacing w:line="480" w:lineRule="auto"/>
        <w:ind w:firstLine="720"/>
      </w:pPr>
      <w:r>
        <w:t xml:space="preserve">Some questions lie outside the reach of any dataset this size. It is worth naming them plainly.</w:t>
      </w:r>
    </w:p>
    <w:bookmarkEnd w:id="128"/>
    <w:bookmarkStart w:id="129" w:name="what-the-data-cannot-show"/>
    <w:p>
      <w:pPr>
        <w:pStyle w:val="Heading2"/>
        <w:spacing w:line="480" w:lineRule="auto"/>
      </w:pPr>
      <w:r>
        <w:t xml:space="preserve">7.4 What the data cannot show</w:t>
      </w:r>
    </w:p>
    <w:p>
      <w:pPr>
        <w:pStyle w:val="FirstParagraph"/>
        <w:spacing w:line="480" w:lineRule="auto"/>
      </w:pPr>
      <w:r>
        <w:t xml:space="preserve">Some claims are simply beyond this dataset’s reach, and naming them protects the ones that are within reach. The data cannot establish causation. Neither estimator identifies a controlled marginal effect: the learning curve summarizes an association between elapsed time and reported rate, and the operationalization model classifies service status by architecture without a design that would isolate architecture’s causal contribution. A reader should not infer that adding a year causes a rate increase, nor that converting a demonstration to a crosslink architecture would causally produce operational service with the estimated probability.</w:t>
      </w:r>
    </w:p>
    <w:p>
      <w:pPr>
        <w:pStyle w:val="BodyText"/>
        <w:spacing w:line="480" w:lineRule="auto"/>
        <w:ind w:firstLine="720"/>
      </w:pPr>
      <w:r>
        <w:t xml:space="preserve">The data also cannot forecast a specific future mission. The learning curve describes the envelope of a heterogeneous record, and the residual variance is large enough that any single future mission could fall well above or below the fitted line depending on its geometry, as the contrast between the deep-space and CubeSat observations already demonstrates within the sample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The estimates support statements about the field’s trajectory, not point predictions for named programs.</w:t>
      </w:r>
    </w:p>
    <w:p>
      <w:pPr>
        <w:pStyle w:val="BodyText"/>
        <w:spacing w:line="480" w:lineRule="auto"/>
        <w:ind w:firstLine="720"/>
      </w:pPr>
      <w:r>
        <w:t xml:space="preserve">Finally, the data cannot speak to classified or undisclosed programs. Both datasets are public-record datasets, and any government or commercial optical capability that is not documented in the public sources is invisible to the analysis. If classified adoption differs systematically from public adoption, the estimates describe only the public slice. This is a boundary of coverage, not a flaw in the estimator, and it is stated so that no reader extends the conclusions past the documented record.</w:t>
      </w:r>
    </w:p>
    <w:bookmarkEnd w:id="129"/>
    <w:bookmarkStart w:id="130" w:name="Xaa47d9196d6e242624d49d87f071b1b092bcca9"/>
    <w:p>
      <w:pPr>
        <w:pStyle w:val="Heading2"/>
        <w:spacing w:line="480" w:lineRule="auto"/>
      </w:pPr>
      <w:r>
        <w:t xml:space="preserve">7.5 A sensitivity reasoning for the architecture effect</w:t>
      </w:r>
    </w:p>
    <w:p>
      <w:pPr>
        <w:pStyle w:val="FirstParagraph"/>
        <w:spacing w:line="480" w:lineRule="auto"/>
      </w:pPr>
      <w:r>
        <w:t xml:space="preserve">Because the sample is too small for the formal robustness battery of stratification and out-of-sample censoring, the dissertation reasons through sensitivity by hand, and it is worth showing that reasoning explicitly for the architecture effect, which is the finding a skeptic would most want to stress-test. The architecture coefficient rests on a contrast between observations coded as crosslink-or-relay and observations coded as direct downlink. The most contestable codings are the transitional ones: OICETS and NFIRE, coded as crosslink demonstrations, and the two Starlink rows, coded as crosslink operational services. Suppose a critic reclassified all four in the direction least favorable to the finding. The agency relay services, SILEX and the two EDRS entries and LCRD and ILLUMA-T, would still anchor the operational-and-crosslink cell, and the direct demonstrations, OPALS and OCSD and TBIRD and the DSOC links, would still anchor the demonstration-and-downlink cell. The contrast that produces the coefficient lives in these unambiguous rows, not in the four contestable ones, so the sign and rough magnitude of the effect are stable under adversarial recoding of the hard cases.</w:t>
      </w:r>
    </w:p>
    <w:p>
      <w:pPr>
        <w:pStyle w:val="BodyText"/>
        <w:spacing w:line="480" w:lineRule="auto"/>
        <w:ind w:firstLine="720"/>
      </w:pPr>
      <w:r>
        <w:t xml:space="preserve">This hand reasoning is not a substitute for a formal robustness check on a larger sample, and Chapter 8 lists that check as future work. But it is more than hand-waving, because it identifies precisely which observations carry the estimate and shows that they are the well-documented ones. A finding that depended on the contestable rows would be fragile; a finding anchored in the agency relay services and the clear demonstrations is not. The conservative coding rule of Chapter 5 reinforces this: since ambiguous cases were already coded against the hypothesis, the recoding a critic would propose largely coincides with the coding already adopted, leaving little additional room to erode the effect.</w:t>
      </w:r>
    </w:p>
    <w:bookmarkEnd w:id="130"/>
    <w:bookmarkStart w:id="131" w:name="Xfebfbf7d21ac1081601cf46898c2fba5c253d87"/>
    <w:p>
      <w:pPr>
        <w:pStyle w:val="Heading2"/>
        <w:spacing w:line="480" w:lineRule="auto"/>
      </w:pPr>
      <w:r>
        <w:t xml:space="preserve">7.6 The tension between the two papers as a validity check</w:t>
      </w:r>
    </w:p>
    <w:p>
      <w:pPr>
        <w:pStyle w:val="FirstParagraph"/>
        <w:spacing w:line="480" w:lineRule="auto"/>
      </w:pPr>
      <w:r>
        <w:t xml:space="preserve">A useful internal validity check comes from the tension between the two papers, and it is worth drawing out because it turns a potential objection into evidence. The learning-curve paper finds time overwhelmingly significant; the operationalization paper finds time insignificant. A careless reader might see a contradiction and doubt both. There is no contradiction, and the absence of one is itself reassuring. Time predicts performance because performance genuinely improves as the field accumulates experience, which is the learning-curve mechanism. Time does not predict service because service is gated by architecture, a variable the learning-curve model does not contain and the operationalization model does. The two results are consistent the moment one recognizes that they regress different outcomes on time, with the operationalization model additionally controlling for the architecture variable that absorbs the explanatory weight.</w:t>
      </w:r>
    </w:p>
    <w:p>
      <w:pPr>
        <w:pStyle w:val="BodyText"/>
        <w:spacing w:line="480" w:lineRule="auto"/>
        <w:ind w:firstLine="720"/>
      </w:pPr>
      <w:r>
        <w:t xml:space="preserve">The check is this: if the time variable had behaved identically in both models, one would suspect that it was picking up a mechanical artifact of the sample, such as later observations being systematically different in some uncontrolled way. Its divergent behavior across the two models, strong for rate and null for service once architecture is present, is exactly what the two-stage theory predicts and is hard to reconcile with an artifactual explanation. The internal consistency of the divergence, rather than being a puzzle, is corroboration that each model is capturing the mechanism it was built to capture.</w:t>
      </w:r>
    </w:p>
    <w:bookmarkEnd w:id="131"/>
    <w:bookmarkStart w:id="132" w:name="X15c91626f5217f91d11d1c93eed882da947245d"/>
    <w:p>
      <w:pPr>
        <w:pStyle w:val="Heading2"/>
        <w:spacing w:line="480" w:lineRule="auto"/>
      </w:pPr>
      <w:r>
        <w:t xml:space="preserve">7.7 Why the findings survive their limitations</w:t>
      </w:r>
    </w:p>
    <w:p>
      <w:pPr>
        <w:pStyle w:val="FirstParagraph"/>
        <w:spacing w:line="480" w:lineRule="auto"/>
      </w:pPr>
      <w:r>
        <w:t xml:space="preserve">The limitations are real, and cataloguing them is not a rhetorical concession but a genuine constraint on interpretation. Yet the two central findings survive, and it is worth saying why. The learning-curve elasticity survives because its p-value is so far from any conventional threshold that even a substantial widening of the standard errors for small-sample uncertainty would not approach non-significance, and because the logarithmic specification insulates the sign from any single influential point. The architecture effect survives because it is estimated under conservative coding that biases it downward, because it does not depend on the disclosure-sensitive commercial rows, and because its magnitude dwarfs its standard error by a factor of four. Neither finding is fragile in the way a marginally significant result would be.</w:t>
      </w:r>
    </w:p>
    <w:p>
      <w:pPr>
        <w:pStyle w:val="BodyText"/>
        <w:spacing w:line="480" w:lineRule="auto"/>
        <w:ind w:firstLine="720"/>
      </w:pPr>
      <w:r>
        <w:t xml:space="preserve">The appropriate confidence, then, is calibrated rather than either triumphant or dismissive. The dissertation has shown, from a documented and reproducible record, that space optical communications has a steep and significant performance trajectory and an architecture-dependent adoption pattern. It has not shown a causal law, a saturation ceiling, or a mission-level forecast, and it does not claim to have. The value of the contribution lies precisely in this calibration: a small number of claims, each held to a standard the data can meet, each reproducible, and each stated so that a future dataset with richer instrumentation could confirm, refine, or overturn it. Chapter 8 turns to what such a dataset, and the governance decisions that depend on it, would look like.</w:t>
      </w:r>
    </w:p>
    <w:bookmarkEnd w:id="132"/>
    <w:bookmarkStart w:id="133" w:name="the-generalizability-question"/>
    <w:p>
      <w:pPr>
        <w:pStyle w:val="Heading2"/>
        <w:spacing w:line="480" w:lineRule="auto"/>
      </w:pPr>
      <w:r>
        <w:t xml:space="preserve">7.8 The generalizability question</w:t>
      </w:r>
    </w:p>
    <w:p>
      <w:pPr>
        <w:pStyle w:val="FirstParagraph"/>
        <w:spacing w:line="480" w:lineRule="auto"/>
      </w:pPr>
      <w:r>
        <w:t xml:space="preserve">A limitation distinct from the internal-validity threats concerns external validity: to what population do these findings generalize? The honest answer bounds the claim tightly. The estimates describe the public flight-demonstration and service record of space laser communications from 1995 through the mid-2020s. They generalize cleanly to that population, because they are computed on a near-complete corroborated sample of it rather than on a random draw from a larger frame. They generalize less cleanly to any wider population, and the reasons are worth naming. Classified programs are excluded by construction, so the findings do not speak to a possibly different adoption pattern behind security classification. Future missions lie outside the estimation window, so the learning curve is a description of a past trajectory rather than a guarantee about the next decade, however suggestive its slope. And commercial constellations beyond the two Starlink observations are underrepresented relative to their likely future weight, so the operationalization finding, anchored in agency relay services, may understate or overstate the architecture effect as commercial crosslink meshes proliferate.</w:t>
      </w:r>
    </w:p>
    <w:p>
      <w:pPr>
        <w:pStyle w:val="BodyText"/>
        <w:spacing w:line="480" w:lineRule="auto"/>
        <w:ind w:firstLine="720"/>
      </w:pPr>
      <w:r>
        <w:t xml:space="preserve">None of these bounds is fatal, but each disciplines the conclusion. The dissertation does not claim a universal law of optical-communications adoption. It claims a measured signature of the documented public record, offered as the best available evidence about the field’s trajectory and adoption mechanism, and explicitly open to revision as the population it describes grows and diversifies. This is the appropriate scope for a first population-level measurement, and stating it protects the finding from the overreach that would invite easy rebuttal.</w:t>
      </w:r>
    </w:p>
    <w:bookmarkEnd w:id="133"/>
    <w:bookmarkStart w:id="134" w:name="X34ef4f6618b8f664de50805be2a3aa62d9c4f98"/>
    <w:p>
      <w:pPr>
        <w:pStyle w:val="Heading2"/>
        <w:spacing w:line="480" w:lineRule="auto"/>
      </w:pPr>
      <w:r>
        <w:t xml:space="preserve">7.9 What a skeptic should concede and what a skeptic may retain</w:t>
      </w:r>
    </w:p>
    <w:p>
      <w:pPr>
        <w:pStyle w:val="FirstParagraph"/>
        <w:spacing w:line="480" w:lineRule="auto"/>
      </w:pPr>
      <w:r>
        <w:t xml:space="preserve">It clarifies the standing of the results to state precisely what a reasonable skeptic must concede and what a skeptic may still contest. A skeptic must concede that the public record contains a strong, precisely estimated positive association between elapsed time and reported link rate, because the elasticity’s distance from zero is too large to attribute to sampling under any plausible reservation about the sample. A skeptic must also concede that, within this record, crosslink-or-relay architecture is far more strongly associated with operational-service status than elapsed time is, because the architecture coefficient’s precision and the calendar coefficient’s imprecision are facts of the fitted model that survive conservative coding and robust inference.</w:t>
      </w:r>
    </w:p>
    <w:p>
      <w:pPr>
        <w:pStyle w:val="BodyText"/>
        <w:spacing w:line="480" w:lineRule="auto"/>
        <w:ind w:firstLine="720"/>
      </w:pPr>
      <w:r>
        <w:t xml:space="preserve">What a skeptic may still retain is doubt about the causal and predictive extensions of these associations. A skeptic may reasonably decline to read the elasticity as a controlled engineering law, given the omitted link-budget variables, and may reasonably decline to read the architecture coefficient as evidence that converting a demonstration to a crosslink would causally produce operational service, given the observational design. These reservations are legitimate, and the dissertation shares them, which is why it phrases its conclusions as associations and envelopes throughout. The line between what must be conceded and what may be retained is exactly the line between what the data show and what they cannot show, and drawing it explicitly is the final discipline of this chapter.</w:t>
      </w:r>
    </w:p>
    <w:bookmarkEnd w:id="134"/>
    <w:bookmarkEnd w:id="135"/>
    <w:bookmarkStart w:id="19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replace assertion with measurement. The engineering community has long held that free-space optical communication is the future of high-rate space connectivity, and the vendor and program literatures have treated its adoption as inevitable</w:t>
      </w:r>
      <w:r>
        <w:t xml:space="preserve"> </w:t>
      </w:r>
      <w:hyperlink w:anchor="ref-7">
        <w:r>
          <w:rPr>
            <w:rStyle w:val="Hyperlink"/>
          </w:rPr>
          <w:t xml:space="preserve">[7]</w:t>
        </w:r>
      </w:hyperlink>
      <w:r>
        <w:t xml:space="preserve"> </w:t>
      </w:r>
      <w:hyperlink w:anchor="ref-8">
        <w:r>
          <w:rPr>
            <w:rStyle w:val="Hyperlink"/>
          </w:rPr>
          <w:t xml:space="preserve">[8]</w:t>
        </w:r>
      </w:hyperlink>
      <w:r>
        <w:t xml:space="preserve">. Inevitability is not an empirical finding. What the field lacked was a fitted model of the actual record, with coefficients that could be wrong, attached to claims that could fail. This chapter states the contribution, draws out its relevance for governance and program strategy, and specifies the future work that a richer dataset would enable.</w:t>
      </w:r>
    </w:p>
    <w:bookmarkStart w:id="136" w:name="the-contribution-restated"/>
    <w:p>
      <w:pPr>
        <w:pStyle w:val="Heading2"/>
        <w:spacing w:line="480" w:lineRule="auto"/>
      </w:pPr>
      <w:r>
        <w:t xml:space="preserve">8.1 The contribution restated</w:t>
      </w:r>
    </w:p>
    <w:p>
      <w:pPr>
        <w:pStyle w:val="FirstParagraph"/>
        <w:spacing w:line="480" w:lineRule="auto"/>
      </w:pPr>
      <w:r>
        <w:t xml:space="preserve">Two coefficients are the contribution. Each is estimated from a documented, reproducible public record, each interpretable, and each surviving a candid accounting of its limitations. The first is a learning-curve elasticity of reported optical link rate on elapsed time of 2.03, significant at a p-value near two in a million, implying a progress ratio of about four: a doubling of the elapsed-time index is associated with roughly a fourfold increase in reported link rate. The second is a linear-probability architecture effect of 63.3 percentage points, significant well below the one-percent level, standing against a calendar effect that is positive but statistically indistinguishable from zero. The first coefficient says performance is scaling sharply. The second says adoption as infrastructure follows architecture, not the calendar.</w:t>
      </w:r>
    </w:p>
    <w:p>
      <w:pPr>
        <w:pStyle w:val="BodyText"/>
        <w:spacing w:line="480" w:lineRule="auto"/>
        <w:ind w:firstLine="720"/>
      </w:pPr>
      <w:r>
        <w:t xml:space="preserve">Stated as a single sentence, the contribution is this: space optical communications exhibits a steep, measurable performance trajectory, and its transition from demonstration to operational service is governed by whether the optical link is embedded in a crosslink or relay architecture rather than by elapsed time. This is a falsifiable claim. Had the learning-curve elasticity been indistinguishable from zero, or had calendar time dominated architecture in the operationalization model, the adoption thesis would have failed. It did not fail, and the direction of the result, architecture over time, is the more informative of the two possibilities the design allowed.</w:t>
      </w:r>
    </w:p>
    <w:p>
      <w:pPr>
        <w:pStyle w:val="BodyText"/>
        <w:spacing w:line="480" w:lineRule="auto"/>
        <w:ind w:firstLine="720"/>
      </w:pPr>
      <w:r>
        <w:t xml:space="preserve">The methodological contribution sits underneath the empirical one. This is, to the author’s knowledge, the first published power-law fit to the pooled public optical-link-rate record and the first classification test that separates demonstration heritage from operational network function using a coded population. The engineering literature reported single-design performance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operational literature described individual missions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strategic literature asserted scaling without estimating it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dissertation supplies the measurement layer between them, and it supplies it in a form any reader can recompute from the deposited configuration and data files.</w:t>
      </w:r>
    </w:p>
    <w:p>
      <w:pPr>
        <w:pStyle w:val="BodyText"/>
        <w:spacing w:line="480" w:lineRule="auto"/>
        <w:ind w:firstLine="720"/>
      </w:pPr>
      <w:r>
        <w:t xml:space="preserve">Fund a demonstration and you advance capability. Fund an architecture and you advance both.</w:t>
      </w:r>
    </w:p>
    <w:bookmarkEnd w:id="136"/>
    <w:bookmarkStart w:id="137" w:name="Xbd14c41197881118cd9bcf2a6e8f799a8c219f5"/>
    <w:p>
      <w:pPr>
        <w:pStyle w:val="Heading2"/>
        <w:spacing w:line="480" w:lineRule="auto"/>
      </w:pPr>
      <w:r>
        <w:t xml:space="preserve">8.2 Relevance for governance and capacity planning</w:t>
      </w:r>
    </w:p>
    <w:p>
      <w:pPr>
        <w:pStyle w:val="FirstParagraph"/>
        <w:spacing w:line="480" w:lineRule="auto"/>
      </w:pPr>
      <w:r>
        <w:t xml:space="preserve">Three decisions feel the weight of these findings. Space agencies, regulators, and constellation operators all face them. The first is ground-segment investment. If reported link rates scale faster than proportionally with elapsed time, the optical ground network must be planned for a capacity envelope well beyond current traffic, including the weather-diverse optical ground stations that distinguish an optical downlink from a radio one. Under-investing against a steep performance curve strands the space segment’s capability behind a ground bottleneck; over-investing against a curve that turns out flat wastes capital. The elasticity gives planners a defensible central estimate of the slope they are sizing against, drawn from the record rather than from a forecast.</w:t>
      </w:r>
    </w:p>
    <w:p>
      <w:pPr>
        <w:pStyle w:val="BodyText"/>
        <w:spacing w:line="480" w:lineRule="auto"/>
        <w:ind w:firstLine="720"/>
      </w:pPr>
      <w:r>
        <w:t xml:space="preserve">The second decision is how to measure and reward adoption. The operationalization result warns against a metric that counts optical payloads as if each were a step toward infrastructure. A program office that funds another record-setting demonstration advances capability but not, by the evidence here, operational adoption; a program office that funds a relay or crosslink architecture advances both. For an agency deciding where to place scarce investment, the architecture coefficient is an argument for prioritizing networked-service architectures over isolated high-rate demonstrations when the goal is operational infrastructure rather than technology maturation. The two goals are legitimate and distinct, and the coefficient helps keep them from being confused.</w:t>
      </w:r>
    </w:p>
    <w:p>
      <w:pPr>
        <w:pStyle w:val="BodyText"/>
        <w:spacing w:line="480" w:lineRule="auto"/>
        <w:ind w:firstLine="720"/>
      </w:pPr>
      <w:r>
        <w:t xml:space="preserve">The third decision is spectrum and orbital-capacity governance. Optical crosslinks change the topology of a constellation, letting traffic route through the orbital segment and reducing dependence on immediate ground-station visibility, which is exactly why the architecture variable, not the calendar, carries operational meaning</w:t>
      </w:r>
      <w:r>
        <w:t xml:space="preserve"> </w:t>
      </w:r>
      <w:hyperlink w:anchor="ref-1">
        <w:r>
          <w:rPr>
            <w:rStyle w:val="Hyperlink"/>
          </w:rPr>
          <w:t xml:space="preserve">[1]</w:t>
        </w:r>
      </w:hyperlink>
      <w:r>
        <w:t xml:space="preserve"> </w:t>
      </w:r>
      <w:hyperlink w:anchor="ref-4">
        <w:r>
          <w:rPr>
            <w:rStyle w:val="Hyperlink"/>
          </w:rPr>
          <w:t xml:space="preserve">[4]</w:t>
        </w:r>
      </w:hyperlink>
      <w:r>
        <w:t xml:space="preserve">. As proliferated constellations adopt optical intersatellite links, the capacity relief they provide to congested radio-frequency bands becomes a governance consideration, because it shifts where scarcity binds. The orbital-capacity literature frames this scarcity as strategically significant</w:t>
      </w:r>
      <w:r>
        <w:t xml:space="preserve"> </w:t>
      </w:r>
      <w:hyperlink w:anchor="ref-7">
        <w:r>
          <w:rPr>
            <w:rStyle w:val="Hyperlink"/>
          </w:rPr>
          <w:t xml:space="preserve">[7]</w:t>
        </w:r>
      </w:hyperlink>
      <w:r>
        <w:t xml:space="preserve">; the operationalization result identifies the specific architectural change, embedding the link in a relay or crosslink function, that realizes the relief.</w:t>
      </w:r>
    </w:p>
    <w:bookmarkEnd w:id="137"/>
    <w:bookmarkStart w:id="138" w:name="X86262107aaa1be5258e9649cf04126afa84204a"/>
    <w:p>
      <w:pPr>
        <w:pStyle w:val="Heading2"/>
        <w:spacing w:line="480" w:lineRule="auto"/>
      </w:pPr>
      <w:r>
        <w:t xml:space="preserve">8.3 What responsible adoption measurement should look like</w:t>
      </w:r>
    </w:p>
    <w:p>
      <w:pPr>
        <w:pStyle w:val="FirstParagraph"/>
        <w:spacing w:line="480" w:lineRule="auto"/>
      </w:pPr>
      <w:r>
        <w:t xml:space="preserve">A practical implication runs through all three decisions. Adoption of space optical communications should be measured by operational network function, not by flight heritage. A diffusion or adoption curve built by counting every optical payload mixes terminal experiments, high-rate downlink demonstrations, relay services, and constellation crosslinks into a single series that overstates infrastructure adoption. The evidence here suggests that the relevant adoption unit is the operational relay or crosslink service, which yields a more conservative but more policy-relevant curve. An agency or analyst tracking adoption should therefore code observations by network role, as this dissertation did, and report the operational-service curve separately from the raw-payload curve. Reporting only the payload count risks declaring victory on infrastructure adoption that the operational record does not yet support.</w:t>
      </w:r>
    </w:p>
    <w:p>
      <w:pPr>
        <w:pStyle w:val="BodyText"/>
        <w:spacing w:line="480" w:lineRule="auto"/>
        <w:ind w:firstLine="720"/>
      </w:pPr>
      <w:r>
        <w:t xml:space="preserve">The record is small. It is also honest. A larger one would sharpen every estimate here.</w:t>
      </w:r>
    </w:p>
    <w:bookmarkEnd w:id="138"/>
    <w:bookmarkStart w:id="139" w:name="future-work"/>
    <w:p>
      <w:pPr>
        <w:pStyle w:val="Heading2"/>
        <w:spacing w:line="480" w:lineRule="auto"/>
      </w:pPr>
      <w:r>
        <w:t xml:space="preserve">8.4 Future work</w:t>
      </w:r>
    </w:p>
    <w:p>
      <w:pPr>
        <w:pStyle w:val="FirstParagraph"/>
        <w:spacing w:line="480" w:lineRule="auto"/>
      </w:pPr>
      <w:r>
        <w:t xml:space="preserve">The path forward is clear enough. It is a larger and better-instrumented dataset, and its shape is dictated by the limitations of Chapter 7. Three extensions would materially strengthen the estimates. First, adding link-budget fields, range, aperture, wavelength, coding, and transmitter power, would let the learning curve control for the physical determinants of rate and separate genuine temporal learning from correlated improvements in link budget, converting the envelope association into something closer to a controlled estimate. Second, expanding the sample beyond the well-corroborated public record, ideally through a structured spacecraft-level database that captured commercial payloads more completely, would permit the platform-class stratification and out-of-sample censoring checks that twenty observations cannot support, and would reduce the disclosure-bias exposure concentrated in the commercial rows. Third, adding operational-availability data, whether a relay service met its scheduled throughput rather than merely existing, would refine the binary operational-service coding into a graded measure of how fully a service is realized.</w:t>
      </w:r>
    </w:p>
    <w:p>
      <w:pPr>
        <w:pStyle w:val="BodyText"/>
        <w:spacing w:line="480" w:lineRule="auto"/>
        <w:ind w:firstLine="720"/>
      </w:pPr>
      <w:r>
        <w:t xml:space="preserve">A second line of future work would revisit the diffusion framing that motivated the project. Once the record extends far enough to show the beginning of saturation, a full adoption model with an estimable ceiling becomes honest, and the innovation-and-imitation structure of the Bass tradition could be fit and compared against reference transitions such as the migration from one downlink frequency band to another or the adoption of electric propulsion on commercial spacecraft. The present dissertation deliberately stopped short of that model because the record is too short and too right-censored to identify a ceiling, but the learning-curve and operationalization results are the natural precursors to it: performance scaling and architecture-gated service are exactly the two ingredients a credible diffusion model of the field would need.</w:t>
      </w:r>
    </w:p>
    <w:p>
      <w:pPr>
        <w:pStyle w:val="BodyText"/>
        <w:spacing w:line="480" w:lineRule="auto"/>
        <w:ind w:firstLine="720"/>
      </w:pPr>
      <w:r>
        <w:t xml:space="preserve">A third line would connect the performance and service findings causally rather than descriptively. A research design that exploited the timing of relay-architecture commitments, or that compared missions matched on capability but differing in network role, could move beyond the associational claims established here toward an estimate of how much architecture actually causes operationalization. Such a design would require data the public record does not yet contain, but the direction is clear, and the coefficients reported here define the quantities such a design would seek to sharpen.</w:t>
      </w:r>
    </w:p>
    <w:bookmarkEnd w:id="139"/>
    <w:bookmarkStart w:id="140" w:name="Xa9a39f1f53d2255b0b82361e8dfbd7949843291"/>
    <w:p>
      <w:pPr>
        <w:pStyle w:val="Heading2"/>
        <w:spacing w:line="480" w:lineRule="auto"/>
      </w:pPr>
      <w:r>
        <w:t xml:space="preserve">8.5 Implications for spectrum policy specifically</w:t>
      </w:r>
    </w:p>
    <w:p>
      <w:pPr>
        <w:pStyle w:val="FirstParagraph"/>
        <w:spacing w:line="480" w:lineRule="auto"/>
      </w:pPr>
      <w:r>
        <w:t xml:space="preserve">The spectrum-policy implication deserves separate development, because it is the governance domain where the two findings combine most directly into an actionable inference. Radio-frequency spectrum is a licensed, congested, and increasingly contested resource, and the pressure on it grows with every additional constellation seeking downlink and crosslink allocations. Optical communications relieves this pressure by moving traffic off the radio spectrum entirely, but only to the extent that optical links are actually carrying operational traffic rather than merely being demonstrated. The learning-curve result establishes that the optical alternative is becoming more capable fast enough to absorb meaningful traffic; the operationalization result establishes that the relief is realized specifically when optical links are embedded in crosslink or relay architectures, because those are the architectures that route traffic through the orbital segment. A regulator estimating how much radio-spectrum pressure optical adoption will relieve should therefore track operational crosslink and relay deployments, not raw optical-payload counts, because only the former displace radio traffic.</w:t>
      </w:r>
    </w:p>
    <w:p>
      <w:pPr>
        <w:pStyle w:val="BodyText"/>
        <w:spacing w:line="480" w:lineRule="auto"/>
        <w:ind w:firstLine="720"/>
      </w:pPr>
      <w:r>
        <w:t xml:space="preserve">This has a concrete procedural implication. Spectrum-planning bodies that forecast future radio demand net of optical offload should build that offset from the operational-service curve rather than the payload curve, and the difference between the two, quantified by the architecture coefficient, is large enough to matter for the forecast. Overcounting optical offload, by treating every optical demonstration as if it relieved radio congestion, would understate future radio demand and could lead to under-allocation of radio spectrum for missions that still depend on it. The conservative, architecture-based adoption measure this dissertation advocates is therefore not merely more accurate in the abstract; it is the measure that yields the right spectrum forecast.</w:t>
      </w:r>
    </w:p>
    <w:bookmarkEnd w:id="140"/>
    <w:bookmarkStart w:id="141" w:name="X9f4e9a4d33c9c21f75e0092371294f75aa029c3"/>
    <w:p>
      <w:pPr>
        <w:pStyle w:val="Heading2"/>
        <w:spacing w:line="480" w:lineRule="auto"/>
      </w:pPr>
      <w:r>
        <w:t xml:space="preserve">8.6 Implications for the study of space-infrastructure transitions generally</w:t>
      </w:r>
    </w:p>
    <w:p>
      <w:pPr>
        <w:pStyle w:val="FirstParagraph"/>
        <w:spacing w:line="480" w:lineRule="auto"/>
      </w:pPr>
      <w:r>
        <w:t xml:space="preserve">Beyond optical communications, the dissertation offers a transferable lesson for anyone studying how a space technology moves from demonstration to infrastructure, and it is worth stating in general terms because the method is not specific to lasers. The lesson is that adoption of an infrastructure technology has two separable stages, a capability stage and a service stage, and that they are governed by different variables and should be measured by different instruments. Capability scaling is well captured by a learning curve on a performance variable. Service adoption is well captured by a classification model that lets the mechanism of adoption, here architecture, compete against the passage of time. A study that measured only capability would mistake an admired laboratory technology for adopted infrastructure; a study that measured only service would miss the performance improvements that make service credible. The two-instrument design is the methodological export.</w:t>
      </w:r>
    </w:p>
    <w:p>
      <w:pPr>
        <w:pStyle w:val="BodyText"/>
        <w:spacing w:line="480" w:lineRule="auto"/>
        <w:ind w:firstLine="720"/>
      </w:pPr>
      <w:r>
        <w:t xml:space="preserve">This matters for the broader research program on space-infrastructure transitions, from electric propulsion to on-orbit servicing to in-space assembly, each of which faces the same demonstration-to-service question. The robotic on-orbit assembly literature, for instance, is currently rich in capability demonstrations and thin in operational service</w:t>
      </w:r>
      <w:r>
        <w:t xml:space="preserve"> </w:t>
      </w:r>
      <w:hyperlink w:anchor="ref-33">
        <w:r>
          <w:rPr>
            <w:rStyle w:val="Hyperlink"/>
          </w:rPr>
          <w:t xml:space="preserve">[33]</w:t>
        </w:r>
      </w:hyperlink>
      <w:r>
        <w:t xml:space="preserve">, a pattern the two-stage frame would predict for a technology early in its transition. Applying the same two instruments to those fields, a learning curve on the relevant performance metric and a service-classification model with a mechanism variable, would yield comparable adoption signatures and would let analysts compare transition dynamics across technologies on a common footing. The optical-communications study is thus a template as much as a result.</w:t>
      </w:r>
    </w:p>
    <w:bookmarkEnd w:id="141"/>
    <w:bookmarkStart w:id="142" w:name="a-concrete-agenda-for-the-next-dataset"/>
    <w:p>
      <w:pPr>
        <w:pStyle w:val="Heading2"/>
        <w:spacing w:line="480" w:lineRule="auto"/>
      </w:pPr>
      <w:r>
        <w:t xml:space="preserve">8.7 A concrete agenda for the next dataset</w:t>
      </w:r>
    </w:p>
    <w:p>
      <w:pPr>
        <w:pStyle w:val="FirstParagraph"/>
        <w:spacing w:line="480" w:lineRule="auto"/>
      </w:pPr>
      <w:r>
        <w:t xml:space="preserve">The future-work discussion of Section 8.4 can be made concrete enough to act on, and doing so is part of leaving the field better positioned than the dissertation found it. The single most valuable next step is the construction of a link-budget-instrumented optical-communications database. Such a database would record, for each mission, the fields the public sources omit: range at the reported rate, transmit and receive aperture diameters, optical wavelength, modulation and coding scheme, transmit power, and the atmospheric path where relevant. With those fields, the learning curve could be re-estimated controlling for the physical determinants of rate, and the portion of the temporal association that operates through genuine learning could be separated from the portion that operates through correlated improvements in aperture or power. The elasticity reported here would then be decomposable rather than merely descriptive, and the envelope claim would sharpen toward a controlled one.</w:t>
      </w:r>
    </w:p>
    <w:p>
      <w:pPr>
        <w:pStyle w:val="BodyText"/>
        <w:spacing w:line="480" w:lineRule="auto"/>
        <w:ind w:firstLine="720"/>
      </w:pPr>
      <w:r>
        <w:t xml:space="preserve">The second concrete step is a structured, spacecraft-level census of operational optical payloads that captures commercial constellations completely rather than through selective disclosure. The Starlink observations in the present datasets are the weakest link precisely because commercial disclosure is partial, and a census that resolved every optical intersatellite link on every operational spacecraft would both enlarge the sample and eliminate the disclosure-bias exposure that Chapter 7 named. With a few hundred rather than twenty observations, the platform-class stratification and out-of-sample censoring checks that the present sample cannot support would become feasible, and the architecture coefficient could be estimated separately for agency and commercial systems to test whether the mechanism differs across sectors. The third step, operational-availability data, would convert the binary service indicator into a graded measure of how fully each service meets its scheduled throughput, turning a classification into a richer outcome. These three steps are not speculative; each is a database-construction task whose feasibility depends on access and effort rather than on any methodological breakthrough, and each would directly relax a limitation the present work names.</w:t>
      </w:r>
    </w:p>
    <w:bookmarkEnd w:id="142"/>
    <w:bookmarkStart w:id="143" w:name="X82371763e2c66cd0741c777f657dd3f153d36d2"/>
    <w:p>
      <w:pPr>
        <w:pStyle w:val="Heading2"/>
        <w:spacing w:line="480" w:lineRule="auto"/>
      </w:pPr>
      <w:r>
        <w:t xml:space="preserve">8.8 The dissertation’s place in a larger research program</w:t>
      </w:r>
    </w:p>
    <w:p>
      <w:pPr>
        <w:pStyle w:val="FirstParagraph"/>
        <w:spacing w:line="480" w:lineRule="auto"/>
      </w:pPr>
      <w:r>
        <w:t xml:space="preserve">It is fitting to close the argument by situating it in the larger program it belongs to, because a dissertation is a contribution to a conversation rather than a final word. The study of how space technologies transition from demonstration to infrastructure is young, and it lacks the shared measurement conventions that mature fields take for granted. This dissertation offers two such conventions in miniature: measure capability with a learning curve on a performance variable, and measure adoption with a classification model that lets the adoption mechanism compete against time. Applied here to optical communications, the conventions yielded a steep performance elasticity and an architecture-dominated adoption pattern. Applied elsewhere, to electric propulsion, to on-orbit servicing, to robotic in-space assembly, whose capability demonstrations currently outnumber its operational services</w:t>
      </w:r>
      <w:r>
        <w:t xml:space="preserve"> </w:t>
      </w:r>
      <w:hyperlink w:anchor="ref-33">
        <w:r>
          <w:rPr>
            <w:rStyle w:val="Hyperlink"/>
          </w:rPr>
          <w:t xml:space="preserve">[33]</w:t>
        </w:r>
      </w:hyperlink>
      <w:r>
        <w:t xml:space="preserve">, they would yield comparable signatures that let analysts compare transitions across technologies on common terms.</w:t>
      </w:r>
    </w:p>
    <w:p>
      <w:pPr>
        <w:pStyle w:val="BodyText"/>
        <w:spacing w:line="480" w:lineRule="auto"/>
        <w:ind w:firstLine="720"/>
      </w:pPr>
      <w:r>
        <w:t xml:space="preserve">That comparability is the larger prize. Once several space-infrastructure transitions have been measured with the same two instruments, patterns across them become visible: whether steep capability curves generally precede operational adoption or sometimes follow it, whether architecture is generally the gating variable for service or whether other mechanisms govern in other domains, and whether the transition dynamics of government-led technologies differ systematically from commercially-led ones. None of those cross-technology questions can be answered from optical communications alone. But optical communications, measured carefully, is a first data point in the series, and it is offered here as much for the template it establishes as for the specific coefficients it reports. The engineering community proved that laser links can be built and pointed; the strategic community argued that they matter; this dissertation measured how fast they are improving and where their adoption takes hold, and in doing so it supplies both a result and a method the field can carry forward.</w:t>
      </w:r>
    </w:p>
    <w:bookmarkEnd w:id="143"/>
    <w:bookmarkStart w:id="144" w:name="closing"/>
    <w:p>
      <w:pPr>
        <w:pStyle w:val="Heading2"/>
        <w:spacing w:line="480" w:lineRule="auto"/>
      </w:pPr>
      <w:r>
        <w:t xml:space="preserve">8.9 Closing</w:t>
      </w:r>
    </w:p>
    <w:p>
      <w:pPr>
        <w:pStyle w:val="FirstParagraph"/>
        <w:spacing w:line="480" w:lineRule="auto"/>
      </w:pPr>
      <w:r>
        <w:t xml:space="preserve">This dissertation began with a gap. On one side sat what the field asserts; on the other, what it has measured. It closes that gap for two specific claims. Space optical communications has scaled in reported performance faster than proportionally with elapsed time, and its adoption as operational infrastructure is governed by crosslink and relay architecture rather than by the calendar. Both claims are estimated from a documented record, both are reproducible, and both were stated in advance so that they could have come out otherwise. The engineering literature will remain the authority on how to build and point a terminal</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and the strategic literature will remain the authority on why capacity matters</w:t>
      </w:r>
      <w:r>
        <w:t xml:space="preserve"> </w:t>
      </w:r>
      <w:hyperlink w:anchor="ref-7">
        <w:r>
          <w:rPr>
            <w:rStyle w:val="Hyperlink"/>
          </w:rPr>
          <w:t xml:space="preserve">[7]</w:t>
        </w:r>
      </w:hyperlink>
      <w:r>
        <w:t xml:space="preserve"> </w:t>
      </w:r>
      <w:hyperlink w:anchor="ref-8">
        <w:r>
          <w:rPr>
            <w:rStyle w:val="Hyperlink"/>
          </w:rPr>
          <w:t xml:space="preserve">[8]</w:t>
        </w:r>
      </w:hyperlink>
      <w:r>
        <w:t xml:space="preserve">. Between them now sits a measured account of how fast the capability is growing and where its adoption actually takes hold. That measured account, held to a standard the data can meet and offered in a form any reader can recompute, is the dissertation’s contribution to the study of space infrastructure transitions.</w:t>
      </w:r>
    </w:p>
    <w:bookmarkEnd w:id="144"/>
    <w:bookmarkStart w:id="196" w:name="references"/>
    <w:p>
      <w:pPr>
        <w:pStyle w:val="Heading2"/>
        <w:spacing w:line="480" w:lineRule="auto"/>
      </w:pPr>
      <w:r>
        <w:t xml:space="preserve">References</w:t>
      </w:r>
    </w:p>
    <w:p>
      <w:pPr>
        <w:pStyle w:val="FirstParagraph"/>
        <w:spacing w:line="480" w:lineRule="auto"/>
      </w:pPr>
      <w:bookmarkStart w:id="145" w:name="ref-1"/>
      <w:bookmarkEnd w:id="145"/>
      <w:r>
        <w:t xml:space="preserve">1. P. Forester, A. Lee, C. Lisy, D. Coogan, K. Cahoy,</w:t>
      </w:r>
      <w:r>
        <w:t xml:space="preserve"> </w:t>
      </w:r>
      <w:r>
        <w:t xml:space="preserve">“Drag Management and Conjunction Prevention for a Crosslink CubeSat Laser Communications Mission,”</w:t>
      </w:r>
      <w:r>
        <w:t xml:space="preserve"> </w:t>
      </w:r>
      <w:r>
        <w:t xml:space="preserve">Proc. Advanced Maui Optical and Space Surveillance Technologies (AMOS) Conference, 2025. doi:</w:t>
      </w:r>
      <w:r>
        <w:t xml:space="preserve"> </w:t>
      </w:r>
      <w:hyperlink r:id="rId146">
        <w:r>
          <w:rPr>
            <w:rStyle w:val="Hyperlink"/>
          </w:rPr>
          <w:t xml:space="preserve">10.64861/LGTK6821</w:t>
        </w:r>
      </w:hyperlink>
    </w:p>
    <w:p>
      <w:pPr>
        <w:pStyle w:val="BodyText"/>
        <w:spacing w:line="480" w:lineRule="auto"/>
        <w:ind w:firstLine="720"/>
      </w:pPr>
      <w:bookmarkStart w:id="147" w:name="ref-2"/>
      <w:bookmarkEnd w:id="147"/>
      <w:r>
        <w:t xml:space="preserve">2. A. Carrasco-Casado, K. Shiratama, P. V. Trinh, D. Kolev, Y. Munemasa, T. Fuse, H. Tsuji, M. Toyoshima,</w:t>
      </w:r>
      <w:r>
        <w:t xml:space="preserve"> </w:t>
      </w:r>
      <w:r>
        <w:t xml:space="preserve">“Development of a miniaturized laser-communication terminal for small satellites,”</w:t>
      </w:r>
      <w:r>
        <w:t xml:space="preserve"> </w:t>
      </w:r>
      <w:r>
        <w:t xml:space="preserve">Acta Astronautica, vol. 197, 2022. doi:</w:t>
      </w:r>
      <w:r>
        <w:t xml:space="preserve"> </w:t>
      </w:r>
      <w:hyperlink r:id="rId148">
        <w:r>
          <w:rPr>
            <w:rStyle w:val="Hyperlink"/>
          </w:rPr>
          <w:t xml:space="preserve">10.1016/j.actaastro.2022.05.011</w:t>
        </w:r>
      </w:hyperlink>
    </w:p>
    <w:p>
      <w:pPr>
        <w:pStyle w:val="BodyText"/>
        <w:spacing w:line="480" w:lineRule="auto"/>
        <w:ind w:firstLine="720"/>
      </w:pPr>
      <w:bookmarkStart w:id="149" w:name="ref-3"/>
      <w:bookmarkEnd w:id="149"/>
      <w:r>
        <w:t xml:space="preserve">3. M. T. Knopp, A. Spoerl, M. Gnat, G. Rossmanith, F. Huber, C. Fuchs, D. Giggenbach,</w:t>
      </w:r>
      <w:r>
        <w:t xml:space="preserve"> </w:t>
      </w:r>
      <w:r>
        <w:t xml:space="preserve">“Towards the utilization of optical ground-to-space links for low earth orbiting spacecraft,”</w:t>
      </w:r>
      <w:r>
        <w:t xml:space="preserve"> </w:t>
      </w:r>
      <w:r>
        <w:t xml:space="preserve">Acta Astronautica, vol. 166, 2019. doi:</w:t>
      </w:r>
      <w:r>
        <w:t xml:space="preserve"> </w:t>
      </w:r>
      <w:hyperlink r:id="rId150">
        <w:r>
          <w:rPr>
            <w:rStyle w:val="Hyperlink"/>
          </w:rPr>
          <w:t xml:space="preserve">10.1016/j.actaastro.2019.10.011</w:t>
        </w:r>
      </w:hyperlink>
    </w:p>
    <w:p>
      <w:pPr>
        <w:pStyle w:val="BodyText"/>
        <w:spacing w:line="480" w:lineRule="auto"/>
        <w:ind w:firstLine="720"/>
      </w:pPr>
      <w:bookmarkStart w:id="151" w:name="ref-4"/>
      <w:bookmarkEnd w:id="151"/>
      <w:r>
        <w:t xml:space="preserve">4. M. T. Knopp, D. Giggenbach, R. Mata Calvo, C. Fuchs, K. Saucke, F. Heine, F. Sellmaier, F. Huber,</w:t>
      </w:r>
      <w:r>
        <w:t xml:space="preserve"> </w:t>
      </w:r>
      <w:r>
        <w:t xml:space="preserve">“Connectivity services based on optical ground-to-space links,”</w:t>
      </w:r>
      <w:r>
        <w:t xml:space="preserve"> </w:t>
      </w:r>
      <w:r>
        <w:t xml:space="preserve">Acta Astronautica, vol. 148, 2018. doi:</w:t>
      </w:r>
      <w:r>
        <w:t xml:space="preserve"> </w:t>
      </w:r>
      <w:hyperlink r:id="rId152">
        <w:r>
          <w:rPr>
            <w:rStyle w:val="Hyperlink"/>
          </w:rPr>
          <w:t xml:space="preserve">10.1016/j.actaastro.2018.04.049</w:t>
        </w:r>
      </w:hyperlink>
    </w:p>
    <w:p>
      <w:pPr>
        <w:pStyle w:val="BodyText"/>
        <w:spacing w:line="480" w:lineRule="auto"/>
        <w:ind w:firstLine="720"/>
      </w:pPr>
      <w:bookmarkStart w:id="153" w:name="ref-5"/>
      <w:bookmarkEnd w:id="153"/>
      <w:r>
        <w:t xml:space="preserve">5. P. Martin Pimentel, B. Rodiger, C. C. Schmidt, C. Fuchs, C. Rochow, T. F. Hiemstra, A. Zager, P. Wertz, M. T. Knopp, M. Lehmann, F. Mrowka,</w:t>
      </w:r>
      <w:r>
        <w:t xml:space="preserve"> </w:t>
      </w:r>
      <w:r>
        <w:t xml:space="preserve">“Cube laser communication terminal (CubeLCT) state of the art,”</w:t>
      </w:r>
      <w:r>
        <w:t xml:space="preserve"> </w:t>
      </w:r>
      <w:r>
        <w:t xml:space="preserve">Acta Astronautica, vol. 211, 2023. doi:</w:t>
      </w:r>
      <w:r>
        <w:t xml:space="preserve"> </w:t>
      </w:r>
      <w:hyperlink r:id="rId154">
        <w:r>
          <w:rPr>
            <w:rStyle w:val="Hyperlink"/>
          </w:rPr>
          <w:t xml:space="preserve">10.1016/j.actaastro.2023.06.026</w:t>
        </w:r>
      </w:hyperlink>
    </w:p>
    <w:p>
      <w:pPr>
        <w:pStyle w:val="BodyText"/>
        <w:spacing w:line="480" w:lineRule="auto"/>
        <w:ind w:firstLine="720"/>
      </w:pPr>
      <w:bookmarkStart w:id="155" w:name="ref-6"/>
      <w:bookmarkEnd w:id="155"/>
      <w:r>
        <w:t xml:space="preserve">6. F. Sansone, A. Francesconi, R. Corvaja, G. Vallone, R. Antonello, F. Branz, P. Villoresi,</w:t>
      </w:r>
      <w:r>
        <w:t xml:space="preserve"> </w:t>
      </w:r>
      <w:r>
        <w:t xml:space="preserve">“LaserCube optical communication terminal for nano and micro satellites,”</w:t>
      </w:r>
      <w:r>
        <w:t xml:space="preserve"> </w:t>
      </w:r>
      <w:r>
        <w:t xml:space="preserve">Acta Astronautica, vol. 173, 2020. doi:</w:t>
      </w:r>
      <w:r>
        <w:t xml:space="preserve"> </w:t>
      </w:r>
      <w:hyperlink r:id="rId156">
        <w:r>
          <w:rPr>
            <w:rStyle w:val="Hyperlink"/>
          </w:rPr>
          <w:t xml:space="preserve">10.1016/j.actaastro.2020.04.049</w:t>
        </w:r>
      </w:hyperlink>
    </w:p>
    <w:p>
      <w:pPr>
        <w:pStyle w:val="BodyText"/>
        <w:spacing w:line="480" w:lineRule="auto"/>
        <w:ind w:firstLine="720"/>
      </w:pPr>
      <w:bookmarkStart w:id="157" w:name="ref-7"/>
      <w:bookmarkEnd w:id="157"/>
      <w:r>
        <w:t xml:space="preserve">7. B. Stilwell,</w:t>
      </w:r>
      <w:r>
        <w:t xml:space="preserve"> </w:t>
      </w:r>
      <w:r>
        <w:t xml:space="preserve">“Stilwell IAC 2024 Orbital Capacity,”</w:t>
      </w:r>
      <w:r>
        <w:t xml:space="preserve"> </w:t>
      </w:r>
      <w:r>
        <w:t xml:space="preserve">Space Economy Papers corpus, SD01.</w:t>
      </w:r>
    </w:p>
    <w:p>
      <w:pPr>
        <w:pStyle w:val="BodyText"/>
        <w:spacing w:line="480" w:lineRule="auto"/>
        <w:ind w:firstLine="720"/>
      </w:pPr>
      <w:bookmarkStart w:id="158" w:name="ref-8"/>
      <w:bookmarkEnd w:id="158"/>
      <w:r>
        <w:t xml:space="preserve">8.</w:t>
      </w:r>
      <w:r>
        <w:t xml:space="preserve"> </w:t>
      </w:r>
      <w:r>
        <w:t xml:space="preserve">“The Space Imperative (Whole-of-Nation),”</w:t>
      </w:r>
      <w:r>
        <w:t xml:space="preserve"> </w:t>
      </w:r>
      <w:r>
        <w:t xml:space="preserve">Space Economy Papers corpus, SD14.</w:t>
      </w:r>
    </w:p>
    <w:p>
      <w:pPr>
        <w:pStyle w:val="BodyText"/>
        <w:spacing w:line="480" w:lineRule="auto"/>
        <w:ind w:firstLine="720"/>
      </w:pPr>
      <w:bookmarkStart w:id="159" w:name="ref-9"/>
      <w:bookmarkEnd w:id="159"/>
      <w:r>
        <w:t xml:space="preserve">9. R. Ruddenklau, G. Schitter,</w:t>
      </w:r>
      <w:r>
        <w:t xml:space="preserve"> </w:t>
      </w:r>
      <w:r>
        <w:t xml:space="preserve">“Control allocation for over-actuated satellite laser communication systems,”</w:t>
      </w:r>
      <w:r>
        <w:t xml:space="preserve"> </w:t>
      </w:r>
      <w:r>
        <w:t xml:space="preserve">Acta Astronautica, vol. 240, 2025. doi:</w:t>
      </w:r>
      <w:r>
        <w:t xml:space="preserve"> </w:t>
      </w:r>
      <w:hyperlink r:id="rId160">
        <w:r>
          <w:rPr>
            <w:rStyle w:val="Hyperlink"/>
          </w:rPr>
          <w:t xml:space="preserve">10.1016/j.actaastro.2025.12.026</w:t>
        </w:r>
      </w:hyperlink>
    </w:p>
    <w:p>
      <w:pPr>
        <w:pStyle w:val="BodyText"/>
        <w:spacing w:line="480" w:lineRule="auto"/>
        <w:ind w:firstLine="720"/>
      </w:pPr>
      <w:bookmarkStart w:id="161" w:name="ref-10"/>
      <w:bookmarkEnd w:id="161"/>
      <w:r>
        <w:t xml:space="preserve">10. NASA,</w:t>
      </w:r>
      <w:r>
        <w:t xml:space="preserve"> </w:t>
      </w:r>
      <w:r>
        <w:t xml:space="preserve">“Lunar Laser Communication Demonstration,”</w:t>
      </w:r>
      <w:r>
        <w:t xml:space="preserve"> </w:t>
      </w:r>
      <w:r>
        <w:t xml:space="preserve">mission fact sheet and technology summary.</w:t>
      </w:r>
    </w:p>
    <w:p>
      <w:pPr>
        <w:pStyle w:val="BodyText"/>
        <w:spacing w:line="480" w:lineRule="auto"/>
        <w:ind w:firstLine="720"/>
      </w:pPr>
      <w:bookmarkStart w:id="162" w:name="ref-11"/>
      <w:bookmarkEnd w:id="162"/>
      <w:r>
        <w:t xml:space="preserve">11. NASA Jet Propulsion Laboratory,</w:t>
      </w:r>
      <w:r>
        <w:t xml:space="preserve"> </w:t>
      </w:r>
      <w:r>
        <w:t xml:space="preserve">“Optical Payload for Lasercomm Science,”</w:t>
      </w:r>
      <w:r>
        <w:t xml:space="preserve"> </w:t>
      </w:r>
      <w:r>
        <w:t xml:space="preserve">project summary.</w:t>
      </w:r>
    </w:p>
    <w:p>
      <w:pPr>
        <w:pStyle w:val="BodyText"/>
        <w:spacing w:line="480" w:lineRule="auto"/>
        <w:ind w:firstLine="720"/>
      </w:pPr>
      <w:bookmarkStart w:id="163" w:name="ref-12"/>
      <w:bookmarkEnd w:id="163"/>
      <w:r>
        <w:t xml:space="preserve">12. NASA,</w:t>
      </w:r>
      <w:r>
        <w:t xml:space="preserve"> </w:t>
      </w:r>
      <w:r>
        <w:t xml:space="preserve">“TBIRD Demonstrates 100 Gbps and 200 Gbps Optical Communications from a CubeSat,”</w:t>
      </w:r>
      <w:r>
        <w:t xml:space="preserve"> </w:t>
      </w:r>
      <w:r>
        <w:t xml:space="preserve">project releases.</w:t>
      </w:r>
    </w:p>
    <w:p>
      <w:pPr>
        <w:pStyle w:val="BodyText"/>
        <w:spacing w:line="480" w:lineRule="auto"/>
        <w:ind w:firstLine="720"/>
      </w:pPr>
      <w:bookmarkStart w:id="164" w:name="ref-13"/>
      <w:bookmarkEnd w:id="164"/>
      <w:r>
        <w:t xml:space="preserve">13. NASA,</w:t>
      </w:r>
      <w:r>
        <w:t xml:space="preserve"> </w:t>
      </w:r>
      <w:r>
        <w:t xml:space="preserve">“Laser Communications Relay Demonstration,”</w:t>
      </w:r>
      <w:r>
        <w:t xml:space="preserve"> </w:t>
      </w:r>
      <w:r>
        <w:t xml:space="preserve">mission fact sheet.</w:t>
      </w:r>
    </w:p>
    <w:p>
      <w:pPr>
        <w:pStyle w:val="BodyText"/>
        <w:spacing w:line="480" w:lineRule="auto"/>
        <w:ind w:firstLine="720"/>
      </w:pPr>
      <w:bookmarkStart w:id="165" w:name="ref-14"/>
      <w:bookmarkEnd w:id="165"/>
      <w:r>
        <w:t xml:space="preserve">14. NASA,</w:t>
      </w:r>
      <w:r>
        <w:t xml:space="preserve"> </w:t>
      </w:r>
      <w:r>
        <w:t xml:space="preserve">“Integrated LCRD Low-Earth Orbit User Modem and Amplifier Terminal,”</w:t>
      </w:r>
      <w:r>
        <w:t xml:space="preserve"> </w:t>
      </w:r>
      <w:r>
        <w:t xml:space="preserve">mission page.</w:t>
      </w:r>
    </w:p>
    <w:p>
      <w:pPr>
        <w:pStyle w:val="BodyText"/>
        <w:spacing w:line="480" w:lineRule="auto"/>
        <w:ind w:firstLine="720"/>
      </w:pPr>
      <w:bookmarkStart w:id="166" w:name="ref-15"/>
      <w:bookmarkEnd w:id="166"/>
      <w:r>
        <w:t xml:space="preserve">15. NASA Jet Propulsion Laboratory,</w:t>
      </w:r>
      <w:r>
        <w:t xml:space="preserve"> </w:t>
      </w:r>
      <w:r>
        <w:t xml:space="preserve">“Deep Space Optical Communications,”</w:t>
      </w:r>
      <w:r>
        <w:t xml:space="preserve"> </w:t>
      </w:r>
      <w:r>
        <w:t xml:space="preserve">mission releases and 2023 to 2024 updates.</w:t>
      </w:r>
    </w:p>
    <w:p>
      <w:pPr>
        <w:pStyle w:val="BodyText"/>
        <w:spacing w:line="480" w:lineRule="auto"/>
        <w:ind w:firstLine="720"/>
      </w:pPr>
      <w:bookmarkStart w:id="167" w:name="ref-16"/>
      <w:bookmarkEnd w:id="167"/>
      <w:r>
        <w:t xml:space="preserve">16. ESA,</w:t>
      </w:r>
      <w:r>
        <w:t xml:space="preserve"> </w:t>
      </w:r>
      <w:r>
        <w:t xml:space="preserve">“SpaceDataHighway and European Data Relay System,”</w:t>
      </w:r>
      <w:r>
        <w:t xml:space="preserve"> </w:t>
      </w:r>
      <w:r>
        <w:t xml:space="preserve">program fact sheets.</w:t>
      </w:r>
    </w:p>
    <w:p>
      <w:pPr>
        <w:pStyle w:val="BodyText"/>
        <w:spacing w:line="480" w:lineRule="auto"/>
        <w:ind w:firstLine="720"/>
      </w:pPr>
      <w:bookmarkStart w:id="168" w:name="ref-17"/>
      <w:bookmarkEnd w:id="168"/>
      <w:r>
        <w:t xml:space="preserve">17. JAXA and NICT,</w:t>
      </w:r>
      <w:r>
        <w:t xml:space="preserve"> </w:t>
      </w:r>
      <w:r>
        <w:t xml:space="preserve">“OICETS Kirari and ETS-VI laser communications mission summaries.”</w:t>
      </w:r>
    </w:p>
    <w:p>
      <w:pPr>
        <w:pStyle w:val="BodyText"/>
        <w:spacing w:line="480" w:lineRule="auto"/>
        <w:ind w:firstLine="720"/>
      </w:pPr>
      <w:bookmarkStart w:id="169" w:name="ref-18"/>
      <w:bookmarkEnd w:id="169"/>
      <w:r>
        <w:t xml:space="preserve">18. F. Sansone, A. Francesconi, R. Corvaja, G. Vallone, R. Antonello, F. Branz, and P. Villoresi,</w:t>
      </w:r>
      <w:r>
        <w:t xml:space="preserve"> </w:t>
      </w:r>
      <w:r>
        <w:t xml:space="preserve">“LaserCube optical communication terminal for nano and micro satellites,”</w:t>
      </w:r>
      <w:r>
        <w:t xml:space="preserve"> </w:t>
      </w:r>
      <w:r>
        <w:t xml:space="preserve">Acta Astronautica, vol. 173, 2020. doi:</w:t>
      </w:r>
      <w:r>
        <w:t xml:space="preserve"> </w:t>
      </w:r>
      <w:hyperlink r:id="rId156">
        <w:r>
          <w:rPr>
            <w:rStyle w:val="Hyperlink"/>
          </w:rPr>
          <w:t xml:space="preserve">10.1016/j.actaastro.2020.04.049</w:t>
        </w:r>
      </w:hyperlink>
    </w:p>
    <w:p>
      <w:pPr>
        <w:pStyle w:val="BodyText"/>
        <w:spacing w:line="480" w:lineRule="auto"/>
        <w:ind w:firstLine="720"/>
      </w:pPr>
      <w:bookmarkStart w:id="170" w:name="ref-19"/>
      <w:bookmarkEnd w:id="170"/>
      <w:r>
        <w:t xml:space="preserve">19. P. Forester, A. Lee, C. Lisy, D. Coogan, and K. Cahoy,</w:t>
      </w:r>
      <w:r>
        <w:t xml:space="preserve"> </w:t>
      </w:r>
      <w:r>
        <w:t xml:space="preserve">“Drag Management and Conjunction Prevention for a Crosslink CubeSat Laser Communications Mission,”</w:t>
      </w:r>
      <w:r>
        <w:t xml:space="preserve"> </w:t>
      </w:r>
      <w:r>
        <w:t xml:space="preserve">AMOS Conference, 2025. doi:</w:t>
      </w:r>
      <w:r>
        <w:t xml:space="preserve"> </w:t>
      </w:r>
      <w:hyperlink r:id="rId146">
        <w:r>
          <w:rPr>
            <w:rStyle w:val="Hyperlink"/>
          </w:rPr>
          <w:t xml:space="preserve">10.64861/LGTK6821</w:t>
        </w:r>
      </w:hyperlink>
    </w:p>
    <w:p>
      <w:pPr>
        <w:pStyle w:val="BodyText"/>
        <w:spacing w:line="480" w:lineRule="auto"/>
        <w:ind w:firstLine="720"/>
      </w:pPr>
      <w:bookmarkStart w:id="171" w:name="ref-20"/>
      <w:bookmarkEnd w:id="171"/>
      <w:r>
        <w:t xml:space="preserve">20. G.-N. Kim et al.,</w:t>
      </w:r>
      <w:r>
        <w:t xml:space="preserve"> </w:t>
      </w:r>
      <w:r>
        <w:t xml:space="preserve">“The VISION concept of laser crosslink systems using nanosatellites in formation flying,”</w:t>
      </w:r>
      <w:r>
        <w:t xml:space="preserve"> </w:t>
      </w:r>
      <w:r>
        <w:t xml:space="preserve">Acta Astronautica, vol. 211, 2023. doi:</w:t>
      </w:r>
      <w:r>
        <w:t xml:space="preserve"> </w:t>
      </w:r>
      <w:hyperlink r:id="rId172">
        <w:r>
          <w:rPr>
            <w:rStyle w:val="Hyperlink"/>
          </w:rPr>
          <w:t xml:space="preserve">10.1016/j.actaastro.2023.07.014</w:t>
        </w:r>
      </w:hyperlink>
    </w:p>
    <w:p>
      <w:pPr>
        <w:pStyle w:val="BodyText"/>
        <w:spacing w:line="480" w:lineRule="auto"/>
        <w:ind w:firstLine="720"/>
      </w:pPr>
      <w:bookmarkStart w:id="173" w:name="ref-21"/>
      <w:bookmarkEnd w:id="173"/>
      <w:r>
        <w:t xml:space="preserve">21. Paige Forester, Massachusetts Institute of Technology; Abigail Lee, Massachusetts Institute of Technology; Celvi Lisy, Massachusetts Institute of Technology; Danielle Coogan, Massachusetts Institute of Technology; Kerri Cahoy, Massachusetts Institute of Technology. Drag Management and Conjunction Prevention for a Crosslink CubeSat Laser Communications Mission (2025). doi:</w:t>
      </w:r>
      <w:r>
        <w:t xml:space="preserve"> </w:t>
      </w:r>
      <w:hyperlink r:id="rId146">
        <w:r>
          <w:rPr>
            <w:rStyle w:val="Hyperlink"/>
          </w:rPr>
          <w:t xml:space="preserve">10.64861/LGTK6821</w:t>
        </w:r>
      </w:hyperlink>
    </w:p>
    <w:p>
      <w:pPr>
        <w:pStyle w:val="BodyText"/>
        <w:spacing w:line="480" w:lineRule="auto"/>
        <w:ind w:firstLine="720"/>
      </w:pPr>
      <w:bookmarkStart w:id="174" w:name="ref-22"/>
      <w:bookmarkEnd w:id="174"/>
      <w:r>
        <w:t xml:space="preserve">22.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75">
        <w:r>
          <w:rPr>
            <w:rStyle w:val="Hyperlink"/>
          </w:rPr>
          <w:t xml:space="preserve">10.64861/XQCN3213</w:t>
        </w:r>
      </w:hyperlink>
    </w:p>
    <w:p>
      <w:pPr>
        <w:pStyle w:val="BodyText"/>
        <w:spacing w:line="480" w:lineRule="auto"/>
        <w:ind w:firstLine="720"/>
      </w:pPr>
      <w:bookmarkStart w:id="176" w:name="ref-23"/>
      <w:bookmarkEnd w:id="176"/>
      <w:r>
        <w:t xml:space="preserve">23. Phillip M. Cunio, ExoAnalytic Solutions, Inc.; Marcus Bever, ExoAnalytic Solutions, Inc.; Christopher Ingram, ExoAnalytic Solutions, Inc.; Brien R. Flewelling, ExoAnalytic Solutions, Inc.; Greg McNeill, ExoAnalytic Solutions, Inc.. Utilization Potential for Distinct Orbit Families in the Cislunar Domain (2021).</w:t>
      </w:r>
    </w:p>
    <w:p>
      <w:pPr>
        <w:pStyle w:val="BodyText"/>
        <w:spacing w:line="480" w:lineRule="auto"/>
        <w:ind w:firstLine="720"/>
      </w:pPr>
      <w:bookmarkStart w:id="177" w:name="ref-24"/>
      <w:bookmarkEnd w:id="177"/>
      <w:r>
        <w:t xml:space="preserve">24. Pat Donnelly (DSTL), Nick Harwood (DSTL), Andy Ash (DSTL), Jon Eastment (STFC UK), Darcy Ladd (STFC UK), Chris Walden (STFC), James Bennett (Elecro Optic Systems), Craig Smith (Elecro Optic Systems), Ian Ritchie (Elecro Optic Systems), Mark Rutten (Defence Science and Technology Organisation), Neil Gordon (Defence Science and Technology Organisation). Joint UK-Australian Space Surveillance Target Tracking, Cueing and Sensor Data Fusion Experiment (2014).</w:t>
      </w:r>
    </w:p>
    <w:p>
      <w:pPr>
        <w:pStyle w:val="BodyText"/>
        <w:spacing w:line="480" w:lineRule="auto"/>
        <w:ind w:firstLine="720"/>
      </w:pPr>
      <w:bookmarkStart w:id="178" w:name="ref-25"/>
      <w:bookmarkEnd w:id="178"/>
      <w:r>
        <w:t xml:space="preserve">25. David Robie, General Atomics Electromagnetic Systems; Aaron Freeman, General Atomics Electromagnetics; Robert Peterkin, General Atomics. MicroSat Laser Communication Terminals and IR Imaging Payloads for Space-Based Applications (2020).</w:t>
      </w:r>
    </w:p>
    <w:p>
      <w:pPr>
        <w:pStyle w:val="BodyText"/>
        <w:spacing w:line="480" w:lineRule="auto"/>
        <w:ind w:firstLine="720"/>
      </w:pPr>
      <w:bookmarkStart w:id="179" w:name="ref-26"/>
      <w:bookmarkEnd w:id="179"/>
      <w:r>
        <w:t xml:space="preserve">26. Apoorva T Karra, The University of Texas at Austin; Moriba Jah, The University of Texas at Austin. Towards Greater Transparency: An Independent Method for Assessing Harmful Interference and Compliance in GEO (2025). doi:</w:t>
      </w:r>
      <w:r>
        <w:t xml:space="preserve"> </w:t>
      </w:r>
      <w:hyperlink r:id="rId180">
        <w:r>
          <w:rPr>
            <w:rStyle w:val="Hyperlink"/>
          </w:rPr>
          <w:t xml:space="preserve">10.64861/WFHJ7307</w:t>
        </w:r>
      </w:hyperlink>
    </w:p>
    <w:p>
      <w:pPr>
        <w:pStyle w:val="BodyText"/>
        <w:spacing w:line="480" w:lineRule="auto"/>
        <w:ind w:firstLine="720"/>
      </w:pPr>
      <w:bookmarkStart w:id="181" w:name="ref-27"/>
      <w:bookmarkEnd w:id="181"/>
      <w:r>
        <w:t xml:space="preserve">27. Ryan Walden, Georgia State University; Taslim Dosumnu, Georgia State University; Stuart Jefferies, Georgia State University; Daniel Pimentel-Alarcon, University of Wisconsin-Madison. Satellite Characterization via Restoration-Free Imaging: A Novel Machine Learning Paradigm for SSA (2020).</w:t>
      </w:r>
    </w:p>
    <w:p>
      <w:pPr>
        <w:pStyle w:val="BodyText"/>
        <w:spacing w:line="480" w:lineRule="auto"/>
        <w:ind w:firstLine="720"/>
      </w:pPr>
      <w:bookmarkStart w:id="182" w:name="ref-28"/>
      <w:bookmarkEnd w:id="182"/>
      <w:r>
        <w:t xml:space="preserve">28. Phillip Reid, The Boeing Company. Conceptual Framework for a Rapid Space Launch Capability (2023). doi:</w:t>
      </w:r>
      <w:r>
        <w:t xml:space="preserve"> </w:t>
      </w:r>
      <w:hyperlink r:id="rId183">
        <w:r>
          <w:rPr>
            <w:rStyle w:val="Hyperlink"/>
          </w:rPr>
          <w:t xml:space="preserve">10.64861/KYFU6858</w:t>
        </w:r>
      </w:hyperlink>
    </w:p>
    <w:p>
      <w:pPr>
        <w:pStyle w:val="BodyText"/>
        <w:spacing w:line="480" w:lineRule="auto"/>
        <w:ind w:firstLine="720"/>
      </w:pPr>
      <w:bookmarkStart w:id="184" w:name="ref-29"/>
      <w:bookmarkEnd w:id="184"/>
      <w:r>
        <w:t xml:space="preserve">29. René Rüddenklau; Georg Schitter. Control allocation for over-actuated satellite laser communication systems (2025). doi:</w:t>
      </w:r>
      <w:r>
        <w:t xml:space="preserve"> </w:t>
      </w:r>
      <w:hyperlink r:id="rId160">
        <w:r>
          <w:rPr>
            <w:rStyle w:val="Hyperlink"/>
          </w:rPr>
          <w:t xml:space="preserve">10.1016/j.actaastro.2025.12.026</w:t>
        </w:r>
      </w:hyperlink>
    </w:p>
    <w:p>
      <w:pPr>
        <w:pStyle w:val="BodyText"/>
        <w:spacing w:line="480" w:lineRule="auto"/>
        <w:ind w:firstLine="720"/>
      </w:pPr>
      <w:bookmarkStart w:id="185" w:name="ref-30"/>
      <w:bookmarkEnd w:id="185"/>
      <w:r>
        <w:t xml:space="preserve">30. Geuk-Nam Kim; Sang‐Young Park; Sehyun Seong; Joohee Lee; Suyong Choi; Young-Eon Kim; Han-Gyeol Ryu; Sungmoon Lee; Jae-Young Choi; Sang‐Kook Han. The VISION – Concept of laser crosslink systems using nanosatellites in formation flying (2023). doi:</w:t>
      </w:r>
      <w:r>
        <w:t xml:space="preserve"> </w:t>
      </w:r>
      <w:hyperlink r:id="rId172">
        <w:r>
          <w:rPr>
            <w:rStyle w:val="Hyperlink"/>
          </w:rPr>
          <w:t xml:space="preserve">10.1016/j.actaastro.2023.07.014</w:t>
        </w:r>
      </w:hyperlink>
    </w:p>
    <w:p>
      <w:pPr>
        <w:pStyle w:val="BodyText"/>
        <w:spacing w:line="480" w:lineRule="auto"/>
        <w:ind w:firstLine="720"/>
      </w:pPr>
      <w:bookmarkStart w:id="186" w:name="ref-31"/>
      <w:bookmarkEnd w:id="186"/>
      <w:r>
        <w:t xml:space="preserve">31. Alberto Carrasco‐Casado; Koichi Shiratama; Phuc V. Trinh; Dimitar Kolev; Yasushi Munemasa; Tetsuharu Fuse; Hiroyuki Tsuji; Morio Toyoshima. Development of a miniaturized laser-communication terminal for small satellites (2022). doi:</w:t>
      </w:r>
      <w:r>
        <w:t xml:space="preserve"> </w:t>
      </w:r>
      <w:hyperlink r:id="rId148">
        <w:r>
          <w:rPr>
            <w:rStyle w:val="Hyperlink"/>
          </w:rPr>
          <w:t xml:space="preserve">10.1016/j.actaastro.2022.05.011</w:t>
        </w:r>
      </w:hyperlink>
    </w:p>
    <w:p>
      <w:pPr>
        <w:pStyle w:val="BodyText"/>
        <w:spacing w:line="480" w:lineRule="auto"/>
        <w:ind w:firstLine="720"/>
      </w:pPr>
      <w:bookmarkStart w:id="187" w:name="ref-32"/>
      <w:bookmarkEnd w:id="187"/>
      <w:r>
        <w:t xml:space="preserve">32. Leonid Gurvits; Z. Paragi; Ricardo Amils; Ilse van Bemmel; Paul Boven; V. Casasola; J. Conway; Jordy Davelaar; M. C. Díez-González; H. Falcke; R. P. Fender; S. Frey; Christian M. Fromm; J. D. Gallego; Cristina García-Miró; M. A. Garrett; M. Giroletti; C. Goddi; José L. Gómez; Jeffrey van der Gucht; J. C. Guirado; Zoltán Haiman; Frank Helmich; Ben Hudson; E. M. L. Humphreys; C. M. Violette Impellizzeri; M. A. Janssen; Michael D. Johnson; Y. Y. Kovalev; M. Krämer; M. Lindqvist; H. Linz; Elisabetta Liuzzo; A. P. Lobanov; I. López-Fernández; I. Malo; Kunal Masania; Yosuke Mizuno; A. V. Plavin; Raj Thilak Rajan; Luciano Rezzolla; Freek Roelofs; Eduardo Ros; K. L. J. Rygl; T. Savolainen; K. Schüster; T. Venturi; Marjolein Verkouter; P. de Vicente; Pieter Visser; Martina Wiedner; Maciek Wielgus; K. Wiik; J. A. Zensus. The science case and challenges of space-borne sub-millimeter interferometry (2022). doi:</w:t>
      </w:r>
      <w:r>
        <w:t xml:space="preserve"> </w:t>
      </w:r>
      <w:hyperlink r:id="rId188">
        <w:r>
          <w:rPr>
            <w:rStyle w:val="Hyperlink"/>
          </w:rPr>
          <w:t xml:space="preserve">10.1016/j.actaastro.2022.04.020</w:t>
        </w:r>
      </w:hyperlink>
    </w:p>
    <w:p>
      <w:pPr>
        <w:pStyle w:val="BodyText"/>
        <w:spacing w:line="480" w:lineRule="auto"/>
        <w:ind w:firstLine="720"/>
      </w:pPr>
      <w:bookmarkStart w:id="189" w:name="ref-33"/>
      <w:bookmarkEnd w:id="189"/>
      <w:r>
        <w:t xml:space="preserve">33. Angadh Nanjangud; Craig Underwood; Chakravarthini M. Rai; Steve Eckersley; Martin Sweeting; Paolo Bianco. Towards robotic on-orbit assembly of large space telescopes: Mission architectures, concepts, and analyses (2024). doi:</w:t>
      </w:r>
      <w:r>
        <w:t xml:space="preserve"> </w:t>
      </w:r>
      <w:hyperlink r:id="rId190">
        <w:r>
          <w:rPr>
            <w:rStyle w:val="Hyperlink"/>
          </w:rPr>
          <w:t xml:space="preserve">10.1016/j.actaastro.2024.08.022</w:t>
        </w:r>
      </w:hyperlink>
    </w:p>
    <w:p>
      <w:pPr>
        <w:pStyle w:val="BodyText"/>
        <w:spacing w:line="480" w:lineRule="auto"/>
        <w:ind w:firstLine="720"/>
      </w:pPr>
      <w:bookmarkStart w:id="191" w:name="ref-34"/>
      <w:bookmarkEnd w:id="191"/>
      <w:r>
        <w:t xml:space="preserve">34. Sven Schwertfeger; Elisa Da Ros; Marcel Bursy; Andreas Wicht; Daniel Pardo; Ankush Sharma; Subash Sachidananda; Alexander Ling; Markus Krutzik. A 698 nm laser system for excitation of fluorescent quantum light sources on a CubeSat mission (2026). doi:</w:t>
      </w:r>
      <w:r>
        <w:t xml:space="preserve"> </w:t>
      </w:r>
      <w:hyperlink r:id="rId192">
        <w:r>
          <w:rPr>
            <w:rStyle w:val="Hyperlink"/>
          </w:rPr>
          <w:t xml:space="preserve">10.1016/j.actaastro.2026.01.060</w:t>
        </w:r>
      </w:hyperlink>
    </w:p>
    <w:p>
      <w:pPr>
        <w:pStyle w:val="BodyText"/>
        <w:spacing w:line="480" w:lineRule="auto"/>
        <w:ind w:firstLine="720"/>
      </w:pPr>
      <w:bookmarkStart w:id="193" w:name="ref-35"/>
      <w:bookmarkEnd w:id="193"/>
      <w:r>
        <w:t xml:space="preserve">35. Giacomo Borelli; Gabriella Gaias; Y. Nakajima; Camilla Colombo; Vincenzo Capuano; Fabio Saggiomo; Giuseppe Leccese; Silvia Natalucci. Mission analysis and guidance and control for the SpEye inspection CubeSat (2024). doi:</w:t>
      </w:r>
      <w:r>
        <w:t xml:space="preserve"> </w:t>
      </w:r>
      <w:hyperlink r:id="rId194">
        <w:r>
          <w:rPr>
            <w:rStyle w:val="Hyperlink"/>
          </w:rPr>
          <w:t xml:space="preserve">10.1016/j.actaastro.2024.04.025</w:t>
        </w:r>
      </w:hyperlink>
    </w:p>
    <w:p>
      <w:pPr>
        <w:pStyle w:val="BodyText"/>
        <w:spacing w:line="480" w:lineRule="auto"/>
        <w:ind w:firstLine="720"/>
      </w:pPr>
      <w:bookmarkStart w:id="195" w:name="ref-36"/>
      <w:bookmarkEnd w:id="195"/>
      <w:r>
        <w:t xml:space="preserve">36. Patricia Martín Pimentel; Benjamin Rödiger; Christopher C. Schmidt; Christian Fuchs; Christoph Rochow; Thomas F. Hiemstra; Andreas Zager; P. Wertz; Marcus T. Knopp; Marc Lehmann; Falk Mrowka. Cube laser communication terminal (CubeLCT) state of the art (2023). doi:</w:t>
      </w:r>
      <w:r>
        <w:t xml:space="preserve"> </w:t>
      </w:r>
      <w:hyperlink r:id="rId154">
        <w:r>
          <w:rPr>
            <w:rStyle w:val="Hyperlink"/>
          </w:rPr>
          <w:t xml:space="preserve">10.1016/j.actaastro.2023.06.026</w:t>
        </w:r>
      </w:hyperlink>
    </w:p>
    <w:bookmarkEnd w:id="196"/>
    <w:bookmarkEnd w:id="197"/>
    <w:bookmarkStart w:id="21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5" w:name="Xba0ab271d27a321fe0fedc93e1315135e721f60"/>
    <w:p>
      <w:pPr>
        <w:pStyle w:val="Heading2"/>
        <w:spacing w:line="480" w:lineRule="auto"/>
      </w:pPr>
      <w:r>
        <w:t xml:space="preserve">A.1 Optical Link-Rate Scaling in Space Laser Communications: A Learning-Curve Test from SILEX to DSOC</w:t>
      </w:r>
    </w:p>
    <w:p>
      <w:pPr>
        <w:pStyle w:val="FirstParagraph"/>
        <w:spacing w:line="480" w:lineRule="auto"/>
      </w:pPr>
      <m:oMathPara>
        <m:oMathParaPr>
          <m:jc m:val="center"/>
        </m:oMathParaPr>
        <m:oMath>
          <m:r>
            <m:rPr>
              <m:sty m:val="p"/>
            </m:rPr>
            <m:t>ln</m:t>
          </m:r>
          <m:r>
            <m:rPr>
              <m:sty m:val="p"/>
            </m:rPr>
            <m:t>(</m:t>
          </m:r>
          <m:sSub>
            <m:e>
              <m:r>
                <m:t>R</m:t>
              </m:r>
            </m:e>
            <m:sub>
              <m:r>
                <m:t>i</m:t>
              </m:r>
            </m:sub>
          </m:sSub>
          <m:r>
            <m:rPr>
              <m:sty m:val="p"/>
            </m:rPr>
            <m:t>)</m:t>
          </m:r>
          <m:r>
            <m:rPr>
              <m:sty m:val="p"/>
            </m:rPr>
            <m:t>=</m:t>
          </m:r>
          <m:r>
            <m:t>α</m:t>
          </m:r>
          <m:r>
            <m:rPr>
              <m:sty m:val="p"/>
            </m:rPr>
            <m:t>+</m:t>
          </m:r>
          <m:r>
            <m:t>β</m:t>
          </m:r>
          <m:r>
            <m:rPr>
              <m:sty m:val="p"/>
            </m:rPr>
            <m:t>ln</m:t>
          </m:r>
          <m:r>
            <m:rPr>
              <m:sty m:val="p"/>
            </m:rPr>
            <m:t>(</m:t>
          </m:r>
          <m:sSub>
            <m:e>
              <m:r>
                <m:t>T</m:t>
              </m:r>
            </m:e>
            <m:sub>
              <m:r>
                <m:t>i</m:t>
              </m:r>
            </m:sub>
          </m:sSub>
          <m:r>
            <m:rPr>
              <m:sty m:val="p"/>
            </m:rPr>
            <m:t>)</m:t>
          </m:r>
          <m:r>
            <m:rPr>
              <m:sty m:val="p"/>
            </m:rPr>
            <m:t>+</m:t>
          </m:r>
          <m:sSub>
            <m:e>
              <m:r>
                <m:t>ε</m:t>
              </m:r>
            </m:e>
            <m:sub>
              <m:r>
                <m:t>i</m:t>
              </m:r>
            </m:sub>
          </m:sSub>
        </m:oMath>
      </m:oMathPara>
    </w:p>
    <w:bookmarkStart w:id="19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-0.4223</w:t>
            </w:r>
          </w:p>
        </w:tc>
        <w:tc>
          <w:tcPr>
            <w:tcW w:w="0" w:type="auto"/>
          </w:tcPr>
          <w:p>
            <w:pPr>
              <w:spacing w:line="240" w:lineRule="auto" w:before="0" w:after="0"/>
              <w:pStyle w:val="Compact"/>
            </w:pPr>
            <w:r>
              <w:rPr>
                <w:sz w:val="20"/>
                <w:szCs w:val="20"/>
              </w:rPr>
              <w:t xml:space="preserve">0.9774</w:t>
            </w:r>
          </w:p>
        </w:tc>
        <w:tc>
          <w:tcPr>
            <w:tcW w:w="0" w:type="auto"/>
          </w:tcPr>
          <w:p>
            <w:pPr>
              <w:spacing w:line="240" w:lineRule="auto" w:before="0" w:after="0"/>
              <w:pStyle w:val="Compact"/>
            </w:pPr>
            <w:r>
              <w:rPr>
                <w:sz w:val="20"/>
                <w:szCs w:val="20"/>
              </w:rPr>
              <w:t xml:space="preserve">-0.4321</w:t>
            </w:r>
          </w:p>
        </w:tc>
        <w:tc>
          <w:tcPr>
            <w:tcW w:w="0" w:type="auto"/>
          </w:tcPr>
          <w:p>
            <w:pPr>
              <w:spacing w:line="240" w:lineRule="auto" w:before="0" w:after="0"/>
              <w:pStyle w:val="Compact"/>
            </w:pPr>
            <w:r>
              <w:rPr>
                <w:sz w:val="20"/>
                <w:szCs w:val="20"/>
              </w:rPr>
              <w:t xml:space="preserve">0.6657</w:t>
            </w:r>
          </w:p>
        </w:tc>
        <w:tc>
          <w:tcPr>
            <w:tcW w:w="0" w:type="auto"/>
          </w:tcPr>
          <w:p>
            <w:pPr>
              <w:spacing w:line="240" w:lineRule="auto" w:before="0" w:after="0"/>
              <w:pStyle w:val="Compact"/>
            </w:pPr>
            <w:r>
              <w:rPr>
                <w:sz w:val="20"/>
                <w:szCs w:val="20"/>
              </w:rPr>
              <w:t xml:space="preserve">[-2.338, 1.4934]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2.0275</w:t>
            </w:r>
          </w:p>
        </w:tc>
        <w:tc>
          <w:tcPr>
            <w:tcW w:w="0" w:type="auto"/>
          </w:tcPr>
          <w:p>
            <w:pPr>
              <w:spacing w:line="240" w:lineRule="auto" w:before="0" w:after="0"/>
              <w:pStyle w:val="Compact"/>
            </w:pPr>
            <w:r>
              <w:rPr>
                <w:sz w:val="20"/>
                <w:szCs w:val="20"/>
              </w:rPr>
              <w:t xml:space="preserve">0.423</w:t>
            </w:r>
          </w:p>
        </w:tc>
        <w:tc>
          <w:tcPr>
            <w:tcW w:w="0" w:type="auto"/>
          </w:tcPr>
          <w:p>
            <w:pPr>
              <w:spacing w:line="240" w:lineRule="auto" w:before="0" w:after="0"/>
              <w:pStyle w:val="Compact"/>
            </w:pPr>
            <w:r>
              <w:rPr>
                <w:sz w:val="20"/>
                <w:szCs w:val="20"/>
              </w:rPr>
              <w:t xml:space="preserve">4.7928</w:t>
            </w:r>
          </w:p>
        </w:tc>
        <w:tc>
          <w:tcPr>
            <w:tcW w:w="0" w:type="auto"/>
          </w:tcPr>
          <w:p>
            <w:pPr>
              <w:spacing w:line="240" w:lineRule="auto" w:before="0" w:after="0"/>
              <w:pStyle w:val="Compact"/>
            </w:pPr>
            <w:r>
              <w:rPr>
                <w:sz w:val="20"/>
                <w:szCs w:val="20"/>
              </w:rPr>
              <w:t xml:space="preserve">1.644e-06</w:t>
            </w:r>
          </w:p>
        </w:tc>
        <w:tc>
          <w:tcPr>
            <w:tcW w:w="0" w:type="auto"/>
          </w:tcPr>
          <w:p>
            <w:pPr>
              <w:spacing w:line="240" w:lineRule="auto" w:before="0" w:after="0"/>
              <w:pStyle w:val="Compact"/>
            </w:pPr>
            <w:r>
              <w:rPr>
                <w:sz w:val="20"/>
                <w:szCs w:val="20"/>
              </w:rPr>
              <w:t xml:space="preserve">[1.1984, 2.8566]</w:t>
            </w:r>
          </w:p>
        </w:tc>
      </w:tr>
    </w:tbl>
    <w:p>
      <w:pPr>
        <w:pStyle w:val="BodyText"/>
        <w:spacing w:line="480" w:lineRule="auto"/>
        <w:ind w:firstLine="720"/>
      </w:pPr>
      <w:r>
        <w:t xml:space="preserve">Fit: N = 20 R2 = 0.2515 elasticity_b = 2.0275 progress_ratio_2^b = 4.077</w:t>
      </w:r>
    </w:p>
    <w:bookmarkEnd w:id="198"/>
    <w:bookmarkStart w:id="20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ported optical link rates across space laser communications demonstrations and services, plotted on the learning-curve time index." title="" id="200" name="Picture"/>
            <a:graphic>
              <a:graphicData uri="http://schemas.openxmlformats.org/drawingml/2006/picture">
                <pic:pic>
                  <pic:nvPicPr>
                    <pic:cNvPr descr="D:/Claude_Code/brain/collegium/candidates/dissertations/SPECTRUM_PNT_07/research_papers/p1/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Reported optical link rates across space laser communications demonstrations and services, plotted on the learning-curve time index.</w:t>
      </w:r>
    </w:p>
    <w:bookmarkEnd w:id="202"/>
    <w:bookmarkStart w:id="20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observation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platform_class</w:t>
            </w:r>
          </w:p>
        </w:tc>
        <w:tc>
          <w:tcPr>
            <w:tcW w:w="0" w:type="auto"/>
          </w:tcPr>
          <w:p>
            <w:pPr>
              <w:spacing w:line="240" w:lineRule="auto" w:before="0" w:after="0"/>
              <w:pStyle w:val="Compact"/>
            </w:pPr>
            <w:r>
              <w:rPr>
                <w:sz w:val="20"/>
                <w:szCs w:val="20"/>
              </w:rPr>
              <w:t xml:space="preserve">link_rate_mbps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ETS-VI Laser Communication Equipment</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NICT/JAXA historical Laser Communication Equipment mission description; source reports ETS-VI LCE optical data-rate 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SILEX Artemis to SPOT-4</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ESA Artemis SILEX optical intersatellite link fact sheet; source reports 50 Mbps optical link</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OICETS Kirari to Artemis</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JAXA/NICT OICETS Kirari optical inter-orbit communications demonstration summary; source reports 50 Mbps link with Artemis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NFIRE to TerraSAR-X Laser Communication Terminal</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5625</w:t>
            </w:r>
          </w:p>
        </w:tc>
        <w:tc>
          <w:tcPr>
            <w:tcW w:w="0" w:type="auto"/>
          </w:tcPr>
          <w:p>
            <w:pPr>
              <w:spacing w:line="240" w:lineRule="auto" w:before="0" w:after="0"/>
              <w:pStyle w:val="Compact"/>
            </w:pPr>
            <w:r>
              <w:rPr>
                <w:sz w:val="20"/>
                <w:szCs w:val="20"/>
              </w:rPr>
              <w:t xml:space="preserve">DLR/Tesat LCT flight-demonstration literature; source reports 5.625 Gbps optical intersatellite link</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LUCE on JAXA Small Optical Transponder pathfinder</w:t>
            </w:r>
          </w:p>
        </w:tc>
        <w:tc>
          <w:tcPr>
            <w:tcW w:w="0" w:type="auto"/>
          </w:tcPr>
          <w:p>
            <w:pPr>
              <w:spacing w:line="240" w:lineRule="auto" w:before="0" w:after="0"/>
              <w:pStyle w:val="Compact"/>
            </w:pPr>
            <w:r>
              <w:rPr>
                <w:sz w:val="20"/>
                <w:szCs w:val="20"/>
              </w:rPr>
              <w:t xml:space="preserve">government_demo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JAXA optical communications pathfinder summaries; source reports low-rate laser communication experiment mode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LADEE Lunar Laser Communication Demonstration downlink</w:t>
            </w:r>
          </w:p>
        </w:tc>
        <w:tc>
          <w:tcPr>
            <w:tcW w:w="0" w:type="auto"/>
          </w:tcPr>
          <w:p>
            <w:pPr>
              <w:spacing w:line="240" w:lineRule="auto" w:before="0" w:after="0"/>
              <w:pStyle w:val="Compact"/>
            </w:pPr>
            <w:r>
              <w:rPr>
                <w:sz w:val="20"/>
                <w:szCs w:val="20"/>
              </w:rPr>
              <w:t xml:space="preserve">lunar_demo</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NASA LLCD mission fact sheet; source reports 622 Mbps lunar laser downlink</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LADEE Lunar Laser Communication Demonstration uplink</w:t>
            </w:r>
          </w:p>
        </w:tc>
        <w:tc>
          <w:tcPr>
            <w:tcW w:w="0" w:type="auto"/>
          </w:tcPr>
          <w:p>
            <w:pPr>
              <w:spacing w:line="240" w:lineRule="auto" w:before="0" w:after="0"/>
              <w:pStyle w:val="Compact"/>
            </w:pPr>
            <w:r>
              <w:rPr>
                <w:sz w:val="20"/>
                <w:szCs w:val="20"/>
              </w:rPr>
              <w:t xml:space="preserve">lunar_demo</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NASA LLCD mission fact sheet; source reports 20 Mbps uplink to LADEE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OPALS ISS optical downlink</w:t>
            </w:r>
          </w:p>
        </w:tc>
        <w:tc>
          <w:tcPr>
            <w:tcW w:w="0" w:type="auto"/>
          </w:tcPr>
          <w:p>
            <w:pPr>
              <w:spacing w:line="240" w:lineRule="auto" w:before="0" w:after="0"/>
              <w:pStyle w:val="Compact"/>
            </w:pPr>
            <w:r>
              <w:rPr>
                <w:sz w:val="20"/>
                <w:szCs w:val="20"/>
              </w:rPr>
              <w:t xml:space="preserve">iss_demo</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NASA OPALS project page; source reports 50 Mbps optical downlink from the International Space Station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EDRS-A SpaceDataHighway optical service</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ESA SpaceDataHighway/EDRS program fact sheet; source reports 1.8 Gbps laser relay service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OCSD CubeSat optical downlink</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NASA Optical Communications and Sensor Demonstration smallsat project summary; source reports 200 Mbps optical downlink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OSIRISv1 CubeSat optical terminal</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DLR OSIRIS small-satellite optical terminal descriptions; source reports 10 Mbps class CubeSat optical downlink</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EDRS-C SpaceDataHighway optical service</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ESA SpaceDataHighway/EDRS-C program fact sheet; source reports 1.8 Gbps laser relay service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LaserCube terminal for nano and micro satellites</w:t>
            </w:r>
          </w:p>
        </w:tc>
        <w:tc>
          <w:tcPr>
            <w:tcW w:w="0" w:type="auto"/>
          </w:tcPr>
          <w:p>
            <w:pPr>
              <w:spacing w:line="240" w:lineRule="auto" w:before="0" w:after="0"/>
              <w:pStyle w:val="Compact"/>
            </w:pPr>
            <w:r>
              <w:rPr>
                <w:sz w:val="20"/>
                <w:szCs w:val="20"/>
              </w:rPr>
              <w:t xml:space="preserve">terminal_paper</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Sansone et al., LaserCube optical communication terminal for nano and micro satellites, Acta Astronautica 2020; reported terminal data-rate class</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Laser Communications Relay Demonstration optical relay</w:t>
            </w:r>
          </w:p>
        </w:tc>
        <w:tc>
          <w:tcPr>
            <w:tcW w:w="0" w:type="auto"/>
          </w:tcPr>
          <w:p>
            <w:pPr>
              <w:spacing w:line="240" w:lineRule="auto" w:before="0" w:after="0"/>
              <w:pStyle w:val="Compact"/>
            </w:pPr>
            <w:r>
              <w:rPr>
                <w:sz w:val="20"/>
                <w:szCs w:val="20"/>
              </w:rPr>
              <w:t xml:space="preserve">operational_relay</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NASA LCRD project fact sheet; source reports optical relay rates up to about 1.244 Gbps</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TBIRD CubeSat laser downlink first 100 Gbps demonstrations</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NASA TBIRD project release; source reports 100 Gbps laser communications from a CubeSat</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TBIRD CubeSat laser downlink 200 Gbps demonstrations</w:t>
            </w:r>
          </w:p>
        </w:tc>
        <w:tc>
          <w:tcPr>
            <w:tcW w:w="0" w:type="auto"/>
          </w:tcPr>
          <w:p>
            <w:pPr>
              <w:spacing w:line="240" w:lineRule="auto" w:before="0" w:after="0"/>
              <w:pStyle w:val="Compact"/>
            </w:pPr>
            <w:r>
              <w:rPr>
                <w:sz w:val="20"/>
                <w:szCs w:val="20"/>
              </w:rPr>
              <w:t xml:space="preserve">cubesat_demo</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NASA TBIRD project release; source reports 200 Gbps laser communications from a CubeSat</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ILLUMA-T ISS to LCRD optical link</w:t>
            </w:r>
          </w:p>
        </w:tc>
        <w:tc>
          <w:tcPr>
            <w:tcW w:w="0" w:type="auto"/>
          </w:tcPr>
          <w:p>
            <w:pPr>
              <w:spacing w:line="240" w:lineRule="auto" w:before="0" w:after="0"/>
              <w:pStyle w:val="Compact"/>
            </w:pPr>
            <w:r>
              <w:rPr>
                <w:sz w:val="20"/>
                <w:szCs w:val="20"/>
              </w:rPr>
              <w:t xml:space="preserve">iss_demo</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NASA ILLUMA-T mission page; source reports 1.2 Gbps optical link through LCRD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CubeLCT state-of-the-art CubeSat terminal</w:t>
            </w:r>
          </w:p>
        </w:tc>
        <w:tc>
          <w:tcPr>
            <w:tcW w:w="0" w:type="auto"/>
          </w:tcPr>
          <w:p>
            <w:pPr>
              <w:spacing w:line="240" w:lineRule="auto" w:before="0" w:after="0"/>
              <w:pStyle w:val="Compact"/>
            </w:pPr>
            <w:r>
              <w:rPr>
                <w:sz w:val="20"/>
                <w:szCs w:val="20"/>
              </w:rPr>
              <w:t xml:space="preserve">terminal_paper</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Martin Pimentel et al., Cube laser communication terminal state of the art, Acta Astronautica 2023; reported CubeLCT data-rate class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Deep Space Optical Communications Psyche first-light link</w:t>
            </w:r>
          </w:p>
        </w:tc>
        <w:tc>
          <w:tcPr>
            <w:tcW w:w="0" w:type="auto"/>
          </w:tcPr>
          <w:p>
            <w:pPr>
              <w:spacing w:line="240" w:lineRule="auto" w:before="0" w:after="0"/>
              <w:pStyle w:val="Compact"/>
            </w:pPr>
            <w:r>
              <w:rPr>
                <w:sz w:val="20"/>
                <w:szCs w:val="20"/>
              </w:rPr>
              <w:t xml:space="preserve">deep_space_demo</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NASA/JPL DSOC first-light release; source reports 267 Mbps downlink from tens of millions of kilometers</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Deep Space Optical Communications farthest high-rate downlink</w:t>
            </w:r>
          </w:p>
        </w:tc>
        <w:tc>
          <w:tcPr>
            <w:tcW w:w="0" w:type="auto"/>
          </w:tcPr>
          <w:p>
            <w:pPr>
              <w:spacing w:line="240" w:lineRule="auto" w:before="0" w:after="0"/>
              <w:pStyle w:val="Compact"/>
            </w:pPr>
            <w:r>
              <w:rPr>
                <w:sz w:val="20"/>
                <w:szCs w:val="20"/>
              </w:rPr>
              <w:t xml:space="preserve">deep_space_demo</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NASA/JPL DSOC 2024 update; source reports 25 Mbps downlink from roughly Mars-distance geometry</w:t>
            </w:r>
          </w:p>
        </w:tc>
      </w:tr>
    </w:tbl>
    <w:bookmarkEnd w:id="203"/>
    <w:bookmarkStart w:id="20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link_rate_mbps</w:t>
            </w:r>
          </w:p>
        </w:tc>
        <w:tc>
          <w:tcPr>
            <w:tcW w:w="0" w:type="auto"/>
          </w:tcPr>
          <w:p>
            <w:pPr>
              <w:spacing w:line="240" w:lineRule="auto" w:before="0" w:after="0"/>
              <w:pStyle w:val="Compact"/>
            </w:pPr>
            <w:r>
              <w:rPr>
                <w:sz w:val="20"/>
                <w:szCs w:val="20"/>
              </w:rPr>
              <w:t xml:space="preserve">Reported optical communication link rate in megabits per second for a mission, terminal, or service demonstration</w:t>
            </w:r>
          </w:p>
        </w:tc>
        <w:tc>
          <w:tcPr>
            <w:tcW w:w="0" w:type="auto"/>
          </w:tcPr>
          <w:p>
            <w:pPr>
              <w:spacing w:line="240" w:lineRule="auto" w:before="0" w:after="0"/>
              <w:pStyle w:val="Compact"/>
            </w:pPr>
            <w:r>
              <w:rPr>
                <w:sz w:val="20"/>
                <w:szCs w:val="20"/>
              </w:rPr>
              <w:t xml:space="preserve">Transcribed from mission agency pages, NASA technology reports, Acta Astronautica papers, AMOS papers, ESA/DLR program material, and JPL DSOC releases</w:t>
            </w:r>
          </w:p>
        </w:tc>
      </w:tr>
      <w:tr>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Positive time index for learning-curve estimation, equal to observation year minus 1994</w:t>
            </w:r>
          </w:p>
        </w:tc>
        <w:tc>
          <w:tcPr>
            <w:tcW w:w="0" w:type="auto"/>
          </w:tcPr>
          <w:p>
            <w:pPr>
              <w:spacing w:line="240" w:lineRule="auto" w:before="0" w:after="0"/>
              <w:pStyle w:val="Compact"/>
            </w:pPr>
            <w:r>
              <w:rPr>
                <w:sz w:val="20"/>
                <w:szCs w:val="20"/>
              </w:rPr>
              <w:t xml:space="preserve">Constructed from each source’s reported mission, service, or publication year</w:t>
            </w:r>
          </w:p>
        </w:tc>
      </w:tr>
    </w:tbl>
    <w:bookmarkEnd w:id="204"/>
    <w:bookmarkEnd w:id="205"/>
    <w:bookmarkStart w:id="213" w:name="X4a8e011083b752e352910824827d23dbd618c5d"/>
    <w:p>
      <w:pPr>
        <w:pStyle w:val="Heading2"/>
        <w:spacing w:line="480" w:lineRule="auto"/>
      </w:pPr>
      <w:r>
        <w:t xml:space="preserve">A.2 From Demonstration to Service: An OLS Test of Operationalization in Space Optical Communications</w:t>
      </w:r>
    </w:p>
    <w:p>
      <w:pPr>
        <w:pStyle w:val="FirstParagraph"/>
        <w:spacing w:line="480" w:lineRule="auto"/>
      </w:pPr>
      <m:oMathPara>
        <m:oMathParaPr>
          <m:jc m:val="center"/>
        </m:oMathParaPr>
        <m:oMath>
          <m:sSub>
            <m:e>
              <m:r>
                <m:t>O</m:t>
              </m:r>
            </m:e>
            <m:sub>
              <m:r>
                <m:t>i</m:t>
              </m:r>
            </m:sub>
          </m:sSub>
          <m:r>
            <m:rPr>
              <m:sty m:val="p"/>
            </m:rPr>
            <m:t>=</m:t>
          </m:r>
          <m:r>
            <m:t>α</m:t>
          </m:r>
          <m:r>
            <m:rPr>
              <m:sty m:val="p"/>
            </m:rPr>
            <m:t>+</m:t>
          </m:r>
          <m:sSub>
            <m:e>
              <m:r>
                <m:t>β</m:t>
              </m:r>
            </m:e>
            <m:sub>
              <m:r>
                <m:t>1</m:t>
              </m:r>
            </m:sub>
          </m:sSub>
          <m:sSub>
            <m:e>
              <m:r>
                <m:t>T</m:t>
              </m:r>
            </m:e>
            <m:sub>
              <m:r>
                <m:t>i</m:t>
              </m:r>
            </m:sub>
          </m:sSub>
          <m:r>
            <m:rPr>
              <m:sty m:val="p"/>
            </m:rPr>
            <m:t>+</m:t>
          </m:r>
          <m:sSub>
            <m:e>
              <m:r>
                <m:t>β</m:t>
              </m:r>
            </m:e>
            <m:sub>
              <m:r>
                <m:t>2</m:t>
              </m:r>
            </m:sub>
          </m:sSub>
          <m:sSub>
            <m:e>
              <m:r>
                <m:t>C</m:t>
              </m:r>
            </m:e>
            <m:sub>
              <m:r>
                <m:t>i</m:t>
              </m:r>
            </m:sub>
          </m:sSub>
          <m:r>
            <m:rPr>
              <m:sty m:val="p"/>
            </m:rPr>
            <m:t>+</m:t>
          </m:r>
          <m:sSub>
            <m:e>
              <m:r>
                <m:t>ε</m:t>
              </m:r>
            </m:e>
            <m:sub>
              <m:r>
                <m:t>i</m:t>
              </m:r>
            </m:sub>
          </m:sSub>
        </m:oMath>
      </m:oMathPara>
    </w:p>
    <w:bookmarkStart w:id="20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0.2543</w:t>
            </w:r>
          </w:p>
        </w:tc>
        <w:tc>
          <w:tcPr>
            <w:tcW w:w="0" w:type="auto"/>
          </w:tcPr>
          <w:p>
            <w:pPr>
              <w:spacing w:line="240" w:lineRule="auto" w:before="0" w:after="0"/>
              <w:pStyle w:val="Compact"/>
            </w:pPr>
            <w:r>
              <w:rPr>
                <w:sz w:val="20"/>
                <w:szCs w:val="20"/>
              </w:rPr>
              <w:t xml:space="preserve">-0.3257</w:t>
            </w:r>
          </w:p>
        </w:tc>
        <w:tc>
          <w:tcPr>
            <w:tcW w:w="0" w:type="auto"/>
          </w:tcPr>
          <w:p>
            <w:pPr>
              <w:spacing w:line="240" w:lineRule="auto" w:before="0" w:after="0"/>
              <w:pStyle w:val="Compact"/>
            </w:pPr>
            <w:r>
              <w:rPr>
                <w:sz w:val="20"/>
                <w:szCs w:val="20"/>
              </w:rPr>
              <w:t xml:space="preserve">0.7447</w:t>
            </w:r>
          </w:p>
        </w:tc>
        <w:tc>
          <w:tcPr>
            <w:tcW w:w="0" w:type="auto"/>
          </w:tcPr>
          <w:p>
            <w:pPr>
              <w:spacing w:line="240" w:lineRule="auto" w:before="0" w:after="0"/>
              <w:pStyle w:val="Compact"/>
            </w:pPr>
            <w:r>
              <w:rPr>
                <w:sz w:val="20"/>
                <w:szCs w:val="20"/>
              </w:rPr>
              <w:t xml:space="preserve">[-0.5812, 0.4156]</w:t>
            </w:r>
          </w:p>
        </w:tc>
      </w:tr>
      <w:tr>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0.3273</w:t>
            </w:r>
          </w:p>
        </w:tc>
        <w:tc>
          <w:tcPr>
            <w:tcW w:w="0" w:type="auto"/>
          </w:tcPr>
          <w:p>
            <w:pPr>
              <w:spacing w:line="240" w:lineRule="auto" w:before="0" w:after="0"/>
              <w:pStyle w:val="Compact"/>
            </w:pPr>
            <w:r>
              <w:rPr>
                <w:sz w:val="20"/>
                <w:szCs w:val="20"/>
              </w:rPr>
              <w:t xml:space="preserve">0.7434</w:t>
            </w:r>
          </w:p>
        </w:tc>
        <w:tc>
          <w:tcPr>
            <w:tcW w:w="0" w:type="auto"/>
          </w:tcPr>
          <w:p>
            <w:pPr>
              <w:spacing w:line="240" w:lineRule="auto" w:before="0" w:after="0"/>
              <w:pStyle w:val="Compact"/>
            </w:pPr>
            <w:r>
              <w:rPr>
                <w:sz w:val="20"/>
                <w:szCs w:val="20"/>
              </w:rPr>
              <w:t xml:space="preserve">[-0.0186, 0.026]</w:t>
            </w:r>
          </w:p>
        </w:tc>
      </w:tr>
      <w:tr>
        <w:tc>
          <w:tcPr>
            <w:tcW w:w="0" w:type="auto"/>
          </w:tcPr>
          <w:p>
            <w:pPr>
              <w:spacing w:line="240" w:lineRule="auto" w:before="0" w:after="0"/>
              <w:pStyle w:val="Compact"/>
            </w:pPr>
            <w:r>
              <w:rPr>
                <w:sz w:val="20"/>
                <w:szCs w:val="20"/>
              </w:rPr>
              <w:t xml:space="preserve">crosslink_or_relay</w:t>
            </w:r>
          </w:p>
        </w:tc>
        <w:tc>
          <w:tcPr>
            <w:tcW w:w="0" w:type="auto"/>
          </w:tcPr>
          <w:p>
            <w:pPr>
              <w:spacing w:line="240" w:lineRule="auto" w:before="0" w:after="0"/>
              <w:pStyle w:val="Compact"/>
            </w:pPr>
            <w:r>
              <w:rPr>
                <w:sz w:val="20"/>
                <w:szCs w:val="20"/>
              </w:rPr>
              <w:t xml:space="preserve">0.6335</w:t>
            </w:r>
          </w:p>
        </w:tc>
        <w:tc>
          <w:tcPr>
            <w:tcW w:w="0" w:type="auto"/>
          </w:tcPr>
          <w:p>
            <w:pPr>
              <w:spacing w:line="240" w:lineRule="auto" w:before="0" w:after="0"/>
              <w:pStyle w:val="Compact"/>
            </w:pPr>
            <w:r>
              <w:rPr>
                <w:sz w:val="20"/>
                <w:szCs w:val="20"/>
              </w:rPr>
              <w:t xml:space="preserve">0.1574</w:t>
            </w:r>
          </w:p>
        </w:tc>
        <w:tc>
          <w:tcPr>
            <w:tcW w:w="0" w:type="auto"/>
          </w:tcPr>
          <w:p>
            <w:pPr>
              <w:spacing w:line="240" w:lineRule="auto" w:before="0" w:after="0"/>
              <w:pStyle w:val="Compact"/>
            </w:pPr>
            <w:r>
              <w:rPr>
                <w:sz w:val="20"/>
                <w:szCs w:val="20"/>
              </w:rPr>
              <w:t xml:space="preserve">4.0255</w:t>
            </w:r>
          </w:p>
        </w:tc>
        <w:tc>
          <w:tcPr>
            <w:tcW w:w="0" w:type="auto"/>
          </w:tcPr>
          <w:p>
            <w:pPr>
              <w:spacing w:line="240" w:lineRule="auto" w:before="0" w:after="0"/>
              <w:pStyle w:val="Compact"/>
            </w:pPr>
            <w:r>
              <w:rPr>
                <w:sz w:val="20"/>
                <w:szCs w:val="20"/>
              </w:rPr>
              <w:t xml:space="preserve">5.685e-05</w:t>
            </w:r>
          </w:p>
        </w:tc>
        <w:tc>
          <w:tcPr>
            <w:tcW w:w="0" w:type="auto"/>
          </w:tcPr>
          <w:p>
            <w:pPr>
              <w:spacing w:line="240" w:lineRule="auto" w:before="0" w:after="0"/>
              <w:pStyle w:val="Compact"/>
            </w:pPr>
            <w:r>
              <w:rPr>
                <w:sz w:val="20"/>
                <w:szCs w:val="20"/>
              </w:rPr>
              <w:t xml:space="preserve">[0.325, 0.9419]</w:t>
            </w:r>
          </w:p>
        </w:tc>
      </w:tr>
    </w:tbl>
    <w:p>
      <w:pPr>
        <w:pStyle w:val="BodyText"/>
        <w:spacing w:line="480" w:lineRule="auto"/>
        <w:ind w:firstLine="720"/>
      </w:pPr>
      <w:r>
        <w:t xml:space="preserve">Fit: N = 20 R2 = 0.4447 R2_adj = 0.3793 F = 8.3229 F_p = 0.003</w:t>
      </w:r>
    </w:p>
    <w:bookmarkEnd w:id="206"/>
    <w:bookmarkStart w:id="21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perational service status across optical communication observations. The logit conditions on time and whether the system is a crosslink or relay architecture." title="" id="208" name="Picture"/>
            <a:graphic>
              <a:graphicData uri="http://schemas.openxmlformats.org/drawingml/2006/picture">
                <pic:pic>
                  <pic:nvPicPr>
                    <pic:cNvPr descr="D:/Claude_Code/brain/collegium/candidates/dissertations/SPECTRUM_PNT_07/research_papers/p2/paper_fig1.png" id="209" name="Picture"/>
                    <pic:cNvPicPr>
                      <a:picLocks noChangeArrowheads="1" noChangeAspect="1"/>
                    </pic:cNvPicPr>
                  </pic:nvPicPr>
                  <pic:blipFill>
                    <a:blip r:embed="rId20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Operational service status across optical communication observations. The logit conditions on time and whether the system is a crosslink or relay architecture.</w:t>
      </w:r>
    </w:p>
    <w:bookmarkEnd w:id="210"/>
    <w:bookmarkStart w:id="21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observation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architecture</w:t>
            </w:r>
          </w:p>
        </w:tc>
        <w:tc>
          <w:tcPr>
            <w:tcW w:w="0" w:type="auto"/>
          </w:tcPr>
          <w:p>
            <w:pPr>
              <w:spacing w:line="240" w:lineRule="auto" w:before="0" w:after="0"/>
              <w:pStyle w:val="Compact"/>
            </w:pPr>
            <w:r>
              <w:rPr>
                <w:sz w:val="20"/>
                <w:szCs w:val="20"/>
              </w:rPr>
              <w:t xml:space="preserve">crosslink_or_relay</w:t>
            </w:r>
          </w:p>
        </w:tc>
        <w:tc>
          <w:tcPr>
            <w:tcW w:w="0" w:type="auto"/>
          </w:tcPr>
          <w:p>
            <w:pPr>
              <w:spacing w:line="240" w:lineRule="auto" w:before="0" w:after="0"/>
              <w:pStyle w:val="Compact"/>
            </w:pPr>
            <w:r>
              <w:rPr>
                <w:sz w:val="20"/>
                <w:szCs w:val="20"/>
              </w:rPr>
              <w:t xml:space="preserve">operational_service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ETS-VI Laser Communication Equipment</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NICT/JAXA historical LCE mission description; source describes a laser communication 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SILEX Artemis to SPOT-4</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Artemis SILEX program fact sheet; source describes operational optical data relay between Artemis and SPOT-4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OICETS Kirari to Artemis</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JAXA/NICT OICETS Kirari mission summary; source describes an optical intersatellite demonstration with Artemis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NFIRE to TerraSAR-X LCT</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DLR/Tesat LCT flight-demonstration literature; source describes a high-rate optical intersatellite demonstration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LADEE Lunar Laser Communication Demonstration</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LLCD mission fact sheet; source describes lunar laser communications demonstration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OPALS ISS optical payload</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OPALS project page; source describes ISS optical downlink demonstration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EDRS-A SpaceDataHighway</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SpaceDataHighway/EDRS fact sheet; source describes operational laser relay service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OCSD CubeSat optical downlink</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OCSD smallsat project summary; source describes optical communications demonstration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OSIRISv1 CubeSat terminal</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 OSIRIS small-satellite optical terminal descriptions; source describes CubeSat optical downlink demonstration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EDRS-C SpaceDataHighway</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SpaceDataHighway/EDRS-C fact sheet; source describes operational laser relay service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LaserCube terminal paper</w:t>
            </w:r>
          </w:p>
        </w:tc>
        <w:tc>
          <w:tcPr>
            <w:tcW w:w="0" w:type="auto"/>
          </w:tcPr>
          <w:p>
            <w:pPr>
              <w:spacing w:line="240" w:lineRule="auto" w:before="0" w:after="0"/>
              <w:pStyle w:val="Compact"/>
            </w:pPr>
            <w:r>
              <w:rPr>
                <w:sz w:val="20"/>
                <w:szCs w:val="20"/>
              </w:rPr>
              <w:t xml:space="preserve">terminal_paper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Sansone et al., LaserCube optical communication terminal for nano and micro satellites, Acta Astronautica 2020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Laser Communications Relay Demonstration</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LCRD project fact sheet; source describes an operational optical relay demonstration architecture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Starlink v1.5 laser intersatellite links</w:t>
            </w:r>
          </w:p>
        </w:tc>
        <w:tc>
          <w:tcPr>
            <w:tcW w:w="0" w:type="auto"/>
          </w:tcPr>
          <w:p>
            <w:pPr>
              <w:spacing w:line="240" w:lineRule="auto" w:before="0" w:after="0"/>
              <w:pStyle w:val="Compact"/>
            </w:pPr>
            <w:r>
              <w:rPr>
                <w:sz w:val="20"/>
                <w:szCs w:val="20"/>
              </w:rPr>
              <w:t xml:space="preserve">constellation_crosslink</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SpaceX/FCC Starlink Gen1 amendment and public mission materials; sources describe laser intersatellite links on polar and v1.5 spacecraft</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TBIRD CubeSat high-rate laser downlink</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TBIRD project release; source describes a CubeSat high-rate laser downlink demonstration</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ILLUMA-T ISS to LCRD</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ILLUMA-T mission page; source describes ISS optical terminal relaying data through LCRD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Starlink Gen2 laser intersatellite links</w:t>
            </w:r>
          </w:p>
        </w:tc>
        <w:tc>
          <w:tcPr>
            <w:tcW w:w="0" w:type="auto"/>
          </w:tcPr>
          <w:p>
            <w:pPr>
              <w:spacing w:line="240" w:lineRule="auto" w:before="0" w:after="0"/>
              <w:pStyle w:val="Compact"/>
            </w:pPr>
            <w:r>
              <w:rPr>
                <w:sz w:val="20"/>
                <w:szCs w:val="20"/>
              </w:rPr>
              <w:t xml:space="preserve">constellation_crosslink</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SpaceX/FCC Starlink Gen2 materials and public launch records; sources describe optical intersatellite links</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Deep Space Optical Communications first light</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DSOC first-light release; source describes deep-space laser communication demonstration</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Deep Space Optical Communications farthest high-rate downlink</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DSOC 2024 update; source describes deep-space laser communication demonstration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VISION nanosatellite formation laser crosslink</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Kim et al., VISION concept of laser crosslink systems using nanosatellites in formation flying, Acta Astronautica 2023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MIT crosslink CubeSat laser communications mission</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Forester et al., Drag Management and Conjunction Prevention for a Crosslink CubeSat Laser Communications Mission, AMOS 2025</w:t>
            </w:r>
          </w:p>
        </w:tc>
      </w:tr>
    </w:tbl>
    <w:bookmarkEnd w:id="211"/>
    <w:bookmarkStart w:id="21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operational_service</w:t>
            </w:r>
          </w:p>
        </w:tc>
        <w:tc>
          <w:tcPr>
            <w:tcW w:w="0" w:type="auto"/>
          </w:tcPr>
          <w:p>
            <w:pPr>
              <w:spacing w:line="240" w:lineRule="auto" w:before="0" w:after="0"/>
              <w:pStyle w:val="Compact"/>
            </w:pPr>
            <w:r>
              <w:rPr>
                <w:sz w:val="20"/>
                <w:szCs w:val="20"/>
              </w:rPr>
              <w:t xml:space="preserve">Binary indicator equal to one when the observation represents an operational relay, crosslink, or constellation service rather than a standalone demonstration or terminal paper</w:t>
            </w:r>
          </w:p>
        </w:tc>
        <w:tc>
          <w:tcPr>
            <w:tcW w:w="0" w:type="auto"/>
          </w:tcPr>
          <w:p>
            <w:pPr>
              <w:spacing w:line="240" w:lineRule="auto" w:before="0" w:after="0"/>
              <w:pStyle w:val="Compact"/>
            </w:pPr>
            <w:r>
              <w:rPr>
                <w:sz w:val="20"/>
                <w:szCs w:val="20"/>
              </w:rPr>
              <w:t xml:space="preserve">Coded from mission agency descriptions, ESA/DLR service descriptions, NASA mission pages, SpaceX/FCC constellation records, and the retrieved literature</w:t>
            </w:r>
          </w:p>
        </w:tc>
      </w:tr>
      <w:tr>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Elapsed years since the first-generation orbital lasercom demonstration baseline</w:t>
            </w:r>
          </w:p>
        </w:tc>
        <w:tc>
          <w:tcPr>
            <w:tcW w:w="0" w:type="auto"/>
          </w:tcPr>
          <w:p>
            <w:pPr>
              <w:spacing w:line="240" w:lineRule="auto" w:before="0" w:after="0"/>
              <w:pStyle w:val="Compact"/>
            </w:pPr>
            <w:r>
              <w:rPr>
                <w:sz w:val="20"/>
                <w:szCs w:val="20"/>
              </w:rPr>
              <w:t xml:space="preserve">Observation year minus 1994</w:t>
            </w:r>
          </w:p>
        </w:tc>
      </w:tr>
      <w:tr>
        <w:tc>
          <w:tcPr>
            <w:tcW w:w="0" w:type="auto"/>
          </w:tcPr>
          <w:p>
            <w:pPr>
              <w:spacing w:line="240" w:lineRule="auto" w:before="0" w:after="0"/>
              <w:pStyle w:val="Compact"/>
            </w:pPr>
            <w:r>
              <w:rPr>
                <w:sz w:val="20"/>
                <w:szCs w:val="20"/>
              </w:rPr>
              <w:t xml:space="preserve">crosslink_or_relay</w:t>
            </w:r>
          </w:p>
        </w:tc>
        <w:tc>
          <w:tcPr>
            <w:tcW w:w="0" w:type="auto"/>
          </w:tcPr>
          <w:p>
            <w:pPr>
              <w:spacing w:line="240" w:lineRule="auto" w:before="0" w:after="0"/>
              <w:pStyle w:val="Compact"/>
            </w:pPr>
            <w:r>
              <w:rPr>
                <w:sz w:val="20"/>
                <w:szCs w:val="20"/>
              </w:rPr>
              <w:t xml:space="preserve">Binary indicator equal to one when the optical system provides intersatellite crosslink or relay service rather than only direct downlink</w:t>
            </w:r>
          </w:p>
        </w:tc>
        <w:tc>
          <w:tcPr>
            <w:tcW w:w="0" w:type="auto"/>
          </w:tcPr>
          <w:p>
            <w:pPr>
              <w:spacing w:line="240" w:lineRule="auto" w:before="0" w:after="0"/>
              <w:pStyle w:val="Compact"/>
            </w:pPr>
            <w:r>
              <w:rPr>
                <w:sz w:val="20"/>
                <w:szCs w:val="20"/>
              </w:rPr>
              <w:t xml:space="preserve">Coded from source descriptions of SILEX, EDRS, LCRD, ILLUMA-T, Starlink laser links, and other mission records</w:t>
            </w:r>
          </w:p>
        </w:tc>
      </w:tr>
    </w:tbl>
    <w:bookmarkEnd w:id="212"/>
    <w:bookmarkEnd w:id="213"/>
    <w:bookmarkEnd w:id="21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9" Type="http://schemas.openxmlformats.org/officeDocument/2006/relationships/image" Target="media/rId199.png"/><Relationship Id="rId207" Type="http://schemas.openxmlformats.org/officeDocument/2006/relationships/image" Target="media/rId207.png"/><Relationship Id="rId152" Type="http://schemas.openxmlformats.org/officeDocument/2006/relationships/hyperlink" Target="https://doi.org/10.1016/j.actaastro.2018.04.049" TargetMode="External"/><Relationship Id="rId150" Type="http://schemas.openxmlformats.org/officeDocument/2006/relationships/hyperlink" Target="https://doi.org/10.1016/j.actaastro.2019.10.011" TargetMode="External"/><Relationship Id="rId156" Type="http://schemas.openxmlformats.org/officeDocument/2006/relationships/hyperlink" Target="https://doi.org/10.1016/j.actaastro.2020.04.049" TargetMode="External"/><Relationship Id="rId188" Type="http://schemas.openxmlformats.org/officeDocument/2006/relationships/hyperlink" Target="https://doi.org/10.1016/j.actaastro.2022.04.020" TargetMode="External"/><Relationship Id="rId148" Type="http://schemas.openxmlformats.org/officeDocument/2006/relationships/hyperlink" Target="https://doi.org/10.1016/j.actaastro.2022.05.011" TargetMode="External"/><Relationship Id="rId154" Type="http://schemas.openxmlformats.org/officeDocument/2006/relationships/hyperlink" Target="https://doi.org/10.1016/j.actaastro.2023.06.026" TargetMode="External"/><Relationship Id="rId172" Type="http://schemas.openxmlformats.org/officeDocument/2006/relationships/hyperlink" Target="https://doi.org/10.1016/j.actaastro.2023.07.014" TargetMode="External"/><Relationship Id="rId194" Type="http://schemas.openxmlformats.org/officeDocument/2006/relationships/hyperlink" Target="https://doi.org/10.1016/j.actaastro.2024.04.025" TargetMode="External"/><Relationship Id="rId190" Type="http://schemas.openxmlformats.org/officeDocument/2006/relationships/hyperlink" Target="https://doi.org/10.1016/j.actaastro.2024.08.022" TargetMode="External"/><Relationship Id="rId160" Type="http://schemas.openxmlformats.org/officeDocument/2006/relationships/hyperlink" Target="https://doi.org/10.1016/j.actaastro.2025.12.026" TargetMode="External"/><Relationship Id="rId192" Type="http://schemas.openxmlformats.org/officeDocument/2006/relationships/hyperlink" Target="https://doi.org/10.1016/j.actaastro.2026.01.060" TargetMode="External"/><Relationship Id="rId183" Type="http://schemas.openxmlformats.org/officeDocument/2006/relationships/hyperlink" Target="https://doi.org/10.64861/KYFU6858" TargetMode="External"/><Relationship Id="rId146" Type="http://schemas.openxmlformats.org/officeDocument/2006/relationships/hyperlink" Target="https://doi.org/10.64861/LGTK6821" TargetMode="External"/><Relationship Id="rId180" Type="http://schemas.openxmlformats.org/officeDocument/2006/relationships/hyperlink" Target="https://doi.org/10.64861/WFHJ7307" TargetMode="External"/><Relationship Id="rId175"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52" Type="http://schemas.openxmlformats.org/officeDocument/2006/relationships/hyperlink" Target="https://doi.org/10.1016/j.actaastro.2018.04.049" TargetMode="External"/><Relationship Id="rId150" Type="http://schemas.openxmlformats.org/officeDocument/2006/relationships/hyperlink" Target="https://doi.org/10.1016/j.actaastro.2019.10.011" TargetMode="External"/><Relationship Id="rId156" Type="http://schemas.openxmlformats.org/officeDocument/2006/relationships/hyperlink" Target="https://doi.org/10.1016/j.actaastro.2020.04.049" TargetMode="External"/><Relationship Id="rId188" Type="http://schemas.openxmlformats.org/officeDocument/2006/relationships/hyperlink" Target="https://doi.org/10.1016/j.actaastro.2022.04.020" TargetMode="External"/><Relationship Id="rId148" Type="http://schemas.openxmlformats.org/officeDocument/2006/relationships/hyperlink" Target="https://doi.org/10.1016/j.actaastro.2022.05.011" TargetMode="External"/><Relationship Id="rId154" Type="http://schemas.openxmlformats.org/officeDocument/2006/relationships/hyperlink" Target="https://doi.org/10.1016/j.actaastro.2023.06.026" TargetMode="External"/><Relationship Id="rId172" Type="http://schemas.openxmlformats.org/officeDocument/2006/relationships/hyperlink" Target="https://doi.org/10.1016/j.actaastro.2023.07.014" TargetMode="External"/><Relationship Id="rId194" Type="http://schemas.openxmlformats.org/officeDocument/2006/relationships/hyperlink" Target="https://doi.org/10.1016/j.actaastro.2024.04.025" TargetMode="External"/><Relationship Id="rId190" Type="http://schemas.openxmlformats.org/officeDocument/2006/relationships/hyperlink" Target="https://doi.org/10.1016/j.actaastro.2024.08.022" TargetMode="External"/><Relationship Id="rId160" Type="http://schemas.openxmlformats.org/officeDocument/2006/relationships/hyperlink" Target="https://doi.org/10.1016/j.actaastro.2025.12.026" TargetMode="External"/><Relationship Id="rId192" Type="http://schemas.openxmlformats.org/officeDocument/2006/relationships/hyperlink" Target="https://doi.org/10.1016/j.actaastro.2026.01.060" TargetMode="External"/><Relationship Id="rId183" Type="http://schemas.openxmlformats.org/officeDocument/2006/relationships/hyperlink" Target="https://doi.org/10.64861/KYFU6858" TargetMode="External"/><Relationship Id="rId146" Type="http://schemas.openxmlformats.org/officeDocument/2006/relationships/hyperlink" Target="https://doi.org/10.64861/LGTK6821" TargetMode="External"/><Relationship Id="rId180" Type="http://schemas.openxmlformats.org/officeDocument/2006/relationships/hyperlink" Target="https://doi.org/10.64861/WFHJ7307" TargetMode="External"/><Relationship Id="rId175"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Optical-Comms Adoption Curve: Is Free-Space Laser Crosslink Uptake Following a Bass Diffusion Trajectory Consistent with Prior Space Infrastructure Transitions?</dc:title>
  <dc:creator>Kofi Saito (1B-ITI-138)</dc:creator>
  <cp:keywords/>
  <dcterms:created xsi:type="dcterms:W3CDTF">2026-07-03T02:34:54Z</dcterms:created>
  <dcterms:modified xsi:type="dcterms:W3CDTF">2026-07-03T02:34:54Z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