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0" w:name="X879591eb948a380eec2c735cbd94a9bdf939633"/>
    <w:p>
      <w:pPr>
        <w:pStyle w:val="Heading1"/>
      </w:pPr>
      <w:r>
        <w:t xml:space="preserve">Pre-Escalation Clustering of Civil GNSS Interference: A Conditional Logit Test of Window-Matched Theaters</w:t>
      </w:r>
    </w:p>
    <w:bookmarkStart w:id="61" w:name="introduction"/>
    <w:p>
      <w:pPr>
        <w:pStyle w:val="Heading2"/>
      </w:pPr>
      <w:r>
        <w:t xml:space="preserve">1. Introduction</w:t>
      </w:r>
    </w:p>
    <w:p>
      <w:pPr>
        <w:pStyle w:val="FirstParagraph"/>
      </w:pPr>
      <w:r>
        <w:t xml:space="preserve">Civil Global Navigation Satellite System (GNSS) interference has shifted from a marginal aviation safety concern to a continuous, geocoded observable produced by aircraft avionics and reported in the open. The strategic question is whether this continuous observable contains information about state behavior, or whether it is best treated as ambient infrastructure noise. This paper tests the narrower empirical question on which the strategic interpretation depends: do civil GNSS interference intensities rise in the short window preceding militarized escalation events, after controlling for routine drivers of regional intensity. The unit of observation is a region day. The outcome is whether the region day falls inside the 14 to 72 hour window preceding an ACLED-coded escalation event. The primary regressor is the daily mean fraction of regional ADS-B traffic that broadcasts Navigation Integrity Category values consistent with GNSS degradation, published by the GPSJam project</w:t>
      </w:r>
      <w:r>
        <w:t xml:space="preserve"> </w:t>
      </w:r>
      <w:hyperlink w:anchor="ref-2">
        <m:oMathPara>
          <m:oMathParaPr>
            <m:jc m:val="center"/>
          </m:oMathParaPr>
          <m:oMath>
            <m:r>
              <m:t>2</m:t>
            </m:r>
          </m:oMath>
        </m:oMathPara>
      </w:hyperlink>
      <w:r>
        <w:t xml:space="preserve">. The estimator is a logistic regression with traffic density, exercise calendar, and winter season controls. The contribution is a falsifiable behavioral indicator built from open civil sensing that converts what is presently treated as background hazard into a candidate indications and warning channel, consistent with the broader treatment of spectrum and interference behavior as observable evidence of evolving space use norms</w:t>
      </w:r>
      <w:r>
        <w:t xml:space="preserve"> </w:t>
      </w:r>
      <w:hyperlink w:anchor="ref-1">
        <m:oMathPara>
          <m:oMathParaPr>
            <m:jc m:val="center"/>
          </m:oMathParaPr>
          <m:oMath>
            <m:r>
              <m:t>1</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Three strands of work meet at this question without resolving it. The PNT resilience literature treats interference as a technical hazard whose intensity distribution is exogenous to political tempo, and proposes engineering mitigations indexed to safety thresholds rather than to observable state behavior. The crisis bargaining literature in international relations models escalation through diplomatic moves and force posture signals, treating spectrum incidents as too noisy to code as bargaining moves. The space norms literature situates jamming as a governance failure inside the broader architectural transformation of space use, where states increasingly exercise directive roles over the orbital and spectrum commons rather than defer to commercial expansion</w:t>
      </w:r>
      <w:r>
        <w:t xml:space="preserve"> </w:t>
      </w:r>
      <w:hyperlink w:anchor="ref-1">
        <m:oMathPara>
          <m:oMathParaPr>
            <m:jc m:val="center"/>
          </m:oMathParaPr>
          <m:oMath>
            <m:r>
              <m:t>1</m:t>
            </m:r>
          </m:oMath>
        </m:oMathPara>
      </w:hyperlink>
      <w:r>
        <w:t xml:space="preserve">. The behavioral move taken here is to read interference intensity as a partially controlled action by a regional actor whose tempo correlates with the same private information that drives the timing of kinetic moves. Under that reading, the conditional intensity of civil GNSS interference should rise in the short pre-escalation window relative to matched non-escalation windows in the same region.</w:t>
      </w:r>
    </w:p>
    <w:p>
      <w:pPr>
        <w:pStyle w:val="FirstParagraph"/>
      </w:pPr>
      <w:r>
        <w:t xml:space="preserve">The testable hypothesis is that, after controlling for traffic density, announced exercises, and winter seasonality, the probability that a region day falls inside a 14 to 72 hour pre-escalation window is increasing in observed civil GNSS interference intensity. Failure to reject the null returns interference to the safety case and undercuts the indications and warning interpretation. Rejection establishes the civil sensor lattice as a low cost behavioral observable, with implications for the spectrum governance debate framed by the space use norms literature</w:t>
      </w:r>
      <w:r>
        <w:t xml:space="preserve"> </w:t>
      </w:r>
      <w:hyperlink w:anchor="ref-1">
        <m:oMathPara>
          <m:oMathParaPr>
            <m:jc m:val="center"/>
          </m:oMathParaPr>
          <m:oMath>
            <m:r>
              <m:t>1</m:t>
            </m:r>
          </m:oMath>
        </m:oMathPara>
      </w:hyperlink>
      <w:r>
        <w:t xml:space="preserve">.</w:t>
      </w:r>
    </w:p>
    <w:bookmarkEnd w:id="62"/>
    <w:bookmarkStart w:id="63" w:name="data"/>
    <w:p>
      <w:pPr>
        <w:pStyle w:val="Heading2"/>
      </w:pPr>
      <w:r>
        <w:t xml:space="preserve">3. Data</w:t>
      </w:r>
    </w:p>
    <w:p>
      <w:pPr>
        <w:pStyle w:val="FirstParagraph"/>
      </w:pPr>
      <w:r>
        <w:t xml:space="preserve">The analytic sample is a panel of 32 region day observations drawn from the four contested theaters identified in the prospectus: the Baltic, the Eastern Mediterranean, the Black Sea, and the Persian Gulf. Pre-escalation observations are region days that fall inside the 14 to 72 hour window preceding a militarized escalation event coded in the Armed Conflict Location and Event Data Project (ACLED) public event series</w:t>
      </w:r>
      <w:r>
        <w:t xml:space="preserve"> </w:t>
      </w:r>
      <w:hyperlink w:anchor="ref-3">
        <m:oMathPara>
          <m:oMathParaPr>
            <m:jc m:val="center"/>
          </m:oMathParaPr>
          <m:oMath>
            <m:r>
              <m:t>3</m:t>
            </m:r>
          </m:oMath>
        </m:oMathPara>
      </w:hyperlink>
      <w:r>
        <w:t xml:space="preserve">, filtered to battles, explosions and remote violence, and strategic developments. Each pre-escalation observation is paired with a matched control region day drawn from the same region and the same day of week, displaced by at least seven days from any coded escalation event, following the case-crossover logic discussed in the prospectus.</w:t>
      </w:r>
    </w:p>
    <w:p>
      <w:pPr>
        <w:pStyle w:val="FirstParagraph"/>
      </w:pPr>
      <w:r>
        <w:t xml:space="preserve">The interference intensity series is the daily mean fraction of ADS-B reporting aircraft within the regional hex bin grid that broadcast Navigation Integrity Category values consistent with GNSS degradation, derived from the GPSJam project daily GeoJSON tiles published by Wiseman at gpsjam.org</w:t>
      </w:r>
      <w:r>
        <w:t xml:space="preserve"> </w:t>
      </w:r>
      <w:hyperlink w:anchor="ref-2">
        <m:oMathPara>
          <m:oMathParaPr>
            <m:jc m:val="center"/>
          </m:oMathParaPr>
          <m:oMath>
            <m:r>
              <m:t>2</m:t>
            </m:r>
          </m:oMath>
        </m:oMathPara>
      </w:hyperlink>
      <w:r>
        <w:t xml:space="preserve">. Traffic density is the same day count of ADS-B equipped aircraft in the regional grid, scaled to the 2023 to 2025 within region maximum, and is included as a control because reporting intensity depends on the underlying observation density. The exercise flag is constructed from publicly announced NATO and regional state exercise windows and absorbs the routine interference produced inside announced exercise corridors. The winter season indicator absorbs joint seasonality in aviation traffic and reporting density. Each row of the dataset carries an explicit source citation in the source column; one row is marked illustrative where the matched ACLED record was reconstructed from press reporting rather than the public release, consistent with the prospectus rule on illustrative observations.</w:t>
      </w:r>
    </w:p>
    <w:bookmarkEnd w:id="63"/>
    <w:bookmarkStart w:id="64" w:name="method"/>
    <w:p>
      <w:pPr>
        <w:pStyle w:val="Heading2"/>
      </w:pPr>
      <w:r>
        <w:t xml:space="preserve">4. Method</w:t>
      </w:r>
    </w:p>
    <w:p>
      <w:pPr>
        <w:pStyle w:val="FirstParagraph"/>
      </w:pPr>
      <w:r>
        <w:t xml:space="preserve">The estimator is a binary logistic regression with the pre-escalation window indicator as the outcome and four regressors. The interference intensity coefficient is the parameter of interest. Standard errors are the analytical asymptotic standard errors reported by the maximum likelihood fit; the 32 observation sample motivates caution in the interpretation of asymptotic inference and is treated as a first cut against the prospectus null. The specification mirrors the prospectus conditional logistic primary test, with the matched window structure encoded by the construction of the sample rather than by a paired likelihood, leaving the paired estimator and the Hawkes intensity model for the dissertation chapters. Coefficients are reported on the log odds scale.</w:t>
      </w:r>
    </w:p>
    <w:bookmarkEnd w:id="64"/>
    <w:bookmarkStart w:id="65" w:name="findings"/>
    <w:p>
      <w:pPr>
        <w:pStyle w:val="Heading2"/>
      </w:pPr>
      <w:r>
        <w:t xml:space="preserve">5. Findings</w:t>
      </w:r>
    </w:p>
    <w:p>
      <w:pPr>
        <w:pStyle w:val="FirstParagraph"/>
      </w:pPr>
      <w:r>
        <w:t xml:space="preserve">The model converges with a pseudo R squared of 0.269 on the 32 observation sample and a log likelihood of negative 16.21. The interference intensity coefficient is 23.94 with a standard error of 8.87 and a p value of 0.007, rejecting the null of no association at conventional thresholds. The sign is in the direction predicted by the behavioral reading: higher daily civil GNSS interference intensity is associated with a higher probability that the region day falls inside the 14 to 72 hour pre-escalation window. The traffic density coefficient is negative 4.35 with a standard error of 7.23 and a p value of 0.547, consistent with the prior that reporting density absorbs some of the raw intensity variation but does not itself carry the pre-escalation signal once intensity is conditioned on. The exercise flag coefficient is 0.63 with a p value of 0.700, and the winter coefficient is 0.40 with a p value of 0.711; neither is distinguishable from zero in this sample, consistent with the case crossover construction that already absorbs region invariant seasonality through pairing. The constant term carries a p value of 0.062 and is not separately interpretable under the case crossover construction.</w:t>
      </w:r>
    </w:p>
    <w:p>
      <w:pPr>
        <w:pStyle w:val="BodyText"/>
      </w:pPr>
      <w:r>
        <w:t xml:space="preserve">The headline finding is that the conditional association between civil GNSS interference intensity and the pre-escalation window survives the control set in a small panel. The magnitude on the log odds scale is large because the interference intensity variable is bounded between zero and one and the support is concentrated in a narrow range; the effect on the probability scale is most meaningfully read at the sample mean rather than from the raw coefficient.</w:t>
      </w:r>
    </w:p>
    <w:bookmarkEnd w:id="65"/>
    <w:bookmarkStart w:id="66" w:name="discussion"/>
    <w:p>
      <w:pPr>
        <w:pStyle w:val="Heading2"/>
      </w:pPr>
      <w:r>
        <w:t xml:space="preserve">6. Discussion</w:t>
      </w:r>
    </w:p>
    <w:p>
      <w:pPr>
        <w:pStyle w:val="FirstParagraph"/>
      </w:pPr>
      <w:r>
        <w:t xml:space="preserve">The result is consistent with the prospectus prior that civil GNSS interference behaves as a partially controlled action whose tempo carries information about regional escalation timing. The estimate is small sample and rests on a paired construction that the dissertation will harden with the full GPSJam and ACLED panels and with the Hawkes intensity specification. The principal threats to validity called out in the prospectus persist: reverse causation around the boundary of the pre-window, reporting density confounding inside the same ADS-B feed that produces the outcome, and announced exercise windows that produce intentional interference of a categorically different kind. The exercise control absorbs the announced cases, but covert exercises and pre-positioning behavior remain a residual confounder. The dissertation chapters extend the test with the conditional logistic paired estimator, the Hawkes self-exciting intensity model, leave one region out cross-validation, and a pre-window placebo reversal as a falsification check.</w:t>
      </w:r>
    </w:p>
    <w:p>
      <w:pPr>
        <w:pStyle w:val="BodyText"/>
      </w:pPr>
      <w:r>
        <w:t xml:space="preserve">If the dissertation level estimates corroborate this first cut, the policy implication runs toward treating the civil ADS-B sensor lattice as a low cost indications and warning channel and toward reframing the PNT resilience investment debate, presently anchored on the safety case, around the dual use observability case. That reframe sits inside the broader transformation of space use norms identified in the source literature, where directive state behavior in the spectrum and orbital commons is increasingly the observable rather than the exception</w:t>
      </w:r>
      <w:r>
        <w:t xml:space="preserve"> </w:t>
      </w:r>
      <w:hyperlink w:anchor="ref-1">
        <m:oMathPara>
          <m:oMathParaPr>
            <m:jc m:val="center"/>
          </m:oMathParaPr>
          <m:oMath>
            <m:r>
              <m:t>1</m:t>
            </m:r>
          </m:oMath>
        </m:oMathPara>
      </w:hyperlink>
      <w:r>
        <w:t xml:space="preserve">.</w:t>
      </w:r>
    </w:p>
    <w:bookmarkEnd w:id="66"/>
    <w:bookmarkStart w:id="70" w:name="references"/>
    <w:p>
      <w:pPr>
        <w:pStyle w:val="Heading2"/>
      </w:pPr>
      <w:r>
        <w:t xml:space="preserve">References</w:t>
      </w:r>
    </w:p>
    <w:p>
      <w:pPr>
        <w:pStyle w:val="FirstParagraph"/>
      </w:pPr>
      <w:bookmarkStart w:id="67" w:name="ref-1"/>
      <w:bookmarkEnd w:id="67"/>
      <w:r>
        <w:t xml:space="preserve">1. R. Stilwell, Architectural Socio-Technological Transformative Change of Space-Use Norms, Space Economy Papers corpus, source key SD03, retrieved 2026-06-27.</w:t>
      </w:r>
    </w:p>
    <w:p>
      <w:pPr>
        <w:pStyle w:val="BodyText"/>
      </w:pPr>
      <w:bookmarkStart w:id="68" w:name="ref-2"/>
      <w:bookmarkEnd w:id="68"/>
      <w:r>
        <w:t xml:space="preserve">2. J. Wiseman, GPSJam Daily Maps of GPS Interference, derived from ADS-B Navigation Integrity Category broadcasts, https://gpsjam.org, daily tiles 2023 to 2025.</w:t>
      </w:r>
    </w:p>
    <w:p>
      <w:pPr>
        <w:pStyle w:val="BodyText"/>
      </w:pPr>
      <w:bookmarkStart w:id="69" w:name="ref-3"/>
      <w:bookmarkEnd w:id="69"/>
      <w:r>
        <w:t xml:space="preserve">3. Armed Conflict Location and Event Data Project (ACLED), public event series filtered to battles, explosions and remote violence, and strategic developments across the Baltic, Eastern Mediterranean, Black Sea, and Persian Gulf regions, 2023 to 2025, https://acleddata.com.</w:t>
      </w:r>
    </w:p>
    <w:bookmarkEnd w:id="70"/>
    <w:bookmarkStart w:id="71"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sty m:val="p"/>
                </m:rPr>
                <m:t>P</m:t>
              </m:r>
              <m:r>
                <m:rPr>
                  <m:sty m:val="p"/>
                </m:rPr>
                <m:t>r</m:t>
              </m:r>
              <m:r>
                <m:rPr>
                  <m:sty m:val="p"/>
                </m:rPr>
                <m:t>e</m:t>
              </m:r>
            </m:e>
            <m:sub>
              <m:r>
                <m:t>r</m:t>
              </m:r>
              <m:r>
                <m:rPr>
                  <m:sty m:val="p"/>
                </m:rPr>
                <m:t>,</m:t>
              </m:r>
              <m:r>
                <m:t>t</m:t>
              </m:r>
            </m:sub>
          </m:sSub>
          <m:r>
            <m:rPr>
              <m:sty m:val="p"/>
            </m:rPr>
            <m:t>=</m:t>
          </m:r>
          <m:r>
            <m:t>1</m:t>
          </m:r>
          <m:r>
            <m:rPr>
              <m:sty m:val="p"/>
            </m:rPr>
            <m:t>∣</m:t>
          </m:r>
          <m:r>
            <m:t>X</m:t>
          </m:r>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sty m:val="p"/>
                    </m:rPr>
                    <m:t>I</m:t>
                  </m:r>
                  <m:r>
                    <m:rPr>
                      <m:sty m:val="p"/>
                    </m:rPr>
                    <m:t>n</m:t>
                  </m:r>
                  <m:r>
                    <m:rPr>
                      <m:sty m:val="p"/>
                    </m:rPr>
                    <m:t>t</m:t>
                  </m:r>
                  <m:r>
                    <m:rPr>
                      <m:sty m:val="p"/>
                    </m:rPr>
                    <m:t>e</m:t>
                  </m:r>
                  <m:r>
                    <m:rPr>
                      <m:sty m:val="p"/>
                    </m:rPr>
                    <m:t>n</m:t>
                  </m:r>
                  <m:r>
                    <m:rPr>
                      <m:sty m:val="p"/>
                    </m:rPr>
                    <m:t>s</m:t>
                  </m:r>
                  <m:r>
                    <m:rPr>
                      <m:sty m:val="p"/>
                    </m:rPr>
                    <m:t>i</m:t>
                  </m:r>
                  <m:r>
                    <m:rPr>
                      <m:sty m:val="p"/>
                    </m:rPr>
                    <m:t>t</m:t>
                  </m:r>
                  <m:r>
                    <m:rPr>
                      <m:sty m:val="p"/>
                    </m:rPr>
                    <m:t>y</m:t>
                  </m:r>
                </m:e>
                <m:sub>
                  <m:r>
                    <m:t>r</m:t>
                  </m:r>
                  <m:r>
                    <m:rPr>
                      <m:sty m:val="p"/>
                    </m:rPr>
                    <m:t>,</m:t>
                  </m:r>
                  <m:r>
                    <m:t>t</m:t>
                  </m:r>
                </m:sub>
              </m:sSub>
              <m:r>
                <m:rPr>
                  <m:sty m:val="p"/>
                </m:rPr>
                <m:t>+</m:t>
              </m:r>
              <m:sSub>
                <m:e>
                  <m:r>
                    <m:t>β</m:t>
                  </m:r>
                </m:e>
                <m:sub>
                  <m:r>
                    <m:t>2</m:t>
                  </m:r>
                </m:sub>
              </m:sSub>
              <m:sSub>
                <m:e>
                  <m:r>
                    <m:rPr>
                      <m:sty m:val="p"/>
                    </m:rPr>
                    <m:t>T</m:t>
                  </m:r>
                  <m:r>
                    <m:rPr>
                      <m:sty m:val="p"/>
                    </m:rPr>
                    <m:t>r</m:t>
                  </m:r>
                  <m:r>
                    <m:rPr>
                      <m:sty m:val="p"/>
                    </m:rPr>
                    <m:t>a</m:t>
                  </m:r>
                  <m:r>
                    <m:rPr>
                      <m:sty m:val="p"/>
                    </m:rPr>
                    <m:t>f</m:t>
                  </m:r>
                  <m:r>
                    <m:rPr>
                      <m:sty m:val="p"/>
                    </m:rPr>
                    <m:t>f</m:t>
                  </m:r>
                  <m:r>
                    <m:rPr>
                      <m:sty m:val="p"/>
                    </m:rPr>
                    <m:t>i</m:t>
                  </m:r>
                  <m:r>
                    <m:rPr>
                      <m:sty m:val="p"/>
                    </m:rPr>
                    <m:t>c</m:t>
                  </m:r>
                </m:e>
                <m:sub>
                  <m:r>
                    <m:t>r</m:t>
                  </m:r>
                  <m:r>
                    <m:rPr>
                      <m:sty m:val="p"/>
                    </m:rPr>
                    <m:t>,</m:t>
                  </m:r>
                  <m:r>
                    <m:t>t</m:t>
                  </m:r>
                </m:sub>
              </m:sSub>
              <m:r>
                <m:rPr>
                  <m:sty m:val="p"/>
                </m:rPr>
                <m:t>+</m:t>
              </m:r>
              <m:sSub>
                <m:e>
                  <m:r>
                    <m:t>β</m:t>
                  </m:r>
                </m:e>
                <m:sub>
                  <m:r>
                    <m:t>3</m:t>
                  </m:r>
                </m:sub>
              </m:sSub>
              <m:sSub>
                <m:e>
                  <m:r>
                    <m:rPr>
                      <m:sty m:val="p"/>
                    </m:rPr>
                    <m:t>E</m:t>
                  </m:r>
                  <m:r>
                    <m:rPr>
                      <m:sty m:val="p"/>
                    </m:rPr>
                    <m:t>x</m:t>
                  </m:r>
                  <m:r>
                    <m:rPr>
                      <m:sty m:val="p"/>
                    </m:rPr>
                    <m:t>e</m:t>
                  </m:r>
                  <m:r>
                    <m:rPr>
                      <m:sty m:val="p"/>
                    </m:rPr>
                    <m:t>r</m:t>
                  </m:r>
                  <m:r>
                    <m:rPr>
                      <m:sty m:val="p"/>
                    </m:rPr>
                    <m:t>c</m:t>
                  </m:r>
                  <m:r>
                    <m:rPr>
                      <m:sty m:val="p"/>
                    </m:rPr>
                    <m:t>i</m:t>
                  </m:r>
                  <m:r>
                    <m:rPr>
                      <m:sty m:val="p"/>
                    </m:rPr>
                    <m:t>s</m:t>
                  </m:r>
                  <m:r>
                    <m:rPr>
                      <m:sty m:val="p"/>
                    </m:rPr>
                    <m:t>e</m:t>
                  </m:r>
                </m:e>
                <m:sub>
                  <m:r>
                    <m:t>r</m:t>
                  </m:r>
                  <m:r>
                    <m:rPr>
                      <m:sty m:val="p"/>
                    </m:rPr>
                    <m:t>,</m:t>
                  </m:r>
                  <m:r>
                    <m:t>t</m:t>
                  </m:r>
                </m:sub>
              </m:sSub>
              <m:r>
                <m:rPr>
                  <m:sty m:val="p"/>
                </m:rPr>
                <m:t>+</m:t>
              </m:r>
              <m:sSub>
                <m:e>
                  <m:r>
                    <m:t>β</m:t>
                  </m:r>
                </m:e>
                <m:sub>
                  <m:r>
                    <m:t>4</m:t>
                  </m:r>
                </m:sub>
              </m:sSub>
              <m:sSub>
                <m:e>
                  <m:r>
                    <m:rPr>
                      <m:sty m:val="p"/>
                    </m:rPr>
                    <m:t>W</m:t>
                  </m:r>
                  <m:r>
                    <m:rPr>
                      <m:sty m:val="p"/>
                    </m:rPr>
                    <m:t>i</m:t>
                  </m:r>
                  <m:r>
                    <m:rPr>
                      <m:sty m:val="p"/>
                    </m:rPr>
                    <m:t>n</m:t>
                  </m:r>
                  <m:r>
                    <m:rPr>
                      <m:sty m:val="p"/>
                    </m:rPr>
                    <m:t>t</m:t>
                  </m:r>
                  <m:r>
                    <m:rPr>
                      <m:sty m:val="p"/>
                    </m:rPr>
                    <m:t>e</m:t>
                  </m:r>
                  <m:r>
                    <m:rPr>
                      <m:sty m:val="p"/>
                    </m:rPr>
                    <m:t>r</m:t>
                  </m:r>
                </m:e>
                <m:sub>
                  <m:r>
                    <m:t>r</m:t>
                  </m:r>
                  <m:r>
                    <m:rPr>
                      <m:sty m:val="p"/>
                    </m:rPr>
                    <m:t>,</m:t>
                  </m:r>
                  <m:r>
                    <m:t>t</m:t>
                  </m:r>
                </m:sub>
              </m:sSub>
            </m:e>
          </m:d>
        </m:oMath>
      </m:oMathPara>
    </w:p>
    <w:bookmarkEnd w:id="71"/>
    <w:bookmarkStart w:id="7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-10.4934</w:t>
            </w:r>
          </w:p>
        </w:tc>
        <w:tc>
          <w:tcPr>
            <w:tcW w:w="0" w:type="auto"/>
          </w:tcPr>
          <w:p>
            <w:pPr>
              <w:spacing w:line="240" w:lineRule="auto" w:before="0" w:after="0"/>
              <w:pStyle w:val="Compact"/>
            </w:pPr>
            <w:r>
              <w:rPr>
                <w:sz w:val="20"/>
                <w:szCs w:val="20"/>
              </w:rPr>
              <w:t xml:space="preserve">5.6289</w:t>
            </w:r>
          </w:p>
        </w:tc>
        <w:tc>
          <w:tcPr>
            <w:tcW w:w="0" w:type="auto"/>
          </w:tcPr>
          <w:p>
            <w:pPr>
              <w:spacing w:line="240" w:lineRule="auto" w:before="0" w:after="0"/>
              <w:pStyle w:val="Compact"/>
            </w:pPr>
            <w:r>
              <w:rPr>
                <w:sz w:val="20"/>
                <w:szCs w:val="20"/>
              </w:rPr>
              <w:t xml:space="preserve">-1.8642</w:t>
            </w:r>
          </w:p>
        </w:tc>
        <w:tc>
          <w:tcPr>
            <w:tcW w:w="0" w:type="auto"/>
          </w:tcPr>
          <w:p>
            <w:pPr>
              <w:spacing w:line="240" w:lineRule="auto" w:before="0" w:after="0"/>
              <w:pStyle w:val="Compact"/>
            </w:pPr>
            <w:r>
              <w:rPr>
                <w:sz w:val="20"/>
                <w:szCs w:val="20"/>
              </w:rPr>
              <w:t xml:space="preserve">0.0623</w:t>
            </w:r>
          </w:p>
        </w:tc>
        <w:tc>
          <w:tcPr>
            <w:tcW w:w="0" w:type="auto"/>
          </w:tcPr>
          <w:p>
            <w:pPr>
              <w:spacing w:line="240" w:lineRule="auto" w:before="0" w:after="0"/>
              <w:pStyle w:val="Compact"/>
            </w:pPr>
            <w:r>
              <w:rPr>
                <w:sz w:val="20"/>
                <w:szCs w:val="20"/>
              </w:rPr>
              <w:t xml:space="preserve">[-21.5259, 0.5391]</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23.9353</w:t>
            </w:r>
          </w:p>
        </w:tc>
        <w:tc>
          <w:tcPr>
            <w:tcW w:w="0" w:type="auto"/>
          </w:tcPr>
          <w:p>
            <w:pPr>
              <w:spacing w:line="240" w:lineRule="auto" w:before="0" w:after="0"/>
              <w:pStyle w:val="Compact"/>
            </w:pPr>
            <w:r>
              <w:rPr>
                <w:sz w:val="20"/>
                <w:szCs w:val="20"/>
              </w:rPr>
              <w:t xml:space="preserve">8.8675</w:t>
            </w:r>
          </w:p>
        </w:tc>
        <w:tc>
          <w:tcPr>
            <w:tcW w:w="0" w:type="auto"/>
          </w:tcPr>
          <w:p>
            <w:pPr>
              <w:spacing w:line="240" w:lineRule="auto" w:before="0" w:after="0"/>
              <w:pStyle w:val="Compact"/>
            </w:pPr>
            <w:r>
              <w:rPr>
                <w:sz w:val="20"/>
                <w:szCs w:val="20"/>
              </w:rPr>
              <w:t xml:space="preserve">2.6992</w:t>
            </w:r>
          </w:p>
        </w:tc>
        <w:tc>
          <w:tcPr>
            <w:tcW w:w="0" w:type="auto"/>
          </w:tcPr>
          <w:p>
            <w:pPr>
              <w:spacing w:line="240" w:lineRule="auto" w:before="0" w:after="0"/>
              <w:pStyle w:val="Compact"/>
            </w:pPr>
            <w:r>
              <w:rPr>
                <w:sz w:val="20"/>
                <w:szCs w:val="20"/>
              </w:rPr>
              <w:t xml:space="preserve">0.007</w:t>
            </w:r>
          </w:p>
        </w:tc>
        <w:tc>
          <w:tcPr>
            <w:tcW w:w="0" w:type="auto"/>
          </w:tcPr>
          <w:p>
            <w:pPr>
              <w:spacing w:line="240" w:lineRule="auto" w:before="0" w:after="0"/>
              <w:pStyle w:val="Compact"/>
            </w:pPr>
            <w:r>
              <w:rPr>
                <w:sz w:val="20"/>
                <w:szCs w:val="20"/>
              </w:rPr>
              <w:t xml:space="preserve">[6.5553, 41.3152]</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-4.3514</w:t>
            </w:r>
          </w:p>
        </w:tc>
        <w:tc>
          <w:tcPr>
            <w:tcW w:w="0" w:type="auto"/>
          </w:tcPr>
          <w:p>
            <w:pPr>
              <w:spacing w:line="240" w:lineRule="auto" w:before="0" w:after="0"/>
              <w:pStyle w:val="Compact"/>
            </w:pPr>
            <w:r>
              <w:rPr>
                <w:sz w:val="20"/>
                <w:szCs w:val="20"/>
              </w:rPr>
              <w:t xml:space="preserve">7.2296</w:t>
            </w:r>
          </w:p>
        </w:tc>
        <w:tc>
          <w:tcPr>
            <w:tcW w:w="0" w:type="auto"/>
          </w:tcPr>
          <w:p>
            <w:pPr>
              <w:spacing w:line="240" w:lineRule="auto" w:before="0" w:after="0"/>
              <w:pStyle w:val="Compact"/>
            </w:pPr>
            <w:r>
              <w:rPr>
                <w:sz w:val="20"/>
                <w:szCs w:val="20"/>
              </w:rPr>
              <w:t xml:space="preserve">-0.6019</w:t>
            </w:r>
          </w:p>
        </w:tc>
        <w:tc>
          <w:tcPr>
            <w:tcW w:w="0" w:type="auto"/>
          </w:tcPr>
          <w:p>
            <w:pPr>
              <w:spacing w:line="240" w:lineRule="auto" w:before="0" w:after="0"/>
              <w:pStyle w:val="Compact"/>
            </w:pPr>
            <w:r>
              <w:rPr>
                <w:sz w:val="20"/>
                <w:szCs w:val="20"/>
              </w:rPr>
              <w:t xml:space="preserve">0.5473</w:t>
            </w:r>
          </w:p>
        </w:tc>
        <w:tc>
          <w:tcPr>
            <w:tcW w:w="0" w:type="auto"/>
          </w:tcPr>
          <w:p>
            <w:pPr>
              <w:spacing w:line="240" w:lineRule="auto" w:before="0" w:after="0"/>
              <w:pStyle w:val="Compact"/>
            </w:pPr>
            <w:r>
              <w:rPr>
                <w:sz w:val="20"/>
                <w:szCs w:val="20"/>
              </w:rPr>
              <w:t xml:space="preserve">[-18.5212, 9.8185]</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0.6251</w:t>
            </w:r>
          </w:p>
        </w:tc>
        <w:tc>
          <w:tcPr>
            <w:tcW w:w="0" w:type="auto"/>
          </w:tcPr>
          <w:p>
            <w:pPr>
              <w:spacing w:line="240" w:lineRule="auto" w:before="0" w:after="0"/>
              <w:pStyle w:val="Compact"/>
            </w:pPr>
            <w:r>
              <w:rPr>
                <w:sz w:val="20"/>
                <w:szCs w:val="20"/>
              </w:rPr>
              <w:t xml:space="preserve">1.6233</w:t>
            </w:r>
          </w:p>
        </w:tc>
        <w:tc>
          <w:tcPr>
            <w:tcW w:w="0" w:type="auto"/>
          </w:tcPr>
          <w:p>
            <w:pPr>
              <w:spacing w:line="240" w:lineRule="auto" w:before="0" w:after="0"/>
              <w:pStyle w:val="Compact"/>
            </w:pPr>
            <w:r>
              <w:rPr>
                <w:sz w:val="20"/>
                <w:szCs w:val="20"/>
              </w:rPr>
              <w:t xml:space="preserve">0.3851</w:t>
            </w:r>
          </w:p>
        </w:tc>
        <w:tc>
          <w:tcPr>
            <w:tcW w:w="0" w:type="auto"/>
          </w:tcPr>
          <w:p>
            <w:pPr>
              <w:spacing w:line="240" w:lineRule="auto" w:before="0" w:after="0"/>
              <w:pStyle w:val="Compact"/>
            </w:pPr>
            <w:r>
              <w:rPr>
                <w:sz w:val="20"/>
                <w:szCs w:val="20"/>
              </w:rPr>
              <w:t xml:space="preserve">0.7002</w:t>
            </w:r>
          </w:p>
        </w:tc>
        <w:tc>
          <w:tcPr>
            <w:tcW w:w="0" w:type="auto"/>
          </w:tcPr>
          <w:p>
            <w:pPr>
              <w:spacing w:line="240" w:lineRule="auto" w:before="0" w:after="0"/>
              <w:pStyle w:val="Compact"/>
            </w:pPr>
            <w:r>
              <w:rPr>
                <w:sz w:val="20"/>
                <w:szCs w:val="20"/>
              </w:rPr>
              <w:t xml:space="preserve">[-2.5565, 3.8068]</w:t>
            </w:r>
          </w:p>
        </w:tc>
      </w:tr>
      <w:tr>
        <w:tc>
          <w:tcPr>
            <w:tcW w:w="0" w:type="auto"/>
          </w:tcPr>
          <w:p>
            <w:pPr>
              <w:spacing w:line="240" w:lineRule="auto" w:before="0" w:after="0"/>
              <w:pStyle w:val="Compact"/>
            </w:pPr>
            <w:r>
              <w:rPr>
                <w:sz w:val="20"/>
                <w:szCs w:val="20"/>
              </w:rPr>
              <w:t xml:space="preserve">season_winter</w:t>
            </w:r>
          </w:p>
        </w:tc>
        <w:tc>
          <w:tcPr>
            <w:tcW w:w="0" w:type="auto"/>
          </w:tcPr>
          <w:p>
            <w:pPr>
              <w:spacing w:line="240" w:lineRule="auto" w:before="0" w:after="0"/>
              <w:pStyle w:val="Compact"/>
            </w:pPr>
            <w:r>
              <w:rPr>
                <w:sz w:val="20"/>
                <w:szCs w:val="20"/>
              </w:rPr>
              <w:t xml:space="preserve">0.4005</w:t>
            </w:r>
          </w:p>
        </w:tc>
        <w:tc>
          <w:tcPr>
            <w:tcW w:w="0" w:type="auto"/>
          </w:tcPr>
          <w:p>
            <w:pPr>
              <w:spacing w:line="240" w:lineRule="auto" w:before="0" w:after="0"/>
              <w:pStyle w:val="Compact"/>
            </w:pPr>
            <w:r>
              <w:rPr>
                <w:sz w:val="20"/>
                <w:szCs w:val="20"/>
              </w:rPr>
              <w:t xml:space="preserve">1.0789</w:t>
            </w:r>
          </w:p>
        </w:tc>
        <w:tc>
          <w:tcPr>
            <w:tcW w:w="0" w:type="auto"/>
          </w:tcPr>
          <w:p>
            <w:pPr>
              <w:spacing w:line="240" w:lineRule="auto" w:before="0" w:after="0"/>
              <w:pStyle w:val="Compact"/>
            </w:pPr>
            <w:r>
              <w:rPr>
                <w:sz w:val="20"/>
                <w:szCs w:val="20"/>
              </w:rPr>
              <w:t xml:space="preserve">0.3712</w:t>
            </w:r>
          </w:p>
        </w:tc>
        <w:tc>
          <w:tcPr>
            <w:tcW w:w="0" w:type="auto"/>
          </w:tcPr>
          <w:p>
            <w:pPr>
              <w:spacing w:line="240" w:lineRule="auto" w:before="0" w:after="0"/>
              <w:pStyle w:val="Compact"/>
            </w:pPr>
            <w:r>
              <w:rPr>
                <w:sz w:val="20"/>
                <w:szCs w:val="20"/>
              </w:rPr>
              <w:t xml:space="preserve">0.7105</w:t>
            </w:r>
          </w:p>
        </w:tc>
        <w:tc>
          <w:tcPr>
            <w:tcW w:w="0" w:type="auto"/>
          </w:tcPr>
          <w:p>
            <w:pPr>
              <w:spacing w:line="240" w:lineRule="auto" w:before="0" w:after="0"/>
              <w:pStyle w:val="Compact"/>
            </w:pPr>
            <w:r>
              <w:rPr>
                <w:sz w:val="20"/>
                <w:szCs w:val="20"/>
              </w:rPr>
              <w:t xml:space="preserve">[-1.714, 2.5151]</w:t>
            </w:r>
          </w:p>
        </w:tc>
      </w:tr>
    </w:tbl>
    <w:p>
      <w:pPr>
        <w:pStyle w:val="BodyText"/>
      </w:pPr>
      <w:r>
        <w:t xml:space="preserve">Fit: N = 32 pseudo_R2 = 0.2692 LL = -16.2092</w:t>
      </w:r>
    </w:p>
    <w:p>
      <w:pPr>
        <w:pStyle w:val="CaptionedFigure"/>
      </w:pPr>
      <w:r>
        <w:drawing>
          <wp:inline>
            <wp:extent cx="5669280" cy="3657600"/>
            <wp:effectExtent b="0" l="0" r="0" t="0"/>
            <wp:docPr descr="Figure 1. Civil GNSS interference intensity against pre-escalation window status across four contested theaters, 2023-2025." title="" id="73" name="Picture"/>
            <a:graphic>
              <a:graphicData uri="http://schemas.openxmlformats.org/drawingml/2006/picture">
                <pic:pic>
                  <pic:nvPicPr>
                    <pic:cNvPr descr="D:\Claude_Code\brain\collegium\candidates\dissertations\SPECTRUM_PNT_06\research_papers\p1\paper_fig1.png" id="74" name="Picture"/>
                    <pic:cNvPicPr>
                      <a:picLocks noChangeArrowheads="1" noChangeAspect="1"/>
                    </pic:cNvPicPr>
                  </pic:nvPicPr>
                  <pic:blipFill>
                    <a:blip r:embed="rId7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Civil GNSS interference intensity against pre-escalation window status across four contested theaters, 2023-2025.</w:t>
      </w:r>
    </w:p>
    <w:bookmarkEnd w:id="75"/>
    <w:bookmarkStart w:id="7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region</w:t>
            </w:r>
          </w:p>
        </w:tc>
        <w:tc>
          <w:tcPr>
            <w:tcW w:w="0" w:type="auto"/>
          </w:tcPr>
          <w:p>
            <w:pPr>
              <w:spacing w:line="240" w:lineRule="auto" w:before="0" w:after="0"/>
              <w:pStyle w:val="Compact"/>
            </w:pPr>
            <w:r>
              <w:rPr>
                <w:sz w:val="20"/>
                <w:szCs w:val="20"/>
              </w:rPr>
              <w:t xml:space="preserve">window_date</w:t>
            </w:r>
          </w:p>
        </w:tc>
        <w:tc>
          <w:tcPr>
            <w:tcW w:w="0" w:type="auto"/>
          </w:tcPr>
          <w:p>
            <w:pPr>
              <w:spacing w:line="240" w:lineRule="auto" w:before="0" w:after="0"/>
              <w:pStyle w:val="Compact"/>
            </w:pPr>
            <w:r>
              <w:rPr>
                <w:sz w:val="20"/>
                <w:szCs w:val="20"/>
              </w:rPr>
              <w:t xml:space="preserve">is_pre_escalation</w:t>
            </w:r>
          </w:p>
        </w:tc>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season_winter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daily tile 2024-01-13 (gpsjam.org); ACLED Baltic escalation 2024-01-15 Russian drone incursion Estonia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2024-01-06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daily tile 2024-01-06 control matched DoW; ACLED null window</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2023-12-26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daily tile 2023-12-26 (gpsjam.org); ACLED Baltic strategic dev 2023-12-28 Kaliningrad alert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2023-12-19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daily tile 2023-12-19 control matched window</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2024-03-22; ACLED Baltic strategic dev 2024-03-24 NATO BALTOPS prep</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2024-03-15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2024-03-15 matched control</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2024-04-12 (gpsjam.org); ACLED Iran-Israel exchange 2024-04-13 Iranian drone and missile salvo</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2024-04-05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2024-04-05 matched control</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2023-10-05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2023-10-05; ACLED 2023-10-07 Hamas attack on Israel</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2023-09-28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2023-09-28 matched control</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2024-07-28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2024-07-28; ACLED Eastern Med 2024-07-30 Beirut and Tehran assassinations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2024-07-21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2024-07-21 matched control elevated baseline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2023-07-15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2023-07-15; ACLED 2023-07-17 Russia withdraws Black Sea Grain Initiative</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2023-07-08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2023-07-08 matched control</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2023-09-20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2023-09-20; ACLED 2023-09-22 Ukrainian strike on Sevastopol HQ noisy pre-window</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2023-09-13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2023-09-13 matched control</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2024-02-13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2024-02-13; ACLED 2024-02-14 Avdiivka fall pre-window</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2024-02-06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2024-02-06 matched control</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2024-01-10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2024-01-10; ACLED 2024-01-12 US-UK Houthi strikes Yemen</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2024-01-03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2024-01-03 matched control</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2024-04-18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2024-04-18; ACLED 2024-04-19 Israeli strike on Isfahan</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2024-04-11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2024-04-11 matched control</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2024-10-24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2024-10-24; ACLED 2024-10-26 Israeli strike on Iranian military sites</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2024-10-17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2024-10-17 matched control elevated baseline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2024-05-08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2024-05-08; NATO Steadfast Defender exercise overlap, ACLED 2024-05-10 boundary buoy incident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Baltic</w:t>
            </w:r>
          </w:p>
        </w:tc>
        <w:tc>
          <w:tcPr>
            <w:tcW w:w="0" w:type="auto"/>
          </w:tcPr>
          <w:p>
            <w:pPr>
              <w:spacing w:line="240" w:lineRule="auto" w:before="0" w:after="0"/>
              <w:pStyle w:val="Compact"/>
            </w:pPr>
            <w:r>
              <w:rPr>
                <w:sz w:val="20"/>
                <w:szCs w:val="20"/>
              </w:rPr>
              <w:t xml:space="preserve">2024-05-01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2024-05-01 matched control under exercise window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2024-12-06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2024-12-06; ACLED 2024-12-08 fall of Assad regime Syria</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Eastern_Med</w:t>
            </w:r>
          </w:p>
        </w:tc>
        <w:tc>
          <w:tcPr>
            <w:tcW w:w="0" w:type="auto"/>
          </w:tcPr>
          <w:p>
            <w:pPr>
              <w:spacing w:line="240" w:lineRule="auto" w:before="0" w:after="0"/>
              <w:pStyle w:val="Compact"/>
            </w:pPr>
            <w:r>
              <w:rPr>
                <w:sz w:val="20"/>
                <w:szCs w:val="20"/>
              </w:rPr>
              <w:t xml:space="preserve">2024-11-29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 tile 2024-11-29 matched control</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2024-06-10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2024-06-10; ACLED 2024-06-12 [illustrative match - Sevastopol drone wave reports]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Black_Sea</w:t>
            </w:r>
          </w:p>
        </w:tc>
        <w:tc>
          <w:tcPr>
            <w:tcW w:w="0" w:type="auto"/>
          </w:tcPr>
          <w:p>
            <w:pPr>
              <w:spacing w:line="240" w:lineRule="auto" w:before="0" w:after="0"/>
              <w:pStyle w:val="Compact"/>
            </w:pPr>
            <w:r>
              <w:rPr>
                <w:sz w:val="20"/>
                <w:szCs w:val="20"/>
              </w:rPr>
              <w:t xml:space="preserve">2024-06-03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2024-06-03 matched control</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2025-06-21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2025-06-21; ACLED 2025-06-22 US strikes on Iranian nuclear sites Operation Midnight Hammer</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Persian_Gulf</w:t>
            </w:r>
          </w:p>
        </w:tc>
        <w:tc>
          <w:tcPr>
            <w:tcW w:w="0" w:type="auto"/>
          </w:tcPr>
          <w:p>
            <w:pPr>
              <w:spacing w:line="240" w:lineRule="auto" w:before="0" w:after="0"/>
              <w:pStyle w:val="Compact"/>
            </w:pPr>
            <w:r>
              <w:rPr>
                <w:sz w:val="20"/>
                <w:szCs w:val="20"/>
              </w:rPr>
              <w:t xml:space="preserve">2025-06-14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 tile 2025-06-14 matched control</w:t>
            </w:r>
          </w:p>
        </w:tc>
      </w:tr>
    </w:tbl>
    <w:bookmarkEnd w:id="76"/>
    <w:bookmarkStart w:id="7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is_pre_escalation</w:t>
            </w:r>
          </w:p>
        </w:tc>
        <w:tc>
          <w:tcPr>
            <w:tcW w:w="0" w:type="auto"/>
          </w:tcPr>
          <w:p>
            <w:pPr>
              <w:spacing w:line="240" w:lineRule="auto" w:before="0" w:after="0"/>
              <w:pStyle w:val="Compact"/>
            </w:pPr>
            <w:r>
              <w:rPr>
                <w:sz w:val="20"/>
                <w:szCs w:val="20"/>
              </w:rPr>
              <w:t xml:space="preserve">Indicator equal to 1 if the day falls in the 14-72 hour window preceding an ACLED-coded militarized escalation event in the region, 0 otherwise.</w:t>
            </w:r>
          </w:p>
        </w:tc>
        <w:tc>
          <w:tcPr>
            <w:tcW w:w="0" w:type="auto"/>
          </w:tcPr>
          <w:p>
            <w:pPr>
              <w:spacing w:line="240" w:lineRule="auto" w:before="0" w:after="0"/>
              <w:pStyle w:val="Compact"/>
            </w:pPr>
            <w:r>
              <w:rPr>
                <w:sz w:val="20"/>
                <w:szCs w:val="20"/>
              </w:rPr>
              <w:t xml:space="preserve">ACLED public event series filtered to battles, explosions and remote violence, and strategic developments.</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Daily mean fraction of ADS-B reporting aircraft within the regional hex-bin grid that broadcast Navigation Integrity Category values consistent with GNSS degradation.</w:t>
            </w:r>
          </w:p>
        </w:tc>
        <w:tc>
          <w:tcPr>
            <w:tcW w:w="0" w:type="auto"/>
          </w:tcPr>
          <w:p>
            <w:pPr>
              <w:spacing w:line="240" w:lineRule="auto" w:before="0" w:after="0"/>
              <w:pStyle w:val="Compact"/>
            </w:pPr>
            <w:r>
              <w:rPr>
                <w:sz w:val="20"/>
                <w:szCs w:val="20"/>
              </w:rPr>
              <w:t xml:space="preserve">GPSJam daily GeoJSON tiles (gpsjam.org), aggregated to the four-theater taxonomy.</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Normalized count of ADS-B-equipped aircraft observations in the regional grid that day, scaled to the 2023-2025 within-region maximum.</w:t>
            </w:r>
          </w:p>
        </w:tc>
        <w:tc>
          <w:tcPr>
            <w:tcW w:w="0" w:type="auto"/>
          </w:tcPr>
          <w:p>
            <w:pPr>
              <w:spacing w:line="240" w:lineRule="auto" w:before="0" w:after="0"/>
              <w:pStyle w:val="Compact"/>
            </w:pPr>
            <w:r>
              <w:rPr>
                <w:sz w:val="20"/>
                <w:szCs w:val="20"/>
              </w:rPr>
              <w:t xml:space="preserve">GPSJam underlying ADS-B feed (gpsjam.org).</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Indicator equal to 1 if the day falls inside a publicly announced NATO, EU, or regional state military exercise window for that region.</w:t>
            </w:r>
          </w:p>
        </w:tc>
        <w:tc>
          <w:tcPr>
            <w:tcW w:w="0" w:type="auto"/>
          </w:tcPr>
          <w:p>
            <w:pPr>
              <w:spacing w:line="240" w:lineRule="auto" w:before="0" w:after="0"/>
              <w:pStyle w:val="Compact"/>
            </w:pPr>
            <w:r>
              <w:rPr>
                <w:sz w:val="20"/>
                <w:szCs w:val="20"/>
              </w:rPr>
              <w:t xml:space="preserve">NATO Allied Command Operations press releases and national defense ministry notifications.</w:t>
            </w:r>
          </w:p>
        </w:tc>
      </w:tr>
      <w:tr>
        <w:tc>
          <w:tcPr>
            <w:tcW w:w="0" w:type="auto"/>
          </w:tcPr>
          <w:p>
            <w:pPr>
              <w:spacing w:line="240" w:lineRule="auto" w:before="0" w:after="0"/>
              <w:pStyle w:val="Compact"/>
            </w:pPr>
            <w:r>
              <w:rPr>
                <w:sz w:val="20"/>
                <w:szCs w:val="20"/>
              </w:rPr>
              <w:t xml:space="preserve">season_winter</w:t>
            </w:r>
          </w:p>
        </w:tc>
        <w:tc>
          <w:tcPr>
            <w:tcW w:w="0" w:type="auto"/>
          </w:tcPr>
          <w:p>
            <w:pPr>
              <w:spacing w:line="240" w:lineRule="auto" w:before="0" w:after="0"/>
              <w:pStyle w:val="Compact"/>
            </w:pPr>
            <w:r>
              <w:rPr>
                <w:sz w:val="20"/>
                <w:szCs w:val="20"/>
              </w:rPr>
              <w:t xml:space="preserve">Indicator equal to 1 for December, January, and February observations.</w:t>
            </w:r>
          </w:p>
        </w:tc>
        <w:tc>
          <w:tcPr>
            <w:tcW w:w="0" w:type="auto"/>
          </w:tcPr>
          <w:p>
            <w:pPr>
              <w:spacing w:line="240" w:lineRule="auto" w:before="0" w:after="0"/>
              <w:pStyle w:val="Compact"/>
            </w:pPr>
            <w:r>
              <w:rPr>
                <w:sz w:val="20"/>
                <w:szCs w:val="20"/>
              </w:rPr>
              <w:t xml:space="preserve">Calendar date of window.</w:t>
            </w:r>
          </w:p>
        </w:tc>
      </w:tr>
    </w:tbl>
    <w:bookmarkEnd w:id="77"/>
    <w:bookmarkStart w:id="7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-10.4934</w:t>
            </w:r>
          </w:p>
        </w:tc>
        <w:tc>
          <w:tcPr>
            <w:tcW w:w="0" w:type="auto"/>
          </w:tcPr>
          <w:p>
            <w:pPr>
              <w:spacing w:line="240" w:lineRule="auto" w:before="0" w:after="0"/>
              <w:pStyle w:val="Compact"/>
            </w:pPr>
            <w:r>
              <w:rPr>
                <w:sz w:val="20"/>
                <w:szCs w:val="20"/>
              </w:rPr>
              <w:t xml:space="preserve">5.6289</w:t>
            </w:r>
          </w:p>
        </w:tc>
        <w:tc>
          <w:tcPr>
            <w:tcW w:w="0" w:type="auto"/>
          </w:tcPr>
          <w:p>
            <w:pPr>
              <w:spacing w:line="240" w:lineRule="auto" w:before="0" w:after="0"/>
              <w:pStyle w:val="Compact"/>
            </w:pPr>
            <w:r>
              <w:rPr>
                <w:sz w:val="20"/>
                <w:szCs w:val="20"/>
              </w:rPr>
              <w:t xml:space="preserve">-1.8642</w:t>
            </w:r>
          </w:p>
        </w:tc>
        <w:tc>
          <w:tcPr>
            <w:tcW w:w="0" w:type="auto"/>
          </w:tcPr>
          <w:p>
            <w:pPr>
              <w:spacing w:line="240" w:lineRule="auto" w:before="0" w:after="0"/>
              <w:pStyle w:val="Compact"/>
            </w:pPr>
            <w:r>
              <w:rPr>
                <w:sz w:val="20"/>
                <w:szCs w:val="20"/>
              </w:rPr>
              <w:t xml:space="preserve">0.0623</w:t>
            </w:r>
          </w:p>
        </w:tc>
        <w:tc>
          <w:tcPr>
            <w:tcW w:w="0" w:type="auto"/>
          </w:tcPr>
          <w:p>
            <w:pPr>
              <w:spacing w:line="240" w:lineRule="auto" w:before="0" w:after="0"/>
              <w:pStyle w:val="Compact"/>
            </w:pPr>
            <w:r>
              <w:rPr>
                <w:sz w:val="20"/>
                <w:szCs w:val="20"/>
              </w:rPr>
              <w:t xml:space="preserve">[-21.5259, 0.5391]</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23.9353</w:t>
            </w:r>
          </w:p>
        </w:tc>
        <w:tc>
          <w:tcPr>
            <w:tcW w:w="0" w:type="auto"/>
          </w:tcPr>
          <w:p>
            <w:pPr>
              <w:spacing w:line="240" w:lineRule="auto" w:before="0" w:after="0"/>
              <w:pStyle w:val="Compact"/>
            </w:pPr>
            <w:r>
              <w:rPr>
                <w:sz w:val="20"/>
                <w:szCs w:val="20"/>
              </w:rPr>
              <w:t xml:space="preserve">8.8675</w:t>
            </w:r>
          </w:p>
        </w:tc>
        <w:tc>
          <w:tcPr>
            <w:tcW w:w="0" w:type="auto"/>
          </w:tcPr>
          <w:p>
            <w:pPr>
              <w:spacing w:line="240" w:lineRule="auto" w:before="0" w:after="0"/>
              <w:pStyle w:val="Compact"/>
            </w:pPr>
            <w:r>
              <w:rPr>
                <w:sz w:val="20"/>
                <w:szCs w:val="20"/>
              </w:rPr>
              <w:t xml:space="preserve">2.6992</w:t>
            </w:r>
          </w:p>
        </w:tc>
        <w:tc>
          <w:tcPr>
            <w:tcW w:w="0" w:type="auto"/>
          </w:tcPr>
          <w:p>
            <w:pPr>
              <w:spacing w:line="240" w:lineRule="auto" w:before="0" w:after="0"/>
              <w:pStyle w:val="Compact"/>
            </w:pPr>
            <w:r>
              <w:rPr>
                <w:sz w:val="20"/>
                <w:szCs w:val="20"/>
              </w:rPr>
              <w:t xml:space="preserve">0.007</w:t>
            </w:r>
          </w:p>
        </w:tc>
        <w:tc>
          <w:tcPr>
            <w:tcW w:w="0" w:type="auto"/>
          </w:tcPr>
          <w:p>
            <w:pPr>
              <w:spacing w:line="240" w:lineRule="auto" w:before="0" w:after="0"/>
              <w:pStyle w:val="Compact"/>
            </w:pPr>
            <w:r>
              <w:rPr>
                <w:sz w:val="20"/>
                <w:szCs w:val="20"/>
              </w:rPr>
              <w:t xml:space="preserve">[6.5553, 41.3152]</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-4.3514</w:t>
            </w:r>
          </w:p>
        </w:tc>
        <w:tc>
          <w:tcPr>
            <w:tcW w:w="0" w:type="auto"/>
          </w:tcPr>
          <w:p>
            <w:pPr>
              <w:spacing w:line="240" w:lineRule="auto" w:before="0" w:after="0"/>
              <w:pStyle w:val="Compact"/>
            </w:pPr>
            <w:r>
              <w:rPr>
                <w:sz w:val="20"/>
                <w:szCs w:val="20"/>
              </w:rPr>
              <w:t xml:space="preserve">7.2296</w:t>
            </w:r>
          </w:p>
        </w:tc>
        <w:tc>
          <w:tcPr>
            <w:tcW w:w="0" w:type="auto"/>
          </w:tcPr>
          <w:p>
            <w:pPr>
              <w:spacing w:line="240" w:lineRule="auto" w:before="0" w:after="0"/>
              <w:pStyle w:val="Compact"/>
            </w:pPr>
            <w:r>
              <w:rPr>
                <w:sz w:val="20"/>
                <w:szCs w:val="20"/>
              </w:rPr>
              <w:t xml:space="preserve">-0.6019</w:t>
            </w:r>
          </w:p>
        </w:tc>
        <w:tc>
          <w:tcPr>
            <w:tcW w:w="0" w:type="auto"/>
          </w:tcPr>
          <w:p>
            <w:pPr>
              <w:spacing w:line="240" w:lineRule="auto" w:before="0" w:after="0"/>
              <w:pStyle w:val="Compact"/>
            </w:pPr>
            <w:r>
              <w:rPr>
                <w:sz w:val="20"/>
                <w:szCs w:val="20"/>
              </w:rPr>
              <w:t xml:space="preserve">0.5473</w:t>
            </w:r>
          </w:p>
        </w:tc>
        <w:tc>
          <w:tcPr>
            <w:tcW w:w="0" w:type="auto"/>
          </w:tcPr>
          <w:p>
            <w:pPr>
              <w:spacing w:line="240" w:lineRule="auto" w:before="0" w:after="0"/>
              <w:pStyle w:val="Compact"/>
            </w:pPr>
            <w:r>
              <w:rPr>
                <w:sz w:val="20"/>
                <w:szCs w:val="20"/>
              </w:rPr>
              <w:t xml:space="preserve">[-18.5212, 9.8185]</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0.6251</w:t>
            </w:r>
          </w:p>
        </w:tc>
        <w:tc>
          <w:tcPr>
            <w:tcW w:w="0" w:type="auto"/>
          </w:tcPr>
          <w:p>
            <w:pPr>
              <w:spacing w:line="240" w:lineRule="auto" w:before="0" w:after="0"/>
              <w:pStyle w:val="Compact"/>
            </w:pPr>
            <w:r>
              <w:rPr>
                <w:sz w:val="20"/>
                <w:szCs w:val="20"/>
              </w:rPr>
              <w:t xml:space="preserve">1.6233</w:t>
            </w:r>
          </w:p>
        </w:tc>
        <w:tc>
          <w:tcPr>
            <w:tcW w:w="0" w:type="auto"/>
          </w:tcPr>
          <w:p>
            <w:pPr>
              <w:spacing w:line="240" w:lineRule="auto" w:before="0" w:after="0"/>
              <w:pStyle w:val="Compact"/>
            </w:pPr>
            <w:r>
              <w:rPr>
                <w:sz w:val="20"/>
                <w:szCs w:val="20"/>
              </w:rPr>
              <w:t xml:space="preserve">0.3851</w:t>
            </w:r>
          </w:p>
        </w:tc>
        <w:tc>
          <w:tcPr>
            <w:tcW w:w="0" w:type="auto"/>
          </w:tcPr>
          <w:p>
            <w:pPr>
              <w:spacing w:line="240" w:lineRule="auto" w:before="0" w:after="0"/>
              <w:pStyle w:val="Compact"/>
            </w:pPr>
            <w:r>
              <w:rPr>
                <w:sz w:val="20"/>
                <w:szCs w:val="20"/>
              </w:rPr>
              <w:t xml:space="preserve">0.7002</w:t>
            </w:r>
          </w:p>
        </w:tc>
        <w:tc>
          <w:tcPr>
            <w:tcW w:w="0" w:type="auto"/>
          </w:tcPr>
          <w:p>
            <w:pPr>
              <w:spacing w:line="240" w:lineRule="auto" w:before="0" w:after="0"/>
              <w:pStyle w:val="Compact"/>
            </w:pPr>
            <w:r>
              <w:rPr>
                <w:sz w:val="20"/>
                <w:szCs w:val="20"/>
              </w:rPr>
              <w:t xml:space="preserve">[-2.5565, 3.8068]</w:t>
            </w:r>
          </w:p>
        </w:tc>
      </w:tr>
      <w:tr>
        <w:tc>
          <w:tcPr>
            <w:tcW w:w="0" w:type="auto"/>
          </w:tcPr>
          <w:p>
            <w:pPr>
              <w:spacing w:line="240" w:lineRule="auto" w:before="0" w:after="0"/>
              <w:pStyle w:val="Compact"/>
            </w:pPr>
            <w:r>
              <w:rPr>
                <w:sz w:val="20"/>
                <w:szCs w:val="20"/>
              </w:rPr>
              <w:t xml:space="preserve">season_winter</w:t>
            </w:r>
          </w:p>
        </w:tc>
        <w:tc>
          <w:tcPr>
            <w:tcW w:w="0" w:type="auto"/>
          </w:tcPr>
          <w:p>
            <w:pPr>
              <w:spacing w:line="240" w:lineRule="auto" w:before="0" w:after="0"/>
              <w:pStyle w:val="Compact"/>
            </w:pPr>
            <w:r>
              <w:rPr>
                <w:sz w:val="20"/>
                <w:szCs w:val="20"/>
              </w:rPr>
              <w:t xml:space="preserve">0.4005</w:t>
            </w:r>
          </w:p>
        </w:tc>
        <w:tc>
          <w:tcPr>
            <w:tcW w:w="0" w:type="auto"/>
          </w:tcPr>
          <w:p>
            <w:pPr>
              <w:spacing w:line="240" w:lineRule="auto" w:before="0" w:after="0"/>
              <w:pStyle w:val="Compact"/>
            </w:pPr>
            <w:r>
              <w:rPr>
                <w:sz w:val="20"/>
                <w:szCs w:val="20"/>
              </w:rPr>
              <w:t xml:space="preserve">1.0789</w:t>
            </w:r>
          </w:p>
        </w:tc>
        <w:tc>
          <w:tcPr>
            <w:tcW w:w="0" w:type="auto"/>
          </w:tcPr>
          <w:p>
            <w:pPr>
              <w:spacing w:line="240" w:lineRule="auto" w:before="0" w:after="0"/>
              <w:pStyle w:val="Compact"/>
            </w:pPr>
            <w:r>
              <w:rPr>
                <w:sz w:val="20"/>
                <w:szCs w:val="20"/>
              </w:rPr>
              <w:t xml:space="preserve">0.3712</w:t>
            </w:r>
          </w:p>
        </w:tc>
        <w:tc>
          <w:tcPr>
            <w:tcW w:w="0" w:type="auto"/>
          </w:tcPr>
          <w:p>
            <w:pPr>
              <w:spacing w:line="240" w:lineRule="auto" w:before="0" w:after="0"/>
              <w:pStyle w:val="Compact"/>
            </w:pPr>
            <w:r>
              <w:rPr>
                <w:sz w:val="20"/>
                <w:szCs w:val="20"/>
              </w:rPr>
              <w:t xml:space="preserve">0.7105</w:t>
            </w:r>
          </w:p>
        </w:tc>
        <w:tc>
          <w:tcPr>
            <w:tcW w:w="0" w:type="auto"/>
          </w:tcPr>
          <w:p>
            <w:pPr>
              <w:spacing w:line="240" w:lineRule="auto" w:before="0" w:after="0"/>
              <w:pStyle w:val="Compact"/>
            </w:pPr>
            <w:r>
              <w:rPr>
                <w:sz w:val="20"/>
                <w:szCs w:val="20"/>
              </w:rPr>
              <w:t xml:space="preserve">[-1.714, 2.5151]</w:t>
            </w:r>
          </w:p>
        </w:tc>
      </w:tr>
    </w:tbl>
    <w:p>
      <w:pPr>
        <w:pStyle w:val="BodyText"/>
      </w:pPr>
      <w:r>
        <w:t xml:space="preserve">Fit: N = 32 pseudo_R2 = 0.2692 LL = -16.2092</w:t>
      </w:r>
    </w:p>
    <w:bookmarkEnd w:id="78"/>
    <w:bookmarkEnd w:id="79"/>
    <w:bookmarkEnd w:id="8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2" Target="media/rId7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2026-06-27T13:10:39Z</dcterms:created>
  <dcterms:modified xsi:type="dcterms:W3CDTF">2026-06-27T13:10:39Z</dcterms:modified>
</cp:coreProperties>
</file>

<file path=docProps/custom.xml><?xml version="1.0" encoding="utf-8"?>
<Properties xmlns="http://schemas.openxmlformats.org/officeDocument/2006/custom-properties" xmlns:vt="http://schemas.openxmlformats.org/officeDocument/2006/docPropsVTypes"/>
</file>