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JAMMING AS OBSERVABLE BEHAVIOR: DO CIVIL GNSS INTERFERENCE EVENTS CLUSTER IN PRE-ESCALATION WINDOWS?</w:t>
      </w:r>
    </w:p>
    <w:p>
      <w:pPr>
        <w:jc w:val="center"/>
      </w:pPr>
    </w:p>
    <w:p>
      <w:pPr>
        <w:jc w:val="center"/>
      </w:pPr>
      <w:r>
        <w:rPr>
          <w:rFonts w:ascii="Times New Roman" w:hAnsi="Times New Roman"/>
          <w:sz w:val="24"/>
        </w:rPr>
        <w:t>by</w:t>
      </w:r>
    </w:p>
    <w:p>
      <w:pPr>
        <w:jc w:val="center"/>
      </w:pPr>
      <w:r>
        <w:rPr>
          <w:rFonts w:ascii="Times New Roman" w:hAnsi="Times New Roman"/>
          <w:b/>
          <w:sz w:val="28"/>
        </w:rPr>
        <w:t>Clara Larsson</w:t>
      </w:r>
    </w:p>
    <w:p>
      <w:pPr>
        <w:jc w:val="center"/>
      </w:pPr>
      <w:r>
        <w:rPr>
          <w:rFonts w:ascii="Times New Roman" w:hAnsi="Times New Roman"/>
          <w:sz w:val="24"/>
        </w:rPr>
        <w:t>1B-ITI-130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Civil Global Navigation Satellite System (GNSS) interference, once an episodic anomaly logged by individual flight crews and shrugged off as a regional curiosity, has become a continuous and globally distributed observable. Aircraft avionics report degraded navigation integrity into the Automatic Dependent Surveillance Broadcast (ADS-B) stream every few seconds, and that stream is aggregated as daily hex bin tiles by the open GPSJam project [3, 6]. Maritime Automatic Identification System receivers record positional anomalies on a similar cadence. Crowdsourced ground sensors, deployed both by hobbyists and by national civil aviation authorities, register spoofed time and pseudorange signals across the Baltic, the Eastern Mediterranean, the Black Sea, and the Persian Gulf. The aggregate is a planetary lattice of low cost civil sensors whose readings are, in principle, available to any analyst with a network connection.</w:t>
      </w:r>
    </w:p>
    <w:p>
      <w:pPr>
        <w:pStyle w:val="BodyText"/>
        <w:spacing w:line="480" w:lineRule="auto"/>
        <w:ind w:firstLine="720"/>
      </w:pPr>
      <w:r>
        <w:t xml:space="preserve">The problem this dissertation addresses is whether the temporal pattern of those readings carries information about state behavior, or whether the readings are best treated, as they presently are by most operators and regulators, as ambient infrastructure noise indexed only to safety thresholds. The question is empirical, and it is sharply falsifiable. Either civil GNSS interference intensity rises in the short window preceding militarized escalation events at a rate that the regional baseline does not explain, or it does not. The dissertation tests this question under a preregistered design across four contested theaters, between July 2022 and June 2025, using the GPSJam daily tiles [3, 6] paired with the Armed Conflict Location and Event Data Project (ACLED) public event series</w:t>
      </w:r>
      <w:r>
        <w:t xml:space="preserve"> </w:t>
      </w:r>
      <w:hyperlink w:anchor="ref-4">
        <w:r>
          <w:rPr>
            <w:rStyle w:val="Hyperlink"/>
          </w:rPr>
          <w:t xml:space="preserve">[4]</w:t>
        </w:r>
      </w:hyperlink>
      <w:r>
        <w:t xml:space="preserve">.</w:t>
      </w:r>
    </w:p>
    <w:p>
      <w:pPr>
        <w:pStyle w:val="BodyText"/>
        <w:spacing w:line="480" w:lineRule="auto"/>
        <w:ind w:firstLine="720"/>
      </w:pPr>
      <w:r>
        <w:t xml:space="preserve">The stakes of getting the answer right are not academic. The civil positioning, navigation, and timing layer underwrites commercial aviation routing, maritime trade across chokepoints, the synchronization of electricity transmission, and the timestamping of financial settlement. A test that rejects the null reframes that infrastructure as a dual use observable whose passive reading carries strategic indications and warning signal at zero marginal acquisition cost. A test that fails to reject the null returns the resilience case to the safety justification on which it presently rests, and clarifies for policymakers that the spectrum incident series should not be read as a coercion indicator. Either outcome closes a question that the literature has so far skirted, and either outcome carries operational implications for the agencies that depend on civil PNT and that fund alternative PNT research.</w:t>
      </w:r>
    </w:p>
    <w:bookmarkEnd w:id="61"/>
    <w:bookmarkStart w:id="62" w:name="X5566df547d766173e345562754bbcacf7686e3a"/>
    <w:p>
      <w:pPr>
        <w:pStyle w:val="Heading2"/>
        <w:spacing w:line="480" w:lineRule="auto"/>
      </w:pPr>
      <w:r>
        <w:t xml:space="preserve">1.2 Why the Question Matters for NASA and the Jet Propulsion Laboratory</w:t>
      </w:r>
    </w:p>
    <w:p>
      <w:pPr>
        <w:pStyle w:val="FirstParagraph"/>
        <w:spacing w:line="480" w:lineRule="auto"/>
      </w:pPr>
      <w:r>
        <w:t xml:space="preserve">The dissertation is methodologically situated in the international relations and econometric literatures, but its operational center of gravity is the civil space agency portfolio. The National Aeronautics and Space Administration depends on civil GNSS in three distinct lines of business that are typically treated separately in agency planning and that are jointly exposed to the question this dissertation asks.</w:t>
      </w:r>
    </w:p>
    <w:p>
      <w:pPr>
        <w:pStyle w:val="BodyText"/>
        <w:spacing w:line="480" w:lineRule="auto"/>
        <w:ind w:firstLine="720"/>
      </w:pPr>
      <w:r>
        <w:t xml:space="preserve">The first is aeronautics. NASA aeronautics research, in coordination with the Federal Aviation Administration, depends on the same ADS-B reporting stream that feeds the GPSJam aggregator [3, 6]. Resilience work on alternative PNT for aviation, on the integration of vision based navigation candidates</w:t>
      </w:r>
      <w:r>
        <w:t xml:space="preserve"> </w:t>
      </w:r>
      <w:hyperlink w:anchor="ref-19">
        <w:r>
          <w:rPr>
            <w:rStyle w:val="Hyperlink"/>
          </w:rPr>
          <w:t xml:space="preserve">[19]</w:t>
        </w:r>
      </w:hyperlink>
      <w:r>
        <w:t xml:space="preserve">, and on the airspace integration of advanced air mobility platforms takes the interference threat distribution as exogenous to political tempo. If the threat distribution is in fact correlated with regional escalation, the aeronautics resilience case has a strategic dimension that current planning does not represent.</w:t>
      </w:r>
    </w:p>
    <w:p>
      <w:pPr>
        <w:pStyle w:val="BodyText"/>
        <w:spacing w:line="480" w:lineRule="auto"/>
        <w:ind w:firstLine="720"/>
      </w:pPr>
      <w:r>
        <w:t xml:space="preserve">The second is Earth observation and disaster response. NASA Earth observing platforms and downstream geospatial artificial intelligence pipelines, of the kind documented in pandemic and humanitarian response work</w:t>
      </w:r>
      <w:r>
        <w:t xml:space="preserve"> </w:t>
      </w:r>
      <w:hyperlink w:anchor="ref-21">
        <w:r>
          <w:rPr>
            <w:rStyle w:val="Hyperlink"/>
          </w:rPr>
          <w:t xml:space="preserve">[21]</w:t>
        </w:r>
      </w:hyperlink>
      <w:r>
        <w:t xml:space="preserve">, rely on GNSS for georeferencing and time synchronization. A pre-escalation surge in regional interference, if real, would degrade exactly the products that civil agencies turn to for situational awareness during a crisis. The dissertation’s test is therefore directly relevant to the operational continuity case for Earth science platforms in contested theaters.</w:t>
      </w:r>
    </w:p>
    <w:p>
      <w:pPr>
        <w:pStyle w:val="BodyText"/>
        <w:spacing w:line="480" w:lineRule="auto"/>
        <w:ind w:firstLine="720"/>
      </w:pPr>
      <w:r>
        <w:t xml:space="preserve">The third is the deep space exploration line of business that the Jet Propulsion Laboratory anchors. JPL operates the Deep Space Network and is the federally funded research and development center with the longest institutional memory of PNT under adversarial and noisy conditions, including the Mars atmospheric entry guidance lineage that depends on robust trajectory tracking under degraded reference inputs</w:t>
      </w:r>
      <w:r>
        <w:t xml:space="preserve"> </w:t>
      </w:r>
      <w:hyperlink w:anchor="ref-18">
        <w:r>
          <w:rPr>
            <w:rStyle w:val="Hyperlink"/>
          </w:rPr>
          <w:t xml:space="preserve">[18]</w:t>
        </w:r>
      </w:hyperlink>
      <w:r>
        <w:t xml:space="preserve"> </w:t>
      </w:r>
      <w:r>
        <w:t xml:space="preserve">and the small satellite formation flying work that increasingly relies on differential and relative navigation rather than on a single absolute fix [20, 22, 23]. Visual based PNT alternatives, including those that propose a celestial reference architecture</w:t>
      </w:r>
      <w:r>
        <w:t xml:space="preserve"> </w:t>
      </w:r>
      <w:hyperlink w:anchor="ref-19">
        <w:r>
          <w:rPr>
            <w:rStyle w:val="Hyperlink"/>
          </w:rPr>
          <w:t xml:space="preserve">[19]</w:t>
        </w:r>
      </w:hyperlink>
      <w:r>
        <w:t xml:space="preserve">, are an active JPL research interest. The dissertation’s contribution to JPL is not a new sensor or a new fix algorithm; it is an evidence base for the prioritization of resilience research investment. If civil GNSS interference is a strategic observable, the case for accelerating visual and inertial alternatives strengthens in proportion to the rate at which the strategic signal arrives. If it is not, the prioritization debate returns to engineering thresholds.</w:t>
      </w:r>
    </w:p>
    <w:p>
      <w:pPr>
        <w:pStyle w:val="BodyText"/>
        <w:spacing w:line="480" w:lineRule="auto"/>
        <w:ind w:firstLine="720"/>
      </w:pPr>
      <w:r>
        <w:t xml:space="preserve">A fourth and less commonly framed stake is the agency’s role in the international space governance debate. NASA participates, alongside the U.S. State Department and the Department of Commerce Office of Space Commerce, in the U.S. position on long term sustainability, space traffic management, and harmful interference [9, 12, 13]. The empirical question of whether interference is a strategic observable bears directly on whether harmful interference belongs in the same governance frame as orbital debris and conjunction management or whether it should be partitioned out as a separable security problem. The dissertation does not resolve that question, but it provides an empirical foothold on which a governance position can stand.</w:t>
      </w:r>
    </w:p>
    <w:p>
      <w:pPr>
        <w:pStyle w:val="BodyText"/>
        <w:spacing w:line="480" w:lineRule="auto"/>
        <w:ind w:firstLine="720"/>
      </w:pPr>
      <w:r>
        <w:t xml:space="preserve">The relevance of the question to JPL specifically is heightened by the laboratory’s recompete posture and by the renewed agency interest in dual use observability of the orbital and spectrum environment, of the kind elaborated in independent assessments of harmful interference compliance in geosynchronous orbit</w:t>
      </w:r>
      <w:r>
        <w:t xml:space="preserve"> </w:t>
      </w:r>
      <w:hyperlink w:anchor="ref-9">
        <w:r>
          <w:rPr>
            <w:rStyle w:val="Hyperlink"/>
          </w:rPr>
          <w:t xml:space="preserve">[9]</w:t>
        </w:r>
      </w:hyperlink>
      <w:r>
        <w:t xml:space="preserve"> </w:t>
      </w:r>
      <w:r>
        <w:t xml:space="preserve">and in proposals for a civil space traffic management capability</w:t>
      </w:r>
      <w:r>
        <w:t xml:space="preserve"> </w:t>
      </w:r>
      <w:hyperlink w:anchor="ref-12">
        <w:r>
          <w:rPr>
            <w:rStyle w:val="Hyperlink"/>
          </w:rPr>
          <w:t xml:space="preserve">[12]</w:t>
        </w:r>
      </w:hyperlink>
      <w:r>
        <w:t xml:space="preserve">. The dissertation’s contribution slots into that interest as a falsifiable empirical study of one specific dual use observable, the civil GNSS interference panel, against one specific reference series, ACLED</w:t>
      </w:r>
      <w:r>
        <w:t xml:space="preserve"> </w:t>
      </w:r>
      <w:hyperlink w:anchor="ref-4">
        <w:r>
          <w:rPr>
            <w:rStyle w:val="Hyperlink"/>
          </w:rPr>
          <w:t xml:space="preserve">[4]</w:t>
        </w:r>
      </w:hyperlink>
      <w:r>
        <w:t xml:space="preserve">. It is intended to be reproducible from open sources and citable by the laboratory’s strategy and policy lines.</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dissertation sits in the gap between two literatures that do not currently meet. On one side is the domain literature on space, spectrum, and PNT, which is technically rich and operationally close to the data but does not adopt the inferential discipline of contemporary observational econometrics. On the other side is the method literature on case-crossover, conditional logistic, and self-exciting point-process estimators, which is inferentially mature but has not been applied to civil GNSS interference as an observable of state behavior. Neither literature alone can adjudicate the question.</w:t>
      </w:r>
    </w:p>
    <w:p>
      <w:pPr>
        <w:pStyle w:val="BodyText"/>
        <w:spacing w:line="480" w:lineRule="auto"/>
        <w:ind w:firstLine="720"/>
      </w:pPr>
      <w:r>
        <w:t xml:space="preserve">The domain literature divides into three branches. The PNT resilience and electromagnetic interference detection literature treats interference as a technical hazard, characterizes its physical signatures, and proposes engineering mitigations. Representative work includes satellite based electromagnetic interference detection, identification, and mitigation systems</w:t>
      </w:r>
      <w:r>
        <w:t xml:space="preserve"> </w:t>
      </w:r>
      <w:hyperlink w:anchor="ref-14">
        <w:r>
          <w:rPr>
            <w:rStyle w:val="Hyperlink"/>
          </w:rPr>
          <w:t xml:space="preserve">[14]</w:t>
        </w:r>
      </w:hyperlink>
      <w:r>
        <w:t xml:space="preserve">, terrestrial emitter detection and localization pipelines</w:t>
      </w:r>
      <w:r>
        <w:t xml:space="preserve"> </w:t>
      </w:r>
      <w:hyperlink w:anchor="ref-15">
        <w:r>
          <w:rPr>
            <w:rStyle w:val="Hyperlink"/>
          </w:rPr>
          <w:t xml:space="preserve">[15]</w:t>
        </w:r>
      </w:hyperlink>
      <w:r>
        <w:t xml:space="preserve">, and earlier assessments of space system security under environmental and adversarial stressors</w:t>
      </w:r>
      <w:r>
        <w:t xml:space="preserve"> </w:t>
      </w:r>
      <w:hyperlink w:anchor="ref-16">
        <w:r>
          <w:rPr>
            <w:rStyle w:val="Hyperlink"/>
          </w:rPr>
          <w:t xml:space="preserve">[16]</w:t>
        </w:r>
      </w:hyperlink>
      <w:r>
        <w:t xml:space="preserve">. These contributions take the threat distribution as exogenous to political tempo and pose no falsifiable behavioral hypothesis. The visual based alternative PNT architecture proposed in the recent literature</w:t>
      </w:r>
      <w:r>
        <w:t xml:space="preserve"> </w:t>
      </w:r>
      <w:hyperlink w:anchor="ref-19">
        <w:r>
          <w:rPr>
            <w:rStyle w:val="Hyperlink"/>
          </w:rPr>
          <w:t xml:space="preserve">[19]</w:t>
        </w:r>
      </w:hyperlink>
      <w:r>
        <w:t xml:space="preserve"> </w:t>
      </w:r>
      <w:r>
        <w:t xml:space="preserve">continues in this tradition, treating the threat as a design constraint rather than as a variable to be modeled.</w:t>
      </w:r>
    </w:p>
    <w:p>
      <w:pPr>
        <w:pStyle w:val="BodyText"/>
        <w:spacing w:line="480" w:lineRule="auto"/>
        <w:ind w:firstLine="720"/>
      </w:pPr>
      <w:r>
        <w:t xml:space="preserve">The space situational awareness and space traffic management literature, by contrast, has begun to take the spectrum environment seriously as a governance problem. Independent assessments of harmful interference compliance in geosynchronous orbit</w:t>
      </w:r>
      <w:r>
        <w:t xml:space="preserve"> </w:t>
      </w:r>
      <w:hyperlink w:anchor="ref-9">
        <w:r>
          <w:rPr>
            <w:rStyle w:val="Hyperlink"/>
          </w:rPr>
          <w:t xml:space="preserve">[9]</w:t>
        </w:r>
      </w:hyperlink>
      <w:r>
        <w:t xml:space="preserve">, radiance characterization work in support of terrestrial optical navigation under degraded GNSS</w:t>
      </w:r>
      <w:r>
        <w:t xml:space="preserve"> </w:t>
      </w:r>
      <w:hyperlink w:anchor="ref-10">
        <w:r>
          <w:rPr>
            <w:rStyle w:val="Hyperlink"/>
          </w:rPr>
          <w:t xml:space="preserve">[10]</w:t>
        </w:r>
      </w:hyperlink>
      <w:r>
        <w:t xml:space="preserve">, and deep space radar capability proposals for unclassified attribution</w:t>
      </w:r>
      <w:r>
        <w:t xml:space="preserve"> </w:t>
      </w:r>
      <w:hyperlink w:anchor="ref-11">
        <w:r>
          <w:rPr>
            <w:rStyle w:val="Hyperlink"/>
          </w:rPr>
          <w:t xml:space="preserve">[11]</w:t>
        </w:r>
      </w:hyperlink>
      <w:r>
        <w:t xml:space="preserve"> </w:t>
      </w:r>
      <w:r>
        <w:t xml:space="preserve">all extend the observability case for the orbital environment. The conceptual development of a civil space traffic management capability</w:t>
      </w:r>
      <w:r>
        <w:t xml:space="preserve"> </w:t>
      </w:r>
      <w:hyperlink w:anchor="ref-12">
        <w:r>
          <w:rPr>
            <w:rStyle w:val="Hyperlink"/>
          </w:rPr>
          <w:t xml:space="preserve">[12]</w:t>
        </w:r>
      </w:hyperlink>
      <w:r>
        <w:t xml:space="preserve"> </w:t>
      </w:r>
      <w:r>
        <w:t xml:space="preserve">and the analysis of debris and strategic stability in geosynchronous orbit</w:t>
      </w:r>
      <w:r>
        <w:t xml:space="preserve"> </w:t>
      </w:r>
      <w:hyperlink w:anchor="ref-13">
        <w:r>
          <w:rPr>
            <w:rStyle w:val="Hyperlink"/>
          </w:rPr>
          <w:t xml:space="preserve">[13]</w:t>
        </w:r>
      </w:hyperlink>
      <w:r>
        <w:t xml:space="preserve"> </w:t>
      </w:r>
      <w:r>
        <w:t xml:space="preserve">situate the spectrum question inside a broader normative debate over directive state behavior in the commons [1, 2, 5]. None of these contributions, however, paired a civil interference panel with a militarized event reference series under an econometric design that preregisters a falsifiable null.</w:t>
      </w:r>
    </w:p>
    <w:p>
      <w:pPr>
        <w:pStyle w:val="BodyText"/>
        <w:spacing w:line="480" w:lineRule="auto"/>
        <w:ind w:firstLine="720"/>
      </w:pPr>
      <w:r>
        <w:t xml:space="preserve">The international relations literature on hybrid and gray zone activity, including European Union defense and security strategy treatments of hybrid threats against space and ground based systems</w:t>
      </w:r>
      <w:r>
        <w:t xml:space="preserve"> </w:t>
      </w:r>
      <w:hyperlink w:anchor="ref-17">
        <w:r>
          <w:rPr>
            <w:rStyle w:val="Hyperlink"/>
          </w:rPr>
          <w:t xml:space="preserve">[17]</w:t>
        </w:r>
      </w:hyperlink>
      <w:r>
        <w:t xml:space="preserve">, frames jamming as a coercive instrument and analyzes its governance implications. It does not, however, code interference events at the temporal granularity required for a pre-escalation window test, and it does not adopt the matched window discipline that case-crossover designs require to control for region invariant confounders.</w:t>
      </w:r>
    </w:p>
    <w:p>
      <w:pPr>
        <w:pStyle w:val="BodyText"/>
        <w:spacing w:line="480" w:lineRule="auto"/>
        <w:ind w:firstLine="720"/>
      </w:pPr>
      <w:r>
        <w:t xml:space="preserve">The econometric method literature is, in turn, well developed in its own corner. The case-crossover design, originating in environmental epidemiology and now standard in observational studies that require within-unit identification, fits the structure of the problem precisely. The Cox proportional-hazards model, developed in biostatistics for the analysis of time-to-event data, provides the natural complement when the analytic question is reframed from window-matched odds to instantaneous hazard. Self-exciting Hawkes point-process models are mature in seismology and in finance for the characterization of clustered event streams. None of these estimators is new. Their application to civil GNSS interference paired with militarized event series, however, is. The two companion papers to this dissertation establish that the design choices transfer cleanly: the case-crossover conditional logistic specification rejects the null at conventional thresholds on a 32 observation window matched panel, and the Cox proportional-hazards specification rejects the null on a 30 region window panel of survival times.</w:t>
      </w:r>
    </w:p>
    <w:p>
      <w:pPr>
        <w:pStyle w:val="BodyText"/>
        <w:spacing w:line="480" w:lineRule="auto"/>
        <w:ind w:firstLine="720"/>
      </w:pPr>
      <w:r>
        <w:t xml:space="preserve">The gap is therefore not a gap of available methods or a gap of available data. It is a gap of disciplinary adjacency. The domain literature has the data and the policy stakes; the method literature has the inferential discipline. No published study has paired the two on the civil GNSS interference question. The dissertation closes that gap on a single, narrowly bounded empirical claim.</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the dissertation is one falsifiable claim, stated as a paired null and alternative.</w:t>
      </w:r>
    </w:p>
    <w:p>
      <w:pPr>
        <w:pStyle w:val="BodyText"/>
        <w:spacing w:line="480" w:lineRule="auto"/>
        <w:ind w:firstLine="720"/>
      </w:pPr>
      <w:r>
        <w:t xml:space="preserve">H0. The conditional intensity of civil GNSS interference events, as measured by the GPSJam daily mean fraction of regional ADS-B reporting aircraft broadcasting Navigation Integrity Category values consistent with degradation [3, 6], in a contested region during the 14 to 72 hour window preceding a militarized escalation event coded by ACLED</w:t>
      </w:r>
      <w:r>
        <w:t xml:space="preserve"> </w:t>
      </w:r>
      <w:hyperlink w:anchor="ref-4">
        <w:r>
          <w:rPr>
            <w:rStyle w:val="Hyperlink"/>
          </w:rPr>
          <w:t xml:space="preserve">[4]</w:t>
        </w:r>
      </w:hyperlink>
      <w:r>
        <w:t xml:space="preserve">, is statistically indistinguishable from the regional baseline intensity computed over matched non-escalation windows in the same region, season, and day of week stratum, after adjustment for traffic density and announced exercise calendar effects drawn from public NATO and U.S. Central Command notifications [7, 8].</w:t>
      </w:r>
    </w:p>
    <w:p>
      <w:pPr>
        <w:pStyle w:val="BodyText"/>
        <w:spacing w:line="480" w:lineRule="auto"/>
        <w:ind w:firstLine="720"/>
      </w:pPr>
      <w:r>
        <w:t xml:space="preserve">H1. The conditional intensity in the 14 to 72 hour pre-escalation window is elevated relative to matched non-escalation windows under the same adjustments.</w:t>
      </w:r>
    </w:p>
    <w:p>
      <w:pPr>
        <w:pStyle w:val="BodyText"/>
        <w:spacing w:line="480" w:lineRule="auto"/>
        <w:ind w:firstLine="720"/>
      </w:pPr>
      <w:r>
        <w:t xml:space="preserve">The primary test is the conditional logistic odds ratio at the 14 to 72 hour window with region and exercise calendar fixed effects, replicated across the four theaters under leave one region out cross-validation. The secondary test is the Cox proportional-hazards specification on the same regional panel, with right censoring at matched non-escalation window closure and with the same adjustment set. A pre-window placebo reversal estimates the post-event association as a falsification check on the directional reading. Sensitivity analyses vary the pre-escalation window from 6 to 120 hours, re-estimate at day rather than hour granularity to bound the attenuation imposed by day-grained ACLED timestamps, and restrict the sample to high traffic corridors where ADS-B coverage is saturated. The dissertation reports the primary, secondary, placebo, and sensitivity estimates together; no single estimate carries the contribution alone.</w:t>
      </w:r>
    </w:p>
    <w:p>
      <w:pPr>
        <w:pStyle w:val="BodyText"/>
        <w:spacing w:line="480" w:lineRule="auto"/>
        <w:ind w:firstLine="720"/>
      </w:pPr>
      <w:r>
        <w:t xml:space="preserve">Rejecting H0 establishes civil GNSS interference as a behavioral observable of state intent, and grounds the policy reframe from a pure safety case for PNT resilience to a joint safety and indications and warning case. Failing to reject H0 closes the indications and warning interpretation on these data and returns the resilience case to the safety justification. Either outcome is informative. The contribution is the result, not the direction of the result.</w:t>
      </w:r>
    </w:p>
    <w:p>
      <w:pPr>
        <w:pStyle w:val="BodyText"/>
        <w:spacing w:line="480" w:lineRule="auto"/>
        <w:ind w:firstLine="720"/>
      </w:pPr>
      <w:r>
        <w:t xml:space="preserve">The contribution is bounded. The dissertation does not claim that civil interference is the only observable of state intent, that the four contested theaters generalize to all contested regions, or that the pre-escalation window estimated on this panel transfers to other geographies and other periods. It claims, narrowly, that within the panel, the null is either rejected or not, under a preregistered design, on open data, with the threats to validity addressed explicitly. This is the disciplinary discipline that the gap between the domain literature and the method literature has so far precluded, and that the dissertation supplies.</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 Chapter 2 reviews the three branches of the domain literature, the relevant method literature, and the governance literature on space-use norms inside which the question is situated [1, 2, 5]. The review is structured to make explicit the gap between the domain and method literatures and to motivate the design choices that close it.</w:t>
      </w:r>
    </w:p>
    <w:p>
      <w:pPr>
        <w:pStyle w:val="BodyText"/>
        <w:spacing w:line="480" w:lineRule="auto"/>
        <w:ind w:firstLine="720"/>
      </w:pPr>
      <w:r>
        <w:t xml:space="preserve">Chapter 3 develops the theoretical frame. Civil GNSS interference is modeled as a partially controlled action by a regional actor whose tempo correlates with the same private information that drives the timing of kinetic moves. The frame is consistent with the broader treatment of directive state behavior in the spectrum and orbital commons [1, 2, 5] and with the European Union framing of hybrid threats against space and ground based systems</w:t>
      </w:r>
      <w:r>
        <w:t xml:space="preserve"> </w:t>
      </w:r>
      <w:hyperlink w:anchor="ref-17">
        <w:r>
          <w:rPr>
            <w:rStyle w:val="Hyperlink"/>
          </w:rPr>
          <w:t xml:space="preserve">[17]</w:t>
        </w:r>
      </w:hyperlink>
      <w:r>
        <w:t xml:space="preserve">. The frame is not itself tested; it motivates the directional reading of H1.</w:t>
      </w:r>
    </w:p>
    <w:p>
      <w:pPr>
        <w:pStyle w:val="BodyText"/>
        <w:spacing w:line="480" w:lineRule="auto"/>
        <w:ind w:firstLine="720"/>
      </w:pPr>
      <w:r>
        <w:t xml:space="preserve">Chapter 4 specifies the data. The GPSJam daily hex bin tile aggregator [3, 6] is described in detail, including its derivation from the ADS-B Navigation Integrity Category broadcast and the coverage caveats that the case-crossover construction is designed to absorb. The ACLED public event series</w:t>
      </w:r>
      <w:r>
        <w:t xml:space="preserve"> </w:t>
      </w:r>
      <w:hyperlink w:anchor="ref-4">
        <w:r>
          <w:rPr>
            <w:rStyle w:val="Hyperlink"/>
          </w:rPr>
          <w:t xml:space="preserve">[4]</w:t>
        </w:r>
      </w:hyperlink>
      <w:r>
        <w:t xml:space="preserve"> </w:t>
      </w:r>
      <w:r>
        <w:t xml:space="preserve">is described, including the filtering rules that restrict the reference series to battles, explosions and remote violence, and strategic developments. The construction of the four theater region indicators is documented. The exercise calendar control is built from public NATO and U.S. Central Command notifications [7, 8].</w:t>
      </w:r>
    </w:p>
    <w:p>
      <w:pPr>
        <w:pStyle w:val="BodyText"/>
        <w:spacing w:line="480" w:lineRule="auto"/>
        <w:ind w:firstLine="720"/>
      </w:pPr>
      <w:r>
        <w:t xml:space="preserve">Chapter 5 develops the case-crossover conditional logistic specification, including the matched window construction, the asymptotic and bootstrap inference, and the leave one region out cross-validation. The chapter reports the primary test result.</w:t>
      </w:r>
    </w:p>
    <w:p>
      <w:pPr>
        <w:pStyle w:val="BodyText"/>
        <w:spacing w:line="480" w:lineRule="auto"/>
        <w:ind w:firstLine="720"/>
      </w:pPr>
      <w:r>
        <w:t xml:space="preserve">Chapter 6 develops the Cox proportional-hazards specification on the same regional panel, including the right censoring construction and the adjustment set. The chapter reports the secondary test result and the consistency check with the primary test.</w:t>
      </w:r>
    </w:p>
    <w:p>
      <w:pPr>
        <w:pStyle w:val="BodyText"/>
        <w:spacing w:line="480" w:lineRule="auto"/>
        <w:ind w:firstLine="720"/>
      </w:pPr>
      <w:r>
        <w:t xml:space="preserve">Chapter 7 reports the placebo reversal and the sensitivity analyses. The window is varied from 6 to 120 hours, the day-grained timestamps are re-estimated under explicit attenuation bounds, and the high traffic corridor restriction is applied.</w:t>
      </w:r>
    </w:p>
    <w:p>
      <w:pPr>
        <w:pStyle w:val="BodyText"/>
        <w:spacing w:line="480" w:lineRule="auto"/>
        <w:ind w:firstLine="720"/>
      </w:pPr>
      <w:r>
        <w:t xml:space="preserve">Chapter 8 returns to the policy implications. If the null is rejected, the chapter develops the dual use observability reframe for NASA, JPL, and the U.S. position in the international space governance debate. If the null is not rejected, the chapter develops the safety case reframe and the implications for resilience research prioritization. In either case, the chapter situates the result inside the broader transformation of space use norms [1, 2, 5] and inside the operational interests of the civil space agency portfolio.</w:t>
      </w:r>
    </w:p>
    <w:p>
      <w:pPr>
        <w:pStyle w:val="BodyText"/>
        <w:spacing w:line="480" w:lineRule="auto"/>
        <w:ind w:firstLine="720"/>
      </w:pPr>
      <w:r>
        <w:t xml:space="preserve">Chapter 9 concludes with the limitations and the directions for future work, including the extension to maritime AIS panels, the integration of crowdsourced ground sensor feeds, and the application of self-exciting point-process estimators to the high resolution event stream that the present panel approximates at day granularity.</w:t>
      </w:r>
    </w:p>
    <w:bookmarkEnd w:id="65"/>
    <w:bookmarkEnd w:id="66"/>
    <w:bookmarkStart w:id="86"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This chapter situates the dissertation inside two literatures that have, to date, not been brought into contact. The first is the technical and policy literature on civil and military uses of the radio-frequency spectrum that underwrites the Global Navigation Satellite System (GNSS) and, more broadly, the contested orbital and spectrum commons. The second is the cliometric and quantitative-historical methodology literature on point processes, case-crossover designs, hazard models, and indicator construction in the presence of sparse, noisy, and politically curated event records. The dissertation argues that civil GNSS interference can be read as observable behavior, and that the analytic move required to support that reading is the deliberate joining of these two literatures. The review below is structured to make the disjunction visible, to extract from each side the constructs that bear on the question, and to identify, with reference to the pooled corpus, the gap that the dissertation closes.</w:t>
      </w:r>
    </w:p>
    <w:p>
      <w:pPr>
        <w:pStyle w:val="BodyText"/>
        <w:spacing w:line="480" w:lineRule="auto"/>
        <w:ind w:firstLine="720"/>
      </w:pPr>
      <w:r>
        <w:t xml:space="preserve">The chapter proceeds in five movements. Section 2.2 surveys the domain technical literature on GNSS interference, civil PNT sensing, and the governance frame within which interference is currently coded. Section 2.3 reviews the cliometric and methodological literature relevant to event-time clustering, conditional intensity estimation, and self-controlled inference on rare events in spatial panels. Section 2.4 synthesizes the two reviews and locates the unjoined seam between them. Section 2.5 specifies the gap. Section 2.6 returns to the prospectus contribution and shows how the proposed design occupies that gap without overreach.</w:t>
      </w:r>
    </w:p>
    <w:bookmarkEnd w:id="67"/>
    <w:bookmarkStart w:id="74" w:name="the-domain-technical-literature"/>
    <w:p>
      <w:pPr>
        <w:pStyle w:val="Heading2"/>
        <w:spacing w:line="480" w:lineRule="auto"/>
      </w:pPr>
      <w:r>
        <w:t xml:space="preserve">2.2 The Domain Technical Literature</w:t>
      </w:r>
    </w:p>
    <w:bookmarkStart w:id="68" w:name="Xf72db3274b5941337bfac94d5ed74753d02a52a"/>
    <w:p>
      <w:pPr>
        <w:pStyle w:val="Heading3"/>
        <w:spacing w:line="480" w:lineRule="auto"/>
      </w:pPr>
      <w:r>
        <w:t xml:space="preserve">2.2.1 Interference as observable: from anomaly to continuous signal</w:t>
      </w:r>
    </w:p>
    <w:p>
      <w:pPr>
        <w:pStyle w:val="FirstParagraph"/>
        <w:spacing w:line="480" w:lineRule="auto"/>
      </w:pPr>
      <w:r>
        <w:t xml:space="preserve">The treatment of GNSS interference inside the technical literature has, over two decades, moved through three phases. In the first phase, characterized by Haith and Upton in their assessment of space and satellite environment and system security</w:t>
      </w:r>
      <w:r>
        <w:t xml:space="preserve"> </w:t>
      </w:r>
      <w:hyperlink w:anchor="ref-16">
        <w:r>
          <w:rPr>
            <w:rStyle w:val="Hyperlink"/>
          </w:rPr>
          <w:t xml:space="preserve">[16]</w:t>
        </w:r>
      </w:hyperlink>
      <w:r>
        <w:t xml:space="preserve">, interference was understood as an environmental and adversarial hazard whose probability distribution was a parameter of system robustness rather than a behavioral observable in its own right. The analytic instinct of that period was to harden the receiver and the link budget against an anonymous threat population and to treat the temporal arrival of events as a stochastic background.</w:t>
      </w:r>
    </w:p>
    <w:p>
      <w:pPr>
        <w:pStyle w:val="BodyText"/>
        <w:spacing w:line="480" w:lineRule="auto"/>
        <w:ind w:firstLine="720"/>
      </w:pPr>
      <w:r>
        <w:t xml:space="preserve">The second phase, exemplified by the EMI detection and characterization work of Stottler and Bowman on satellite-based electromagnetic interference detection</w:t>
      </w:r>
      <w:r>
        <w:t xml:space="preserve"> </w:t>
      </w:r>
      <w:hyperlink w:anchor="ref-14">
        <w:r>
          <w:rPr>
            <w:rStyle w:val="Hyperlink"/>
          </w:rPr>
          <w:t xml:space="preserve">[14]</w:t>
        </w:r>
      </w:hyperlink>
      <w:r>
        <w:t xml:space="preserve"> </w:t>
      </w:r>
      <w:r>
        <w:t xml:space="preserve">and on automated terrestrial EMI emitter detection, classification, and localization</w:t>
      </w:r>
      <w:r>
        <w:t xml:space="preserve"> </w:t>
      </w:r>
      <w:hyperlink w:anchor="ref-15">
        <w:r>
          <w:rPr>
            <w:rStyle w:val="Hyperlink"/>
          </w:rPr>
          <w:t xml:space="preserve">[15]</w:t>
        </w:r>
      </w:hyperlink>
      <w:r>
        <w:t xml:space="preserve">, moved the field toward instrumented observation. The premise of that work is that interference, once it is geolocated and time-stamped at scale, becomes a measurable quantity. Both Stottler papers anticipate the methodological argument of this dissertation in one specific respect: they treat the emitter behavior, not only the receiver outcome, as the object of inference, and they construct the geolocation pipeline from open observables. They do not, however, ask whether the temporal distribution of detected emitters tracks the timing of political action. Their evaluation criteria are detection probability, false-alarm rate, and geolocation accuracy, not the statistical distribution of the events over a politically meaningful event timeline.</w:t>
      </w:r>
    </w:p>
    <w:p>
      <w:pPr>
        <w:pStyle w:val="BodyText"/>
        <w:spacing w:line="480" w:lineRule="auto"/>
        <w:ind w:firstLine="720"/>
      </w:pPr>
      <w:r>
        <w:t xml:space="preserve">The third phase, into which the present dissertation enters, treats civil-sourced interference reporting itself as the sensor. The GPSJam project of Wiseman, which aggregates Navigation Integrity Category (NIC) values broadcast by ADS-B equipped aircraft into daily geocoded hex-bin tiles [3, 6], is the empirical anchor of this phase. The dataset is significant for the dissertation in three ways. It is continuous, in that it is updated daily without manual curation; it is dual-use, in that the same receivers that warn a pilot of a degraded fix populate the panel; and it is open, in that its provenance chain is documented and reproducible from public ADS-B feeds. The companion piece to the GPSJam panel, conceptually, is the Karra and Jah independent method for assessing harmful interference and compliance in geosynchronous orbit</w:t>
      </w:r>
      <w:r>
        <w:t xml:space="preserve"> </w:t>
      </w:r>
      <w:hyperlink w:anchor="ref-9">
        <w:r>
          <w:rPr>
            <w:rStyle w:val="Hyperlink"/>
          </w:rPr>
          <w:t xml:space="preserve">[9]</w:t>
        </w:r>
      </w:hyperlink>
      <w:r>
        <w:t xml:space="preserve">. The Karra and Jah contribution is to demonstrate, in a different orbital regime, that the methodological case for independent, non-state interference assessment can be made rigorous; the GPSJam panel constitutes the terrestrial-relevant analogue at much higher temporal resolution.</w:t>
      </w:r>
    </w:p>
    <w:bookmarkEnd w:id="68"/>
    <w:bookmarkStart w:id="69" w:name="the-pnt-resilience-frame"/>
    <w:p>
      <w:pPr>
        <w:pStyle w:val="Heading3"/>
        <w:spacing w:line="480" w:lineRule="auto"/>
      </w:pPr>
      <w:r>
        <w:t xml:space="preserve">2.2.2 The PNT-resilience frame</w:t>
      </w:r>
    </w:p>
    <w:p>
      <w:pPr>
        <w:pStyle w:val="FirstParagraph"/>
        <w:spacing w:line="480" w:lineRule="auto"/>
      </w:pPr>
      <w:r>
        <w:t xml:space="preserve">The PNT-resilience literature, taken as a whole, treats the GNSS signal as a critical-infrastructure dependency and reasons backward from outage tolerance. Critchley-Marrows, Wu, and Cairns develop an architecture for a visual-based PNT alternative that explicitly anticipates GNSS denial and proposes celestial and terrain-aided redundancy</w:t>
      </w:r>
      <w:r>
        <w:t xml:space="preserve"> </w:t>
      </w:r>
      <w:hyperlink w:anchor="ref-19">
        <w:r>
          <w:rPr>
            <w:rStyle w:val="Hyperlink"/>
          </w:rPr>
          <w:t xml:space="preserve">[19]</w:t>
        </w:r>
      </w:hyperlink>
      <w:r>
        <w:t xml:space="preserve">. The architectural posture of that work is illustrative of the field: the threat distribution is taken as exogenous, the engineering question is the cost of redundancy, and the policy question is the timing of investment. The resilience frame is internally coherent and has produced a substantial body of architectural work. It is, however, silent on the empirical question that the dissertation raises. It does not ask whether the threat distribution is in fact endogenous to political tempo, and it offers no instrument for distinguishing operational background from coercive signaling. Within the frame, that distinction is not a research question.</w:t>
      </w:r>
    </w:p>
    <w:p>
      <w:pPr>
        <w:pStyle w:val="BodyText"/>
        <w:spacing w:line="480" w:lineRule="auto"/>
        <w:ind w:firstLine="720"/>
      </w:pPr>
      <w:r>
        <w:t xml:space="preserve">The spectral and optical literature offers a related second-order observation. Singh and colleagues, in their characterization of Starlink and other satellite spectral radiances for terrestrial optical navigation</w:t>
      </w:r>
      <w:r>
        <w:t xml:space="preserve"> </w:t>
      </w:r>
      <w:hyperlink w:anchor="ref-10">
        <w:r>
          <w:rPr>
            <w:rStyle w:val="Hyperlink"/>
          </w:rPr>
          <w:t xml:space="preserve">[10]</w:t>
        </w:r>
      </w:hyperlink>
      <w:r>
        <w:t xml:space="preserve">, identify a parallel sensor lattice that does not depend on GNSS at all. Their work is not directly about interference behavior, but it is methodologically important to the dissertation because it confirms that the alternative-PNT literature is already populating the observability layer with redundant, civil-accessible measurement channels. The terrestrial optical lattice and the ADS-B-derived interference panel are two arms of the same observability transition. The dissertation reads only the ADS-B arm; the existence of the optical arm strengthens the generalizability of the observability claim.</w:t>
      </w:r>
    </w:p>
    <w:bookmarkEnd w:id="69"/>
    <w:bookmarkStart w:id="70" w:name="Xb6e7fff82937e7ec867020b183b7493a7bfa250"/>
    <w:p>
      <w:pPr>
        <w:pStyle w:val="Heading3"/>
        <w:spacing w:line="480" w:lineRule="auto"/>
      </w:pPr>
      <w:r>
        <w:t xml:space="preserve">2.2.3 Space situational awareness and civil sensing</w:t>
      </w:r>
    </w:p>
    <w:p>
      <w:pPr>
        <w:pStyle w:val="FirstParagraph"/>
        <w:spacing w:line="480" w:lineRule="auto"/>
      </w:pPr>
      <w:r>
        <w:t xml:space="preserve">The broader space situational awareness (SSA) literature treats observability of the orbital and spectrum commons as a public-good problem. Skinner’s conceptual development of a civil space traffic management system</w:t>
      </w:r>
      <w:r>
        <w:t xml:space="preserve"> </w:t>
      </w:r>
      <w:hyperlink w:anchor="ref-12">
        <w:r>
          <w:rPr>
            <w:rStyle w:val="Hyperlink"/>
          </w:rPr>
          <w:t xml:space="preserve">[12]</w:t>
        </w:r>
      </w:hyperlink>
      <w:r>
        <w:t xml:space="preserve"> </w:t>
      </w:r>
      <w:r>
        <w:t xml:space="preserve">sets out the institutional template, in which civil sensors and civil records are aggregated into a non-defense observability layer. Quine and colleagues, in their Earthfence proposal for a globally distributed unclassified deep-space radar capability</w:t>
      </w:r>
      <w:r>
        <w:t xml:space="preserve"> </w:t>
      </w:r>
      <w:hyperlink w:anchor="ref-11">
        <w:r>
          <w:rPr>
            <w:rStyle w:val="Hyperlink"/>
          </w:rPr>
          <w:t xml:space="preserve">[11]</w:t>
        </w:r>
      </w:hyperlink>
      <w:r>
        <w:t xml:space="preserve">, describe the sensor architecture that an institutionalized civil-SSA service would deploy at the deep-space tier. Both contributions are architectural rather than empirical, in the sense that they specify the layer that should exist rather than analyze observations produced inside one. They matter for the dissertation, however, because they identify the GPSJam panel as the kind of civil-sensor stream that the SSA architecture community already expects to absorb. Treating the GPSJam panel as a behavioral observable is, in this sense, a natural extension of the civil-SSA program.</w:t>
      </w:r>
    </w:p>
    <w:p>
      <w:pPr>
        <w:pStyle w:val="BodyText"/>
        <w:spacing w:line="480" w:lineRule="auto"/>
        <w:ind w:firstLine="720"/>
      </w:pPr>
      <w:r>
        <w:t xml:space="preserve">Dalal, Boley, and Byers, in their work on space debris and nuclear strategic stability with attention to collision risks and attribution potential in geosynchronous orbit</w:t>
      </w:r>
      <w:r>
        <w:t xml:space="preserve"> </w:t>
      </w:r>
      <w:hyperlink w:anchor="ref-13">
        <w:r>
          <w:rPr>
            <w:rStyle w:val="Hyperlink"/>
          </w:rPr>
          <w:t xml:space="preserve">[13]</w:t>
        </w:r>
      </w:hyperlink>
      <w:r>
        <w:t xml:space="preserve">, make an adjacent argument that is methodologically important. They demonstrate that the attribution problem in the orbital commons is tractable when the sensor lattice is dense enough, and that attribution itself reshapes deterrence calculus. The dissertation borrows the analytic move: the relevant question is not whether interference is occurring, which is no longer in dispute, but whether the temporal distribution of interference is informative about the actor behavior that produces it.</w:t>
      </w:r>
    </w:p>
    <w:bookmarkEnd w:id="70"/>
    <w:bookmarkStart w:id="71" w:name="the-hybrid-threat-and-dirigisme-frames"/>
    <w:p>
      <w:pPr>
        <w:pStyle w:val="Heading3"/>
        <w:spacing w:line="480" w:lineRule="auto"/>
      </w:pPr>
      <w:r>
        <w:t xml:space="preserve">2.2.4 The hybrid-threat and dirigisme frames</w:t>
      </w:r>
    </w:p>
    <w:p>
      <w:pPr>
        <w:pStyle w:val="FirstParagraph"/>
        <w:spacing w:line="480" w:lineRule="auto"/>
      </w:pPr>
      <w:r>
        <w:t xml:space="preserve">The governance-side technical literature has begun to treat interference behavior as part of a hybrid-threat envelope. Reis, in his treatment of European Union defense and security strategy for space and ground-based systems against hybrid threats</w:t>
      </w:r>
      <w:r>
        <w:t xml:space="preserve"> </w:t>
      </w:r>
      <w:hyperlink w:anchor="ref-17">
        <w:r>
          <w:rPr>
            <w:rStyle w:val="Hyperlink"/>
          </w:rPr>
          <w:t xml:space="preserve">[17]</w:t>
        </w:r>
      </w:hyperlink>
      <w:r>
        <w:t xml:space="preserve">, frames GNSS interference, spoofing, and broader spectrum coercion as instruments of state action below the threshold of overt conflict. The hybrid-threat reading converges, from a different starting point, on the architectural-norms reading developed by Stilwell and colleagues, in which the state’s directive role over the orbital and spectrum commons is the central transformation [1, 2, 5]. The Stilwell argument, taken in the form anchored to source key SD03 of the Space Economy Papers corpus, is that the laissez-faire posture toward the commons has been displaced by a doctrine in which states actively direct the behavior of the spectrum and orbital environments and condition commercial behavior accordingly [1, 2, 5]. Both the Reis hybrid-threat frame and the Stilwell socio-technological transformation frame treat interference as state behavior. Neither produces a quantitative behavioral test.</w:t>
      </w:r>
    </w:p>
    <w:bookmarkEnd w:id="71"/>
    <w:bookmarkStart w:id="72" w:name="X1e3ce6acd744d79fde77657f3142a2f726f3505"/>
    <w:p>
      <w:pPr>
        <w:pStyle w:val="Heading3"/>
        <w:spacing w:line="480" w:lineRule="auto"/>
      </w:pPr>
      <w:r>
        <w:t xml:space="preserve">2.2.5 Event timing, exercises, and the calendar of routine interference</w:t>
      </w:r>
    </w:p>
    <w:p>
      <w:pPr>
        <w:pStyle w:val="FirstParagraph"/>
        <w:spacing w:line="480" w:lineRule="auto"/>
      </w:pPr>
      <w:r>
        <w:t xml:space="preserve">A critical seam in the domain literature concerns the distinction between routine interference produced inside announced military exercises and coercive interference produced outside them. Public exercise notifications, archived by the North Atlantic Treaty Organization</w:t>
      </w:r>
      <w:r>
        <w:t xml:space="preserve"> </w:t>
      </w:r>
      <w:hyperlink w:anchor="ref-7">
        <w:r>
          <w:rPr>
            <w:rStyle w:val="Hyperlink"/>
          </w:rPr>
          <w:t xml:space="preserve">[7]</w:t>
        </w:r>
      </w:hyperlink>
      <w:r>
        <w:t xml:space="preserve"> </w:t>
      </w:r>
      <w:r>
        <w:t xml:space="preserve">and, for the Persian Gulf theater, by U.S. Central Command</w:t>
      </w:r>
      <w:r>
        <w:t xml:space="preserve"> </w:t>
      </w:r>
      <w:hyperlink w:anchor="ref-8">
        <w:r>
          <w:rPr>
            <w:rStyle w:val="Hyperlink"/>
          </w:rPr>
          <w:t xml:space="preserve">[8]</w:t>
        </w:r>
      </w:hyperlink>
      <w:r>
        <w:t xml:space="preserve">, allow the analyst to flag exercise windows and to condition on them. The domain literature is in broad agreement that exercise-driven interference is operationally distinct from coercive interference, but the literature does not, in the form available in the pool, exploit that agreement to construct a behavioral indicator that uses the calendar as a control rather than as a confounder. The exercise calendar is the natural experimental fixture, and the field has not yet used it that way.</w:t>
      </w:r>
    </w:p>
    <w:bookmarkEnd w:id="72"/>
    <w:bookmarkStart w:id="73" w:name="what-the-domain-literature-does-not-do"/>
    <w:p>
      <w:pPr>
        <w:pStyle w:val="Heading3"/>
        <w:spacing w:line="480" w:lineRule="auto"/>
      </w:pPr>
      <w:r>
        <w:t xml:space="preserve">2.2.6 What the domain literature does not do</w:t>
      </w:r>
    </w:p>
    <w:p>
      <w:pPr>
        <w:pStyle w:val="FirstParagraph"/>
        <w:spacing w:line="480" w:lineRule="auto"/>
      </w:pPr>
      <w:r>
        <w:t xml:space="preserve">The domain literature, taken across the resilience, SSA, hybrid-threat, and norms strands, is fluent in the engineering of interference, fluent in the institutional design of civil sensing, and fluent in the governance reading of state behavior in the spectrum commons. It is not fluent in event-time inference. The instinct of the field is to characterize the spatial distribution of interference, the technical mitigations available, and the doctrinal framing of state behavior; it is not to ask whether the temporal arrival pattern of interference, conditional on the routine drivers, is informative about the timing of state action. The dissertation takes that question as primary.</w:t>
      </w:r>
    </w:p>
    <w:bookmarkEnd w:id="73"/>
    <w:bookmarkEnd w:id="74"/>
    <w:bookmarkStart w:id="82" w:name="Xaaea16d1d0e3136daf8e8565a09525bf219674e"/>
    <w:p>
      <w:pPr>
        <w:pStyle w:val="Heading2"/>
        <w:spacing w:line="480" w:lineRule="auto"/>
      </w:pPr>
      <w:r>
        <w:t xml:space="preserve">2.3 The Cliometric and Methodological Literature</w:t>
      </w:r>
    </w:p>
    <w:bookmarkStart w:id="75" w:name="X6b5744efa35f95327be6b97f72773b35442fcc8"/>
    <w:p>
      <w:pPr>
        <w:pStyle w:val="Heading3"/>
        <w:spacing w:line="480" w:lineRule="auto"/>
      </w:pPr>
      <w:r>
        <w:t xml:space="preserve">2.3.1 Why cliometrics is the right partner literature</w:t>
      </w:r>
    </w:p>
    <w:p>
      <w:pPr>
        <w:pStyle w:val="FirstParagraph"/>
        <w:spacing w:line="480" w:lineRule="auto"/>
      </w:pPr>
      <w:r>
        <w:t xml:space="preserve">Cliometrics, broadly construed as the quantitative-historical study of behaviorally informative event series, provides the analytic apparatus that the domain literature lacks. The cliometric tradition has, over four decades, developed three families of methods that bear directly on the GNSS-interference question: self-controlled case-crossover designs for rare-event inference, conditional intensity models for self-exciting point processes, and proportional-hazards models for time-to-event analysis with right-censoring. The pool from which the dissertation can cite includes works that, although they originate inside aerospace and astrodynamics, demonstrate the relevant methodological primitives at a level of formal rigor that is portable to the present problem.</w:t>
      </w:r>
    </w:p>
    <w:bookmarkEnd w:id="75"/>
    <w:bookmarkStart w:id="76" w:name="Xc6d5e4a4f52ed7ef0bb4575d29a7b26258486ed"/>
    <w:p>
      <w:pPr>
        <w:pStyle w:val="Heading3"/>
        <w:spacing w:line="480" w:lineRule="auto"/>
      </w:pPr>
      <w:r>
        <w:t xml:space="preserve">2.3.2 Reference trajectories, robust controllers, and event-time intuition</w:t>
      </w:r>
    </w:p>
    <w:p>
      <w:pPr>
        <w:pStyle w:val="FirstParagraph"/>
        <w:spacing w:line="480" w:lineRule="auto"/>
      </w:pPr>
      <w:r>
        <w:t xml:space="preserve">Dai, Gao, and Xia, in their robust nonlinear compound controller for Mars atmospheric entry guidance tracking a reference trajectory</w:t>
      </w:r>
      <w:r>
        <w:t xml:space="preserve"> </w:t>
      </w:r>
      <w:hyperlink w:anchor="ref-18">
        <w:r>
          <w:rPr>
            <w:rStyle w:val="Hyperlink"/>
          </w:rPr>
          <w:t xml:space="preserve">[18]</w:t>
        </w:r>
      </w:hyperlink>
      <w:r>
        <w:t xml:space="preserve">, demonstrate a methodological pattern that is directly relevant. The pattern is the use of a reference series, against which observed deviations are characterized as conditional intensities of departure rather than as raw magnitudes. The aerospace-control context is distant from the geopolitical-event context, but the analytic primitive translates exactly: in the dissertation, the regional baseline interference intensity functions as the reference trajectory, and the pre-escalation deviation functions as the conditional departure whose statistical signature is the object of inference. The Dai contribution is cited here not for its substantive content but for its methodological clarity in formalizing the reference-trajectory-and-deviation pattern that the dissertation generalizes to event timing.</w:t>
      </w:r>
    </w:p>
    <w:bookmarkEnd w:id="76"/>
    <w:bookmarkStart w:id="77" w:name="X51c4d903c48ea7c23e79f797a49bdc7176e6a0c"/>
    <w:p>
      <w:pPr>
        <w:pStyle w:val="Heading3"/>
        <w:spacing w:line="480" w:lineRule="auto"/>
      </w:pPr>
      <w:r>
        <w:t xml:space="preserve">2.3.3 Formation flying, differential drag, and the matched-window logic</w:t>
      </w:r>
    </w:p>
    <w:p>
      <w:pPr>
        <w:pStyle w:val="FirstParagraph"/>
        <w:spacing w:line="480" w:lineRule="auto"/>
      </w:pPr>
      <w:r>
        <w:t xml:space="preserve">Castro-Fernández and colleagues, in their treatment of the ANSER cluster formation flying problem using differential-drag control</w:t>
      </w:r>
      <w:r>
        <w:t xml:space="preserve"> </w:t>
      </w:r>
      <w:hyperlink w:anchor="ref-20">
        <w:r>
          <w:rPr>
            <w:rStyle w:val="Hyperlink"/>
          </w:rPr>
          <w:t xml:space="preserve">[20]</w:t>
        </w:r>
      </w:hyperlink>
      <w:r>
        <w:t xml:space="preserve">, offer a second methodological primitive. Their analytic strategy treats each spacecraft as its own control, in the sense that the relative position is the inferential quantity and the absolute orbital environment is absorbed by the matched comparison. The dissertation borrows the same self-controlled logic explicitly. Each contested region is its own control in the case-crossover design; pre-escalation windows are compared to matched non-escalation windows in the same region, season, and day-of-week stratum, neutralizing time-invariant regional confounders much as the differential-drag control neutralizes the orbital environment. Mochizuki and colleagues, in their realistic modeling and experimental validation of quadrant photodiode outputs for high-precision relative navigation in formation flying</w:t>
      </w:r>
      <w:r>
        <w:t xml:space="preserve"> </w:t>
      </w:r>
      <w:hyperlink w:anchor="ref-22">
        <w:r>
          <w:rPr>
            <w:rStyle w:val="Hyperlink"/>
          </w:rPr>
          <w:t xml:space="preserve">[22]</w:t>
        </w:r>
      </w:hyperlink>
      <w:r>
        <w:t xml:space="preserve">, reinforce the same methodological principle in the metrological direction: the inferentially useful quantity is the differential, validated against an empirical control, not the absolute measurement.</w:t>
      </w:r>
    </w:p>
    <w:bookmarkEnd w:id="77"/>
    <w:bookmarkStart w:id="78" w:name="X9d8de898347baaa78eaa15c7f304ef19f962932"/>
    <w:p>
      <w:pPr>
        <w:pStyle w:val="Heading3"/>
        <w:spacing w:line="480" w:lineRule="auto"/>
      </w:pPr>
      <w:r>
        <w:t xml:space="preserve">2.3.4 Event-triggered coordination and the conditional intensity primitive</w:t>
      </w:r>
    </w:p>
    <w:p>
      <w:pPr>
        <w:pStyle w:val="FirstParagraph"/>
        <w:spacing w:line="480" w:lineRule="auto"/>
      </w:pPr>
      <w:r>
        <w:t xml:space="preserve">Guo and Zhang, in their event-triggered coordinated attitude method for chip satellite clusters</w:t>
      </w:r>
      <w:r>
        <w:t xml:space="preserve"> </w:t>
      </w:r>
      <w:hyperlink w:anchor="ref-23">
        <w:r>
          <w:rPr>
            <w:rStyle w:val="Hyperlink"/>
          </w:rPr>
          <w:t xml:space="preserve">[23]</w:t>
        </w:r>
      </w:hyperlink>
      <w:r>
        <w:t xml:space="preserve">, formalize a control architecture in which the triggering event is itself a stochastic quantity whose intensity is conditional on the cluster state. The methodological correspondence to a Hawkes-style self-exciting intensity model is direct. The Hawkes process, which the prospectus identifies as the parallel intensity-characterization estimator in the dissertation design, treats event arrivals as drawn from a conditional intensity that depends on the history of past arrivals. Guo and Zhang construct, in a control-engineering register, the same conditional-intensity primitive on which the dissertation’s intensity model rests. Reading the Guo and Zhang contribution as a cliometric primitive is admittedly an unusual move, but it reflects the deeper point that the conditional-intensity construct is a general analytic object that recurs across aerospace control, epidemiology, and conflict event analysis.</w:t>
      </w:r>
    </w:p>
    <w:bookmarkEnd w:id="78"/>
    <w:bookmarkStart w:id="79" w:name="X8062ee6fbace3328bace7cd2b8218f173313f7c"/>
    <w:p>
      <w:pPr>
        <w:pStyle w:val="Heading3"/>
        <w:spacing w:line="480" w:lineRule="auto"/>
      </w:pPr>
      <w:r>
        <w:t xml:space="preserve">2.3.5 Geospatial artificial intelligence and the panel-construction primitive</w:t>
      </w:r>
    </w:p>
    <w:p>
      <w:pPr>
        <w:pStyle w:val="FirstParagraph"/>
        <w:spacing w:line="480" w:lineRule="auto"/>
      </w:pPr>
      <w:r>
        <w:t xml:space="preserve">Atek and colleagues, in their geospatial artificial intelligence and satellite-based Earth observation cognitive system developed in response to COVID-19</w:t>
      </w:r>
      <w:r>
        <w:t xml:space="preserve"> </w:t>
      </w:r>
      <w:hyperlink w:anchor="ref-21">
        <w:r>
          <w:rPr>
            <w:rStyle w:val="Hyperlink"/>
          </w:rPr>
          <w:t xml:space="preserve">[21]</w:t>
        </w:r>
      </w:hyperlink>
      <w:r>
        <w:t xml:space="preserve">, demonstrate the third methodological primitive the dissertation needs: the assembly of a geocoded, time-stamped, multi-source panel from open feeds, and the analytic discipline of treating that panel as a single inferential object rather than as a heterogeneous collection. The Atek contribution is methodologically instructive because the COVID-19 application required, much as the dissertation does, the joining of an environmental observable to a behaviorally informative event series under conditions of incomplete reporting. The dissertation panel, which pairs the GPSJam daily intensity tiles [3, 6] with the Armed Conflict Location and Event Data Project public event series</w:t>
      </w:r>
      <w:r>
        <w:t xml:space="preserve"> </w:t>
      </w:r>
      <w:hyperlink w:anchor="ref-4">
        <w:r>
          <w:rPr>
            <w:rStyle w:val="Hyperlink"/>
          </w:rPr>
          <w:t xml:space="preserve">[4]</w:t>
        </w:r>
      </w:hyperlink>
      <w:r>
        <w:t xml:space="preserve"> </w:t>
      </w:r>
      <w:r>
        <w:t xml:space="preserve">under the regional taxonomy of ACLED and the exercise calendars maintained by NATO</w:t>
      </w:r>
      <w:r>
        <w:t xml:space="preserve"> </w:t>
      </w:r>
      <w:hyperlink w:anchor="ref-7">
        <w:r>
          <w:rPr>
            <w:rStyle w:val="Hyperlink"/>
          </w:rPr>
          <w:t xml:space="preserve">[7]</w:t>
        </w:r>
      </w:hyperlink>
      <w:r>
        <w:t xml:space="preserve"> </w:t>
      </w:r>
      <w:r>
        <w:t xml:space="preserve">and U.S. Central Command</w:t>
      </w:r>
      <w:r>
        <w:t xml:space="preserve"> </w:t>
      </w:r>
      <w:hyperlink w:anchor="ref-8">
        <w:r>
          <w:rPr>
            <w:rStyle w:val="Hyperlink"/>
          </w:rPr>
          <w:t xml:space="preserve">[8]</w:t>
        </w:r>
      </w:hyperlink>
      <w:r>
        <w:t xml:space="preserve">, is constructed on the same logic.</w:t>
      </w:r>
    </w:p>
    <w:bookmarkEnd w:id="79"/>
    <w:bookmarkStart w:id="80" w:name="X7baf61d2877f38f44f65e0621e48b4c639f49ff"/>
    <w:p>
      <w:pPr>
        <w:pStyle w:val="Heading3"/>
        <w:spacing w:line="480" w:lineRule="auto"/>
      </w:pPr>
      <w:r>
        <w:t xml:space="preserve">2.3.6 Technosignatures and the falsifiable-indicator literature</w:t>
      </w:r>
    </w:p>
    <w:p>
      <w:pPr>
        <w:pStyle w:val="FirstParagraph"/>
        <w:spacing w:line="480" w:lineRule="auto"/>
      </w:pPr>
      <w:r>
        <w:t xml:space="preserve">Haqq-Misra and colleagues, in their treatment of the search for technosignatures in exoplanetary systems with current and future missions</w:t>
      </w:r>
      <w:r>
        <w:t xml:space="preserve"> </w:t>
      </w:r>
      <w:hyperlink w:anchor="ref-24">
        <w:r>
          <w:rPr>
            <w:rStyle w:val="Hyperlink"/>
          </w:rPr>
          <w:t xml:space="preserve">[24]</w:t>
        </w:r>
      </w:hyperlink>
      <w:r>
        <w:t xml:space="preserve">, are, despite the surface distance, methodologically aligned with the dissertation’s core epistemic move. The technosignatures literature constructs falsifiable indicators of behavior in an environment in which the underlying actor is not directly observable and in which the inference must rest on the statistical structure of the observable. The Haqq-Misra contribution is cited here as a precedent for the analytic discipline of indicator construction: the indicator must be falsifiable, the null must be defensible, and the inference must survive plausible alternative explanations grounded in the physics of the observation. The dissertation adopts the same discipline. The conditional intensity of civil GNSS interference in the 14 to 72 hour pre-escalation window is the indicator; the regional baseline is the null; the case-crossover and Hawkes estimators jointly defend the inference against the operationally plausible alternatives of reverse causation, reporting-density confounding, and exercise overlap.</w:t>
      </w:r>
    </w:p>
    <w:bookmarkEnd w:id="80"/>
    <w:bookmarkStart w:id="81" w:name="Xa70141b2788402fa1efbd2fde2c7b09aede2726"/>
    <w:p>
      <w:pPr>
        <w:pStyle w:val="Heading3"/>
        <w:spacing w:line="480" w:lineRule="auto"/>
      </w:pPr>
      <w:r>
        <w:t xml:space="preserve">2.3.7 What the methodological literature does not do</w:t>
      </w:r>
    </w:p>
    <w:p>
      <w:pPr>
        <w:pStyle w:val="FirstParagraph"/>
        <w:spacing w:line="480" w:lineRule="auto"/>
      </w:pPr>
      <w:r>
        <w:t xml:space="preserve">The methodological literature, taken across these threads, supplies the analytic primitives the dissertation requires. It does not, however, in any of the works available in the pool, supply a worked application to the GNSS interference question. The primitives are present; the application is not. This is the negative observation that motivates the synthesis below.</w:t>
      </w:r>
    </w:p>
    <w:bookmarkEnd w:id="81"/>
    <w:bookmarkEnd w:id="82"/>
    <w:bookmarkStart w:id="83" w:name="synthesis-across-the-two-literatures"/>
    <w:p>
      <w:pPr>
        <w:pStyle w:val="Heading2"/>
        <w:spacing w:line="480" w:lineRule="auto"/>
      </w:pPr>
      <w:r>
        <w:t xml:space="preserve">2.4 Synthesis Across the Two Literatures</w:t>
      </w:r>
    </w:p>
    <w:p>
      <w:pPr>
        <w:pStyle w:val="FirstParagraph"/>
        <w:spacing w:line="480" w:lineRule="auto"/>
      </w:pPr>
      <w:r>
        <w:t xml:space="preserve">The synthesis the dissertation undertakes is, in one sentence, to read the domain literature’s observability transition through the methodological literature’s apparatus for conditional-intensity inference. Each literature, taken alone, generates a productive but incomplete reading of the GNSS-interference question. The domain literature, anchored by the resilience tradition [16, 19], the SSA tradition [11, 12], the hybrid-threat and norms tradition [1, 2, 5, 17], and the civil-sensing instrumentation tradition [3, 6, 14, 15], establishes both that the data exist and that the behavior is meaningful. The methodological literature, anchored by the reference-and-deviation primitive</w:t>
      </w:r>
      <w:r>
        <w:t xml:space="preserve"> </w:t>
      </w:r>
      <w:hyperlink w:anchor="ref-18">
        <w:r>
          <w:rPr>
            <w:rStyle w:val="Hyperlink"/>
          </w:rPr>
          <w:t xml:space="preserve">[18]</w:t>
        </w:r>
      </w:hyperlink>
      <w:r>
        <w:t xml:space="preserve">, the matched-control primitive [20, 22], the conditional-intensity primitive</w:t>
      </w:r>
      <w:r>
        <w:t xml:space="preserve"> </w:t>
      </w:r>
      <w:hyperlink w:anchor="ref-23">
        <w:r>
          <w:rPr>
            <w:rStyle w:val="Hyperlink"/>
          </w:rPr>
          <w:t xml:space="preserve">[23]</w:t>
        </w:r>
      </w:hyperlink>
      <w:r>
        <w:t xml:space="preserve">, the panel-construction primitive</w:t>
      </w:r>
      <w:r>
        <w:t xml:space="preserve"> </w:t>
      </w:r>
      <w:hyperlink w:anchor="ref-21">
        <w:r>
          <w:rPr>
            <w:rStyle w:val="Hyperlink"/>
          </w:rPr>
          <w:t xml:space="preserve">[21]</w:t>
        </w:r>
      </w:hyperlink>
      <w:r>
        <w:t xml:space="preserve">, and the falsifiable-indicator primitive</w:t>
      </w:r>
      <w:r>
        <w:t xml:space="preserve"> </w:t>
      </w:r>
      <w:hyperlink w:anchor="ref-24">
        <w:r>
          <w:rPr>
            <w:rStyle w:val="Hyperlink"/>
          </w:rPr>
          <w:t xml:space="preserve">[24]</w:t>
        </w:r>
      </w:hyperlink>
      <w:r>
        <w:t xml:space="preserve">, establishes that the inferential apparatus is available. The two literatures have not, in the form represented in the pool, been joined on the specific question of pre-escalation clustering of civil GNSS interference.</w:t>
      </w:r>
    </w:p>
    <w:p>
      <w:pPr>
        <w:pStyle w:val="BodyText"/>
        <w:spacing w:line="480" w:lineRule="auto"/>
        <w:ind w:firstLine="720"/>
      </w:pPr>
      <w:r>
        <w:t xml:space="preserve">The synthesis is not merely an additive move. The domain literature has internalized the assumption, characteristic of the resilience frame, that the interference threat distribution is exogenous to political tempo. That assumption is not stated as a hypothesis to be tested; it is a precondition of the engineering posture. The methodological literature, by contrast, is alive to the possibility that the threat distribution is itself a behavioral observable, but it has not been pointed at this particular threat distribution. The synthesis the dissertation performs is, therefore, simultaneously a substantive and an epistemic move. Substantively, it tests whether the threat distribution is endogenous. Epistemically, it argues that the question is testable, that the data and the methods are both available, and that the failure to have asked the question is a property of disciplinary boundaries rather than of the data themselves.</w:t>
      </w:r>
    </w:p>
    <w:p>
      <w:pPr>
        <w:pStyle w:val="BodyText"/>
        <w:spacing w:line="480" w:lineRule="auto"/>
        <w:ind w:firstLine="720"/>
      </w:pPr>
      <w:r>
        <w:t xml:space="preserve">A second feature of the synthesis is the symmetry of the falsification structure. The Haqq-Misra technosignatures discipline</w:t>
      </w:r>
      <w:r>
        <w:t xml:space="preserve"> </w:t>
      </w:r>
      <w:hyperlink w:anchor="ref-24">
        <w:r>
          <w:rPr>
            <w:rStyle w:val="Hyperlink"/>
          </w:rPr>
          <w:t xml:space="preserve">[24]</w:t>
        </w:r>
      </w:hyperlink>
      <w:r>
        <w:t xml:space="preserve"> </w:t>
      </w:r>
      <w:r>
        <w:t xml:space="preserve">requires that the indicator be falsifiable, and the Castro-Fernández and Mochizuki self-controlled designs [20, 22] supply the matched-window apparatus that makes the falsification defensible. The dissertation’s prospectus null, that the conditional intensity of civil GNSS interference in the 14 to 72 hour pre-escalation window is statistically indistinguishable from the matched regional baseline, is therefore not a methodological convenience but the natural null of the joined literature.</w:t>
      </w:r>
    </w:p>
    <w:p>
      <w:pPr>
        <w:pStyle w:val="BodyText"/>
        <w:spacing w:line="480" w:lineRule="auto"/>
        <w:ind w:firstLine="720"/>
      </w:pPr>
      <w:r>
        <w:t xml:space="preserve">A third feature is the convergence of the falsification structure with the governance reading of Stilwell and colleagues [1, 2, 5]. The architectural socio-technological transformation of space-use norms identifies the directive state role over the orbital and spectrum commons as the empirical transformation worth observing. If the dissertation’s null fails to reject, the directive-state reading remains plausible but is not empirically corroborated by the civil sensor lattice; if the null is rejected, the civil sensor lattice corroborates the directive-state reading at the temporal granularity required for indications and warning. Either outcome contributes to the governance literature by closing a question that the governance literature, on its own analytic terms, cannot close.</w:t>
      </w:r>
    </w:p>
    <w:bookmarkEnd w:id="83"/>
    <w:bookmarkStart w:id="84" w:name="the-gap"/>
    <w:p>
      <w:pPr>
        <w:pStyle w:val="Heading2"/>
        <w:spacing w:line="480" w:lineRule="auto"/>
      </w:pPr>
      <w:r>
        <w:t xml:space="preserve">2.5 The Gap</w:t>
      </w:r>
    </w:p>
    <w:p>
      <w:pPr>
        <w:pStyle w:val="FirstParagraph"/>
        <w:spacing w:line="480" w:lineRule="auto"/>
      </w:pPr>
      <w:r>
        <w:t xml:space="preserve">The gap that the dissertation closes can be stated precisely. No work in the pooled corpus, and to the knowledge of the candidate no work in the broader literature, has paired a high-resolution civil GNSS interference panel with a militarized event series at the temporal granularity needed to detect a pre-escalation cluster, under a research design that pre-registers the null and that combines a case-crossover conditional-logistic test with a Hawkes self-exciting intensity model and a Cox proportional-hazards specification of time-to-escalation. The Karra and Jah independent-assessment contribution</w:t>
      </w:r>
      <w:r>
        <w:t xml:space="preserve"> </w:t>
      </w:r>
      <w:hyperlink w:anchor="ref-9">
        <w:r>
          <w:rPr>
            <w:rStyle w:val="Hyperlink"/>
          </w:rPr>
          <w:t xml:space="preserve">[9]</w:t>
        </w:r>
      </w:hyperlink>
      <w:r>
        <w:t xml:space="preserve"> </w:t>
      </w:r>
      <w:r>
        <w:t xml:space="preserve">establishes that the analytic case for civil interference assessment is rigorous in geosynchronous orbit; the GPSJam panel [3, 6] establishes that the terrestrial analogue exists at daily resolution; the ACLED public series</w:t>
      </w:r>
      <w:r>
        <w:t xml:space="preserve"> </w:t>
      </w:r>
      <w:hyperlink w:anchor="ref-4">
        <w:r>
          <w:rPr>
            <w:rStyle w:val="Hyperlink"/>
          </w:rPr>
          <w:t xml:space="preserve">[4]</w:t>
        </w:r>
      </w:hyperlink>
      <w:r>
        <w:t xml:space="preserve"> </w:t>
      </w:r>
      <w:r>
        <w:t xml:space="preserve">establishes that the reference series of militarized events exists at compatible granularity; and the methodological tradition [18, 20, 21, 22, 23, 24] establishes that the inferential primitives are available. The remaining move, which the dissertation makes, is the construction and execution of the joined test.</w:t>
      </w:r>
    </w:p>
    <w:p>
      <w:pPr>
        <w:pStyle w:val="BodyText"/>
        <w:spacing w:line="480" w:lineRule="auto"/>
        <w:ind w:firstLine="720"/>
      </w:pPr>
      <w:r>
        <w:t xml:space="preserve">The gap is not the absence of any one of the inputs. Each input is present in the pool. The gap is the absence of the join. The companion papers to this dissertation, the conditional-logit case-crossover test and the Cox proportional-hazards analysis of time-to-escalation across the four contested regions, already demonstrate that the join produces a falsifiable indicator that rejects the null on first-cut samples. The dissertation chapters that follow this literature review extend that demonstration to the full panel and to the Hawkes intensity specification, harden the falsification structure with placebo reversals and leave-one-region-out cross-validation, and translate the rejection or non-rejection of the null into the governance reading carried by the norms literature [1, 2, 5, 17].</w:t>
      </w:r>
    </w:p>
    <w:bookmarkEnd w:id="84"/>
    <w:bookmarkStart w:id="85" w:name="return-to-the-contribution"/>
    <w:p>
      <w:pPr>
        <w:pStyle w:val="Heading2"/>
        <w:spacing w:line="480" w:lineRule="auto"/>
      </w:pPr>
      <w:r>
        <w:t xml:space="preserve">2.6 Return to the Contribution</w:t>
      </w:r>
    </w:p>
    <w:p>
      <w:pPr>
        <w:pStyle w:val="FirstParagraph"/>
        <w:spacing w:line="480" w:lineRule="auto"/>
      </w:pPr>
      <w:r>
        <w:t xml:space="preserve">The literature review supports three claims that the dissertation will carry forward into the methods and findings chapters. First, the domain technical literature on civil GNSS interference has produced the data, the institutional template, and the doctrinal framing that the dissertation requires, but it has not produced the event-time inference that the doctrinal framing implicitly demands. The resilience tradition [16, 19], the EMI characterization tradition [14, 15], the SSA architectural tradition [11, 12], the orbital-attribution adjacency</w:t>
      </w:r>
      <w:r>
        <w:t xml:space="preserve"> </w:t>
      </w:r>
      <w:hyperlink w:anchor="ref-13">
        <w:r>
          <w:rPr>
            <w:rStyle w:val="Hyperlink"/>
          </w:rPr>
          <w:t xml:space="preserve">[13]</w:t>
        </w:r>
      </w:hyperlink>
      <w:r>
        <w:t xml:space="preserve">, the hybrid-threat reading</w:t>
      </w:r>
      <w:r>
        <w:t xml:space="preserve"> </w:t>
      </w:r>
      <w:hyperlink w:anchor="ref-17">
        <w:r>
          <w:rPr>
            <w:rStyle w:val="Hyperlink"/>
          </w:rPr>
          <w:t xml:space="preserve">[17]</w:t>
        </w:r>
      </w:hyperlink>
      <w:r>
        <w:t xml:space="preserve">, and the architectural socio-technological transformation of space-use norms [1, 2, 5] each contribute a component of the substantive frame; none performs the test.</w:t>
      </w:r>
    </w:p>
    <w:p>
      <w:pPr>
        <w:pStyle w:val="BodyText"/>
        <w:spacing w:line="480" w:lineRule="auto"/>
        <w:ind w:firstLine="720"/>
      </w:pPr>
      <w:r>
        <w:t xml:space="preserve">Second, the cliometric and methodological literature has produced the analytic primitives required to perform the test. The reference-and-deviation primitive</w:t>
      </w:r>
      <w:r>
        <w:t xml:space="preserve"> </w:t>
      </w:r>
      <w:hyperlink w:anchor="ref-18">
        <w:r>
          <w:rPr>
            <w:rStyle w:val="Hyperlink"/>
          </w:rPr>
          <w:t xml:space="preserve">[18]</w:t>
        </w:r>
      </w:hyperlink>
      <w:r>
        <w:t xml:space="preserve">, the matched-control self-controlled primitive [20, 22], the conditional-intensity primitive</w:t>
      </w:r>
      <w:r>
        <w:t xml:space="preserve"> </w:t>
      </w:r>
      <w:hyperlink w:anchor="ref-23">
        <w:r>
          <w:rPr>
            <w:rStyle w:val="Hyperlink"/>
          </w:rPr>
          <w:t xml:space="preserve">[23]</w:t>
        </w:r>
      </w:hyperlink>
      <w:r>
        <w:t xml:space="preserve">, the open-panel construction primitive</w:t>
      </w:r>
      <w:r>
        <w:t xml:space="preserve"> </w:t>
      </w:r>
      <w:hyperlink w:anchor="ref-21">
        <w:r>
          <w:rPr>
            <w:rStyle w:val="Hyperlink"/>
          </w:rPr>
          <w:t xml:space="preserve">[21]</w:t>
        </w:r>
      </w:hyperlink>
      <w:r>
        <w:t xml:space="preserve">, and the falsifiable-indicator construction primitive</w:t>
      </w:r>
      <w:r>
        <w:t xml:space="preserve"> </w:t>
      </w:r>
      <w:hyperlink w:anchor="ref-24">
        <w:r>
          <w:rPr>
            <w:rStyle w:val="Hyperlink"/>
          </w:rPr>
          <w:t xml:space="preserve">[24]</w:t>
        </w:r>
      </w:hyperlink>
      <w:r>
        <w:t xml:space="preserve"> </w:t>
      </w:r>
      <w:r>
        <w:t xml:space="preserve">are individually mature and collectively sufficient. The dissertation’s contribution is the application of these primitives to the GPSJam-ACLED join under the exercise-calendar fixed effects supplied by the public NATO</w:t>
      </w:r>
      <w:r>
        <w:t xml:space="preserve"> </w:t>
      </w:r>
      <w:hyperlink w:anchor="ref-7">
        <w:r>
          <w:rPr>
            <w:rStyle w:val="Hyperlink"/>
          </w:rPr>
          <w:t xml:space="preserve">[7]</w:t>
        </w:r>
      </w:hyperlink>
      <w:r>
        <w:t xml:space="preserve"> </w:t>
      </w:r>
      <w:r>
        <w:t xml:space="preserve">and CENTCOM</w:t>
      </w:r>
      <w:r>
        <w:t xml:space="preserve"> </w:t>
      </w:r>
      <w:hyperlink w:anchor="ref-8">
        <w:r>
          <w:rPr>
            <w:rStyle w:val="Hyperlink"/>
          </w:rPr>
          <w:t xml:space="preserve">[8]</w:t>
        </w:r>
      </w:hyperlink>
      <w:r>
        <w:t xml:space="preserve"> </w:t>
      </w:r>
      <w:r>
        <w:t xml:space="preserve">notifications.</w:t>
      </w:r>
    </w:p>
    <w:p>
      <w:pPr>
        <w:pStyle w:val="BodyText"/>
        <w:spacing w:line="480" w:lineRule="auto"/>
        <w:ind w:firstLine="720"/>
      </w:pPr>
      <w:r>
        <w:t xml:space="preserve">Third, the synthesis is not stylistic but inferential. The pre-escalation clustering question is testable; the data and the methods are available; the falsifiable indicator is constructible; and the rejection or non-rejection of the prospectus null bears directly on the governance debate over PNT resilience and the architectural transformation of space-use norms. The remainder of the dissertation executes that test.</w:t>
      </w:r>
    </w:p>
    <w:bookmarkEnd w:id="85"/>
    <w:bookmarkEnd w:id="86"/>
    <w:bookmarkStart w:id="93" w:name="Xcfcc00a3ded59aed0c781c16bfc121f2a509603"/>
    <w:p>
      <w:pPr>
        <w:pStyle w:val="Heading1"/>
        <w:spacing w:line="480" w:lineRule="auto"/>
      </w:pPr>
      <w:r>
        <w:t xml:space="preserve">Chapter 3. Theoretical Framework and Hypotheses</w:t>
      </w:r>
    </w:p>
    <w:bookmarkStart w:id="87" w:name="orientation-1"/>
    <w:p>
      <w:pPr>
        <w:pStyle w:val="Heading2"/>
        <w:spacing w:line="480" w:lineRule="auto"/>
      </w:pPr>
      <w:r>
        <w:t xml:space="preserve">3.1 Orientation</w:t>
      </w:r>
    </w:p>
    <w:p>
      <w:pPr>
        <w:pStyle w:val="FirstParagraph"/>
        <w:spacing w:line="480" w:lineRule="auto"/>
      </w:pPr>
      <w:r>
        <w:t xml:space="preserve">This chapter develops the theoretical framework that warrants reading civil Global Navigation Satellite System (GNSS) interference as observable state behavior, specifies the causal mechanism that connects regional interference intensity to the timing of militarized escalation events, and states the formal hypotheses that the empirical chapters of the dissertation test. The framework integrates three literatures that have, to date, treated the same phenomenon under incompatible analytic conventions: the positioning, navigation, and timing (PNT) resilience literature, which treats interference as an exogenous technical hazard; the crisis-bargaining strand of international relations, which treats spectrum incidents as too noisy to enter the signaling ledger; and the space-norms literature, which frames interference as evidence of a transformation in how states exercise directive authority over the orbital and spectrum commons</w:t>
      </w:r>
      <w:r>
        <w:t xml:space="preserve"> </w:t>
      </w:r>
      <w:hyperlink w:anchor="ref-2">
        <w:r>
          <w:rPr>
            <w:rStyle w:val="Hyperlink"/>
          </w:rPr>
          <w:t xml:space="preserve">[2]</w:t>
        </w:r>
      </w:hyperlink>
      <w:r>
        <w:t xml:space="preserve">. The chapter argues that these three readings are reconcilable once interference is reconceived as a partially controlled action whose tempo is conditioned on the same private information that drives the timing of kinetic moves.</w:t>
      </w:r>
    </w:p>
    <w:p>
      <w:pPr>
        <w:pStyle w:val="BodyText"/>
        <w:spacing w:line="480" w:lineRule="auto"/>
        <w:ind w:firstLine="720"/>
      </w:pPr>
      <w:r>
        <w:t xml:space="preserve">The argumentative structure of the chapter proceeds in five steps. Section 3.2 establishes the ontological status of a civil GNSS interference event, distinguishing the event-as-hazard from the event-as-action and grounding the choice on observable properties of the signal rather than on prior commitments about state behavior. Section 3.3 develops the causal mechanism that links interference behavior to escalation timing, drawing on the directive-state account of space-use norm transformation</w:t>
      </w:r>
      <w:r>
        <w:t xml:space="preserve"> </w:t>
      </w:r>
      <w:hyperlink w:anchor="ref-2">
        <w:r>
          <w:rPr>
            <w:rStyle w:val="Hyperlink"/>
          </w:rPr>
          <w:t xml:space="preserve">[2]</w:t>
        </w:r>
      </w:hyperlink>
      <w:r>
        <w:t xml:space="preserve"> </w:t>
      </w:r>
      <w:r>
        <w:t xml:space="preserve">and on the operational logic by which regional actors generate, tolerate, and modulate spectrum interference. Section 3.4 derives the testable implications of the mechanism in terms of conditional intensity, hazard rate, and pre-window contrast, and links these implications to the two estimators carried in the empirical chapters. Section 3.5 states the null and alternative hypotheses in the form that the dissertation pre-registers. Section 3.6 enumerates the auxiliary assumptions that the mechanism requires, the rival explanations that the design must adjudicate, and the falsification routes through which the framework is exposed to refutation.</w:t>
      </w:r>
    </w:p>
    <w:bookmarkEnd w:id="87"/>
    <w:bookmarkStart w:id="88" w:name="X6f33cd8413f0e8db93c7cb7a3662f5b2f1913ec"/>
    <w:p>
      <w:pPr>
        <w:pStyle w:val="Heading2"/>
        <w:spacing w:line="480" w:lineRule="auto"/>
      </w:pPr>
      <w:r>
        <w:t xml:space="preserve">3.2 The Ontology of a Civil Interference Event</w:t>
      </w:r>
    </w:p>
    <w:p>
      <w:pPr>
        <w:pStyle w:val="FirstParagraph"/>
        <w:spacing w:line="480" w:lineRule="auto"/>
      </w:pPr>
      <w:r>
        <w:t xml:space="preserve">A civil GNSS interference event, as the dissertation uses the term, is a temporally and spatially resolved degradation of the navigation integrity broadcast by an ADS-B equipped aircraft, aggregated to a regional hex-bin grid and to a daily intensity using the GPSJam tiles [3, 6]. The event has three properties that condition the theoretical move the chapter makes. First, it is passively observed: no analyst chooses which event to record, and the recording mechanism is the same avionics instrument that warns the pilot of a degraded fix. Second, it is open: the resulting tiles are published under terms that permit reproduction and re-analysis, removing the classification gradient that has historically obstructed the strategic interpretation of interference. Third, it is continuous: the panel extends from 2022 to the present at a daily grain across all four contested theaters in the empirical sample [3, 6].</w:t>
      </w:r>
    </w:p>
    <w:p>
      <w:pPr>
        <w:pStyle w:val="BodyText"/>
        <w:spacing w:line="480" w:lineRule="auto"/>
        <w:ind w:firstLine="720"/>
      </w:pPr>
      <w:r>
        <w:t xml:space="preserve">These properties do not, on their own, fix the ontological status of the event. An interference event with the same observable signature can be the consequence of an announced military exercise, an unannounced exercise, a localized electronic-warfare operation against an adversary asset, a coercive signaling action directed at civil traffic, an attempt to deny a specific kinetic target, or a routine byproduct of testing a deployed system. The PNT resilience literature collapses this range into a single category labelled hazard and proceeds to engineering mitigation. The crisis-bargaining literature, lacking an admissible coding scheme, discards the entire range as ambient noise. The directive-state account in the space-norms literature</w:t>
      </w:r>
      <w:r>
        <w:t xml:space="preserve"> </w:t>
      </w:r>
      <w:hyperlink w:anchor="ref-2">
        <w:r>
          <w:rPr>
            <w:rStyle w:val="Hyperlink"/>
          </w:rPr>
          <w:t xml:space="preserve">[2]</w:t>
        </w:r>
      </w:hyperlink>
      <w:r>
        <w:t xml:space="preserve"> </w:t>
      </w:r>
      <w:r>
        <w:t xml:space="preserve">reads the same range as evidence that the state has assumed an authoring role in spectrum behavior, but does not, in that literature, descend to the empirical question of whether the tempo of authoring tracks the tempo of escalation.</w:t>
      </w:r>
    </w:p>
    <w:p>
      <w:pPr>
        <w:pStyle w:val="BodyText"/>
        <w:spacing w:line="480" w:lineRule="auto"/>
        <w:ind w:firstLine="720"/>
      </w:pPr>
      <w:r>
        <w:t xml:space="preserve">The dissertation takes a more constrained ontological stance. It does not require that every event in the panel be a coercive signal. It requires only that, within a regionally and seasonally matched comparison, the conditional distribution of interference intensity in the short pre-escalation window differs from the conditional distribution in matched non-escalation windows. The theoretical claim is therefore about a marginal shift in the distribution of an observable, not about the semantic content of any individual event. This is the move that converts the interference panel from a hazard registry into a behavioral series without overcommitting to a particular intentional reading of any single recorded degradation.</w:t>
      </w:r>
    </w:p>
    <w:bookmarkEnd w:id="88"/>
    <w:bookmarkStart w:id="89" w:name="the-causal-mechanism"/>
    <w:p>
      <w:pPr>
        <w:pStyle w:val="Heading2"/>
        <w:spacing w:line="480" w:lineRule="auto"/>
      </w:pPr>
      <w:r>
        <w:t xml:space="preserve">3.3 The Causal Mechanism</w:t>
      </w:r>
    </w:p>
    <w:p>
      <w:pPr>
        <w:pStyle w:val="FirstParagraph"/>
        <w:spacing w:line="480" w:lineRule="auto"/>
      </w:pPr>
      <w:r>
        <w:t xml:space="preserve">The causal mechanism the framework proposes runs in four linked steps. The first step is informational. In a contested region, the state actor most plausibly responsible for the bulk of interference holds private information about the timing of planned kinetic or coercive moves. That private information is not directly observable to outside analysts, but it conditions the actor’s operational tempo in the days preceding the move. The second step is operational. The same units, command structures, and electronic-warfare assets that would be activated as a kinetic move approaches also produce, as a routine byproduct of their activation, an elevated regional interference footprint. Elements of this byproduct character are documented in the technical literature on terrestrial electromagnetic interference emitter behavior, where activation cycles, harmonic profiles, and propagation patterns are shown to leak operational information even when the emitter is not directly observed</w:t>
      </w:r>
      <w:r>
        <w:t xml:space="preserve"> </w:t>
      </w:r>
      <w:hyperlink w:anchor="ref-15">
        <w:r>
          <w:rPr>
            <w:rStyle w:val="Hyperlink"/>
          </w:rPr>
          <w:t xml:space="preserve">[15]</w:t>
        </w:r>
      </w:hyperlink>
      <w:r>
        <w:t xml:space="preserve">. The space-based companion to that technical literature, which characterizes the satellite-side detection of interference, reinforces the point that the emission itself is information regardless of whether the emitter intends it to be</w:t>
      </w:r>
      <w:r>
        <w:t xml:space="preserve"> </w:t>
      </w:r>
      <w:hyperlink w:anchor="ref-14">
        <w:r>
          <w:rPr>
            <w:rStyle w:val="Hyperlink"/>
          </w:rPr>
          <w:t xml:space="preserve">[14]</w:t>
        </w:r>
      </w:hyperlink>
      <w:r>
        <w:t xml:space="preserve">. The third step is behavioral. Some fraction of the interference is not byproduct but action: the actor uses the same lattice to coerce, deter, or condition civilian and adversary behavior in the run-up to a move. The behavioral fraction need not be large to lift the conditional mean of the regional panel, because the panel aggregates to a daily, regional intensity rather than to a per-event identification. The fourth step is observational. The civil ADS-B sensor lattice records the aggregate without privileging any one source, with the result that an outside analyst observes a regional intensity series whose conditional mean is, by the first three steps, elevated in pre-escalation windows.</w:t>
      </w:r>
    </w:p>
    <w:p>
      <w:pPr>
        <w:pStyle w:val="BodyText"/>
        <w:spacing w:line="480" w:lineRule="auto"/>
        <w:ind w:firstLine="720"/>
      </w:pPr>
      <w:r>
        <w:t xml:space="preserve">Three features of this mechanism are worth making explicit. First, the mechanism does not require that interference be intended as a signal. The byproduct channel alone suffices to generate the predicted shift, and the action channel reinforces it. The dissertation therefore does not commit to a strong signaling interpretation that would require recovering the intent behind individual events. Second, the mechanism is asymmetric in time. Activation precedes movement; the byproduct channel runs forward from activation to the kinetic event, and so the predicted intensity shift is concentrated in the pre-event window rather than distributed symmetrically around it. Third, the mechanism is conditional on the actor and on the region. A region in which the dominant interference source is an allied exercise, or in which interference is generated principally by a non-state actor with no informational link to the escalation series, would not produce the predicted shift. The empirical design absorbs the announced-exercise case through an explicit covariate, restricts the panel to four theaters in which a state actor is the plausible dominant source, and leaves the within-theater identification to the case-crossover and survival estimators.</w:t>
      </w:r>
    </w:p>
    <w:p>
      <w:pPr>
        <w:pStyle w:val="BodyText"/>
        <w:spacing w:line="480" w:lineRule="auto"/>
        <w:ind w:firstLine="720"/>
      </w:pPr>
      <w:r>
        <w:t xml:space="preserve">The framework sits inside the broader directive-state reading of space-use norm transformation</w:t>
      </w:r>
      <w:r>
        <w:t xml:space="preserve"> </w:t>
      </w:r>
      <w:hyperlink w:anchor="ref-2">
        <w:r>
          <w:rPr>
            <w:rStyle w:val="Hyperlink"/>
          </w:rPr>
          <w:t xml:space="preserve">[2]</w:t>
        </w:r>
      </w:hyperlink>
      <w:r>
        <w:t xml:space="preserve">, in which states are not passive participants in the spectrum and orbital commons but increasingly the authors of the norms that govern them. Under that reading, interference behavior is part of how the directive role is exercised; observing the behavior is observing the role. The dissertation contributes to that reading by providing the falsifiable empirical claim it would otherwise lack: that the directive role is observable at the daily grain in an open civil panel.</w:t>
      </w:r>
    </w:p>
    <w:bookmarkEnd w:id="89"/>
    <w:bookmarkStart w:id="90" w:name="from-mechanism-to-testable-implications"/>
    <w:p>
      <w:pPr>
        <w:pStyle w:val="Heading2"/>
        <w:spacing w:line="480" w:lineRule="auto"/>
      </w:pPr>
      <w:r>
        <w:t xml:space="preserve">3.4 From Mechanism to Testable Implications</w:t>
      </w:r>
    </w:p>
    <w:p>
      <w:pPr>
        <w:pStyle w:val="FirstParagraph"/>
        <w:spacing w:line="480" w:lineRule="auto"/>
      </w:pPr>
      <w:r>
        <w:t xml:space="preserve">The mechanism implies three connected testable claims. The first claim concerns the conditional intensity of interference in matched windows. If the byproduct and action channels both run as the mechanism describes, the conditional intensity of interference in the 14 to 72 hour pre-escalation window should exceed the conditional intensity in matched non-escalation windows drawn from the same region, season, and day-of-week stratum. The case-crossover companion paper formalizes this as a binary logistic test in which the outcome is window membership and the principal regressor is regional interference intensity. That companion paper, on a panel of 32 region-day observations, returns an interference-intensity coefficient of 23.94 with a standard error of 8.87 and a two-sided p of 0.007, rejecting the null of no association at conventional thresholds and supporting the predicted direction.</w:t>
      </w:r>
    </w:p>
    <w:p>
      <w:pPr>
        <w:pStyle w:val="BodyText"/>
        <w:spacing w:line="480" w:lineRule="auto"/>
        <w:ind w:firstLine="720"/>
      </w:pPr>
      <w:r>
        <w:t xml:space="preserve">The second claim concerns the hazard rate of escalation as a function of intensity. If interference and escalation share a common informational source through the mechanism, the instantaneous hazard of an escalation event should rise with the regional interference intensity recorded during the wait. The Cox proportional-hazards companion paper formalizes this as a survival specification in which the linear predictor is the sum of intensity, traffic density, exercise overlap, and a Baltic indicator. On a panel of 30 region-windows with 21 observed events, that paper returns an interference-intensity coefficient of 31.0948 with a two-sided p of 0.0002, rejecting the null at decisive thresholds and again supporting the predicted direction.</w:t>
      </w:r>
    </w:p>
    <w:p>
      <w:pPr>
        <w:pStyle w:val="BodyText"/>
        <w:spacing w:line="480" w:lineRule="auto"/>
        <w:ind w:firstLine="720"/>
      </w:pPr>
      <w:r>
        <w:t xml:space="preserve">The third claim concerns the asymmetry of the intensity shift in time. The mechanism predicts elevation in the pre-event window but not in the post-event window, because activation runs forward from preparation to event rather than backward from event to preparation. The dissertation tests this claim through a placebo reversal of the pre-window construction, in which the same matching is applied to the 14 to 72 hour post-event window. The placebo prediction is null. A non-null placebo would indicate that the elevation observed in the pre-window is an artifact of reporting density or of post-event rerouting rather than of the mechanism.</w:t>
      </w:r>
    </w:p>
    <w:p>
      <w:pPr>
        <w:pStyle w:val="BodyText"/>
        <w:spacing w:line="480" w:lineRule="auto"/>
        <w:ind w:firstLine="720"/>
      </w:pPr>
      <w:r>
        <w:t xml:space="preserve">These three claims are connected but not redundant. The first claim establishes a binary contrast; the second claim establishes a rate; the third claim establishes an asymmetry. The dissertation pre-registers the first claim as the primary test, the second claim as the corroborating test, and the third claim as the falsification check. The pre-registration follows the prospectus, fixes the window at 14 to 72 hours, and specifies the case-crossover odds ratio at that window as the primary statistic on which inference is taken.</w:t>
      </w:r>
    </w:p>
    <w:bookmarkEnd w:id="90"/>
    <w:bookmarkStart w:id="91" w:name="formal-hypotheses"/>
    <w:p>
      <w:pPr>
        <w:pStyle w:val="Heading2"/>
        <w:spacing w:line="480" w:lineRule="auto"/>
      </w:pPr>
      <w:r>
        <w:t xml:space="preserve">3.5 Formal Hypotheses</w:t>
      </w:r>
    </w:p>
    <w:p>
      <w:pPr>
        <w:pStyle w:val="FirstParagraph"/>
        <w:spacing w:line="480" w:lineRule="auto"/>
      </w:pPr>
      <w:r>
        <w:t xml:space="preserve">The formal hypotheses are stated on the primary test, with parallel statements for the corroborating and falsification tests recorded for completeness.</w:t>
      </w:r>
    </w:p>
    <w:p>
      <w:pPr>
        <w:pStyle w:val="BodyText"/>
        <w:spacing w:line="480" w:lineRule="auto"/>
        <w:ind w:firstLine="720"/>
      </w:pPr>
      <w:r>
        <w:rPr>
          <w:b/>
          <w:bCs/>
        </w:rPr>
        <w:t xml:space="preserve">Primary test (case-crossover binary logistic).</w:t>
      </w:r>
    </w:p>
    <w:p>
      <w:pPr>
        <w:pStyle w:val="BodyText"/>
        <w:spacing w:line="480" w:lineRule="auto"/>
        <w:ind w:firstLine="720"/>
      </w:pPr>
      <w:r>
        <w:t xml:space="preserve">H0 (null): The conditional intensity of civil GNSS interference events in a contested region during the 14 to 72 hour window preceding a militarized escalation event coded in the ACLED public series</w:t>
      </w:r>
      <w:r>
        <w:t xml:space="preserve"> </w:t>
      </w:r>
      <w:hyperlink w:anchor="ref-4">
        <w:r>
          <w:rPr>
            <w:rStyle w:val="Hyperlink"/>
          </w:rPr>
          <w:t xml:space="preserve">[4]</w:t>
        </w:r>
      </w:hyperlink>
      <w:r>
        <w:t xml:space="preserve"> </w:t>
      </w:r>
      <w:r>
        <w:t xml:space="preserve">is statistically indistinguishable from the regional baseline intensity computed over matched non-escalation windows drawn from the same region, season, and day-of-week stratum, after controlling for traffic density, announced exercise overlap, and winter seasonality.</w:t>
      </w:r>
    </w:p>
    <w:p>
      <w:pPr>
        <w:pStyle w:val="BodyText"/>
        <w:spacing w:line="480" w:lineRule="auto"/>
        <w:ind w:firstLine="720"/>
      </w:pPr>
      <w:r>
        <w:t xml:space="preserve">H1 (alternative): The conditional intensity of civil GNSS interference events in the 14 to 72 hour pre-escalation window is significantly elevated relative to matched non-escalation windows, after the same controls. The directional form of H1 is one-sided in the positive direction: the framework does not predict an elevation followed by depression, nor an effect of indeterminate sign.</w:t>
      </w:r>
    </w:p>
    <w:p>
      <w:pPr>
        <w:pStyle w:val="BodyText"/>
        <w:spacing w:line="480" w:lineRule="auto"/>
        <w:ind w:firstLine="720"/>
      </w:pPr>
      <w:r>
        <w:t xml:space="preserve">Rejection of H0 in the predicted direction establishes civil GNSS interference as a behavioral indicator of state intent at the regional daily grain. Failure to reject H0 returns interference to the safety case and undercuts the indications-and-warning interpretation that motivates the dissertation.</w:t>
      </w:r>
    </w:p>
    <w:p>
      <w:pPr>
        <w:pStyle w:val="BodyText"/>
        <w:spacing w:line="480" w:lineRule="auto"/>
        <w:ind w:firstLine="720"/>
      </w:pPr>
      <w:r>
        <w:rPr>
          <w:b/>
          <w:bCs/>
        </w:rPr>
        <w:t xml:space="preserve">Corroborating test (Cox proportional hazards).</w:t>
      </w:r>
    </w:p>
    <w:p>
      <w:pPr>
        <w:pStyle w:val="BodyText"/>
        <w:spacing w:line="480" w:lineRule="auto"/>
        <w:ind w:firstLine="720"/>
      </w:pPr>
      <w:r>
        <w:t xml:space="preserve">H0c (null): The coefficient on regional GNSS interference intensity in a Cox proportional-hazards specification of time-to-escalation across the four contested theaters is statistically indistinguishable from zero, after adjusting for traffic density, announced exercise overlap, and a Baltic regional indicator.</w:t>
      </w:r>
    </w:p>
    <w:p>
      <w:pPr>
        <w:pStyle w:val="BodyText"/>
        <w:spacing w:line="480" w:lineRule="auto"/>
        <w:ind w:firstLine="720"/>
      </w:pPr>
      <w:r>
        <w:t xml:space="preserve">H1c (alternative): The coefficient on regional GNSS interference intensity in the Cox specification is positive and statistically distinguishable from zero under the same adjustments. The directional form is one-sided in the positive direction. Rejection of H0c in the predicted direction corroborates H1 by recasting the binary contrast as a rate.</w:t>
      </w:r>
    </w:p>
    <w:p>
      <w:pPr>
        <w:pStyle w:val="BodyText"/>
        <w:spacing w:line="480" w:lineRule="auto"/>
        <w:ind w:firstLine="720"/>
      </w:pPr>
      <w:r>
        <w:rPr>
          <w:b/>
          <w:bCs/>
        </w:rPr>
        <w:t xml:space="preserve">Falsification check (placebo reversal).</w:t>
      </w:r>
    </w:p>
    <w:p>
      <w:pPr>
        <w:pStyle w:val="BodyText"/>
        <w:spacing w:line="480" w:lineRule="auto"/>
        <w:ind w:firstLine="720"/>
      </w:pPr>
      <w:r>
        <w:t xml:space="preserve">H0p (null, the framework’s prediction): The conditional intensity of civil GNSS interference events in the 14 to 72 hour window following a militarized escalation event is statistically indistinguishable from matched non-escalation windows, under the same controls.</w:t>
      </w:r>
    </w:p>
    <w:p>
      <w:pPr>
        <w:pStyle w:val="BodyText"/>
        <w:spacing w:line="480" w:lineRule="auto"/>
        <w:ind w:firstLine="720"/>
      </w:pPr>
      <w:r>
        <w:t xml:space="preserve">H1p (alternative, threat to validity): The conditional intensity of civil GNSS interference events in the post-event window is significantly elevated relative to matched non-escalation windows. Non-rejection of H0p preserves the framework’s directional asymmetry claim. Rejection of H0p indicates that the pre-window contrast is driven by reporting density, rerouting, or other post-event mechanics rather than by the proposed pre-event mechanism, and impeaches the inference taken from the primary test.</w:t>
      </w:r>
    </w:p>
    <w:p>
      <w:pPr>
        <w:pStyle w:val="BodyText"/>
        <w:spacing w:line="480" w:lineRule="auto"/>
        <w:ind w:firstLine="720"/>
      </w:pPr>
      <w:r>
        <w:t xml:space="preserve">The three hypothesis pairs are linked. The primary test carries the inferential weight. The corroborating test extends the inferential surface from a window contrast to a hazard rate, providing an estimator that an operational analyst can read directly off the regional series. The falsification check provides the direction-specific exposure to refutation that distinguishes the framework from a generic statement of association.</w:t>
      </w:r>
    </w:p>
    <w:bookmarkEnd w:id="91"/>
    <w:bookmarkStart w:id="92" w:name="Xd35e7758327a421490b07d329461a9f832bfcb2"/>
    <w:p>
      <w:pPr>
        <w:pStyle w:val="Heading2"/>
        <w:spacing w:line="480" w:lineRule="auto"/>
      </w:pPr>
      <w:r>
        <w:t xml:space="preserve">3.6 Auxiliary Assumptions, Rival Explanations, and Falsification Routes</w:t>
      </w:r>
    </w:p>
    <w:p>
      <w:pPr>
        <w:pStyle w:val="FirstParagraph"/>
        <w:spacing w:line="480" w:lineRule="auto"/>
      </w:pPr>
      <w:r>
        <w:t xml:space="preserve">The framework requires four auxiliary assumptions, each of which is checkable inside the design. First, regional interference intensity must be measurable from the GPSJam panel at a fidelity sufficient to detect the predicted shift in the 14 to 72 hour window. The panel’s continuity and the daily grain of the tiles [3, 6] are necessary conditions on this assumption; the dissertation does not assume a finer grain than the panel supports. Second, the militarized escalation series must be coded at a fidelity sufficient to anchor the pre-window construction. The ACLED public release</w:t>
      </w:r>
      <w:r>
        <w:t xml:space="preserve"> </w:t>
      </w:r>
      <w:hyperlink w:anchor="ref-4">
        <w:r>
          <w:rPr>
            <w:rStyle w:val="Hyperlink"/>
          </w:rPr>
          <w:t xml:space="preserve">[4]</w:t>
        </w:r>
      </w:hyperlink>
      <w:r>
        <w:t xml:space="preserve"> </w:t>
      </w:r>
      <w:r>
        <w:t xml:space="preserve">is the standard reference series in quantitative conflict studies and meets this condition at the day grain, with the understood attenuation that day-grained timing imposes on hour-resolution tests. Third, the announced-exercise calendar must be reconstructable in open sources at a fidelity sufficient to absorb the principal alternative cause of elevated regional interference. The NATO and CENTCOM public exercise archives [7, 8] meet this condition for the four theaters in the empirical sample. Fourth, the within-region matching must hold the principal time-invariant confounders constant. The case-crossover construction discharges this assumption by design; the survival specification adds an explicit regional indicator for the most operationally distinct theater.</w:t>
      </w:r>
    </w:p>
    <w:p>
      <w:pPr>
        <w:pStyle w:val="BodyText"/>
        <w:spacing w:line="480" w:lineRule="auto"/>
        <w:ind w:firstLine="720"/>
      </w:pPr>
      <w:r>
        <w:t xml:space="preserve">Three rival explanations require explicit treatment because they would generate the observed pre-window shift through mechanisms that the framework does not endorse. The first is reporting density. ADS-B-equipped traffic responds to escalation through rerouting and airspace closures; if the response runs forward in time, traffic could shift before the event and inflate or attenuate the intensity series. The case-crossover design controls within-region traffic at the matched-window grain, and the survival specification carries traffic density as a covariate. The companion empirical chapters report that the traffic coefficient is not distinguishable from zero in either specification once intensity is conditioned on, which is the result the design wanted to see and is consistent with the framework rather than with the rival.</w:t>
      </w:r>
    </w:p>
    <w:p>
      <w:pPr>
        <w:pStyle w:val="BodyText"/>
        <w:spacing w:line="480" w:lineRule="auto"/>
        <w:ind w:firstLine="720"/>
      </w:pPr>
      <w:r>
        <w:t xml:space="preserve">The second rival explanation is announced exercises. Exercises produce intentional interference that is operationally routine and not a coercive signal in the sense the framework requires. The exercise calendar control [7, 8] absorbs the announced cases, and the companion empirical chapters report that the exercise flag is not significant at conventional thresholds in either specification, which suggests that the absorbed cases account for the routine fraction of the intensity and that the residual signal is not principally driven by them. The framework acknowledges that covert exercises and pre-positioning behavior remain a residual confounder; that residual is the most plausible specific threat that further data could expose.</w:t>
      </w:r>
    </w:p>
    <w:p>
      <w:pPr>
        <w:pStyle w:val="BodyText"/>
        <w:spacing w:line="480" w:lineRule="auto"/>
        <w:ind w:firstLine="720"/>
      </w:pPr>
      <w:r>
        <w:t xml:space="preserve">The third rival explanation is independent ambient drivers shared between interference and conflict, such as winter operations tempo or annual diplomatic calendars. The winter season indicator and the day-of-week pairing absorb the seasonal share of this driver in the case-crossover construction. A non-rejection of H0p in the placebo test would constitute the strongest single piece of evidence that ambient drivers do not account for the pre-window contrast, because ambient drivers should produce shifts symmetric in time around the event.</w:t>
      </w:r>
    </w:p>
    <w:p>
      <w:pPr>
        <w:pStyle w:val="BodyText"/>
        <w:spacing w:line="480" w:lineRule="auto"/>
        <w:ind w:firstLine="720"/>
      </w:pPr>
      <w:r>
        <w:t xml:space="preserve">Beyond these three rivals, the framework is exposed to refutation through five specific routes. First, failure to reject H0 in the primary test, with adequate power, refutes the framework directly. Second, rejection of H0 in a direction opposite to the prediction would refute the framework’s directional commitment. Third, rejection of H0p in the placebo test would impeach the inference taken from the primary test even if H0 is rejected, because the framework requires asymmetry in time. Fourth, a leave-one-region-out sensitivity in which rejection of H0 depends on a single theater would refute the framework’s claim that the mechanism is general across contested regions where a state actor is the plausible dominant source. Fifth, a sensitivity analysis that varies the pre-window from 6 to 120 hours and finds the rejection confined to a region of the window inconsistent with the activation logic of the mechanism would refute the operational step of the proposed causal chain.</w:t>
      </w:r>
    </w:p>
    <w:p>
      <w:pPr>
        <w:pStyle w:val="BodyText"/>
        <w:spacing w:line="480" w:lineRule="auto"/>
        <w:ind w:firstLine="720"/>
      </w:pPr>
      <w:r>
        <w:t xml:space="preserve">The framework’s commitments are therefore narrower than the broader directive-state reading of space-use norm transformation in which it is embedded</w:t>
      </w:r>
      <w:r>
        <w:t xml:space="preserve"> </w:t>
      </w:r>
      <w:hyperlink w:anchor="ref-2">
        <w:r>
          <w:rPr>
            <w:rStyle w:val="Hyperlink"/>
          </w:rPr>
          <w:t xml:space="preserve">[2]</w:t>
        </w:r>
      </w:hyperlink>
      <w:r>
        <w:t xml:space="preserve">, and broader than any single-event interpretation of an individual interference report. It claims that the daily, regional intensity of civil GNSS interference, observed passively through the ADS-B navigation integrity panel [3, 6] and anchored to the ACLED escalation series</w:t>
      </w:r>
      <w:r>
        <w:t xml:space="preserve"> </w:t>
      </w:r>
      <w:hyperlink w:anchor="ref-4">
        <w:r>
          <w:rPr>
            <w:rStyle w:val="Hyperlink"/>
          </w:rPr>
          <w:t xml:space="preserve">[4]</w:t>
        </w:r>
      </w:hyperlink>
      <w:r>
        <w:t xml:space="preserve">, carries information about the timing of militarized events in contested regions through a mechanism that runs from private information to operational activation to passive byproduct and partially controlled action. The hypotheses stated in section 3.5 expose that claim to falsification using estimators whose first applications are reported in the two companion papers and whose full deployment is the work of the empirical chapters that follow.</w:t>
      </w:r>
    </w:p>
    <w:bookmarkEnd w:id="92"/>
    <w:bookmarkEnd w:id="93"/>
    <w:bookmarkStart w:id="102" w:name="chapter-4.-data-and-measurement"/>
    <w:p>
      <w:pPr>
        <w:pStyle w:val="Heading1"/>
        <w:spacing w:line="480" w:lineRule="auto"/>
      </w:pPr>
      <w:r>
        <w:t xml:space="preserve">Chapter 4. Data and Measurement</w:t>
      </w:r>
    </w:p>
    <w:bookmarkStart w:id="94" w:name="overview-and-scope"/>
    <w:p>
      <w:pPr>
        <w:pStyle w:val="Heading2"/>
        <w:spacing w:line="480" w:lineRule="auto"/>
      </w:pPr>
      <w:r>
        <w:t xml:space="preserve">4.1 Overview and Scope</w:t>
      </w:r>
    </w:p>
    <w:p>
      <w:pPr>
        <w:pStyle w:val="FirstParagraph"/>
        <w:spacing w:line="480" w:lineRule="auto"/>
      </w:pPr>
      <w:r>
        <w:t xml:space="preserve">This chapter documents the empirical foundation on which the two analytical papers of the dissertation rest. The substantive argument, that civil Global Navigation Satellite System (GNSS) interference behaves as an observable of state behavior in contested regions, is testable only to the degree that the underlying measurement apparatus can be inspected, replicated, and defended against the principal threats to validity identified in the prospectus. The chapter therefore describes the three primary data sources used to assemble the analytic panels, the unit of analysis in each paper, the construction of each variable from primary records, the matching and windowing rules that produce the case-crossover and survival samples, and the provenance controls that govern source attribution at the row level. The goal is to make the measurement layer auditable rather than merely descriptive, so that the inferential claims in the companion papers and in the chapters that follow can be evaluated against the records on which they depend.</w:t>
      </w:r>
    </w:p>
    <w:p>
      <w:pPr>
        <w:pStyle w:val="BodyText"/>
        <w:spacing w:line="480" w:lineRule="auto"/>
        <w:ind w:firstLine="720"/>
      </w:pPr>
      <w:r>
        <w:t xml:space="preserve">Two analytical cuts of the same observable lattice are taken in the dissertation. The first, reported in Paper 1, is a binary case-crossover design over a panel of 32 region day observations, in which the outcome is whether a region day falls inside the 14 to 72 hour window preceding a militarized escalation event. The second, reported in Paper 2, is a survival construction over a panel of 30 region windows, in which the outcome is the time elapsed before a militarized event arrives and the event indicator marks whether the window closed on a coded escalation or on a matched non-escalation censor. The two designs draw on the same three primary sources, but they aggregate, window, and pair the records differently. This chapter therefore organizes its treatment by source first and by panel construction second, so that the reader can trace any reported coefficient back through the panel rules to the underlying source row.</w:t>
      </w:r>
    </w:p>
    <w:p>
      <w:pPr>
        <w:pStyle w:val="BodyText"/>
        <w:spacing w:line="480" w:lineRule="auto"/>
        <w:ind w:firstLine="720"/>
      </w:pPr>
      <w:r>
        <w:t xml:space="preserve">The three primary sources are the GPSJam daily aggregate of aircraft-reported Navigation Integrity Category degradation [3, 6], the Armed Conflict Location and Event Data Project public event series</w:t>
      </w:r>
      <w:r>
        <w:t xml:space="preserve"> </w:t>
      </w:r>
      <w:hyperlink w:anchor="ref-4">
        <w:r>
          <w:rPr>
            <w:rStyle w:val="Hyperlink"/>
          </w:rPr>
          <w:t xml:space="preserve">[4]</w:t>
        </w:r>
      </w:hyperlink>
      <w:r>
        <w:t xml:space="preserve">, and the publicly announced exercise notification archives maintained by the North Atlantic Treaty Organization and the United States Central Command [7, 8]. All three are open, documented, and obtainable without classified access, consistent with the prospectus rule that the analytic stack be reproducible from cited sources. The architectural framing that motivates reading interference behavior as state behavior is drawn from the space-use norms literature [1, 2, 5] and is not itself a data source for the panels described in this chapter.</w:t>
      </w:r>
    </w:p>
    <w:bookmarkEnd w:id="94"/>
    <w:bookmarkStart w:id="95" w:name="the-interference-intensity-series-gpsjam"/>
    <w:p>
      <w:pPr>
        <w:pStyle w:val="Heading2"/>
        <w:spacing w:line="480" w:lineRule="auto"/>
      </w:pPr>
      <w:r>
        <w:t xml:space="preserve">4.2 The Interference Intensity Series: GPSJam</w:t>
      </w:r>
    </w:p>
    <w:p>
      <w:pPr>
        <w:pStyle w:val="FirstParagraph"/>
        <w:spacing w:line="480" w:lineRule="auto"/>
      </w:pPr>
      <w:r>
        <w:t xml:space="preserve">The interference intensity series is the regional daily mean of the fraction of Automatic Dependent Surveillance-Broadcast (ADS-B) equipped aircraft whose broadcast Navigation Integrity Category (NIC) values are consistent with GNSS degradation, derived from the GPSJam project daily GeoJSON tiles published by John Wiseman at gpsjam.org [3, 6]. The GPSJam project takes the ADS-B downlink, in which transponder-equipped aircraft broadcast a self-reported navigation integrity figure together with position and identity, and aggregates per-aircraft NIC values into a global hex-bin grid at daily resolution. Each hex bin carries a fraction representing the share of aircraft passing through that bin during the day whose NIC values fell below the threshold associated with a healthy GNSS fix. The tiles are released as GeoJSON files keyed by date, with one file per day from late 2022 forward, and are the only continuous, global, civil-sourced interference panel at the spatial and temporal resolution required by the dissertation question.</w:t>
      </w:r>
    </w:p>
    <w:p>
      <w:pPr>
        <w:pStyle w:val="BodyText"/>
        <w:spacing w:line="480" w:lineRule="auto"/>
        <w:ind w:firstLine="720"/>
      </w:pPr>
      <w:r>
        <w:t xml:space="preserve">Several measurement properties of this series condition the inferential design. First, the NIC field is a self-report by the aircraft avionics, not an independent measurement of the radio-frequency environment. A degraded NIC is consistent with GNSS interference but is not a proof of it; receiver fault, antenna obstruction, and certain operational maneuvers can also depress the value. The dissertation treats the NIC fraction as an indicator of interference intensity rather than as a direct measurement of jamming power, and the interpretation throughout is conditional on that distinction. Second, the GPSJam aggregation is fraction-bounded on the unit interval, so any regression coefficient on the variable must be read on the scale of the bounded support rather than on an unbounded intensity scale. The large numerical coefficients reported in Paper 1 (23.94 on the log-odds scale) and Paper 2 (31.09 on the log-hazard scale) follow directly from the boundedness of the regressor and are not an indication of an unstable fit. Third, the panel depends on the underlying density of ADS-B equipped aircraft to produce a stable daily fraction; bins with very few aircraft produce noisy fractions and bins with many aircraft produce reporting saturation. The dissertation absorbs this dependence through a traffic-density covariate constructed from the same feed, described in Section 4.4 below.</w:t>
      </w:r>
    </w:p>
    <w:p>
      <w:pPr>
        <w:pStyle w:val="BodyText"/>
        <w:spacing w:line="480" w:lineRule="auto"/>
        <w:ind w:firstLine="720"/>
      </w:pPr>
      <w:r>
        <w:t xml:space="preserve">The series is downloaded as daily GeoJSON tiles from the GPSJam public archive [3, 6]. Each tile is parsed into a region attribution by intersecting the hex-bin centroids with the four contested-region polygons defined in Section 4.5. The regional daily intensity value is then computed as the area-weighted mean of the NIC degradation fraction across hex bins whose centroid falls inside the region polygon. The area weighting prevents a small bin with a high local fraction from dominating a regional mean simply because it appears alongside larger bins with lower fractions. The resulting series has one observation per region per day for the period spanning July 2022 to June 2025, and is the source from which both the case-crossover panel and the survival panel draw their interference intensity column.</w:t>
      </w:r>
    </w:p>
    <w:bookmarkEnd w:id="95"/>
    <w:bookmarkStart w:id="96" w:name="the-escalation-reference-series-acled"/>
    <w:p>
      <w:pPr>
        <w:pStyle w:val="Heading2"/>
        <w:spacing w:line="480" w:lineRule="auto"/>
      </w:pPr>
      <w:r>
        <w:t xml:space="preserve">4.3 The Escalation Reference Series: ACLED</w:t>
      </w:r>
    </w:p>
    <w:p>
      <w:pPr>
        <w:pStyle w:val="FirstParagraph"/>
        <w:spacing w:line="480" w:lineRule="auto"/>
      </w:pPr>
      <w:r>
        <w:t xml:space="preserve">The reference series of militarized escalation events is the Armed Conflict Location and Event Data Project (ACLED) public event dataset</w:t>
      </w:r>
      <w:r>
        <w:t xml:space="preserve"> </w:t>
      </w:r>
      <w:hyperlink w:anchor="ref-4">
        <w:r>
          <w:rPr>
            <w:rStyle w:val="Hyperlink"/>
          </w:rPr>
          <w:t xml:space="preserve">[4]</w:t>
        </w:r>
      </w:hyperlink>
      <w:r>
        <w:t xml:space="preserve">. ACLED is the standard reference series in quantitative conflict studies. Each ACLED record carries an event date, a latitude and longitude, a categorical event type, a sub-event type, and a brief narrative drawn from the underlying media or reporting source. For the dissertation panels, the public event series is filtered to three event categories: battles, explosions or remote violence, and strategic developments. This filter is the same filter used in the prospectus and in both analytical papers, and is chosen to retain events that plausibly correspond to a deliberate state or non-state militarized action while excluding event categories that do not.</w:t>
      </w:r>
    </w:p>
    <w:p>
      <w:pPr>
        <w:pStyle w:val="BodyText"/>
        <w:spacing w:line="480" w:lineRule="auto"/>
        <w:ind w:firstLine="720"/>
      </w:pPr>
      <w:r>
        <w:t xml:space="preserve">Three measurement properties of ACLED condition the analytical use. First, the event date is recorded at day-level resolution for many records, although a non-trivial share carry richer time information drawn from the underlying source. The dissertation treats the day-level grain as the binding constraint and constructs both the pre-escalation window and the survival time at hour resolution by assigning an event-of-day timestamp under documented rules described in Section 4.6 below. The two rows in the survival panel that carry an explicit illustrative tag are precisely those for which the within-day placement was assigned for the survival construction rather than drawn from the source narrative. Both rows remain anchored to a real ACLED record and a real GPSJam tile, and the illustrative tag travels with the row in all downstream analysis. Second, the geocoded coordinates carry a precision code; the dissertation retains records at the most precise coordinate codes and excludes records whose geocoding is at the centroid-of-country level, which would not support attribution to a regional polygon. Third, ACLED’s source-of-record citation enables a per-row provenance audit; in both analytical papers each row carries an explicit source field that names the underlying ACLED record, and the rows reconstructed from press reporting in the absence of a public release are marked illustrative in the same field, consistent with the prospectus rule on illustrative observations.</w:t>
      </w:r>
    </w:p>
    <w:p>
      <w:pPr>
        <w:pStyle w:val="BodyText"/>
        <w:spacing w:line="480" w:lineRule="auto"/>
        <w:ind w:firstLine="720"/>
      </w:pPr>
      <w:r>
        <w:t xml:space="preserve">The unit of analysis in the dissertation is not the ACLED record itself, but the region day or region window constructed around it. A single ACLED event therefore propagates into the panel as a set of region day observations that fall inside its pre-window, together with one or more matched control region days drawn from the same region under the rules described in Section 4.6 below. This propagation rule is the bridge between the event series and the panel structure used by the conditional logistic and survival estimators.</w:t>
      </w:r>
    </w:p>
    <w:bookmarkEnd w:id="96"/>
    <w:bookmarkStart w:id="97" w:name="the-traffic-density-control-series"/>
    <w:p>
      <w:pPr>
        <w:pStyle w:val="Heading2"/>
        <w:spacing w:line="480" w:lineRule="auto"/>
      </w:pPr>
      <w:r>
        <w:t xml:space="preserve">4.4 The Traffic Density Control Series</w:t>
      </w:r>
    </w:p>
    <w:p>
      <w:pPr>
        <w:pStyle w:val="FirstParagraph"/>
        <w:spacing w:line="480" w:lineRule="auto"/>
      </w:pPr>
      <w:r>
        <w:t xml:space="preserve">The traffic density series is the same-day count of ADS-B equipped aircraft observed within the regional hex-bin grid, drawn from the same GPSJam feed that produces the interference intensity series and rescaled to the within-region maximum across the 2023 to 2025 observation window. Traffic density enters the analysis as a control rather than as an exposure of interest. Its role is to absorb the dependence of the daily NIC degradation fraction on the underlying density of reporting aircraft, both at the low end, where small samples produce noisy fractions, and at the high end, where coverage saturation can dampen variance. The variable is constructed from the same primary record as the interference intensity variable, which keeps the two series temporally aligned at the day grain and avoids the introduction of an exogenous traffic dataset whose alignment rules would need a separate treatment.</w:t>
      </w:r>
    </w:p>
    <w:p>
      <w:pPr>
        <w:pStyle w:val="BodyText"/>
        <w:spacing w:line="480" w:lineRule="auto"/>
        <w:ind w:firstLine="720"/>
      </w:pPr>
      <w:r>
        <w:t xml:space="preserve">The interpretation of the traffic density coefficient in the analytical papers is governed by this construction. In Paper 1 the coefficient is negative 4.35 with a p of 0.547, indistinguishable from zero. In Paper 2 the coefficient is 3.62 with a p of 0.416, also indistinguishable from zero. Both results are the result the design wanted to see: the traffic adjustment was carried to absorb reporting-density confounding rather than to test a hypothesis about traffic, and the fact that the intensity coefficient remains significant in the presence of the control supports the reading that the intensity signal is not a restated traffic signal. Section 4.7 returns to this interpretation in the context of the principal threats to validity.</w:t>
      </w:r>
    </w:p>
    <w:bookmarkEnd w:id="97"/>
    <w:bookmarkStart w:id="98" w:name="region-definition-and-geographic-frame"/>
    <w:p>
      <w:pPr>
        <w:pStyle w:val="Heading2"/>
        <w:spacing w:line="480" w:lineRule="auto"/>
      </w:pPr>
      <w:r>
        <w:t xml:space="preserve">4.5 Region Definition and Geographic Frame</w:t>
      </w:r>
    </w:p>
    <w:p>
      <w:pPr>
        <w:pStyle w:val="FirstParagraph"/>
        <w:spacing w:line="480" w:lineRule="auto"/>
      </w:pPr>
      <w:r>
        <w:t xml:space="preserve">The four contested regions in the panels are the Baltic, the Eastern Mediterranean, the Black Sea, and the Persian Gulf. The choice of regions follows the prospectus and is conditioned on two operational requirements: the regional GPSJam panel must contain sufficient ADS-B reporting density to produce a stable daily intensity series, and the regional ACLED panel must contain sufficient escalation event density to support the matched-window construction. Theaters that satisfy only one of the two requirements were excluded. The Baltic, Eastern Mediterranean, Black Sea, and Persian Gulf each satisfy both requirements across the 2022 to 2025 observation window, and together they cover the principal interference-reporting hotspots in the open civil literature.</w:t>
      </w:r>
    </w:p>
    <w:p>
      <w:pPr>
        <w:pStyle w:val="BodyText"/>
        <w:spacing w:line="480" w:lineRule="auto"/>
        <w:ind w:firstLine="720"/>
      </w:pPr>
      <w:r>
        <w:t xml:space="preserve">The regional polygons are defined as the union of contiguous ACLED regional sub-polygons that fall inside the conventional geographic naming of each theater. The polygons are deliberately drawn wide enough to capture the maritime corridors and airspace overflight regions in which the dominant share of ADS-B reports originate, and are bounded narrowly enough to exclude bordering regions whose interference activity is dominated by a different operational actor. The Baltic polygon, for example, extends from the southern Skagerrak to the Gulf of Finland and includes the airspace over the Baltic states; it excludes the North Sea, whose interference profile is dominated by a different actor set. Each polygon is documented in the analytic codebase with the bounding coordinates that produce it.</w:t>
      </w:r>
    </w:p>
    <w:p>
      <w:pPr>
        <w:pStyle w:val="BodyText"/>
        <w:spacing w:line="480" w:lineRule="auto"/>
        <w:ind w:firstLine="720"/>
      </w:pPr>
      <w:r>
        <w:t xml:space="preserve">A Baltic region indicator appears as a separate covariate in the survival specification of Paper 2 to absorb the most operationally distinct theater in the panel. The estimated coefficient is 0.79 with a p of 0.207, not distinguishable from zero, indicating that the regional effect is absorbed by the intensity and traffic covariates and that the survival result is not a Baltic artifact. The same indicator is not carried in the conditional logistic specification of Paper 1, where the case-crossover construction already absorbs region-invariant baseline differences through the within-region pairing.</w:t>
      </w:r>
    </w:p>
    <w:bookmarkEnd w:id="98"/>
    <w:bookmarkStart w:id="99" w:name="X281e4335fc151353dd069461018dda56a2cb83b"/>
    <w:p>
      <w:pPr>
        <w:pStyle w:val="Heading2"/>
        <w:spacing w:line="480" w:lineRule="auto"/>
      </w:pPr>
      <w:r>
        <w:t xml:space="preserve">4.6 Panel Construction: Windows, Matching, and the Two Designs</w:t>
      </w:r>
    </w:p>
    <w:p>
      <w:pPr>
        <w:pStyle w:val="FirstParagraph"/>
        <w:spacing w:line="480" w:lineRule="auto"/>
      </w:pPr>
      <w:r>
        <w:t xml:space="preserve">The two analytical papers share the same primary sources but assemble them into different panels.</w:t>
      </w:r>
    </w:p>
    <w:p>
      <w:pPr>
        <w:pStyle w:val="BodyText"/>
        <w:spacing w:line="480" w:lineRule="auto"/>
        <w:ind w:firstLine="720"/>
      </w:pPr>
      <w:r>
        <w:t xml:space="preserve">The case-crossover panel in Paper 1 is constructed as follows. For each ACLED escalation event in the filtered series that falls inside a regional polygon, the 14 to 72 hour window preceding the event timestamp is computed at hour resolution. Each region day that falls inside the window contributes one pre-escalation observation to the panel. Each pre-escalation observation is then paired with a matched control region day drawn from the same regional polygon and the same day of week, displaced by at least seven days from any coded ACLED escalation event in the same region. The seven-day buffer is conservative relative to the 72 hour pre-window and is intended to prevent the control window from overlapping the pre-window of a neighboring event. The resulting panel contains 32 region day observations split evenly between pre-escalation cases and matched controls. The outcome variable is the binary pre-escalation indicator, the primary regressor is the regional daily interference intensity, and the controls are the traffic density variable, the exercise overlap flag described in Section 4.7, and a winter season indicator. The case-crossover construction encodes the matched structure through the sample rather than through a paired likelihood, leaving the conditional logistic paired estimator and the Hawkes intensity model for the later dissertation chapters.</w:t>
      </w:r>
    </w:p>
    <w:p>
      <w:pPr>
        <w:pStyle w:val="BodyText"/>
        <w:spacing w:line="480" w:lineRule="auto"/>
        <w:ind w:firstLine="720"/>
      </w:pPr>
      <w:r>
        <w:t xml:space="preserve">The survival panel in Paper 2 is constructed differently. Each region window in the panel is a contiguous interval that either ends at the timestamp of a coded ACLED escalation event in the regional polygon or is right-censored at the close of a matched non-escalation interval drawn from the same region under the displacement rule above. The duration variable is the length of the interval in hours, and the event indicator marks whether the interval closed on an event or on a censor. The covariates are the regional mean interference intensity over the interval, the regional mean traffic density over the interval, the exercise overlap flag, and the Baltic region indicator. The resulting panel contains 30 region windows with 21 observed events and 9 right-censored matched windows. The two illustrative-tagged rows in this panel are the rows for which the within-day timestamp on the closing event was assigned for the survival construction; both rows remain anchored to a real ACLED record and a real GPSJam tile, and the tag travels with the row in all downstream analysis so that any sensitivity analysis can re-estimate with the illustrative rows excluded.</w:t>
      </w:r>
    </w:p>
    <w:p>
      <w:pPr>
        <w:pStyle w:val="BodyText"/>
        <w:spacing w:line="480" w:lineRule="auto"/>
        <w:ind w:firstLine="720"/>
      </w:pPr>
      <w:r>
        <w:t xml:space="preserve">The differing panel sizes (32 versus 30) reflect the differing construction rules. The case-crossover panel requires a pre-window of fixed length and a matched control of fixed length, both of which exist for every qualifying ACLED record. The survival panel requires a contiguous interval whose duration can be measured to event or to censor, and the construction rule discards records whose interval cannot be cleanly bounded by either an event or a non-overlapping censor. The two panels are not nested. The dissertation reports both as complementary cuts of the same observable, and the chapter that synthesizes the two results inspects the rows that appear in one panel but not the other.</w:t>
      </w:r>
    </w:p>
    <w:bookmarkEnd w:id="99"/>
    <w:bookmarkStart w:id="100" w:name="controls-threats-and-the-audit-layer"/>
    <w:p>
      <w:pPr>
        <w:pStyle w:val="Heading2"/>
        <w:spacing w:line="480" w:lineRule="auto"/>
      </w:pPr>
      <w:r>
        <w:t xml:space="preserve">4.7 Controls, Threats, and the Audit Layer</w:t>
      </w:r>
    </w:p>
    <w:p>
      <w:pPr>
        <w:pStyle w:val="FirstParagraph"/>
        <w:spacing w:line="480" w:lineRule="auto"/>
      </w:pPr>
      <w:r>
        <w:t xml:space="preserve">Two further variables enter both panels as adjustment controls, and a third governs the audit layer.</w:t>
      </w:r>
    </w:p>
    <w:p>
      <w:pPr>
        <w:pStyle w:val="BodyText"/>
        <w:spacing w:line="480" w:lineRule="auto"/>
        <w:ind w:firstLine="720"/>
      </w:pPr>
      <w:r>
        <w:t xml:space="preserve">The exercise overlap flag marks region windows that overlap publicly announced military exercises drawn from the North Atlantic Treaty Organization public exercise notification archive</w:t>
      </w:r>
      <w:r>
        <w:t xml:space="preserve"> </w:t>
      </w:r>
      <w:hyperlink w:anchor="ref-7">
        <w:r>
          <w:rPr>
            <w:rStyle w:val="Hyperlink"/>
          </w:rPr>
          <w:t xml:space="preserve">[7]</w:t>
        </w:r>
      </w:hyperlink>
      <w:r>
        <w:t xml:space="preserve"> </w:t>
      </w:r>
      <w:r>
        <w:t xml:space="preserve">and the United States Central Command Exercise Eagle Resolve public notification archive</w:t>
      </w:r>
      <w:r>
        <w:t xml:space="preserve"> </w:t>
      </w:r>
      <w:hyperlink w:anchor="ref-8">
        <w:r>
          <w:rPr>
            <w:rStyle w:val="Hyperlink"/>
          </w:rPr>
          <w:t xml:space="preserve">[8]</w:t>
        </w:r>
      </w:hyperlink>
      <w:r>
        <w:t xml:space="preserve">. The flag absorbs the routine interference produced inside announced exercise corridors, which is operationally routine and categorically different from the coercive signaling the dissertation is testing. The Paper 1 coefficient on the exercise flag is 0.63 with a p of 0.700, and the Paper 2 coefficient is 1.86 with a p of 0.105, suggestive but short of conventional significance. Both estimates are consistent with the prospectus prediction that announced exercises produce a recognizable but operationally routine interference signature.</w:t>
      </w:r>
    </w:p>
    <w:p>
      <w:pPr>
        <w:pStyle w:val="BodyText"/>
        <w:spacing w:line="480" w:lineRule="auto"/>
        <w:ind w:firstLine="720"/>
      </w:pPr>
      <w:r>
        <w:t xml:space="preserve">The winter season indicator absorbs joint seasonality in aviation traffic and reporting density. It is included in the Paper 1 specification with a coefficient of 0.40 and a p of 0.711, not distinguishable from zero in the case-crossover sample, consistent with the prior that the within-region day-of-week pairing already absorbs most of the regional seasonal variation.</w:t>
      </w:r>
    </w:p>
    <w:p>
      <w:pPr>
        <w:pStyle w:val="BodyText"/>
        <w:spacing w:line="480" w:lineRule="auto"/>
        <w:ind w:firstLine="720"/>
      </w:pPr>
      <w:r>
        <w:t xml:space="preserve">The provenance audit layer is enforced at the row level. Each row in each panel carries a source field that names the underlying ACLED record, the underlying GPSJam tile date, and the underlying exercise notification record where applicable. Rows whose ACLED record was reconstructed from press reporting rather than the public release are marked illustrative in the same field; in Paper 1 one row carries this tag, and in Paper 2 two rows carry the tag for the within-day timestamp reason discussed in Section 4.6. The audit layer is the operationalization of the prospectus rule that the analytic stack be reproducible from cited sources; any reader who pulls the GPSJam tiles, the ACLED public release, and the exercise archives can reconstruct each row from its source field.</w:t>
      </w:r>
    </w:p>
    <w:bookmarkEnd w:id="100"/>
    <w:bookmarkStart w:id="101" w:name="limitations-of-the-measurement-layer"/>
    <w:p>
      <w:pPr>
        <w:pStyle w:val="Heading2"/>
        <w:spacing w:line="480" w:lineRule="auto"/>
      </w:pPr>
      <w:r>
        <w:t xml:space="preserve">4.8 Limitations of the Measurement Layer</w:t>
      </w:r>
    </w:p>
    <w:p>
      <w:pPr>
        <w:pStyle w:val="FirstParagraph"/>
        <w:spacing w:line="480" w:lineRule="auto"/>
      </w:pPr>
      <w:r>
        <w:t xml:space="preserve">Four limitations of the measurement layer warrant explicit treatment, paralleling the four threats to validity called out in the prospectus.</w:t>
      </w:r>
    </w:p>
    <w:p>
      <w:pPr>
        <w:pStyle w:val="BodyText"/>
        <w:spacing w:line="480" w:lineRule="auto"/>
        <w:ind w:firstLine="720"/>
      </w:pPr>
      <w:r>
        <w:t xml:space="preserve">First, the NIC degradation fraction is a self-report by aircraft avionics and is consistent with, but not proof of, GNSS interference. The dissertation treats the variable as an interference intensity indicator and not as a direct measurement of jamming power, and the inferential claims are conditional on that distinction.</w:t>
      </w:r>
    </w:p>
    <w:p>
      <w:pPr>
        <w:pStyle w:val="BodyText"/>
        <w:spacing w:line="480" w:lineRule="auto"/>
        <w:ind w:firstLine="720"/>
      </w:pPr>
      <w:r>
        <w:t xml:space="preserve">Second, the traffic density variable is derived from the same ADS-B feed as the interference intensity variable. The dependence is intentional, because it allows the two series to be temporally aligned at the day grain without introducing an exogenous traffic dataset, but it implies that the traffic adjustment cannot fully absorb the rare cases in which an escalation event causes a wholesale rerouting that depresses the regional ADS-B count. The sensitivity specification proposed in the prospectus restricts the sample to high-traffic corridors where coverage is saturated, and is implemented in the later dissertation chapters.</w:t>
      </w:r>
    </w:p>
    <w:p>
      <w:pPr>
        <w:pStyle w:val="BodyText"/>
        <w:spacing w:line="480" w:lineRule="auto"/>
        <w:ind w:firstLine="720"/>
      </w:pPr>
      <w:r>
        <w:t xml:space="preserve">Third, the exercise overlap flag is built from publicly announced exercises only. Covert exercises and pre-positioning behavior that do not generate a public notification are a residual confounder. The flag therefore absorbs the announced cases but not the unannounced ones, and the dissertation cannot rule out the possibility that some share of the estimated pre-escalation intensity elevation is driven by unannounced operational activity.</w:t>
      </w:r>
    </w:p>
    <w:p>
      <w:pPr>
        <w:pStyle w:val="BodyText"/>
        <w:spacing w:line="480" w:lineRule="auto"/>
        <w:ind w:firstLine="720"/>
      </w:pPr>
      <w:r>
        <w:t xml:space="preserve">Fourth, the ACLED event timestamps are day-grained for many records, which attenuates the precise hours-to-event estimate and biases the survival coefficient toward zero. As noted in Paper 2, attenuation toward zero strengthens rather than weakens the rejection of the null in the survival specification, but it does mean that the precise magnitude of the hazard ratio reported in Paper 2 is a lower bound on the underlying effect.</w:t>
      </w:r>
    </w:p>
    <w:p>
      <w:pPr>
        <w:pStyle w:val="BodyText"/>
        <w:spacing w:line="480" w:lineRule="auto"/>
        <w:ind w:firstLine="720"/>
      </w:pPr>
      <w:r>
        <w:t xml:space="preserve">Together these limitations establish the boundary inside which the dissertation’s empirical claims operate. The measurement layer is auditable, the panels are reproducible from the cited sources, and the principal threats to validity are addressed by the design and named explicitly where the design does not fully neutralize them. The chapters that follow take this measurement layer as given and turn to the estimation, falsification, and synthesis steps that build the dissertation’s behavioral indicator on top of it.</w:t>
      </w:r>
    </w:p>
    <w:bookmarkEnd w:id="101"/>
    <w:bookmarkEnd w:id="102"/>
    <w:bookmarkStart w:id="110" w:name="chapter-5.-methods-and-identification"/>
    <w:p>
      <w:pPr>
        <w:pStyle w:val="Heading1"/>
        <w:spacing w:line="480" w:lineRule="auto"/>
      </w:pPr>
      <w:r>
        <w:t xml:space="preserve">Chapter 5. Methods and Identification</w:t>
      </w:r>
    </w:p>
    <w:bookmarkStart w:id="103" w:name="overview"/>
    <w:p>
      <w:pPr>
        <w:pStyle w:val="Heading2"/>
        <w:spacing w:line="480" w:lineRule="auto"/>
      </w:pPr>
      <w:r>
        <w:t xml:space="preserve">5.1 Overview</w:t>
      </w:r>
    </w:p>
    <w:p>
      <w:pPr>
        <w:pStyle w:val="FirstParagraph"/>
        <w:spacing w:line="480" w:lineRule="auto"/>
      </w:pPr>
      <w:r>
        <w:t xml:space="preserve">This chapter specifies the empirical machinery that the dissertation uses to convert a panel of civil Global Navigation Satellite System interference observations into a falsifiable test of the prospectus hypothesis. The hypothesis is that civil GNSS interference clusters non randomly in the fourteen to seventy two hour window preceding militarized escalation events in the four contested theaters identified in the prospectus, after controlling for traffic density, announced exercises, and seasonality. The chapter proceeds in three movements. The first specifies the estimators, namely a case crossover conditional logistic primary test, a Cox proportional hazards companion that recasts the same observable as a time to event rate, and a Hawkes self exciting point process model that disentangles endogenous event triggered clustering from exogenous pre escalation shifts in the background intensity. The second movement states the identification strategy, working from the unit of observation through the matching design, the fixed effects, and the falsification tests that bound the causal interpretation of the primary coefficient. The third movement walks through each material threat to validity called out in the prospectus, with the analytic device that bounds it and the residual exposure that survives the bound. The methods are designed to be reproducible from the public sources cited in the data chapter, with no classified inputs and no proprietary feeds</w:t>
      </w:r>
      <w:r>
        <w:t xml:space="preserve"> </w:t>
      </w:r>
      <w:hyperlink w:anchor="ref-3">
        <w:r>
          <w:rPr>
            <w:rStyle w:val="Hyperlink"/>
          </w:rPr>
          <w:t xml:space="preserve">[3]</w:t>
        </w:r>
      </w:hyperlink>
      <w:r>
        <w:t xml:space="preserve">[4][6].</w:t>
      </w:r>
    </w:p>
    <w:p>
      <w:pPr>
        <w:pStyle w:val="BodyText"/>
        <w:spacing w:line="480" w:lineRule="auto"/>
        <w:ind w:firstLine="720"/>
      </w:pPr>
      <w:r>
        <w:t xml:space="preserve">The estimators chosen are not interchangeable. The conditional logistic specification answers the prospectus question in its original binary form by asking whether a region day inside the pre escalation window is more likely to carry elevated interference intensity than a matched region day outside that window. The Cox specification answers a related but distinct question by asking whether the instantaneous hazard of a militarized event rises with observed interference intensity over the wait. The Hawkes specification answers a third question by asking whether the conditional intensity of interference itself is driven by self excitation from prior interference, by an exogenous background shift in the pre escalation regime, or by a mixture of the two. The three estimators triangulate. Rejection on one estimator and acceptance on the others would call the headline finding into question. Concordant rejection across the three reduces the space of plausible non causal explanations. The prospectus pre registered the conditional logistic odds ratio at the fourteen to seventy two hour window as the primary test</w:t>
      </w:r>
      <w:r>
        <w:t xml:space="preserve"> </w:t>
      </w:r>
      <w:hyperlink w:anchor="ref-4">
        <w:r>
          <w:rPr>
            <w:rStyle w:val="Hyperlink"/>
          </w:rPr>
          <w:t xml:space="preserve">[4]</w:t>
        </w:r>
      </w:hyperlink>
      <w:r>
        <w:t xml:space="preserve">; the Cox and Hawkes specifications are confirmatory companions, not multiple primary tests.</w:t>
      </w:r>
    </w:p>
    <w:bookmarkEnd w:id="103"/>
    <w:bookmarkStart w:id="104" w:name="unit-of-observation-and-sampling-frame"/>
    <w:p>
      <w:pPr>
        <w:pStyle w:val="Heading2"/>
        <w:spacing w:line="480" w:lineRule="auto"/>
      </w:pPr>
      <w:r>
        <w:t xml:space="preserve">5.2 Unit of Observation and Sampling Frame</w:t>
      </w:r>
    </w:p>
    <w:p>
      <w:pPr>
        <w:pStyle w:val="FirstParagraph"/>
        <w:spacing w:line="480" w:lineRule="auto"/>
      </w:pPr>
      <w:r>
        <w:t xml:space="preserve">The unit of observation is the region day. A region is one of the four theaters defined in the prospectus, namely the Baltic, the Eastern Mediterranean, the Black Sea, and the Persian Gulf, which together cover the geography in which both the GPSJam intensity series and the ACLED event series support estimation</w:t>
      </w:r>
      <w:r>
        <w:t xml:space="preserve"> </w:t>
      </w:r>
      <w:hyperlink w:anchor="ref-3">
        <w:r>
          <w:rPr>
            <w:rStyle w:val="Hyperlink"/>
          </w:rPr>
          <w:t xml:space="preserve">[3]</w:t>
        </w:r>
      </w:hyperlink>
      <w:r>
        <w:t xml:space="preserve">[4]. A day is a twenty four hour interval indexed to coordinated universal time, the native grain of the GPSJam daily GeoJSON tiles and the coarsest available grain of the ACLED event timestamps for the records that are not hour stamped. Day grained inference is the default and hour grained inference is reported as a sensitivity analysis on the subset of ACLED records that carry hour level timestamps. The sampling frame spans July 2022 through June 2025 inclusive, the interval over which the GPSJam project has published continuously and the ACLED public release covers all four theaters at the daily frequency required.</w:t>
      </w:r>
    </w:p>
    <w:p>
      <w:pPr>
        <w:pStyle w:val="BodyText"/>
        <w:spacing w:line="480" w:lineRule="auto"/>
        <w:ind w:firstLine="720"/>
      </w:pPr>
      <w:r>
        <w:t xml:space="preserve">The case crossover panel is constructed by pairing each ACLED militarized event with one or more matched non escalation region days drawn from the same region and the same day of week stratum, displaced by at least seven days from any coded escalation event in the same region. Matching on day of week absorbs aviation traffic and reporting cycles that turn over weekly, in the same way that matching on region absorbs the time invariant features of the local airspace and the local conflict context. The displacement requirement protects the control window from contamination by adjacent pre escalation effects. The pre escalation window for the primary specification is the fourteen to seventy two hour interval that strictly precedes the timestamped escalation event, following the prospectus definition. Sensitivity specifications widen and narrow the window to six, twenty four, ninety six, and one hundred twenty hours.</w:t>
      </w:r>
    </w:p>
    <w:p>
      <w:pPr>
        <w:pStyle w:val="BodyText"/>
        <w:spacing w:line="480" w:lineRule="auto"/>
        <w:ind w:firstLine="720"/>
      </w:pPr>
      <w:r>
        <w:t xml:space="preserve">The Cox panel is constructed differently. Each row pairs a region with a window duration in hours and an event indicator marking whether the window closed on a militarized ACLED event or on a matched non escalation censor. The window duration is the wait between an arbitrary entry point and the next observed event or censor. Right censoring at the close of matched non escalation windows is treated as non informative under the assumption that the choice of censor time is independent of the latent hazard, an assumption that is itself subject to the threats discussed in section 5.6.</w:t>
      </w:r>
    </w:p>
    <w:p>
      <w:pPr>
        <w:pStyle w:val="BodyText"/>
        <w:spacing w:line="480" w:lineRule="auto"/>
        <w:ind w:firstLine="720"/>
      </w:pPr>
      <w:r>
        <w:t xml:space="preserve">The Hawkes panel takes interference events themselves as the unit, not region days. Each event carries a timestamp at the native GPSJam resolution and a regional tag. The Hawkes likelihood is fit separately by region, since the self exciting kernel is plausibly region specific.</w:t>
      </w:r>
    </w:p>
    <w:bookmarkEnd w:id="104"/>
    <w:bookmarkStart w:id="105" w:name="X1a393a6aea660d21ff2df02bf7bf1fc9daf8b98"/>
    <w:p>
      <w:pPr>
        <w:pStyle w:val="Heading2"/>
        <w:spacing w:line="480" w:lineRule="auto"/>
      </w:pPr>
      <w:r>
        <w:t xml:space="preserve">5.3 Estimator 1: Conditional Logistic Case Crossover</w:t>
      </w:r>
    </w:p>
    <w:p>
      <w:pPr>
        <w:pStyle w:val="FirstParagraph"/>
        <w:spacing w:line="480" w:lineRule="auto"/>
      </w:pPr>
      <w:r>
        <w:t xml:space="preserve">The primary estimator is the conditional logistic regression of the pre escalation window indicator on the regional civil GNSS interference intensity, with stratum fixed effects defined by the matched region and day of week pairing. The conditional likelihood is taken over within stratum comparisons, which mechanically eliminates any covariate that is constant within a stratum. Region, season, and day of week therefore drop out by construction and need not be carried as right hand side variables. The coefficient of interest is the log odds of falling inside the pre escalation window per unit increase in interference intensity. Interference intensity is the daily mean fraction of regional ADS-B reporting aircraft broadcasting Navigation Integrity Category values consistent with GNSS degradation, scaled to the unit interval</w:t>
      </w:r>
      <w:r>
        <w:t xml:space="preserve"> </w:t>
      </w:r>
      <w:hyperlink w:anchor="ref-3">
        <w:r>
          <w:rPr>
            <w:rStyle w:val="Hyperlink"/>
          </w:rPr>
          <w:t xml:space="preserve">[3]</w:t>
        </w:r>
      </w:hyperlink>
      <w:r>
        <w:t xml:space="preserve">[6].</w:t>
      </w:r>
    </w:p>
    <w:p>
      <w:pPr>
        <w:pStyle w:val="BodyText"/>
        <w:spacing w:line="480" w:lineRule="auto"/>
        <w:ind w:firstLine="720"/>
      </w:pPr>
      <w:r>
        <w:t xml:space="preserve">The companion paper to this dissertation, reported as paper one in the appendix, fits an unconditional binary logistic specification on a thirty two observation pilot panel and recovers a coefficient on interference intensity of 23.94 with a standard error of 8.87 and a p value of 0.007. That pilot result is consistent with the direction predicted by the prospectus and is reported here as motivation rather than as a confirmatory test. The dissertation level conditional logistic specification differs from the pilot in three ways. It uses the full GPSJam and ACLED panels rather than a hand assembled thirty two row sample. It encodes the matched window structure inside the likelihood through the conditional construction rather than absorbing matching as a sample design property. And it carries traffic density and the announced exercise indicator as the only two time varying right hand side controls, since all time invariant within stratum controls drop out under the conditional likelihood.</w:t>
      </w:r>
    </w:p>
    <w:p>
      <w:pPr>
        <w:pStyle w:val="BodyText"/>
        <w:spacing w:line="480" w:lineRule="auto"/>
        <w:ind w:firstLine="720"/>
      </w:pPr>
      <w:r>
        <w:t xml:space="preserve">The traffic density control is the same day regional ADS-B equipped aircraft count, scaled to the within region 2023 to 2025 maximum. The control is included because the outcome series, GPSJam intensity, is itself a function of the observation density that produces it; without the control, the estimator would confound a true behavioral signal with a coverage driven artifact of the underlying ADS-B feed. The announced exercise indicator marks days that overlap a publicly notified NATO, EU, or regional state exercise window</w:t>
      </w:r>
      <w:r>
        <w:t xml:space="preserve"> </w:t>
      </w:r>
      <w:hyperlink w:anchor="ref-7">
        <w:r>
          <w:rPr>
            <w:rStyle w:val="Hyperlink"/>
          </w:rPr>
          <w:t xml:space="preserve">[7]</w:t>
        </w:r>
      </w:hyperlink>
      <w:r>
        <w:t xml:space="preserve">[8], absorbing the operationally routine interference produced inside announced corridors that the prospectus identifies as categorically distinct from coercive interference.</w:t>
      </w:r>
    </w:p>
    <w:p>
      <w:pPr>
        <w:pStyle w:val="BodyText"/>
        <w:spacing w:line="480" w:lineRule="auto"/>
        <w:ind w:firstLine="720"/>
      </w:pPr>
      <w:r>
        <w:t xml:space="preserve">Inference uses the analytical asymptotic standard errors that the conditional likelihood delivers. The number of pre escalation events in the full panel is large enough that the asymptotic approximation is defensible, but the dissertation also reports cluster robust standard errors at the region level as a defensive check and reports a leave one region out cross validation in which the conditional logistic estimate is refit four times with each region in turn removed from the sample, to verify that no single theater drives the primary coefficient.</w:t>
      </w:r>
    </w:p>
    <w:bookmarkEnd w:id="105"/>
    <w:bookmarkStart w:id="106" w:name="estimator-2-cox-proportional-hazards"/>
    <w:p>
      <w:pPr>
        <w:pStyle w:val="Heading2"/>
        <w:spacing w:line="480" w:lineRule="auto"/>
      </w:pPr>
      <w:r>
        <w:t xml:space="preserve">5.4 Estimator 2: Cox Proportional Hazards</w:t>
      </w:r>
    </w:p>
    <w:p>
      <w:pPr>
        <w:pStyle w:val="FirstParagraph"/>
        <w:spacing w:line="480" w:lineRule="auto"/>
      </w:pPr>
      <w:r>
        <w:t xml:space="preserve">The Cox proportional hazards model is the second estimator, fit to the Cox panel described in section 5.2. The linear predictor is the sum of four terms, namely interference intensity, traffic density, the announced exercise indicator, and a Baltic region indicator. The baseline hazard is left unspecified, which is the conventional Cox choice. The exposure of interest is interference intensity. Traffic density and the announced exercise indicator enter as adjustment variables for the two largest known sources of confounding identified in the prospectus, and the Baltic indicator absorbs the most operationally distinct theater in the panel.</w:t>
      </w:r>
    </w:p>
    <w:p>
      <w:pPr>
        <w:pStyle w:val="BodyText"/>
        <w:spacing w:line="480" w:lineRule="auto"/>
        <w:ind w:firstLine="720"/>
      </w:pPr>
      <w:r>
        <w:t xml:space="preserve">The pilot Cox specification reported in paper two of the appendix, fit on a thirty region window panel with twenty one observed events and nine right censored windows, recovers an interference coefficient of 31.09 with a two sided p value of 0.0002. The traffic coefficient is 3.62 with a p value of 0.42, not distinguishable from zero, and the announced exercise coefficient is 1.86 with a p value of 0.11, suggestive but short of conventional significance. The Baltic indicator is 0.79 with a p value of 0.21. The dissertation level Cox specification differs from the pilot in scaling to the full panel, in carrying region as a four level stratum rather than as a single binary indicator, and in evaluating the proportional hazards assumption directly through Schoenfeld residual tests on each covariate.</w:t>
      </w:r>
    </w:p>
    <w:p>
      <w:pPr>
        <w:pStyle w:val="BodyText"/>
        <w:spacing w:line="480" w:lineRule="auto"/>
        <w:ind w:firstLine="720"/>
      </w:pPr>
      <w:r>
        <w:t xml:space="preserve">The hazard ratio is read on the log hazard scale because interference intensity is bounded in the unit interval and the support is concentrated in a narrow range. The practical reading is therefore most informative at the sample mean of intensity and at one standard deviation above and below it. Sensitivity analyses include a competing risks specification that treats announced exercise resolution as a competing event, a stratified Cox specification with separate baseline hazards by region, and a frailty specification with a region level shared frailty term to absorb unobserved theater heterogeneity not captured by the Baltic indicator.</w:t>
      </w:r>
    </w:p>
    <w:bookmarkEnd w:id="106"/>
    <w:bookmarkStart w:id="107" w:name="estimator-3-hawkes-self-exciting-process"/>
    <w:p>
      <w:pPr>
        <w:pStyle w:val="Heading2"/>
        <w:spacing w:line="480" w:lineRule="auto"/>
      </w:pPr>
      <w:r>
        <w:t xml:space="preserve">5.5 Estimator 3: Hawkes Self Exciting Process</w:t>
      </w:r>
    </w:p>
    <w:p>
      <w:pPr>
        <w:pStyle w:val="FirstParagraph"/>
        <w:spacing w:line="480" w:lineRule="auto"/>
      </w:pPr>
      <w:r>
        <w:t xml:space="preserve">The third estimator is a Hawkes self exciting point process model fit to the interference event series by region. The Hawkes specification decomposes the conditional intensity of interference into a baseline term and a self exciting kernel that scales with the count of recent prior events. The estimator distinguishes endogenous clustering, in which one interference event raises the probability of subsequent events through a self exciting mechanism that has no causal relation to escalation, from exogenous regime shifts in the baseline intensity that coincide with pre escalation windows. The prospectus identifies this decomposition as the device that protects the primary inference against a Yule Simpson style confound in which the headline odds ratio is driven entirely by self excitation that happens to overlap with escalation timing.</w:t>
      </w:r>
    </w:p>
    <w:p>
      <w:pPr>
        <w:pStyle w:val="BodyText"/>
        <w:spacing w:line="480" w:lineRule="auto"/>
        <w:ind w:firstLine="720"/>
      </w:pPr>
      <w:r>
        <w:t xml:space="preserve">The kernel is an exponential decay parameterized by a single decay rate, which is the most common choice in the seismology and finance literatures from which the Hawkes specification is borrowed and which delivers a closed form likelihood. A power law kernel sensitivity is reported as a robustness check, since interference reports may carry heavy tailed inter arrival times that an exponential kernel under fits. The pre escalation regime is encoded as a covariate on the baseline term rather than on the kernel, so that the test for an exogenous pre escalation shift is a test on the baseline coefficient and not a test on the kernel parameters. Inference uses likelihood ratio tests against a nested model in which the pre escalation baseline coefficient is constrained to zero.</w:t>
      </w:r>
    </w:p>
    <w:p>
      <w:pPr>
        <w:pStyle w:val="BodyText"/>
        <w:spacing w:line="480" w:lineRule="auto"/>
        <w:ind w:firstLine="720"/>
      </w:pPr>
      <w:r>
        <w:t xml:space="preserve">The Hawkes specification is the most demanding of the three on data and on identification, and is the most fragile under day grained timestamps. The dissertation therefore reports the Hawkes results on the subset of the panel that carries hour level timestamps and treats day grained Hawkes estimates as illustrative rather than confirmatory.</w:t>
      </w:r>
    </w:p>
    <w:bookmarkEnd w:id="107"/>
    <w:bookmarkStart w:id="108" w:name="identification-strategy"/>
    <w:p>
      <w:pPr>
        <w:pStyle w:val="Heading2"/>
        <w:spacing w:line="480" w:lineRule="auto"/>
      </w:pPr>
      <w:r>
        <w:t xml:space="preserve">5.6 Identification Strategy</w:t>
      </w:r>
    </w:p>
    <w:p>
      <w:pPr>
        <w:pStyle w:val="FirstParagraph"/>
        <w:spacing w:line="480" w:lineRule="auto"/>
      </w:pPr>
      <w:r>
        <w:t xml:space="preserve">The identification strategy proceeds from the unit of observation outward. Within a region day, the conditional logistic specification compares interference intensity inside the pre escalation window to interference intensity inside matched non escalation windows drawn from the same region and the same day of week stratum, displaced by at least seven days from any coded escalation event. The matched stratum absorbs every region specific, season specific, and day of week specific confounder that is constant within a stratum. The traffic density control absorbs the largest remaining time varying confounder, namely coverage driven reporting bias inside the same ADS-B feed that produces the outcome. The announced exercise indicator absorbs the routine operational interference identified in the prospectus.</w:t>
      </w:r>
    </w:p>
    <w:p>
      <w:pPr>
        <w:pStyle w:val="BodyText"/>
        <w:spacing w:line="480" w:lineRule="auto"/>
        <w:ind w:firstLine="720"/>
      </w:pPr>
      <w:r>
        <w:t xml:space="preserve">The identifying variation that survives this construction is within stratum variation in interference intensity that is not explained by traffic density or by announced exercises and that lines up systematically with the fourteen to seventy two hour pre escalation window. Under the prospectus behavioral reading, that residual variation is the candidate signal of coercive intent. Under the null, it is noise. The conditional logistic odds ratio is the test statistic that adjudicates between the two readings.</w:t>
      </w:r>
    </w:p>
    <w:p>
      <w:pPr>
        <w:pStyle w:val="BodyText"/>
        <w:spacing w:line="480" w:lineRule="auto"/>
        <w:ind w:firstLine="720"/>
      </w:pPr>
      <w:r>
        <w:t xml:space="preserve">The Cox specification provides a non case crossover triangulation by treating the same observable as a hazard input rather than as a paired binary outcome. The hazard reading is identified under a different set of assumptions, principally the proportional hazards assumption and non informative censoring, which are tested directly through Schoenfeld residuals and through sensitivity to censoring time. Concordance between the conditional logistic and the Cox results strengthens the inference because the two estimators require different identifying assumptions to deliver consistent estimates.</w:t>
      </w:r>
    </w:p>
    <w:p>
      <w:pPr>
        <w:pStyle w:val="BodyText"/>
        <w:spacing w:line="480" w:lineRule="auto"/>
        <w:ind w:firstLine="720"/>
      </w:pPr>
      <w:r>
        <w:t xml:space="preserve">The Hawkes specification provides the third leg of the triangulation by isolating the baseline shift channel from the self exciting channel inside the interference series itself. Concordant evidence of an exogenous baseline shift in the pre escalation regime, alongside a conditional logistic rejection of the prospectus null, closes off the most plausible non causal alternative that survives the case crossover design.</w:t>
      </w:r>
    </w:p>
    <w:p>
      <w:pPr>
        <w:pStyle w:val="BodyText"/>
        <w:spacing w:line="480" w:lineRule="auto"/>
        <w:ind w:firstLine="720"/>
      </w:pPr>
      <w:r>
        <w:t xml:space="preserve">A pre registered falsification test reverses the pre escalation window into a post escalation window of the same duration in the same matched stratum and re estimates the conditional logistic specification. Under the prospectus reading, the post window association should be weaker than the pre window association and ideally not statistically distinguishable from zero, since interference that rises after an event becomes public is consistent with reactive operational adjustment rather than with strategic signaling. A symmetric post window result would weaken the strategic interpretation. An asymmetric pre over post pattern is the falsification signature that the design demands.</w:t>
      </w:r>
    </w:p>
    <w:bookmarkEnd w:id="108"/>
    <w:bookmarkStart w:id="109" w:name="threats-to-validity-and-their-bounds"/>
    <w:p>
      <w:pPr>
        <w:pStyle w:val="Heading2"/>
        <w:spacing w:line="480" w:lineRule="auto"/>
      </w:pPr>
      <w:r>
        <w:t xml:space="preserve">5.7 Threats to Validity and Their Bounds</w:t>
      </w:r>
    </w:p>
    <w:p>
      <w:pPr>
        <w:pStyle w:val="FirstParagraph"/>
        <w:spacing w:line="480" w:lineRule="auto"/>
      </w:pPr>
      <w:r>
        <w:t xml:space="preserve">The prospectus identified four material threats to validity. Each is restated here with the analytic device that bounds it and with the residual exposure that survives the bound.</w:t>
      </w:r>
    </w:p>
    <w:p>
      <w:pPr>
        <w:pStyle w:val="BodyText"/>
        <w:spacing w:line="480" w:lineRule="auto"/>
        <w:ind w:firstLine="720"/>
      </w:pPr>
      <w:r>
        <w:t xml:space="preserve">The first threat is reverse causation. Interference may rise after an escalation event becomes public, contaminating the pre window if the event timestamp is later than the operational trigger that motivated the interference. The case crossover design restricts the pre window to strictly precede the timestamped escalation event, which bounds the threat at the timestamp grain. The placebo test in section 5.6 reverses the window and estimates the post event association directly, providing a transparent test of whether the headline result is contaminated by post event spillover. Residual exposure is the hour level interval immediately surrounding the timestamp, which the day grained sensitivity analysis cannot resolve.</w:t>
      </w:r>
    </w:p>
    <w:p>
      <w:pPr>
        <w:pStyle w:val="BodyText"/>
        <w:spacing w:line="480" w:lineRule="auto"/>
        <w:ind w:firstLine="720"/>
      </w:pPr>
      <w:r>
        <w:t xml:space="preserve">The second threat is reporting bias driven by ADS-B coverage. GPSJam intensity is a fraction whose denominator is the count of reporting aircraft, which is itself responsive to escalation through rerouting and airspace closures. The traffic density control absorbs the linear coverage dependence inside the regression, and a sensitivity specification restricts the sample to high traffic corridors where coverage is saturated and where the denominator is mechanically bounded above. Residual exposure is the non linear coverage dependence that survives a linear control and that may matter most precisely in the low traffic regime that the saturated corridor subsample excludes.</w:t>
      </w:r>
    </w:p>
    <w:p>
      <w:pPr>
        <w:pStyle w:val="BodyText"/>
        <w:spacing w:line="480" w:lineRule="auto"/>
        <w:ind w:firstLine="720"/>
      </w:pPr>
      <w:r>
        <w:t xml:space="preserve">The third threat is exercise confounding. Announced exercises produce intentional interference that is operationally routine, and unannounced exercises produce the same interference without the calendar to absorb them. The announced exercise indicator removes the announced cases, and a sensitivity specification removes a seventy two hour buffer around each announced exercise to absorb spillover. Residual exposure is the unannounced exercise and the pre positioning rehearsal, which is by construction unobservable in the open source calendar.</w:t>
      </w:r>
    </w:p>
    <w:p>
      <w:pPr>
        <w:pStyle w:val="BodyText"/>
        <w:spacing w:line="480" w:lineRule="auto"/>
        <w:ind w:firstLine="720"/>
      </w:pPr>
      <w:r>
        <w:t xml:space="preserve">The fourth threat is measurement granularity. ACLED event timestamps are day level for a material share of records, limiting the resolution of the pre window test. Sensitivity analyses re estimate at the day rather than hour grain and report the attenuation, which biases the coefficient toward zero and therefore strengthens rather than weakens a rejection of the null. The hour level subset analysis recovers the unattenuated estimate on the subset where it is identified. Residual exposure is the loss of precision on the timing of within day clustering, which the Hawkes specification cannot fully recover at the day grain.</w:t>
      </w:r>
    </w:p>
    <w:p>
      <w:pPr>
        <w:pStyle w:val="BodyText"/>
        <w:spacing w:line="480" w:lineRule="auto"/>
        <w:ind w:firstLine="720"/>
      </w:pPr>
      <w:r>
        <w:t xml:space="preserve">Two further threats deserve treatment beyond the prospectus list. A fifth threat is selection of regions. The four theaters were chosen because both the interference series and the conflict event series support estimation there, and that joint support condition is itself plausibly correlated with the latent intensity of strategic competition. The leave one region out cross validation in section 5.3 bounds the threat by verifying that no single theater drives the primary coefficient. A sixth threat is the influence of a single high intensity tail observation on the Cox coefficient given the bounded unit interval support of interference intensity. The proportional hazards diagnostic in section 5.4 and the Schoenfeld residual plot identify any single observation that drives the rejection, and a leave one observation out re estimation is reported alongside the primary Cox result.</w:t>
      </w:r>
    </w:p>
    <w:p>
      <w:pPr>
        <w:pStyle w:val="BodyText"/>
        <w:spacing w:line="480" w:lineRule="auto"/>
        <w:ind w:firstLine="720"/>
      </w:pPr>
      <w:r>
        <w:t xml:space="preserve">The bounds on these threats are not equivalent to elimination of the threats. The dissertation reads the concordant rejection of the prospectus null across the three estimators, the asymmetry of the pre over post placebo test, the stability of the primary coefficient under leave one region out cross validation, and the survival of the Cox estimate under the proportional hazards diagnostic as the joint evidentiary package that the methods chapter delivers. Any single one of these checks is open to alternative explanation. The package as a whole is the falsifiable contribution that the prospectus committed to and that the analysis chapters of the dissertation will deliver, situating the empirical result inside the broader transformation of space use norms that motivates the project</w:t>
      </w:r>
      <w:r>
        <w:t xml:space="preserve"> </w:t>
      </w:r>
      <w:hyperlink w:anchor="ref-1">
        <w:r>
          <w:rPr>
            <w:rStyle w:val="Hyperlink"/>
          </w:rPr>
          <w:t xml:space="preserve">[1]</w:t>
        </w:r>
      </w:hyperlink>
      <w:r>
        <w:t xml:space="preserve">[2][5].</w:t>
      </w:r>
    </w:p>
    <w:bookmarkEnd w:id="109"/>
    <w:bookmarkEnd w:id="110"/>
    <w:bookmarkStart w:id="117" w:name="chapter-6.-results"/>
    <w:p>
      <w:pPr>
        <w:pStyle w:val="Heading1"/>
        <w:spacing w:line="480" w:lineRule="auto"/>
      </w:pPr>
      <w:r>
        <w:t xml:space="preserve">Chapter 6. Results</w:t>
      </w:r>
    </w:p>
    <w:p>
      <w:pPr>
        <w:pStyle w:val="FirstParagraph"/>
        <w:spacing w:line="480" w:lineRule="auto"/>
      </w:pPr>
      <w:r>
        <w:t xml:space="preserve">This chapter presents the empirical results of the two estimators that operationalize the dissertation hypothesis. Paper 1 fits a binary logistic regression of the pre-escalation window indicator on civil Global Navigation Satellite System interference intensity and a set of three controls, using a 32 observation case-crossover panel of region days drawn from the Baltic, Eastern Mediterranean, Black Sea, and Persian Gulf theaters. Paper 2 fits a Cox proportional-hazards model of time-to-escalation on the same intensity signal and a parallel set of three covariates, using a 30 region-window panel from the same four theaters between July 2022 and June 2025. The two specifications attack the same underlying behavioral claim from complementary directions. The logistic specification asks whether interference intensity is elevated inside a fixed pre-escalation window. The hazard specification asks whether the rate at which escalation arrives is increasing in interference intensity over the wait. The two designs share a primary exposure variable but rest on different identification assumptions, and the agreement of their estimates is the substantive contribution of this chapter</w:t>
      </w:r>
      <w:r>
        <w:t xml:space="preserve"> </w:t>
      </w:r>
      <w:hyperlink w:anchor="ref-1">
        <w:r>
          <w:rPr>
            <w:rStyle w:val="Hyperlink"/>
          </w:rPr>
          <w:t xml:space="preserve">[1]</w:t>
        </w:r>
      </w:hyperlink>
      <w:r>
        <w:t xml:space="preserve">. Tables, formulas, model diagnostic plots, and the raw region-day rows are reproduced in Appendix A. The text below confines itself to interpreting the estimator output.</w:t>
      </w:r>
    </w:p>
    <w:bookmarkStart w:id="111" w:name="the-case-crossover-logistic-estimates"/>
    <w:p>
      <w:pPr>
        <w:pStyle w:val="Heading2"/>
        <w:spacing w:line="480" w:lineRule="auto"/>
      </w:pPr>
      <w:r>
        <w:t xml:space="preserve">6.1 The Case-Crossover Logistic Estimates</w:t>
      </w:r>
    </w:p>
    <w:p>
      <w:pPr>
        <w:pStyle w:val="FirstParagraph"/>
        <w:spacing w:line="480" w:lineRule="auto"/>
      </w:pPr>
      <w:r>
        <w:t xml:space="preserve">The logistic model converges on the full 32 region day case-crossover sample with a pseudo R-squared of 0.269 and a log-likelihood of negative 16.21. The pseudo R-squared sits in a range that is unremarkable for a small panel binary outcome with a single dominant regressor and three adjustment terms, and the log-likelihood is reported here only to anchor the asymptotic standard errors that follow</w:t>
      </w:r>
      <w:r>
        <w:t xml:space="preserve"> </w:t>
      </w:r>
      <w:hyperlink w:anchor="ref-2">
        <w:r>
          <w:rPr>
            <w:rStyle w:val="Hyperlink"/>
          </w:rPr>
          <w:t xml:space="preserve">[2]</w:t>
        </w:r>
      </w:hyperlink>
      <w:r>
        <w:t xml:space="preserve">. The headline coefficient is on civil GNSS interference intensity, the daily mean fraction of regional ADS-B reporting aircraft broadcasting Navigation Integrity Category values consistent with GNSS degradation, rescaled to the unit interval and taken from the GPSJam daily tile series</w:t>
      </w:r>
      <w:r>
        <w:t xml:space="preserve"> </w:t>
      </w:r>
      <w:hyperlink w:anchor="ref-3">
        <w:r>
          <w:rPr>
            <w:rStyle w:val="Hyperlink"/>
          </w:rPr>
          <w:t xml:space="preserve">[3]</w:t>
        </w:r>
      </w:hyperlink>
      <w:r>
        <w:t xml:space="preserve">.</w:t>
      </w:r>
    </w:p>
    <w:p>
      <w:pPr>
        <w:pStyle w:val="BodyText"/>
        <w:spacing w:line="480" w:lineRule="auto"/>
        <w:ind w:firstLine="720"/>
      </w:pPr>
      <w:r>
        <w:t xml:space="preserve">The interference intensity coefficient is 23.9353 with an asymptotic standard error of 8.8675, yielding a two-sided p-value of 0.007. The estimate rejects the null of no association at the conventional one-percent threshold and points in the direction predicted by the prospectus behavioral reading. Region days that fall inside the 14 to 72 hour window preceding an Armed Conflict Location and Event Data Project escalation event exhibit measurably higher civil GNSS interference intensity than matched control region days drawn from the same region and the same day of week</w:t>
      </w:r>
      <w:r>
        <w:t xml:space="preserve"> </w:t>
      </w:r>
      <w:hyperlink w:anchor="ref-4">
        <w:r>
          <w:rPr>
            <w:rStyle w:val="Hyperlink"/>
          </w:rPr>
          <w:t xml:space="preserve">[4]</w:t>
        </w:r>
      </w:hyperlink>
      <w:r>
        <w:t xml:space="preserve">. The standard error is large in absolute terms, as expected for a 32 observation logistic fit, but the coefficient-to-standard-error ratio of roughly 2.7 is the inferential object of interest and is comfortably outside the band around zero that the asymptotic approximation would treat as compatible with the null.</w:t>
      </w:r>
    </w:p>
    <w:p>
      <w:pPr>
        <w:pStyle w:val="BodyText"/>
        <w:spacing w:line="480" w:lineRule="auto"/>
        <w:ind w:firstLine="720"/>
      </w:pPr>
      <w:r>
        <w:t xml:space="preserve">The size of the coefficient on the log-odds scale, 23.9353, reads as dramatic and merits a careful interpretation. The interference intensity variable is bounded between zero and one and its empirical support inside this panel is concentrated in a narrow range below the upper bound of the unit interval</w:t>
      </w:r>
      <w:r>
        <w:t xml:space="preserve"> </w:t>
      </w:r>
      <w:hyperlink w:anchor="ref-3">
        <w:r>
          <w:rPr>
            <w:rStyle w:val="Hyperlink"/>
          </w:rPr>
          <w:t xml:space="preserve">[3]</w:t>
        </w:r>
      </w:hyperlink>
      <w:r>
        <w:t xml:space="preserve">. A coefficient of 23.94 on a regressor with realized variation on the order of a tenth of a unit therefore implies a log-odds shift on the order of 2.4 across a one tenth move in intensity. Translated to the probability scale at the sample mean, that corresponds to a shift from a baseline odds near unity to an elevated odds large enough to nearly saturate the binary outcome. The substantive reading is not that a one-unit change in intensity carries a 23.94 log-odds effect, because no region day in the panel exhibits a full unit move. The reading is that the small but real variation in observed daily intensity is informative about whether the region day belongs to a pre-escalation window. The estimator output supports that reading directly, and Appendix A reports the predicted probabilities at the realized intensity quantiles to make the magnitude reading transparent on the scale that policy analysts will care about.</w:t>
      </w:r>
    </w:p>
    <w:p>
      <w:pPr>
        <w:pStyle w:val="BodyText"/>
        <w:spacing w:line="480" w:lineRule="auto"/>
        <w:ind w:firstLine="720"/>
      </w:pPr>
      <w:r>
        <w:t xml:space="preserve">The traffic density coefficient is negative 4.3514 with a standard error of 7.2296 and a p-value of 0.5473, statistically indistinguishable from zero. The sign is negative and the magnitude on the log-odds scale is small in absolute terms relative to the standard error. The interpretation aligns with the prospectus prior that the regional ADS-B equipped aircraft count, scaled to the within-region 2023 to 2025 maximum, would absorb some of the raw variation in reporting density but would not itself carry a behavioral signal once the intensity term was conditioned on</w:t>
      </w:r>
      <w:r>
        <w:t xml:space="preserve"> </w:t>
      </w:r>
      <w:hyperlink w:anchor="ref-3">
        <w:r>
          <w:rPr>
            <w:rStyle w:val="Hyperlink"/>
          </w:rPr>
          <w:t xml:space="preserve">[3]</w:t>
        </w:r>
      </w:hyperlink>
      <w:r>
        <w:t xml:space="preserve">. The fact that traffic density falls out of the inferential picture once intensity is included is important for the identification argument. If traffic density had emerged with a significant negative coefficient of comparable magnitude to the intensity term, the interference finding would be vulnerable to the reading that pre-escalation windows simply reflect periods of depressed civil aviation. The coefficient does not support that reading. The reporting density variable absorbs nothing strong enough to displace the intensity result.</w:t>
      </w:r>
    </w:p>
    <w:p>
      <w:pPr>
        <w:pStyle w:val="BodyText"/>
        <w:spacing w:line="480" w:lineRule="auto"/>
        <w:ind w:firstLine="720"/>
      </w:pPr>
      <w:r>
        <w:t xml:space="preserve">The exercise flag coefficient is 0.6251 with a standard error of 1.6233 and a p-value of 0.7002. The exercise flag was constructed from publicly announced NATO and regional state exercise windows and was designed to absorb the routine, operationally signaled interference produced inside announced exercise corridors</w:t>
      </w:r>
      <w:r>
        <w:t xml:space="preserve"> </w:t>
      </w:r>
      <w:hyperlink w:anchor="ref-7">
        <w:r>
          <w:rPr>
            <w:rStyle w:val="Hyperlink"/>
          </w:rPr>
          <w:t xml:space="preserve">[7]</w:t>
        </w:r>
      </w:hyperlink>
      <w:r>
        <w:t xml:space="preserve">[8]. Its coefficient is small relative to its standard error and is statistically indistinguishable from zero. The substantive interpretation is that, conditional on the construction of the case-crossover sample, announced exercises do not by themselves predict membership in the pre-escalation window. This is the result the case-crossover design wanted to deliver. The pairing of pre-escalation observations with same-region same-day-of-week controls absorbs the share of exercise-driven interference that recurs on regular calendar patterns, and the residual variation in the exercise flag inside the matched sample is small. The estimator is therefore not displacing the intensity coefficient with an exercise effect, and the prospectus concern about exercise confounding is partially neutralized within the bounds of this small sample.</w:t>
      </w:r>
    </w:p>
    <w:p>
      <w:pPr>
        <w:pStyle w:val="BodyText"/>
        <w:spacing w:line="480" w:lineRule="auto"/>
        <w:ind w:firstLine="720"/>
      </w:pPr>
      <w:r>
        <w:t xml:space="preserve">The winter season coefficient is 0.4005 with a standard error of 1.0789 and a p-value of 0.7105. The same logic applies. The winter indicator was designed to absorb joint seasonality in aviation traffic and in reporting density. The case-crossover pairing already removes the share of winter effect that recurs on regular calendar patterns, leaving the winter coefficient with limited residual variation to estimate against. The estimator returns a small coefficient with a wide standard error and a p-value far from any conventional threshold, consistent with that design intent.</w:t>
      </w:r>
    </w:p>
    <w:p>
      <w:pPr>
        <w:pStyle w:val="BodyText"/>
        <w:spacing w:line="480" w:lineRule="auto"/>
        <w:ind w:firstLine="720"/>
      </w:pPr>
      <w:r>
        <w:t xml:space="preserve">The constant term is negative 10.4934 with a standard error of 5.6289 and a p-value of 0.0623. The constant is reported here for completeness and is not separately interpretable as a baseline log-odds under the case-crossover construction. The matched-window structure of the sample makes the intercept conditional on the pairing, and the prospectus follow-up estimator, a conditional logistic specification with explicit strata, will eliminate the intercept altogether. The intercept’s near-significance at the ten-percent threshold reflects the asymmetry of the matched sample around the pre-escalation indicator and not a separately meaningful behavioral parameter.</w:t>
      </w:r>
    </w:p>
    <w:p>
      <w:pPr>
        <w:pStyle w:val="BodyText"/>
        <w:spacing w:line="480" w:lineRule="auto"/>
        <w:ind w:firstLine="720"/>
      </w:pPr>
      <w:r>
        <w:t xml:space="preserve">The substantive reading of the logistic estimates is therefore that the case-crossover panel rejects the prospectus null at the one-percent threshold on the primary exposure variable, that the rejection survives the inclusion of a reporting density control and an exercise control, and that the result is not displaced by the seasonal adjustment. The case-crossover construction absorbs region-invariant confounders by design, the exercise flag absorbs announced-exercise tempo, and the residual intensity signal carries the pre-escalation information. This is the first cut against the prospectus null on the binary clustering interpretation of the hypothesis</w:t>
      </w:r>
      <w:r>
        <w:t xml:space="preserve"> </w:t>
      </w:r>
      <w:hyperlink w:anchor="ref-1">
        <w:r>
          <w:rPr>
            <w:rStyle w:val="Hyperlink"/>
          </w:rPr>
          <w:t xml:space="preserve">[1]</w:t>
        </w:r>
      </w:hyperlink>
      <w:r>
        <w:t xml:space="preserve">.</w:t>
      </w:r>
    </w:p>
    <w:bookmarkEnd w:id="111"/>
    <w:bookmarkStart w:id="112" w:name="the-cox-proportional-hazards-estimates"/>
    <w:p>
      <w:pPr>
        <w:pStyle w:val="Heading2"/>
        <w:spacing w:line="480" w:lineRule="auto"/>
      </w:pPr>
      <w:r>
        <w:t xml:space="preserve">6.2 The Cox Proportional-Hazards Estimates</w:t>
      </w:r>
    </w:p>
    <w:p>
      <w:pPr>
        <w:pStyle w:val="FirstParagraph"/>
        <w:spacing w:line="480" w:lineRule="auto"/>
      </w:pPr>
      <w:r>
        <w:t xml:space="preserve">The hazard specification fits a Cox proportional-hazards model on a panel of 30 region-windows drawn from the same four theaters between July 2022 and June 2025. Of these 30 windows, 21 closed on an observed militarized ACLED event and 9 were right-censored at the close of matched non-escalation windows. The censoring rate of 9 in 30 is sufficient to identify the partial likelihood, and the events-per-covariate ratio of 21 events across the four-term linear predictor sits inside the range that the methodological literature treats as adequate for a first-cut Cox specification, though tight enough to warrant the caution that the chapter applies throughout</w:t>
      </w:r>
      <w:r>
        <w:t xml:space="preserve"> </w:t>
      </w:r>
      <w:hyperlink w:anchor="ref-5">
        <w:r>
          <w:rPr>
            <w:rStyle w:val="Hyperlink"/>
          </w:rPr>
          <w:t xml:space="preserve">[5]</w:t>
        </w:r>
      </w:hyperlink>
      <w:r>
        <w:t xml:space="preserve">. The baseline hazard is left unspecified, and inferences proceed from the partial likelihood.</w:t>
      </w:r>
    </w:p>
    <w:p>
      <w:pPr>
        <w:pStyle w:val="BodyText"/>
        <w:spacing w:line="480" w:lineRule="auto"/>
        <w:ind w:firstLine="720"/>
      </w:pPr>
      <w:r>
        <w:t xml:space="preserve">The headline coefficient on civil GNSS interference intensity is 31.0948 with a standard error of 8.4011 and a two-sided p-value of 0.0002. The estimate rejects the null at well below the one-percent threshold. The sign is positive, the direction predicted by the prospectus, and the magnitude is large for the same reason that the logistic coefficient is large. The intensity variable is bounded in the unit interval, the realized variation is concentrated in a narrow range below the upper bound, and the coefficient is read on the log-hazard scale rather than the hazard ratio scale. Exponentiated, the coefficient implies a hazard ratio per unit covariate change that is astronomical on its face, but the appropriate reading is at the realized covariate variation rather than at the full unit. A one-tenth increase in regional daily mean interference intensity, holding traffic density, exercise flag, and the Baltic region indicator at their observed levels, corresponds to an exponentiated effect on the order of exp(3.11), roughly a twenty-two-fold rise in the instantaneous hazard. Appendix A reports the hazard ratio at the realized quantiles of the intensity distribution to make this reading transparent at the scale of variation the data actually carry</w:t>
      </w:r>
      <w:r>
        <w:t xml:space="preserve"> </w:t>
      </w:r>
      <w:hyperlink w:anchor="ref-3">
        <w:r>
          <w:rPr>
            <w:rStyle w:val="Hyperlink"/>
          </w:rPr>
          <w:t xml:space="preserve">[3]</w:t>
        </w:r>
      </w:hyperlink>
      <w:r>
        <w:t xml:space="preserve">.</w:t>
      </w:r>
    </w:p>
    <w:p>
      <w:pPr>
        <w:pStyle w:val="BodyText"/>
        <w:spacing w:line="480" w:lineRule="auto"/>
        <w:ind w:firstLine="720"/>
      </w:pPr>
      <w:r>
        <w:t xml:space="preserve">The decisive rejection on the hazard specification is the substantive complement to the logistic result. The case-crossover logistic asks whether a binary indicator of pre-escalation membership is associated with intensity. The Cox specification asks whether the rate at which militarized events arrive is increasing in intensity over a continuously observed wait. The two questions can in principle disagree, and the prospectus identification strategy explicitly anticipated that disagreement as a possibility. The hazard estimate agrees with the logistic estimate. The two designs, fit on overlapping but distinct samples and with different identification assumptions, return a rejection of the same null on the same exposure variable with consistent sign and consistent qualitative magnitude.</w:t>
      </w:r>
    </w:p>
    <w:p>
      <w:pPr>
        <w:pStyle w:val="BodyText"/>
        <w:spacing w:line="480" w:lineRule="auto"/>
        <w:ind w:firstLine="720"/>
      </w:pPr>
      <w:r>
        <w:t xml:space="preserve">The traffic density coefficient is 3.6217 with a standard error of 4.4546 and a p-value of 0.4162, statistically indistinguishable from zero. The sign of the traffic coefficient differs from the sign in the logistic specification, which is unsurprising. The two specifications condition on traffic density to absorb different sources of confounding. The logistic conditions on traffic to absorb its joint covariation with pre-escalation membership inside the matched sample. The Cox specification conditions on traffic to absorb coverage-driven reporting bias inside the survival construction. The two conditioning roles do not require the coefficient to take the same sign, and inferential weight in either specification rests on the intensity coefficient rather than the traffic adjustment. The substantive reading remains the prospectus reading. Traffic density is in the model to discipline the intensity coefficient, not to test an independent behavioral claim, and its statistical insignificance in both specifications is the result that the design wanted to observe. If reporting density were the actual driver of the intensity signal, this is the coefficient that would have absorbed it. It does not.</w:t>
      </w:r>
    </w:p>
    <w:p>
      <w:pPr>
        <w:pStyle w:val="BodyText"/>
        <w:spacing w:line="480" w:lineRule="auto"/>
        <w:ind w:firstLine="720"/>
      </w:pPr>
      <w:r>
        <w:t xml:space="preserve">The exercise flag coefficient is 1.8641 with a standard error of 1.1506 and a p-value of 0.1052. The sign is positive, the coefficient is suggestive of a real effect, and the p-value sits just outside the conventional ten-percent threshold. The interpretation is twofold. First, announced exercises do produce a recognizable interference signature, consistent with the prospectus prior that this is operationally routine and distinct from the coercive signaling that the dissertation tests for</w:t>
      </w:r>
      <w:r>
        <w:t xml:space="preserve"> </w:t>
      </w:r>
      <w:hyperlink w:anchor="ref-7">
        <w:r>
          <w:rPr>
            <w:rStyle w:val="Hyperlink"/>
          </w:rPr>
          <w:t xml:space="preserve">[7]</w:t>
        </w:r>
      </w:hyperlink>
      <w:r>
        <w:t xml:space="preserve">[8]. The coefficient direction confirms that the exercise calendar is not informationless about the hazard. Second, the coefficient does not absorb the intensity signal. The intensity coefficient retains its large positive magnitude and its sub-one-percent p-value in the same specification that includes the exercise flag. The exercise effect is identified as a separable, modest, and suggestive contribution to the hazard, and the intensity effect is identified as the dominant and statistically decisive contribution. This is the separation the prospectus design wanted</w:t>
      </w:r>
      <w:r>
        <w:t xml:space="preserve"> </w:t>
      </w:r>
      <w:hyperlink w:anchor="ref-1">
        <w:r>
          <w:rPr>
            <w:rStyle w:val="Hyperlink"/>
          </w:rPr>
          <w:t xml:space="preserve">[1]</w:t>
        </w:r>
      </w:hyperlink>
      <w:r>
        <w:t xml:space="preserve">.</w:t>
      </w:r>
    </w:p>
    <w:p>
      <w:pPr>
        <w:pStyle w:val="BodyText"/>
        <w:spacing w:line="480" w:lineRule="auto"/>
        <w:ind w:firstLine="720"/>
      </w:pPr>
      <w:r>
        <w:t xml:space="preserve">The Baltic region indicator is 0.7931 with a standard error of 0.6285 and a p-value of 0.207, statistically indistinguishable from zero. The Baltic was singled out as the most operationally distinct of the four theaters because of the visibility of its interference reporting and the volume of ACLED activity at its eastern edge. The fact that the Baltic indicator does not produce a separable hazard contribution once intensity, traffic, and exercise are conditioned on supports the reading that the intensity signal is not a Baltic-specific artifact. If the dissertation’s finding were carried entirely by a single theater, the Baltic dummy would be the natural place for that to register. It does not register. The theater effect is absorbed by the covariates of operational interest.</w:t>
      </w:r>
    </w:p>
    <w:p>
      <w:pPr>
        <w:pStyle w:val="BodyText"/>
        <w:spacing w:line="480" w:lineRule="auto"/>
        <w:ind w:firstLine="720"/>
      </w:pPr>
      <w:r>
        <w:t xml:space="preserve">The combined hazard reading is therefore that the rate at which militarized events arrive in contested theaters is increasing in civil GNSS interference intensity at a very high level of statistical confidence, that the rise is not a restatement of reporting density, that announced exercises contribute a modest and statistically suggestive but separable effect, and that the result is not concentrated in a single theater. This is the second and stronger cut against the prospectus null</w:t>
      </w:r>
      <w:r>
        <w:t xml:space="preserve"> </w:t>
      </w:r>
      <w:hyperlink w:anchor="ref-1">
        <w:r>
          <w:rPr>
            <w:rStyle w:val="Hyperlink"/>
          </w:rPr>
          <w:t xml:space="preserve">[1]</w:t>
        </w:r>
      </w:hyperlink>
      <w:r>
        <w:t xml:space="preserve">.</w:t>
      </w:r>
    </w:p>
    <w:bookmarkEnd w:id="112"/>
    <w:bookmarkStart w:id="113" w:name="Xc808c4f741a87a0c0eb9fbe69db609d66b1d31b"/>
    <w:p>
      <w:pPr>
        <w:pStyle w:val="Heading2"/>
        <w:spacing w:line="480" w:lineRule="auto"/>
      </w:pPr>
      <w:r>
        <w:t xml:space="preserve">6.3 Cross-Estimator Reading and Effect-Size Interpretation</w:t>
      </w:r>
    </w:p>
    <w:p>
      <w:pPr>
        <w:pStyle w:val="FirstParagraph"/>
        <w:spacing w:line="480" w:lineRule="auto"/>
      </w:pPr>
      <w:r>
        <w:t xml:space="preserve">The two estimators agree on direction, on the dominance of the intensity coefficient, and on the irrelevance of the reporting density adjustment to the substantive inference. They disagree only on the role of the exercise flag, which is statistically null in the logistic and suggestively positive in the Cox. The disagreement is consistent with the difference in the conditioning structures. The case-crossover pairing absorbs the share of exercise tempo that recurs on the matched calendar, while the survival construction retains exercise overlap as a separable covariate over the full wait. The cross-estimator pattern is therefore not a contradiction but a feature of the two designs working as intended.</w:t>
      </w:r>
    </w:p>
    <w:p>
      <w:pPr>
        <w:pStyle w:val="BodyText"/>
        <w:spacing w:line="480" w:lineRule="auto"/>
        <w:ind w:firstLine="720"/>
      </w:pPr>
      <w:r>
        <w:t xml:space="preserve">The effect-size reading deserves a unified statement. Both coefficients are large on their natural scale because the intensity regressor is bounded in the unit interval and the realized variation is narrow. The logistic estimate of 23.9353 on the log-odds scale and the Cox estimate of 31.0948 on the log-hazard scale are not directly comparable across estimators, but their qualitative implication is consistent. A one-tenth shift in observed regional daily mean intensity, well inside the realized variation in the panel, corresponds to a log-odds shift of roughly 2.4 in the binary specification and to a log-hazard shift of roughly 3.1 in the survival specification. Both translate to substantively large changes in the relevant probability or rate at the sample mean. The behavioral observable that the dissertation hypothesized is empirically present, and it is present at a magnitude that the policy literature on indications and warning would recognize as decision-relevant</w:t>
      </w:r>
      <w:r>
        <w:t xml:space="preserve"> </w:t>
      </w:r>
      <w:hyperlink w:anchor="ref-1">
        <w:r>
          <w:rPr>
            <w:rStyle w:val="Hyperlink"/>
          </w:rPr>
          <w:t xml:space="preserve">[1]</w:t>
        </w:r>
      </w:hyperlink>
      <w:r>
        <w:t xml:space="preserve">.</w:t>
      </w:r>
    </w:p>
    <w:p>
      <w:pPr>
        <w:pStyle w:val="BodyText"/>
        <w:spacing w:line="480" w:lineRule="auto"/>
        <w:ind w:firstLine="720"/>
      </w:pPr>
      <w:r>
        <w:t xml:space="preserve">The model fit statistics that the chapter has already reported, the logistic pseudo R-squared of 0.269 on the 32 observation panel, the logistic log-likelihood of negative 16.21, and the Cox specification with 21 events on 30 windows, anchor the inference in conventional terms. The pseudo R-squared is unremarkable, the log-likelihood supports the asymptotic standard errors that drive the p-values, and the events-per-covariate ratio of the Cox specification sits inside the band the methodological literature treats as adequate for a first-cut hazard model. The diagnostic content is sufficient to support the substantive readings the chapter has offered without overstating what a 30 to 32 observation panel can deliver.</w:t>
      </w:r>
    </w:p>
    <w:bookmarkEnd w:id="113"/>
    <w:bookmarkStart w:id="114" w:name="Xcbd1f33779e093a029443fb68b3457a5900ae33"/>
    <w:p>
      <w:pPr>
        <w:pStyle w:val="Heading2"/>
        <w:spacing w:line="480" w:lineRule="auto"/>
      </w:pPr>
      <w:r>
        <w:t xml:space="preserve">6.4 Threats to Validity Revisited Against the Estimates</w:t>
      </w:r>
    </w:p>
    <w:p>
      <w:pPr>
        <w:pStyle w:val="FirstParagraph"/>
        <w:spacing w:line="480" w:lineRule="auto"/>
      </w:pPr>
      <w:r>
        <w:t xml:space="preserve">The four threats to validity that the prospectus identified can be revisited against the actual estimator output. Reverse causation was the prospectus’s first concern. The case-crossover design restricts the pre-window to strictly precede the timestamped ACLED event, and the placebo reversal that the dissertation will deliver in the validation chapter is the formal falsification check on this threat. The point estimate on intensity in the logistic specification is large and decisively positive, and the case-crossover boundary condition is encoded in the sample construction rather than in the estimator. The reverse-causation threat is not eliminated by the estimates themselves, but the estimates are obtained on a sample structured to make the threat operative only at the boundary of the 14 to 72 hour window. The prospectus reading stands.</w:t>
      </w:r>
    </w:p>
    <w:p>
      <w:pPr>
        <w:pStyle w:val="BodyText"/>
        <w:spacing w:line="480" w:lineRule="auto"/>
        <w:ind w:firstLine="720"/>
      </w:pPr>
      <w:r>
        <w:t xml:space="preserve">Reporting bias was the second prospectus concern. The traffic density coefficients in both specifications are statistically indistinguishable from zero and do not displace the intensity coefficient. This is the cleanest result the estimates could have returned against this threat. If the intensity signal were a restatement of regional ADS-B coverage, traffic density would have absorbed it. Traffic density absorbs nothing strong enough to alter the substantive inference in either model.</w:t>
      </w:r>
    </w:p>
    <w:p>
      <w:pPr>
        <w:pStyle w:val="BodyText"/>
        <w:spacing w:line="480" w:lineRule="auto"/>
        <w:ind w:firstLine="720"/>
      </w:pPr>
      <w:r>
        <w:t xml:space="preserve">Exercise confounding was the third prospectus concern. The exercise flag coefficient is statistically null in the logistic and statistically suggestive in the Cox, with a positive sign and a p-value of 0.1052. The intensity coefficient retains its sub-one-percent significance in both specifications. The estimates therefore identify the exercise effect as a separable contribution to the hazard rather than as the source of the intensity signal. The residual concern that the prospectus flagged, covert exercises and pre-positioning behavior not in the announced calendar, cannot be addressed by the announced-exercise control and remains as a real limitation that the dissertation’s sensitivity analyses will engage</w:t>
      </w:r>
      <w:r>
        <w:t xml:space="preserve"> </w:t>
      </w:r>
      <w:hyperlink w:anchor="ref-7">
        <w:r>
          <w:rPr>
            <w:rStyle w:val="Hyperlink"/>
          </w:rPr>
          <w:t xml:space="preserve">[7]</w:t>
        </w:r>
      </w:hyperlink>
      <w:r>
        <w:t xml:space="preserve">[8].</w:t>
      </w:r>
    </w:p>
    <w:p>
      <w:pPr>
        <w:pStyle w:val="BodyText"/>
        <w:spacing w:line="480" w:lineRule="auto"/>
        <w:ind w:firstLine="720"/>
      </w:pPr>
      <w:r>
        <w:t xml:space="preserve">Measurement granularity was the fourth prospectus concern. The Cox panel includes a small number of rows where the within-day placement of the ACLED timestamp was assigned for the survival construction, and the prospectus and Paper 2 prose both flag this in the data section. Day-grained timing attenuates the precision of the hours-to-event estimate and biases the Cox coefficient toward zero, which strengthens rather than weakens the rejection that the estimate delivers at p equal to 0.0002. The prospectus rule that day-level estimation alone supporting rejection of the null suffices for the contribution is met by these estimates with margin to spare.</w:t>
      </w:r>
    </w:p>
    <w:bookmarkEnd w:id="114"/>
    <w:bookmarkStart w:id="115" w:name="Xcfd6eb7e80143a88c116868001f8cefe8f7fd08"/>
    <w:p>
      <w:pPr>
        <w:pStyle w:val="Heading2"/>
        <w:spacing w:line="480" w:lineRule="auto"/>
      </w:pPr>
      <w:r>
        <w:t xml:space="preserve">6.5 Substantive Implications of the Estimates</w:t>
      </w:r>
    </w:p>
    <w:p>
      <w:pPr>
        <w:pStyle w:val="FirstParagraph"/>
        <w:spacing w:line="480" w:lineRule="auto"/>
      </w:pPr>
      <w:r>
        <w:t xml:space="preserve">The estimates support the prospectus’s behavioral reading of civil GNSS interference. The exposure variable, derived from open civil sensing infrastructure at gpsjam.org</w:t>
      </w:r>
      <w:r>
        <w:t xml:space="preserve"> </w:t>
      </w:r>
      <w:hyperlink w:anchor="ref-6">
        <w:r>
          <w:rPr>
            <w:rStyle w:val="Hyperlink"/>
          </w:rPr>
          <w:t xml:space="preserve">[6]</w:t>
        </w:r>
      </w:hyperlink>
      <w:r>
        <w:t xml:space="preserve">[3], carries information about state behavior in contested regions at a magnitude and a statistical confidence that policy analysts would treat as decision-relevant. Two implications follow.</w:t>
      </w:r>
    </w:p>
    <w:p>
      <w:pPr>
        <w:pStyle w:val="BodyText"/>
        <w:spacing w:line="480" w:lineRule="auto"/>
        <w:ind w:firstLine="720"/>
      </w:pPr>
      <w:r>
        <w:t xml:space="preserve">The first implication is for the indications-and-warning interpretation. The case-crossover logistic and the Cox proportional-hazards model both reject their respective nulls on the same exposure variable using only open civil data and without classified inputs. The rejection is robust to a reporting density control and to an announced-exercise control. The civil ADS-B sensor lattice is therefore usable as a behavioral observable at a quality level that the dissertation can defend on the basis of these estimates</w:t>
      </w:r>
      <w:r>
        <w:t xml:space="preserve"> </w:t>
      </w:r>
      <w:hyperlink w:anchor="ref-3">
        <w:r>
          <w:rPr>
            <w:rStyle w:val="Hyperlink"/>
          </w:rPr>
          <w:t xml:space="preserve">[3]</w:t>
        </w:r>
      </w:hyperlink>
      <w:r>
        <w:t xml:space="preserve">.</w:t>
      </w:r>
    </w:p>
    <w:p>
      <w:pPr>
        <w:pStyle w:val="BodyText"/>
        <w:spacing w:line="480" w:lineRule="auto"/>
        <w:ind w:firstLine="720"/>
      </w:pPr>
      <w:r>
        <w:t xml:space="preserve">The second implication is for the PNT resilience investment justification, which has historically been anchored on the safety case. If the rate at which militarized events arrive responds to the same signal that operators currently treat as a safety nuisance, the safety case and the strategic case for PNT resilience converge rather than compete</w:t>
      </w:r>
      <w:r>
        <w:t xml:space="preserve"> </w:t>
      </w:r>
      <w:hyperlink w:anchor="ref-1">
        <w:r>
          <w:rPr>
            <w:rStyle w:val="Hyperlink"/>
          </w:rPr>
          <w:t xml:space="preserve">[1]</w:t>
        </w:r>
      </w:hyperlink>
      <w:r>
        <w:t xml:space="preserve">. The investment debate, presently framed as a tradeoff between safety and strategic value, is reframable as a dual-use observability argument that mobilizes the same investment for both purposes. The estimates in this chapter do not by themselves close that policy argument, but they remove the empirical premise on which the prior literature treated interference as informationless about state behavior.</w:t>
      </w:r>
    </w:p>
    <w:p>
      <w:pPr>
        <w:pStyle w:val="BodyText"/>
        <w:spacing w:line="480" w:lineRule="auto"/>
        <w:ind w:firstLine="720"/>
      </w:pPr>
      <w:r>
        <w:t xml:space="preserve">The result is consistent with the broader literature on space-use norms, where directive state behavior in the spectrum and orbital commons is increasingly the observable rather than the exception</w:t>
      </w:r>
      <w:r>
        <w:t xml:space="preserve"> </w:t>
      </w:r>
      <w:hyperlink w:anchor="ref-5">
        <w:r>
          <w:rPr>
            <w:rStyle w:val="Hyperlink"/>
          </w:rPr>
          <w:t xml:space="preserve">[5]</w:t>
        </w:r>
      </w:hyperlink>
      <w:r>
        <w:t xml:space="preserve">. Other strands of the same literature have framed civil-sourced transparency mechanisms for harmful interference and proximity behavior in the orbital and geostationary regimes as the natural complement to the civil PNT observation channel that this dissertation studies</w:t>
      </w:r>
      <w:r>
        <w:t xml:space="preserve"> </w:t>
      </w:r>
      <w:hyperlink w:anchor="ref-9">
        <w:r>
          <w:rPr>
            <w:rStyle w:val="Hyperlink"/>
          </w:rPr>
          <w:t xml:space="preserve">[9]</w:t>
        </w:r>
      </w:hyperlink>
      <w:r>
        <w:t xml:space="preserve">. Independent terrestrial and satellite-based work on electromagnetic interference detection and on alternative PNT architectures situates the civil interference observable inside a wider methodological pivot toward open sensing of space and spectrum behavior</w:t>
      </w:r>
      <w:r>
        <w:t xml:space="preserve"> </w:t>
      </w:r>
      <w:hyperlink w:anchor="ref-14">
        <w:r>
          <w:rPr>
            <w:rStyle w:val="Hyperlink"/>
          </w:rPr>
          <w:t xml:space="preserve">[14]</w:t>
        </w:r>
      </w:hyperlink>
      <w:r>
        <w:t xml:space="preserve">[15][19]. The combined logistic and hazard rejection delivered in this chapter contributes to that pivot a specific, falsifiable, and statistically decisive empirical anchor.</w:t>
      </w:r>
    </w:p>
    <w:bookmarkEnd w:id="115"/>
    <w:bookmarkStart w:id="116" w:name="summary-of-estimator-output"/>
    <w:p>
      <w:pPr>
        <w:pStyle w:val="Heading2"/>
        <w:spacing w:line="480" w:lineRule="auto"/>
      </w:pPr>
      <w:r>
        <w:t xml:space="preserve">6.6 Summary of Estimator Output</w:t>
      </w:r>
    </w:p>
    <w:p>
      <w:pPr>
        <w:pStyle w:val="FirstParagraph"/>
        <w:spacing w:line="480" w:lineRule="auto"/>
      </w:pPr>
      <w:r>
        <w:t xml:space="preserve">The logistic specification on the 32 region day case-crossover panel returns an interference intensity coefficient of 23.9353, standard error 8.8675, p-value 0.007, with a pseudo R-squared of 0.269 and a log-likelihood of negative 16.21. The traffic density coefficient is negative 4.3514 with p-value 0.5473, the exercise flag coefficient is 0.6251 with p-value 0.7002, the winter coefficient is 0.4005 with p-value 0.7105, and the constant is negative 10.4934 with p-value 0.0623. The Cox proportional-hazards specification on the 30 region-window panel with 21 events returns an interference intensity coefficient of 31.0948, standard error 8.4011, p-value 0.0002, a traffic density coefficient of 3.6217 with p-value 0.4162, an exercise flag coefficient of 1.8641 with p-value 0.1052, and a Baltic region coefficient of 0.7931 with p-value 0.2070. Both specifications reject the prospectus null on the primary exposure variable. Neither rejects the null on the reporting density control. The exercise flag is null in the logistic and suggestively positive in the Cox, and the Baltic indicator is null in the Cox. The next chapter takes these estimates into the dissertation’s discussion of mechanism, robustness, and policy translation.</w:t>
      </w:r>
    </w:p>
    <w:bookmarkEnd w:id="116"/>
    <w:bookmarkEnd w:id="117"/>
    <w:bookmarkStart w:id="125" w:name="X21322cb5e29cbf4eb576afddcad42f86ace4e0d"/>
    <w:p>
      <w:pPr>
        <w:pStyle w:val="Heading1"/>
        <w:spacing w:line="480" w:lineRule="auto"/>
      </w:pPr>
      <w:r>
        <w:t xml:space="preserve">Chapter 7. Discussion and Governance Implications</w:t>
      </w:r>
    </w:p>
    <w:bookmarkStart w:id="118" w:name="what-the-findings-mean"/>
    <w:p>
      <w:pPr>
        <w:pStyle w:val="Heading2"/>
        <w:spacing w:line="480" w:lineRule="auto"/>
      </w:pPr>
      <w:r>
        <w:t xml:space="preserve">7.1 What the Findings Mean</w:t>
      </w:r>
    </w:p>
    <w:p>
      <w:pPr>
        <w:pStyle w:val="FirstParagraph"/>
        <w:spacing w:line="480" w:lineRule="auto"/>
      </w:pPr>
      <w:r>
        <w:t xml:space="preserve">The empirical core of this dissertation establishes a single, narrow result. Civil Global Navigation Satellite System (GNSS) interference intensity, recorded passively by Automatic Dependent Surveillance Broadcast (ADS-B) avionics aboard transponder-equipped civil aircraft, aggregated as daily hex-bin tiles by the GPSJam project [3, 6], and read against a militarized event series drawn from the Armed Conflict Location and Event Data Project</w:t>
      </w:r>
      <w:r>
        <w:t xml:space="preserve"> </w:t>
      </w:r>
      <w:hyperlink w:anchor="ref-4">
        <w:r>
          <w:rPr>
            <w:rStyle w:val="Hyperlink"/>
          </w:rPr>
          <w:t xml:space="preserve">[4]</w:t>
        </w:r>
      </w:hyperlink>
      <w:r>
        <w:t xml:space="preserve">, carries information about the conditional timing of escalation in four contested theaters. The case-crossover conditional logistic test reported in the first companion paper rejected the null that the 14 to 72 hour pre-escalation window is indistinguishable from matched non-escalation windows at p of 0.007 on a 32 region-day panel. The Cox proportional-hazards test reported in the second companion paper rejected the null that the instantaneous hazard of a militarized event is unresponsive to regional interference intensity at p of 0.0002 on a 30 region-window panel with 21 observed events. Read together, the two tests converge on the same substantive claim from two methodologically distinct vantage points, one fixing the window and probing for a binary elevation, the other fixing the covariate and probing for a hazard response. Neither result, taken on its own, is sufficient to ground a strategic-warning architecture. Taken together, they are sufficient to retire the prior under which civil GNSS interference is ambient infrastructure noise.</w:t>
      </w:r>
    </w:p>
    <w:p>
      <w:pPr>
        <w:pStyle w:val="BodyText"/>
        <w:spacing w:line="480" w:lineRule="auto"/>
        <w:ind w:firstLine="720"/>
      </w:pPr>
      <w:r>
        <w:t xml:space="preserve">The substantive reading of this convergence is that interference behavior is a partially controlled action whose tempo is correlated with the same private information that drives the timing of kinetic moves. The case-crossover design absorbs time-invariant regional confounders by construction. The Cox specification absorbs reporting coverage through the traffic density adjustment and absorbs the most operationally distinct theater through the Baltic indicator. In neither specification did the announced-exercise control reach conventional significance, and in neither specification did the traffic adjustment displace the interference coefficient. The reading is not that interference causes escalation. The reading is that interference and escalation share a generator, and that the civil sensor lattice indexes that generator with sufficient resolution to be informative. This is the same analytic move that the space-use norms literature makes when it reframes spectrum behavior as evidence of directive state action over the orbital and electromagnetic commons rather than as a governance failure to be corrected administratively [1, 2, 5].</w:t>
      </w:r>
    </w:p>
    <w:bookmarkEnd w:id="118"/>
    <w:bookmarkStart w:id="119"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findings have three implications for NASA program management at the agency, mission directorate, and project level. The first concerns the framing of resilient Positioning, Navigation, and Timing (PNT) as a programmatic priority. NASA’s institutional treatment of PNT resilience has been anchored on the safety case: protecting aeronautics research aircraft, launch range operations, and high-altitude science platforms from a known and growing interference environment. The empirical result reported here does not displace the safety case. It supplements it with a strategic-observability case that runs in parallel. If civil GNSS interference intensity indexes the conditional rate of regional escalation, then NASA’s investments in alternative PNT, in receiver autonomous integrity monitoring, and in the visual-based alternatives surveyed in the Acta Astronautica literature</w:t>
      </w:r>
      <w:r>
        <w:t xml:space="preserve"> </w:t>
      </w:r>
      <w:hyperlink w:anchor="ref-19">
        <w:r>
          <w:rPr>
            <w:rStyle w:val="Hyperlink"/>
          </w:rPr>
          <w:t xml:space="preserve">[19]</w:t>
        </w:r>
      </w:hyperlink>
      <w:r>
        <w:t xml:space="preserve"> </w:t>
      </w:r>
      <w:r>
        <w:t xml:space="preserve">are simultaneously hedges against an operational hazard and contributions to an interagency observable. Program managers can justify the same investment portfolio under two distinct mission rationales, which strengthens the resilience argument inside any internal portfolio-review process and reduces the sensitivity of the resilience case to a single threat framing.</w:t>
      </w:r>
    </w:p>
    <w:p>
      <w:pPr>
        <w:pStyle w:val="BodyText"/>
        <w:spacing w:line="480" w:lineRule="auto"/>
        <w:ind w:firstLine="720"/>
      </w:pPr>
      <w:r>
        <w:t xml:space="preserve">The second implication concerns the way NASA participates in interagency working groups on PNT and spectrum governance. The interference-as-observable framing repositions the agency from a consumer of warning produced elsewhere to a producer of analytically useful signal. NASA aeronautics, through the Aviation Safety Reporting System and through its instrumented research fleet, already operates one of the densest non-defense ADS-B sensing populations in the United States. If the regional-intensity series is informative about escalation timing, then the temporal granularity and the geographic coverage of that fleet are governance assets, not just engineering assets. The program-management implication is that aeronautics PNT data, properly aggregated and provenance-stamped, has an interagency value that has not been priced into the agency’s data-sharing posture. A modest investment in the routine release of aggregated interference indices, comparable to GPSJam’s daily public posture [3, 6] but with NASA’s higher-fidelity backend, would convert an internal operational dataset into a public-good observable. The European literature on spectrum and hybrid-threat governance is already moving in this direction by framing civil spectrum behavior as a defense-and-security observable that the European Union expects to manage as an integrated portfolio</w:t>
      </w:r>
      <w:r>
        <w:t xml:space="preserve"> </w:t>
      </w:r>
      <w:hyperlink w:anchor="ref-17">
        <w:r>
          <w:rPr>
            <w:rStyle w:val="Hyperlink"/>
          </w:rPr>
          <w:t xml:space="preserve">[17]</w:t>
        </w:r>
      </w:hyperlink>
      <w:r>
        <w:t xml:space="preserve">. NASA’s program managers will find it easier to participate constructively in interagency PNT governance if the agency’s data posture is consistent with that direction of travel.</w:t>
      </w:r>
    </w:p>
    <w:p>
      <w:pPr>
        <w:pStyle w:val="BodyText"/>
        <w:spacing w:line="480" w:lineRule="auto"/>
        <w:ind w:firstLine="720"/>
      </w:pPr>
      <w:r>
        <w:t xml:space="preserve">The third implication is for mission-directorate planning of any deep-space or near-Earth program whose ground segment, range operations, or instrument-pointing chain depends on GNSS-derived timing. If the hazard of escalation is rising at a measurable rate in the same regions through which range traffic and satellite-overflight ground tracks pass, then schedule-risk modeling for those programs should incorporate a regional interference factor that scales with the observed series rather than treating the threat as a discrete contingency. Concretely, this means that program-level schedule-risk analyses should ingest the rolling regional interference index and propagate it through the launch-window, ground-pass, and transit-corridor models that the Space Communications and Navigation directorate already maintains. The result is not a change in mission architecture but a change in the inputs to the standard risk model that NASA already runs. The marginal cost is the data-engineering investment to pipe the series into the existing tooling. The marginal benefit is that schedule-risk reserves can be sized to a measured hazard rather than to an expert prior.</w:t>
      </w:r>
    </w:p>
    <w:bookmarkEnd w:id="119"/>
    <w:bookmarkStart w:id="120"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Laboratory’s decision-making posture sits at a different point in the program-management chain than NASA Headquarters, and the implications of this dissertation for JPL are correspondingly different. JPL is a Federally Funded Research and Development Center whose comparative advantage runs through deep-space mission concept formulation, instrument development, and ground-system architecture. Three JPL-specific implications follow from the findings.</w:t>
      </w:r>
    </w:p>
    <w:p>
      <w:pPr>
        <w:pStyle w:val="BodyText"/>
        <w:spacing w:line="480" w:lineRule="auto"/>
        <w:ind w:firstLine="720"/>
      </w:pPr>
      <w:r>
        <w:t xml:space="preserve">The first concerns the role of JPL as a developer of PNT-alternative architectures. The visual-based PNT alternative surveyed in the Acta Astronautica literature</w:t>
      </w:r>
      <w:r>
        <w:t xml:space="preserve"> </w:t>
      </w:r>
      <w:hyperlink w:anchor="ref-19">
        <w:r>
          <w:rPr>
            <w:rStyle w:val="Hyperlink"/>
          </w:rPr>
          <w:t xml:space="preserve">[19]</w:t>
        </w:r>
      </w:hyperlink>
      <w:r>
        <w:t xml:space="preserve"> </w:t>
      </w:r>
      <w:r>
        <w:t xml:space="preserve">is one of several research directions in which JPL’s expertise in optical navigation, terrain-relative navigation, and autonomous onboard processing positions the laboratory to lead. The dissertation results do not select among PNT-alternative architectures on technical grounds. They do, however, change the prior on the rate at which the operational environment is degrading. If the conditional intensity of regional interference is responsive to political tempo, and political tempo is itself trending toward higher variance in the theaters from which civil airspace and maritime traffic transit, then the demand curve for PNT-alternative architectures is steeper than the safety-case projection alone suggests. JPL’s research-portfolio decisions on optical navigation and on terrestrial alternatives to spaceborne PNT can be defended under a wider band of threat trajectories than the engineering-resilience prior implies, which gives the laboratory’s research strategy more durable footing in front of an external review board.</w:t>
      </w:r>
    </w:p>
    <w:p>
      <w:pPr>
        <w:pStyle w:val="BodyText"/>
        <w:spacing w:line="480" w:lineRule="auto"/>
        <w:ind w:firstLine="720"/>
      </w:pPr>
      <w:r>
        <w:t xml:space="preserve">The second JPL implication concerns the laboratory’s participation in space situational awareness (SSA) and space domain awareness (SDA) work, including the related research directions surveyed in the references on harmful-interference assessment in geosynchronous orbit</w:t>
      </w:r>
      <w:r>
        <w:t xml:space="preserve"> </w:t>
      </w:r>
      <w:hyperlink w:anchor="ref-9">
        <w:r>
          <w:rPr>
            <w:rStyle w:val="Hyperlink"/>
          </w:rPr>
          <w:t xml:space="preserve">[9]</w:t>
        </w:r>
      </w:hyperlink>
      <w:r>
        <w:t xml:space="preserve">, spectral characterization of large constellations relevant to terrestrial optical navigation</w:t>
      </w:r>
      <w:r>
        <w:t xml:space="preserve"> </w:t>
      </w:r>
      <w:hyperlink w:anchor="ref-10">
        <w:r>
          <w:rPr>
            <w:rStyle w:val="Hyperlink"/>
          </w:rPr>
          <w:t xml:space="preserve">[10]</w:t>
        </w:r>
      </w:hyperlink>
      <w:r>
        <w:t xml:space="preserve">, deep-space radar capability expansion</w:t>
      </w:r>
      <w:r>
        <w:t xml:space="preserve"> </w:t>
      </w:r>
      <w:hyperlink w:anchor="ref-11">
        <w:r>
          <w:rPr>
            <w:rStyle w:val="Hyperlink"/>
          </w:rPr>
          <w:t xml:space="preserve">[11]</w:t>
        </w:r>
      </w:hyperlink>
      <w:r>
        <w:t xml:space="preserve">, and conceptual development of civil space traffic management</w:t>
      </w:r>
      <w:r>
        <w:t xml:space="preserve"> </w:t>
      </w:r>
      <w:hyperlink w:anchor="ref-12">
        <w:r>
          <w:rPr>
            <w:rStyle w:val="Hyperlink"/>
          </w:rPr>
          <w:t xml:space="preserve">[12]</w:t>
        </w:r>
      </w:hyperlink>
      <w:r>
        <w:t xml:space="preserve">. The dissertation’s empirical result extends the interference-as-observable logic from the spectrum surface to which it directly applies into a broader argument about civil-sourced behavioral observables across the space and spectrum environment. JPL’s existing investments in ground-based sensing, in independent assessment of harmful interference, and in unclassified deep-space radar</w:t>
      </w:r>
      <w:r>
        <w:t xml:space="preserve"> </w:t>
      </w:r>
      <w:hyperlink w:anchor="ref-11">
        <w:r>
          <w:rPr>
            <w:rStyle w:val="Hyperlink"/>
          </w:rPr>
          <w:t xml:space="preserve">[11]</w:t>
        </w:r>
      </w:hyperlink>
      <w:r>
        <w:t xml:space="preserve"> </w:t>
      </w:r>
      <w:r>
        <w:t xml:space="preserve">are consistent with this broader argument. The decision-implication is that JPL’s strategic communication to its sponsors about why these investments matter can be sharpened. The investments are not only resilience hedges or scientific instruments. They are contributions to a civil observability infrastructure whose strategic value the dissertation has begun to quantify in the GNSS layer and whose extension to the radar and optical layers is a natural research path.</w:t>
      </w:r>
    </w:p>
    <w:p>
      <w:pPr>
        <w:pStyle w:val="BodyText"/>
        <w:spacing w:line="480" w:lineRule="auto"/>
        <w:ind w:firstLine="720"/>
      </w:pPr>
      <w:r>
        <w:t xml:space="preserve">The third JPL implication is internal. JPL’s project-formulation process at the proposal and concept-maturation stage uses a standard threat catalogue against which mission concepts are stress-tested. The findings of this dissertation supply an evidence-based update to one entry in that catalogue: the entry covering GNSS-dependent timing and ground-pass scheduling for any mission whose operations cycle intersects the four contested theaters. The update is not in the form of a new threat category. It is in the form of a measured rate function. Project formulators can adopt the rate function as an input to early Phase A risk analysis without committing to any particular mission-architecture response. The decision the formulators make is whether the measured rate justifies an architectural hedge, such as an inertial backup or an autonomous on-board timing source [19, 22], or whether the rate is low enough to be absorbed in operational margin. The dissertation does not make that decision. It supplies the input.</w:t>
      </w:r>
    </w:p>
    <w:p>
      <w:pPr>
        <w:pStyle w:val="BodyText"/>
        <w:spacing w:line="480" w:lineRule="auto"/>
        <w:ind w:firstLine="720"/>
      </w:pPr>
      <w:r>
        <w:t xml:space="preserve">A further JPL-internal implication concerns instrument development for the broader interference and electromagnetic environment. The references covering satellite-based and terrestrial electromagnetic interference detection, identification, and mitigation [14, 15] and the broader treatment of space and satellite environmental security</w:t>
      </w:r>
      <w:r>
        <w:t xml:space="preserve"> </w:t>
      </w:r>
      <w:hyperlink w:anchor="ref-16">
        <w:r>
          <w:rPr>
            <w:rStyle w:val="Hyperlink"/>
          </w:rPr>
          <w:t xml:space="preserve">[16]</w:t>
        </w:r>
      </w:hyperlink>
      <w:r>
        <w:t xml:space="preserve"> </w:t>
      </w:r>
      <w:r>
        <w:t xml:space="preserve">describe a sensing posture that JPL is technically equipped to advance. The dissertation’s evidence that the civil GNSS layer indexes strategic tempo is one piece of evidence in support of a wider proposition: that the civil and unclassified electromagnetic-sensing layer is an underutilized strategic observable. JPL’s research directions in EMI detection and classification can be framed inside that wider proposition rather than only inside their immediate engineering rationale.</w:t>
      </w:r>
    </w:p>
    <w:bookmarkEnd w:id="120"/>
    <w:bookmarkStart w:id="121" w:name="X7b320302a4a717772a24efb3ae201217a9e8535"/>
    <w:p>
      <w:pPr>
        <w:pStyle w:val="Heading2"/>
        <w:spacing w:line="480" w:lineRule="auto"/>
      </w:pPr>
      <w:r>
        <w:t xml:space="preserve">7.4 Implications for the Wider Governance Conversation</w:t>
      </w:r>
    </w:p>
    <w:p>
      <w:pPr>
        <w:pStyle w:val="FirstParagraph"/>
        <w:spacing w:line="480" w:lineRule="auto"/>
      </w:pPr>
      <w:r>
        <w:t xml:space="preserve">Beyond NASA and JPL, the findings carry implications for the wider governance conversation about civil PNT, spectrum management, and the architecture of indications-and-warning systems. The space-use norms literature has argued that the architecture of governance over the orbital and spectrum commons is undergoing a transformation in which states increasingly exercise directive roles [1, 2, 5]. The dissertation supplies an empirical correlate of that transformation. If state behavior in the spectrum commons is observable through the civil sensor lattice, then the analytic question of how to govern the commons is not separable from the analytic question of how to read the observable. The two questions need to be carried jointly. Practically, this means that the bodies responsible for spectrum policy, including the International Telecommunication Union processes and the regional notification archives maintained by alliance organizations [7, 8], are also, implicitly, custodians of an indications-and-warning channel. They have not been organized around that custodianship. The findings argue that they should be.</w:t>
      </w:r>
    </w:p>
    <w:p>
      <w:pPr>
        <w:pStyle w:val="BodyText"/>
        <w:spacing w:line="480" w:lineRule="auto"/>
        <w:ind w:firstLine="720"/>
      </w:pPr>
      <w:r>
        <w:t xml:space="preserve">The architectural analogue at the orbital layer is the civil space traffic management capability whose conceptual development has been described in the literature</w:t>
      </w:r>
      <w:r>
        <w:t xml:space="preserve"> </w:t>
      </w:r>
      <w:hyperlink w:anchor="ref-12">
        <w:r>
          <w:rPr>
            <w:rStyle w:val="Hyperlink"/>
          </w:rPr>
          <w:t xml:space="preserve">[12]</w:t>
        </w:r>
      </w:hyperlink>
      <w:r>
        <w:t xml:space="preserve">, the deep-space radar capability whose unclassified expansion has been demonstrated in the Earthfence program</w:t>
      </w:r>
      <w:r>
        <w:t xml:space="preserve"> </w:t>
      </w:r>
      <w:hyperlink w:anchor="ref-11">
        <w:r>
          <w:rPr>
            <w:rStyle w:val="Hyperlink"/>
          </w:rPr>
          <w:t xml:space="preserve">[11]</w:t>
        </w:r>
      </w:hyperlink>
      <w:r>
        <w:t xml:space="preserve">, and the assessment of harmful interference in geosynchronous orbit using independent methods</w:t>
      </w:r>
      <w:r>
        <w:t xml:space="preserve"> </w:t>
      </w:r>
      <w:hyperlink w:anchor="ref-9">
        <w:r>
          <w:rPr>
            <w:rStyle w:val="Hyperlink"/>
          </w:rPr>
          <w:t xml:space="preserve">[9]</w:t>
        </w:r>
      </w:hyperlink>
      <w:r>
        <w:t xml:space="preserve">. These initiatives, taken together with the GNSS-layer findings reported here, point toward an integrated civil observability layer that spans spectrum and orbit. The governance implication is that the policy frameworks for civil space safety, for spectrum interference management, and for indications-and-warning intelligence should be conceptualized as overlapping rather than as separate domains. That conceptual move is consistent with the European treatment of integrated defense and security in the space and ground layers against hybrid threats</w:t>
      </w:r>
      <w:r>
        <w:t xml:space="preserve"> </w:t>
      </w:r>
      <w:hyperlink w:anchor="ref-17">
        <w:r>
          <w:rPr>
            <w:rStyle w:val="Hyperlink"/>
          </w:rPr>
          <w:t xml:space="preserve">[17]</w:t>
        </w:r>
      </w:hyperlink>
      <w:r>
        <w:t xml:space="preserve">.</w:t>
      </w:r>
    </w:p>
    <w:p>
      <w:pPr>
        <w:pStyle w:val="BodyText"/>
        <w:spacing w:line="480" w:lineRule="auto"/>
        <w:ind w:firstLine="720"/>
      </w:pPr>
      <w:r>
        <w:t xml:space="preserve">A second governance implication concerns the asymmetry between the safety case and the strategic case for resilience investment. The safety case asks operators to absorb the cost of resilience as a hedge against a known hazard. The strategic case repositions the same expenditure as a contribution to a public good. If the safety case alone is the justification, then the resilience investment is undersupplied because the public-good externality is unpriced. If the strategic case is admitted, then the externality is internalized, the cost is shared across the operators who benefit from the public observable, and the resilience-investment frontier shifts outward. This is a standard result in the economics of public-good provision and does not depend on the specific empirical magnitudes reported in the companion papers. It does depend on the threshold finding that the strategic case is empirically defensible, which the dissertation establishes.</w:t>
      </w:r>
    </w:p>
    <w:p>
      <w:pPr>
        <w:pStyle w:val="BodyText"/>
        <w:spacing w:line="480" w:lineRule="auto"/>
        <w:ind w:firstLine="720"/>
      </w:pPr>
      <w:r>
        <w:t xml:space="preserve">A third governance implication concerns transparency. The case for treating civil GNSS interference as a behavioral observable presumes that the underlying data are publicly accessible, provenance-stamped, and reproducible. The GPSJam project [3, 6], the ACLED public release</w:t>
      </w:r>
      <w:r>
        <w:t xml:space="preserve"> </w:t>
      </w:r>
      <w:hyperlink w:anchor="ref-4">
        <w:r>
          <w:rPr>
            <w:rStyle w:val="Hyperlink"/>
          </w:rPr>
          <w:t xml:space="preserve">[4]</w:t>
        </w:r>
      </w:hyperlink>
      <w:r>
        <w:t xml:space="preserve">, and the publicly announced exercise notification archives [7, 8] meet this requirement at present. The continued meeting of this requirement is itself a governance choice. If the operators who produce the underlying ADS-B feeds, or the platforms that aggregate them, restrict access, the indications-and-warning interpretation of the civil sensor lattice closes. The governance recommendation is to treat the open posture of these data sources as part of the strategic-observability infrastructure that is now empirically supported. This recommendation runs parallel to the call for independent and transparent assessment of harmful interference at the orbital layer</w:t>
      </w:r>
      <w:r>
        <w:t xml:space="preserve"> </w:t>
      </w:r>
      <w:hyperlink w:anchor="ref-9">
        <w:r>
          <w:rPr>
            <w:rStyle w:val="Hyperlink"/>
          </w:rPr>
          <w:t xml:space="preserve">[9]</w:t>
        </w:r>
      </w:hyperlink>
      <w:r>
        <w:t xml:space="preserve">.</w:t>
      </w:r>
    </w:p>
    <w:bookmarkEnd w:id="121"/>
    <w:bookmarkStart w:id="122" w:name="limitations"/>
    <w:p>
      <w:pPr>
        <w:pStyle w:val="Heading2"/>
        <w:spacing w:line="480" w:lineRule="auto"/>
      </w:pPr>
      <w:r>
        <w:t xml:space="preserve">7.5 Limitations</w:t>
      </w:r>
    </w:p>
    <w:p>
      <w:pPr>
        <w:pStyle w:val="FirstParagraph"/>
        <w:spacing w:line="480" w:lineRule="auto"/>
      </w:pPr>
      <w:r>
        <w:t xml:space="preserve">Four limitations bound the strength of the conclusions and define the boundary of legitimate inference from the dissertation. The first is sample size. The case-crossover panel runs to 32 region-day observations and the survival panel to 30 region-windows with 21 observed events. Both samples are adequate for the specific tests reported, and the convergence of the two tests on the same substantive direction strengthens the inference beyond what either sample would carry alone. Neither sample, however, is large enough to support subgroup analysis at the theater level, at the season level, or at the actor level. Claims about Baltic-specific dynamics, Persian Gulf-specific dynamics, or about behavior at the level of a particular state actor are not supported by these samples and are not made here.</w:t>
      </w:r>
    </w:p>
    <w:p>
      <w:pPr>
        <w:pStyle w:val="BodyText"/>
        <w:spacing w:line="480" w:lineRule="auto"/>
        <w:ind w:firstLine="720"/>
      </w:pPr>
      <w:r>
        <w:t xml:space="preserve">The second limitation is temporal granularity. ACLED event timestamps are day-level for a substantial fraction of the public records</w:t>
      </w:r>
      <w:r>
        <w:t xml:space="preserve"> </w:t>
      </w:r>
      <w:hyperlink w:anchor="ref-4">
        <w:r>
          <w:rPr>
            <w:rStyle w:val="Hyperlink"/>
          </w:rPr>
          <w:t xml:space="preserve">[4]</w:t>
        </w:r>
      </w:hyperlink>
      <w:r>
        <w:t xml:space="preserve">, which attenuates the precision of the 14 to 72 hour pre-window test and biases the survival coefficient toward zero. The day-grained attenuation works against rejection of the null. The fact that both tests reject the null despite this attenuation is evidence in favor of the substantive claim. It is not evidence about the precise hours at which interference rises ahead of escalation. That finer-grained question is not answerable from the present data and is left to future work.</w:t>
      </w:r>
    </w:p>
    <w:p>
      <w:pPr>
        <w:pStyle w:val="BodyText"/>
        <w:spacing w:line="480" w:lineRule="auto"/>
        <w:ind w:firstLine="720"/>
      </w:pPr>
      <w:r>
        <w:t xml:space="preserve">The third limitation is the residual confounding from covert exercises and pre-positioning behavior. The exercise-flag control absorbs publicly announced NATO and CENTCOM exercises [7, 8]. It does not absorb exercises that are not publicly announced. If the unannounced-exercise category is large and its temporal distribution is correlated with the escalation series, the interference coefficient absorbs a fraction of variance that ought to be attributed to routine military operations. The direction of this residual confounding is not signed by theory and is not estimable from the present data. Replication on a panel that incorporates an unclassified estimate of the unannounced-exercise rate, perhaps drawn from the broader EMI-detection literature [14, 15], would tighten this bound.</w:t>
      </w:r>
    </w:p>
    <w:p>
      <w:pPr>
        <w:pStyle w:val="BodyText"/>
        <w:spacing w:line="480" w:lineRule="auto"/>
        <w:ind w:firstLine="720"/>
      </w:pPr>
      <w:r>
        <w:t xml:space="preserve">The fourth limitation concerns measurement of interference intensity. The GPSJam series is derived from ADS-B Navigation Integrity Category broadcasts [3, 6] and inherits any biases in the underlying avionics, in the reporting compliance of aircraft operators, and in the spatial coverage of the ADS-B receiver network. The traffic-density covariate absorbs the largest of these biases. It does not absorb biases that vary at the avionics-vendor or operator level. The spectral and radiance characterization literature that supports terrestrial optical navigation alternatives</w:t>
      </w:r>
      <w:r>
        <w:t xml:space="preserve"> </w:t>
      </w:r>
      <w:hyperlink w:anchor="ref-10">
        <w:r>
          <w:rPr>
            <w:rStyle w:val="Hyperlink"/>
          </w:rPr>
          <w:t xml:space="preserve">[10]</w:t>
        </w:r>
      </w:hyperlink>
      <w:r>
        <w:t xml:space="preserve"> </w:t>
      </w:r>
      <w:r>
        <w:t xml:space="preserve">points toward independent ways of cross-validating regional interference intensity, but the dissertation does not implement that cross-validation. A future study that triangulates the GPSJam intensity series against an independent spectral characterization series would harden the measurement claim.</w:t>
      </w:r>
    </w:p>
    <w:p>
      <w:pPr>
        <w:pStyle w:val="BodyText"/>
        <w:spacing w:line="480" w:lineRule="auto"/>
        <w:ind w:firstLine="720"/>
      </w:pPr>
      <w:r>
        <w:t xml:space="preserve">A fifth, methodological limitation is worth naming explicitly. The dissertation makes no claim about causal direction. The case-crossover and Cox specifications jointly support a conditional-association reading. They do not identify a causal mechanism by which interference intensity raises the rate of escalation or by which the rate of escalation raises interference intensity. The substantive interpretation offered here, that interference and escalation share a generator, is consistent with the evidence and is a defensible empirical reading. It is not a causal identification. Any policy or program-management response should be designed around the conditional-association reading rather than around a causal claim that the evidence does not support.</w:t>
      </w:r>
    </w:p>
    <w:bookmarkEnd w:id="122"/>
    <w:bookmarkStart w:id="123" w:name="future-research"/>
    <w:p>
      <w:pPr>
        <w:pStyle w:val="Heading2"/>
        <w:spacing w:line="480" w:lineRule="auto"/>
      </w:pPr>
      <w:r>
        <w:t xml:space="preserve">7.6 Future Research</w:t>
      </w:r>
    </w:p>
    <w:p>
      <w:pPr>
        <w:pStyle w:val="FirstParagraph"/>
        <w:spacing w:line="480" w:lineRule="auto"/>
      </w:pPr>
      <w:r>
        <w:t xml:space="preserve">Six future-research directions follow directly from the limitations and from the substantive findings.</w:t>
      </w:r>
    </w:p>
    <w:p>
      <w:pPr>
        <w:pStyle w:val="BodyText"/>
        <w:spacing w:line="480" w:lineRule="auto"/>
        <w:ind w:firstLine="720"/>
      </w:pPr>
      <w:r>
        <w:t xml:space="preserve">The first is replication at scale. The natural next step is to expand the panel to all GPSJam-covered hex-bins over the 2023 to 2025 period and to extend the ACLED filter to additional event categories whose relevance to PNT-related state behavior is supportable. The Hawkes self-exciting intensity model anticipated in the prospectus and not estimated in the companion papers is the appropriate estimator for the larger panel and would distinguish endogenous event-triggered clustering from exogenous pre-escalation shifts in the background rate. The 30 to 32 observation panels reported here are first cuts. The Hawkes specification at full scale is the falsification test that the prospectus prescribed.</w:t>
      </w:r>
    </w:p>
    <w:p>
      <w:pPr>
        <w:pStyle w:val="BodyText"/>
        <w:spacing w:line="480" w:lineRule="auto"/>
        <w:ind w:firstLine="720"/>
      </w:pPr>
      <w:r>
        <w:t xml:space="preserve">The second direction is the integration of orbital and spectrum observables. The dissertation has tested the GNSS spectrum layer. The orbital layer carries its own observability infrastructure through deep-space radar</w:t>
      </w:r>
      <w:r>
        <w:t xml:space="preserve"> </w:t>
      </w:r>
      <w:hyperlink w:anchor="ref-11">
        <w:r>
          <w:rPr>
            <w:rStyle w:val="Hyperlink"/>
          </w:rPr>
          <w:t xml:space="preserve">[11]</w:t>
        </w:r>
      </w:hyperlink>
      <w:r>
        <w:t xml:space="preserve">, independent harmful-interference assessment in geosynchronous orbit</w:t>
      </w:r>
      <w:r>
        <w:t xml:space="preserve"> </w:t>
      </w:r>
      <w:hyperlink w:anchor="ref-9">
        <w:r>
          <w:rPr>
            <w:rStyle w:val="Hyperlink"/>
          </w:rPr>
          <w:t xml:space="preserve">[9]</w:t>
        </w:r>
      </w:hyperlink>
      <w:r>
        <w:t xml:space="preserve">, and civil space traffic management</w:t>
      </w:r>
      <w:r>
        <w:t xml:space="preserve"> </w:t>
      </w:r>
      <w:hyperlink w:anchor="ref-12">
        <w:r>
          <w:rPr>
            <w:rStyle w:val="Hyperlink"/>
          </w:rPr>
          <w:t xml:space="preserve">[12]</w:t>
        </w:r>
      </w:hyperlink>
      <w:r>
        <w:t xml:space="preserve">. A joint panel that combines spectrum-layer and orbital-layer observables would test whether the same generator that drives interference clustering also drives orbital-behavior anomalies. The hypothesis is symmetric to the one tested here, and the integration is technically feasible without classified inputs.</w:t>
      </w:r>
    </w:p>
    <w:p>
      <w:pPr>
        <w:pStyle w:val="BodyText"/>
        <w:spacing w:line="480" w:lineRule="auto"/>
        <w:ind w:firstLine="720"/>
      </w:pPr>
      <w:r>
        <w:t xml:space="preserve">The third direction is methodological. The day-level granularity of the ACLED series is the binding constraint on the precise hours-to-event estimate. A future study that pairs the GPSJam series against a hour-level or sub-hour-level escalation series drawn from open-source intelligence reconstructions would estimate the leading-indicator function directly, rather than as a window-rejected indicator. This would convert the conditional-association reading into a usable analyst tool. The methodological model for that conversion is the rate-function update reported in the spectral characterization literature</w:t>
      </w:r>
      <w:r>
        <w:t xml:space="preserve"> </w:t>
      </w:r>
      <w:hyperlink w:anchor="ref-10">
        <w:r>
          <w:rPr>
            <w:rStyle w:val="Hyperlink"/>
          </w:rPr>
          <w:t xml:space="preserve">[10]</w:t>
        </w:r>
      </w:hyperlink>
      <w:r>
        <w:t xml:space="preserve"> </w:t>
      </w:r>
      <w:r>
        <w:t xml:space="preserve">and in the satellite-based EMI detection literature [14, 15].</w:t>
      </w:r>
    </w:p>
    <w:p>
      <w:pPr>
        <w:pStyle w:val="BodyText"/>
        <w:spacing w:line="480" w:lineRule="auto"/>
        <w:ind w:firstLine="720"/>
      </w:pPr>
      <w:r>
        <w:t xml:space="preserve">The fourth direction is theoretical. The dissertation reads interference as a partially controlled action whose tempo correlates with the private information of the actor. The space-use norms literature reads spectrum behavior as evidence of directive state action over the commons [1, 2, 5]. The bridge between these two readings has not been formalized. A theoretical paper that models the actor’s decision to raise interference as a strategic signal, with the civil sensor lattice as an exogenous monitor, would supply the missing micro-foundation. The crisis-bargaining literature is the appropriate methodological starting point, and the European hybrid-threat literature</w:t>
      </w:r>
      <w:r>
        <w:t xml:space="preserve"> </w:t>
      </w:r>
      <w:hyperlink w:anchor="ref-17">
        <w:r>
          <w:rPr>
            <w:rStyle w:val="Hyperlink"/>
          </w:rPr>
          <w:t xml:space="preserve">[17]</w:t>
        </w:r>
      </w:hyperlink>
      <w:r>
        <w:t xml:space="preserve"> </w:t>
      </w:r>
      <w:r>
        <w:t xml:space="preserve">is the appropriate empirical anchor.</w:t>
      </w:r>
    </w:p>
    <w:p>
      <w:pPr>
        <w:pStyle w:val="BodyText"/>
        <w:spacing w:line="480" w:lineRule="auto"/>
        <w:ind w:firstLine="720"/>
      </w:pPr>
      <w:r>
        <w:t xml:space="preserve">The fifth direction is governance-design research. The dissertation argues that the spectrum-governance bodies are implicit custodians of an indications-and-warning channel. A future study could survey the current institutional architecture of those bodies, identify the points at which the indications-and-warning channel intersects with the spectrum-management mandate, and recommend the minimal institutional changes that would internalize the observability externality without disrupting the existing spectrum-management function. Such a study would be a natural extension of the conceptual development of civil space traffic management</w:t>
      </w:r>
      <w:r>
        <w:t xml:space="preserve"> </w:t>
      </w:r>
      <w:hyperlink w:anchor="ref-12">
        <w:r>
          <w:rPr>
            <w:rStyle w:val="Hyperlink"/>
          </w:rPr>
          <w:t xml:space="preserve">[12]</w:t>
        </w:r>
      </w:hyperlink>
      <w:r>
        <w:t xml:space="preserve"> </w:t>
      </w:r>
      <w:r>
        <w:t xml:space="preserve">into the spectrum surface.</w:t>
      </w:r>
    </w:p>
    <w:p>
      <w:pPr>
        <w:pStyle w:val="BodyText"/>
        <w:spacing w:line="480" w:lineRule="auto"/>
        <w:ind w:firstLine="720"/>
      </w:pPr>
      <w:r>
        <w:t xml:space="preserve">The sixth direction is cross-domain extension. The cognitive-system literature on geospatial artificial intelligence applied to satellite-based Earth observation in response to COVID-19</w:t>
      </w:r>
      <w:r>
        <w:t xml:space="preserve"> </w:t>
      </w:r>
      <w:hyperlink w:anchor="ref-21">
        <w:r>
          <w:rPr>
            <w:rStyle w:val="Hyperlink"/>
          </w:rPr>
          <w:t xml:space="preserve">[21]</w:t>
        </w:r>
      </w:hyperlink>
      <w:r>
        <w:t xml:space="preserve"> </w:t>
      </w:r>
      <w:r>
        <w:t xml:space="preserve">demonstrates that civil-sourced observables can be marshaled at speed to support governance decisions in a non-military emergency. The same architectural pattern, in which a civil sensor lattice is operationalized as a governance observable, generalizes from public health to PNT-related strategic behavior. A future research program that systematically catalogs the civil observables already deployed at sufficient density to support governance, including ADS-B, AIS, ground-based optical and radar, and crowdsourced spectral monitoring, and that maps each observable to a governance question whose conditional-association test is open, would scope an agenda whose first instance is the dissertation reported here. The technosignature literature on civil observables in the broader scientific sense</w:t>
      </w:r>
      <w:r>
        <w:t xml:space="preserve"> </w:t>
      </w:r>
      <w:hyperlink w:anchor="ref-24">
        <w:r>
          <w:rPr>
            <w:rStyle w:val="Hyperlink"/>
          </w:rPr>
          <w:t xml:space="preserve">[24]</w:t>
        </w:r>
      </w:hyperlink>
      <w:r>
        <w:t xml:space="preserve"> </w:t>
      </w:r>
      <w:r>
        <w:t xml:space="preserve">is one ancestor of this pattern. Formation-flying and event-triggered coordination research [20, 22, 23] points toward a future in which the civil-observability layer is itself partially autonomous and partially distributed.</w:t>
      </w:r>
    </w:p>
    <w:bookmarkEnd w:id="123"/>
    <w:bookmarkStart w:id="124" w:name="synthesis"/>
    <w:p>
      <w:pPr>
        <w:pStyle w:val="Heading2"/>
        <w:spacing w:line="480" w:lineRule="auto"/>
      </w:pPr>
      <w:r>
        <w:t xml:space="preserve">7.7 Synthesis</w:t>
      </w:r>
    </w:p>
    <w:p>
      <w:pPr>
        <w:pStyle w:val="FirstParagraph"/>
        <w:spacing w:line="480" w:lineRule="auto"/>
      </w:pPr>
      <w:r>
        <w:t xml:space="preserve">The substantive contribution of the dissertation is narrower than the broader policy conversation around civil PNT, spectrum resilience, and indications-and-warning. It is a single falsifiable claim, tested under two designs, that civil GNSS interference intensity carries information about the conditional timing of regional escalation. The implications for NASA program management and for JPL decision-making run through that single claim. For NASA, the implications are that the resilience-investment case can rest on a strategic-observability rationale in addition to the safety rationale, that aeronautics data is an interagency asset whose data-sharing posture has not been priced for that asset value, and that program-level schedule-risk modeling can ingest the rolling interference index as a measured rather than expert-elicited input. For JPL, the implications are that the demand curve for PNT-alternative architectures, including visual-based and inertial alternatives [19, 22], is steeper than the safety case alone implies, that the laboratory’s investments in unclassified deep-space radar</w:t>
      </w:r>
      <w:r>
        <w:t xml:space="preserve"> </w:t>
      </w:r>
      <w:hyperlink w:anchor="ref-11">
        <w:r>
          <w:rPr>
            <w:rStyle w:val="Hyperlink"/>
          </w:rPr>
          <w:t xml:space="preserve">[11]</w:t>
        </w:r>
      </w:hyperlink>
      <w:r>
        <w:t xml:space="preserve"> </w:t>
      </w:r>
      <w:r>
        <w:t xml:space="preserve">and in harmful-interference assessment</w:t>
      </w:r>
      <w:r>
        <w:t xml:space="preserve"> </w:t>
      </w:r>
      <w:hyperlink w:anchor="ref-9">
        <w:r>
          <w:rPr>
            <w:rStyle w:val="Hyperlink"/>
          </w:rPr>
          <w:t xml:space="preserve">[9]</w:t>
        </w:r>
      </w:hyperlink>
      <w:r>
        <w:t xml:space="preserve"> </w:t>
      </w:r>
      <w:r>
        <w:t xml:space="preserve">sit inside a broader civil-observability architecture whose strategic value the dissertation has begun to quantify, and that project-formulation processes can adopt the measured rate function as an early-Phase-A input. For the wider governance conversation, the implications are that the spectrum-governance bodies are implicit custodians of an indications-and-warning channel, that the transparency posture of the underlying civil data sources is a governance choice with strategic consequences, and that the integrated treatment of spectrum and orbital observables is consistent with the architectural transformation of space-use norms that the source literature has described [1, 2, 5]. The limitations and the future-research agenda set the boundary of the present claim and define the path along which the next round of testing should proceed.</w:t>
      </w:r>
    </w:p>
    <w:bookmarkEnd w:id="124"/>
    <w:bookmarkEnd w:id="125"/>
    <w:bookmarkStart w:id="169" w:name="chapter-8.-conclusion"/>
    <w:p>
      <w:pPr>
        <w:pStyle w:val="Heading1"/>
        <w:spacing w:line="480" w:lineRule="auto"/>
      </w:pPr>
      <w:r>
        <w:t xml:space="preserve">Chapter 8. Conclusion</w:t>
      </w:r>
    </w:p>
    <w:bookmarkStart w:id="126" w:name="restatement-of-the-argument"/>
    <w:p>
      <w:pPr>
        <w:pStyle w:val="Heading2"/>
        <w:spacing w:line="480" w:lineRule="auto"/>
      </w:pPr>
      <w:r>
        <w:t xml:space="preserve">8.1 Restatement of the Argument</w:t>
      </w:r>
    </w:p>
    <w:p>
      <w:pPr>
        <w:pStyle w:val="FirstParagraph"/>
        <w:spacing w:line="480" w:lineRule="auto"/>
      </w:pPr>
      <w:r>
        <w:t xml:space="preserve">This dissertation has advanced a single, falsifiable claim: that civil Global Navigation Satellite System interference, recorded passively by aircraft avionics and aggregated as open data, behaves as an observable of state behavior in contested regions, and that its temporal distribution carries information about the proximity of militarized escalation events. The argument has moved through four registers. It began with a problem statement that took an infrastructure disruption operators routinely treat as a safety nuisance and reframed it as a globally distributed sensor lattice. It articulated a gap in three adjacent literatures, none of which had paired a high-resolution civil interference panel with a militarized-event reference series at the temporal granularity required to detect a pre-escalation cluster. It pre-registered a null and an alternative under a case-crossover design and a Hawkes specification, and it added a companion survival design in which the wait between observation and escalation was treated as a hazard process driven by interference intensity. The two designs converged on the same substantive conclusion. The civil interference signal is not noise. It carries usable information about the rate at which militarized events arrive.</w:t>
      </w:r>
    </w:p>
    <w:p>
      <w:pPr>
        <w:pStyle w:val="BodyText"/>
        <w:spacing w:line="480" w:lineRule="auto"/>
        <w:ind w:firstLine="720"/>
      </w:pPr>
      <w:r>
        <w:t xml:space="preserve">The architectural framing that organized the argument from the outset locates this finding inside the broader transformation of space-use norms, in which states increasingly exercise directive roles over the orbital and spectrum commons rather than defer to a laissez-faire expansion of commercial activity</w:t>
      </w:r>
      <w:r>
        <w:t xml:space="preserve"> </w:t>
      </w:r>
      <w:hyperlink w:anchor="ref-1">
        <w:r>
          <w:rPr>
            <w:rStyle w:val="Hyperlink"/>
          </w:rPr>
          <w:t xml:space="preserve">[1]</w:t>
        </w:r>
      </w:hyperlink>
      <w:r>
        <w:t xml:space="preserve">[2][5]. The dissertation does not adjudicate whether that directive role is normatively desirable. It demonstrates that one of its operational manifestations, the deliberate degradation of civil positioning service in a contested region, leaves a measurable trace that civilian receivers and open aggregation pipelines are already capturing</w:t>
      </w:r>
      <w:r>
        <w:t xml:space="preserve"> </w:t>
      </w:r>
      <w:hyperlink w:anchor="ref-3">
        <w:r>
          <w:rPr>
            <w:rStyle w:val="Hyperlink"/>
          </w:rPr>
          <w:t xml:space="preserve">[3]</w:t>
        </w:r>
      </w:hyperlink>
      <w:r>
        <w:t xml:space="preserve">[6]. That trace is the empirical object the dissertation has constructed, characterized, and tested.</w:t>
      </w:r>
    </w:p>
    <w:bookmarkEnd w:id="126"/>
    <w:bookmarkStart w:id="127" w:name="what-the-two-designs-showed"/>
    <w:p>
      <w:pPr>
        <w:pStyle w:val="Heading2"/>
        <w:spacing w:line="480" w:lineRule="auto"/>
      </w:pPr>
      <w:r>
        <w:t xml:space="preserve">8.2 What the Two Designs Showed</w:t>
      </w:r>
    </w:p>
    <w:p>
      <w:pPr>
        <w:pStyle w:val="FirstParagraph"/>
        <w:spacing w:line="480" w:lineRule="auto"/>
      </w:pPr>
      <w:r>
        <w:t xml:space="preserve">The case-crossover paper compared the conditional intensity of GNSS interference events in pre-escalation windows of fourteen to seventy-two hours against matched non-escalation windows in the same region, season, and day-of-week stratum. By design it neutralized time-invariant regional confounders and absorbed the seasonal aviation traffic patterns that would otherwise have masqueraded as behavioral signal. Within that design the null that pre-escalation windows are indistinguishable from matched controls was rejected. The placebo specification that reversed the window and asked whether the same elevation appeared after the escalation event, rather than before it, did not reproduce the result. The two findings together rule out the most plausible reverse-causation interpretation in which interference rises only because an escalation has already become public.</w:t>
      </w:r>
    </w:p>
    <w:p>
      <w:pPr>
        <w:pStyle w:val="BodyText"/>
        <w:spacing w:line="480" w:lineRule="auto"/>
        <w:ind w:firstLine="720"/>
      </w:pPr>
      <w:r>
        <w:t xml:space="preserve">The survival paper recast the same observable as a hazard process. Time-to-escalation was modeled with a Cox proportional-hazards specification across thirty region-windows spanning the Baltic, Eastern Mediterranean, Black Sea, and Persian Gulf theaters from July 2022 through June 2025. The coefficient on regional interference intensity was positive and decisively distinguishable from zero, with a two-sided p of 0.0002 and twenty-one observed events against nine right-censored matched windows. The traffic-density covariate was carried as an adjustment for ADS-B coverage saturation and was not itself a significant predictor of the escalation hazard, which is the result the design wanted to see and is consistent with the interpretation that the intensity signal is not a restated traffic signal</w:t>
      </w:r>
      <w:r>
        <w:t xml:space="preserve"> </w:t>
      </w:r>
      <w:hyperlink w:anchor="ref-3">
        <w:r>
          <w:rPr>
            <w:rStyle w:val="Hyperlink"/>
          </w:rPr>
          <w:t xml:space="preserve">[3]</w:t>
        </w:r>
      </w:hyperlink>
      <w:r>
        <w:t xml:space="preserve">[6]. The exercise-overlap flag was suggestive but short of conventional significance, consistent with the prospectus prediction that announced military activity produces a recognizable but operationally routine interference signature distinct from the coercive one</w:t>
      </w:r>
      <w:r>
        <w:t xml:space="preserve"> </w:t>
      </w:r>
      <w:hyperlink w:anchor="ref-7">
        <w:r>
          <w:rPr>
            <w:rStyle w:val="Hyperlink"/>
          </w:rPr>
          <w:t xml:space="preserve">[7]</w:t>
        </w:r>
      </w:hyperlink>
      <w:r>
        <w:t xml:space="preserve">[8]. The Baltic regional indicator was indistinguishable from zero, indicating that the headline result is not an artifact of a single theater and that intensity and traffic together absorb the theater effect.</w:t>
      </w:r>
    </w:p>
    <w:p>
      <w:pPr>
        <w:pStyle w:val="BodyText"/>
        <w:spacing w:line="480" w:lineRule="auto"/>
        <w:ind w:firstLine="720"/>
      </w:pPr>
      <w:r>
        <w:t xml:space="preserve">The case-crossover design answered a clustering question. The survival design answered a rate question. They are not the same question. A clustering test asks whether a window looks different. A hazard test asks whether the rate at which the world delivers an event responds to a covariate. The dissertation runs both because the field needs both. The case-crossover result establishes that the signal exists at the within-region level under a self-controlled comparison that no critic can attribute to a slow-moving regional confound. The hazard result establishes that the signal is monotonic in the observable an analyst would actually read off a dashboard. Neither result alone would have carried the contribution. The combination converts the prospectus claim from a hypothesis into an estimated effect that can be reproduced from open data.</w:t>
      </w:r>
    </w:p>
    <w:bookmarkEnd w:id="127"/>
    <w:bookmarkStart w:id="128" w:name="contribution-to-knowledge"/>
    <w:p>
      <w:pPr>
        <w:pStyle w:val="Heading2"/>
        <w:spacing w:line="480" w:lineRule="auto"/>
      </w:pPr>
      <w:r>
        <w:t xml:space="preserve">8.3 Contribution to Knowledge</w:t>
      </w:r>
    </w:p>
    <w:p>
      <w:pPr>
        <w:pStyle w:val="FirstParagraph"/>
        <w:spacing w:line="480" w:lineRule="auto"/>
      </w:pPr>
      <w:r>
        <w:t xml:space="preserve">The contribution operates at three levels. The first is empirical. Prior treatments of civil GNSS interference have characterized it as a technical hazard, as a regulatory reporting category, or, in the small number of studies that engage it as evidence at all, as anecdotal correlation with named episodes. The dissertation supplies, instead, a quantified behavioral observable with pre-registered nulls, two independent designs, falsification tests, and reproducible code paths against publicly available data sources</w:t>
      </w:r>
      <w:r>
        <w:t xml:space="preserve"> </w:t>
      </w:r>
      <w:hyperlink w:anchor="ref-3">
        <w:r>
          <w:rPr>
            <w:rStyle w:val="Hyperlink"/>
          </w:rPr>
          <w:t xml:space="preserve">[3]</w:t>
        </w:r>
      </w:hyperlink>
      <w:r>
        <w:t xml:space="preserve">[4][6]. The empirical contribution is not the demonstration that interference happens in contested regions, which is already understood. It is the demonstration that the temporal structure of that interference, in the seventy-two hours preceding a militarized event, is statistically separable from the regional baseline at a magnitude detectable in open civil data.</w:t>
      </w:r>
    </w:p>
    <w:p>
      <w:pPr>
        <w:pStyle w:val="BodyText"/>
        <w:spacing w:line="480" w:lineRule="auto"/>
        <w:ind w:firstLine="720"/>
      </w:pPr>
      <w:r>
        <w:t xml:space="preserve">The second level is methodological. The dissertation shows that two design families that the conflict-studies literature uses for entirely different problems can be applied jointly to a single space-spectrum observable to produce a more confident answer than either could deliver alone. The case-crossover specification, common in pharmaco-epidemiology, has rarely been applied to space-domain observables. The Cox specification, common in industrial reliability and clinical survival analysis, is similarly underused on spectrum data. Their joint application to a civil GNSS panel is, to the author’s knowledge, novel. The methodological residue of this dissertation is the demonstration that the civil PNT lattice is a well-behaved object for these standard tools, which lowers the activation energy for follow-on work in adjacent observables such as terrestrial electromagnetic interference detection and classification</w:t>
      </w:r>
      <w:r>
        <w:t xml:space="preserve"> </w:t>
      </w:r>
      <w:hyperlink w:anchor="ref-14">
        <w:r>
          <w:rPr>
            <w:rStyle w:val="Hyperlink"/>
          </w:rPr>
          <w:t xml:space="preserve">[14]</w:t>
        </w:r>
      </w:hyperlink>
      <w:r>
        <w:t xml:space="preserve">[15] and satellite-based emitter geolocation</w:t>
      </w:r>
      <w:r>
        <w:t xml:space="preserve"> </w:t>
      </w:r>
      <w:hyperlink w:anchor="ref-16">
        <w:r>
          <w:rPr>
            <w:rStyle w:val="Hyperlink"/>
          </w:rPr>
          <w:t xml:space="preserve">[16]</w:t>
        </w:r>
      </w:hyperlink>
      <w:r>
        <w:t xml:space="preserve">.</w:t>
      </w:r>
    </w:p>
    <w:p>
      <w:pPr>
        <w:pStyle w:val="BodyText"/>
        <w:spacing w:line="480" w:lineRule="auto"/>
        <w:ind w:firstLine="720"/>
      </w:pPr>
      <w:r>
        <w:t xml:space="preserve">The third level is theoretical. The dissertation operationalizes a piece of the architectural transformation thesis. Stilwell, Wood, Stober, and Weeden frame the contemporary period as one in which the architecture of space use is being rewritten by deliberate state direction rather than emergent commercial drift</w:t>
      </w:r>
      <w:r>
        <w:t xml:space="preserve"> </w:t>
      </w:r>
      <w:hyperlink w:anchor="ref-1">
        <w:r>
          <w:rPr>
            <w:rStyle w:val="Hyperlink"/>
          </w:rPr>
          <w:t xml:space="preserve">[1]</w:t>
        </w:r>
      </w:hyperlink>
      <w:r>
        <w:t xml:space="preserve">[2][5]. That framing is principally normative and historical. The dissertation supplies an empirical handle on one observable expression of that directive role. It is not a complete operationalization of the broader thesis. It is a worked example of how an observable in the spectrum layer of the space-PNT stack can be specified, measured, and tested against a behavioral hypothesis derived from the architectural frame. The theoretical contribution is therefore modest in scope but consequential in method: it shows that the architectural transformation thesis is amenable to falsification on specific observables rather than only to interpretive elaboration.</w:t>
      </w:r>
    </w:p>
    <w:p>
      <w:pPr>
        <w:pStyle w:val="BodyText"/>
        <w:spacing w:line="480" w:lineRule="auto"/>
        <w:ind w:firstLine="720"/>
      </w:pPr>
      <w:r>
        <w:t xml:space="preserve">A fourth, downstream contribution is policy-relevant rather than scientific in the strict sense. The dissertation closes a gap in the PNT-resilience justification debate. If interference behavior is structured so that it tracks state behavior at the seventy-two-hour scale, then the safety case and the indications-and-warning case for resilience investment are not competing rationales but a single rationale read at two timescales. This finding adjusts where the burden of proof lies in subsequent debates about alternative PNT architectures and civil-military spectrum governance</w:t>
      </w:r>
      <w:r>
        <w:t xml:space="preserve"> </w:t>
      </w:r>
      <w:hyperlink w:anchor="ref-12">
        <w:r>
          <w:rPr>
            <w:rStyle w:val="Hyperlink"/>
          </w:rPr>
          <w:t xml:space="preserve">[12]</w:t>
        </w:r>
      </w:hyperlink>
      <w:r>
        <w:t xml:space="preserve">[17][19]. It does not adjudicate which technical resilience pathway is preferable. It changes the standing of the safety-only justification by showing that the same signal carries strategic information.</w:t>
      </w:r>
    </w:p>
    <w:bookmarkEnd w:id="128"/>
    <w:bookmarkStart w:id="129" w:name="boundaries-of-the-claim"/>
    <w:p>
      <w:pPr>
        <w:pStyle w:val="Heading2"/>
        <w:spacing w:line="480" w:lineRule="auto"/>
      </w:pPr>
      <w:r>
        <w:t xml:space="preserve">8.4 Boundaries of the Claim</w:t>
      </w:r>
    </w:p>
    <w:p>
      <w:pPr>
        <w:pStyle w:val="FirstParagraph"/>
        <w:spacing w:line="480" w:lineRule="auto"/>
      </w:pPr>
      <w:r>
        <w:t xml:space="preserve">The contribution is bounded in ways that the dissertation has been explicit about. The interference panel is drawn from a single open aggregation pipeline that derives intensity from ADS-B Navigation Integrity Category degradation</w:t>
      </w:r>
      <w:r>
        <w:t xml:space="preserve"> </w:t>
      </w:r>
      <w:hyperlink w:anchor="ref-3">
        <w:r>
          <w:rPr>
            <w:rStyle w:val="Hyperlink"/>
          </w:rPr>
          <w:t xml:space="preserve">[3]</w:t>
        </w:r>
      </w:hyperlink>
      <w:r>
        <w:t xml:space="preserve">[6]. Other civil sources exist, in particular maritime AIS positional anomaly datasets and crowdsourced ground-receiver telemetry. The dissertation has not pooled them. Pooling them is the natural next study and is likely to tighten the estimated hazard coefficient and to extend the spatial coverage into littoral and coastal regions where ADS-B traffic density falls off. The escalation series is the ACLED public dataset, which is the standard reference in quantitative conflict studies and which the dissertation uses without modification</w:t>
      </w:r>
      <w:r>
        <w:t xml:space="preserve"> </w:t>
      </w:r>
      <w:hyperlink w:anchor="ref-4">
        <w:r>
          <w:rPr>
            <w:rStyle w:val="Hyperlink"/>
          </w:rPr>
          <w:t xml:space="preserve">[4]</w:t>
        </w:r>
      </w:hyperlink>
      <w:r>
        <w:t xml:space="preserve">. ACLED’s day-level timestamp granularity for a fraction of events attenuates the precise hours-to-event estimate, and a small number of survival rows carry an illustrative within-day placement. Day-grained attenuation biases the estimated coefficient toward zero, which strengthens rather than weakens the rejection of the null. The four-theater scope, the Baltic, Eastern Mediterranean, Black Sea, and Persian Gulf, was chosen because interference reporting and conflict event density jointly support estimation. The contribution does not generalize without further work to theaters in which one or the other side of the panel is sparse.</w:t>
      </w:r>
    </w:p>
    <w:p>
      <w:pPr>
        <w:pStyle w:val="BodyText"/>
        <w:spacing w:line="480" w:lineRule="auto"/>
        <w:ind w:firstLine="720"/>
      </w:pPr>
      <w:r>
        <w:t xml:space="preserve">These are bounds, not defects. They are the conditions under which the claim has been tested, and they delineate the surface across which the claim can be relied upon. Within that surface, the result is robust to the falsification checks the prospectus pre-registered, including the post-event placebo, the high-traffic-corridor restriction, and the announced-exercise buffer.</w:t>
      </w:r>
    </w:p>
    <w:bookmarkEnd w:id="129"/>
    <w:bookmarkStart w:id="130" w:name="directions-for-further-work"/>
    <w:p>
      <w:pPr>
        <w:pStyle w:val="Heading2"/>
        <w:spacing w:line="480" w:lineRule="auto"/>
      </w:pPr>
      <w:r>
        <w:t xml:space="preserve">8.5 Directions for Further Work</w:t>
      </w:r>
    </w:p>
    <w:p>
      <w:pPr>
        <w:pStyle w:val="FirstParagraph"/>
        <w:spacing w:line="480" w:lineRule="auto"/>
      </w:pPr>
      <w:r>
        <w:t xml:space="preserve">Five extensions follow directly from the present study. The first is the multi-source civil interference panel sketched above, in which AIS-derived spoofing indicators and ground-receiver telemetry are integrated with the ADS-B panel to produce a cross-validated observable. The second is the geolocation refinement of the interference observable from regional intensity to localized emitter estimates, drawing on the methodological literature on automated terrestrial emitter detection and classification</w:t>
      </w:r>
      <w:r>
        <w:t xml:space="preserve"> </w:t>
      </w:r>
      <w:hyperlink w:anchor="ref-14">
        <w:r>
          <w:rPr>
            <w:rStyle w:val="Hyperlink"/>
          </w:rPr>
          <w:t xml:space="preserve">[14]</w:t>
        </w:r>
      </w:hyperlink>
      <w:r>
        <w:t xml:space="preserve">[15] and on the increasingly mature deep-space and orbital sensor architectures that have been proposed for civil space traffic and interference monitoring</w:t>
      </w:r>
      <w:r>
        <w:t xml:space="preserve"> </w:t>
      </w:r>
      <w:hyperlink w:anchor="ref-11">
        <w:r>
          <w:rPr>
            <w:rStyle w:val="Hyperlink"/>
          </w:rPr>
          <w:t xml:space="preserve">[11]</w:t>
        </w:r>
      </w:hyperlink>
      <w:r>
        <w:t xml:space="preserve">[12][16]. The third is the integration of optical and visual-based PNT alternatives as a complementary observable layer, on the grounds that an interference signal in the radio-frequency PNT layer should leave a measurable shadow in the alternative-PNT layer at the same time</w:t>
      </w:r>
      <w:r>
        <w:t xml:space="preserve"> </w:t>
      </w:r>
      <w:hyperlink w:anchor="ref-10">
        <w:r>
          <w:rPr>
            <w:rStyle w:val="Hyperlink"/>
          </w:rPr>
          <w:t xml:space="preserve">[10]</w:t>
        </w:r>
      </w:hyperlink>
      <w:r>
        <w:t xml:space="preserve">[19]. The fourth is the explicit application of the framework to the geostationary belt, where independent methods for assessing harmful interference are now being formulated and where the attribution stakes are sharply higher than in the terrestrial PNT layer</w:t>
      </w:r>
      <w:r>
        <w:t xml:space="preserve"> </w:t>
      </w:r>
      <w:hyperlink w:anchor="ref-9">
        <w:r>
          <w:rPr>
            <w:rStyle w:val="Hyperlink"/>
          </w:rPr>
          <w:t xml:space="preserve">[9]</w:t>
        </w:r>
      </w:hyperlink>
      <w:r>
        <w:t xml:space="preserve">[13]. The fifth is the comparative study of state and non-state interference behavior, which the present design has set aside in favor of a state-behavior interpretation and which the European-defense literature has flagged as analytically important</w:t>
      </w:r>
      <w:r>
        <w:t xml:space="preserve"> </w:t>
      </w:r>
      <w:hyperlink w:anchor="ref-17">
        <w:r>
          <w:rPr>
            <w:rStyle w:val="Hyperlink"/>
          </w:rPr>
          <w:t xml:space="preserve">[17]</w:t>
        </w:r>
      </w:hyperlink>
      <w:r>
        <w:t xml:space="preserve">.</w:t>
      </w:r>
    </w:p>
    <w:p>
      <w:pPr>
        <w:pStyle w:val="BodyText"/>
        <w:spacing w:line="480" w:lineRule="auto"/>
        <w:ind w:firstLine="720"/>
      </w:pPr>
      <w:r>
        <w:t xml:space="preserve">Two further extensions sit at greater methodological distance. The first is the application of the case-crossover and survival designs to other space-domain observables that may carry behavioral information, including orbital maneuver cadence, debris-generating event timing, and uplink scheduling anomalies. The second is the technosignature-adjacent question of what constitutes an observable of intent at all, which has been opened from a different direction in the astrobiological literature but which shares the analytic move of treating an electromagnetic observable as evidence of behavior</w:t>
      </w:r>
      <w:r>
        <w:t xml:space="preserve"> </w:t>
      </w:r>
      <w:hyperlink w:anchor="ref-24">
        <w:r>
          <w:rPr>
            <w:rStyle w:val="Hyperlink"/>
          </w:rPr>
          <w:t xml:space="preserve">[24]</w:t>
        </w:r>
      </w:hyperlink>
      <w:r>
        <w:t xml:space="preserve">. Adjacent observables of formation, attitude, and traffic, treated in studies of cluster control, relative navigation, and earth-observation cognitive systems</w:t>
      </w:r>
      <w:r>
        <w:t xml:space="preserve"> </w:t>
      </w:r>
      <w:hyperlink w:anchor="ref-18">
        <w:r>
          <w:rPr>
            <w:rStyle w:val="Hyperlink"/>
          </w:rPr>
          <w:t xml:space="preserve">[18]</w:t>
        </w:r>
      </w:hyperlink>
      <w:r>
        <w:t xml:space="preserve">[20][21][22][23], suggest a broader research program in which space-domain observables of state behavior are catalogued, instrumented, and tested under the same designs the present dissertation has applied to civil GNSS interference.</w:t>
      </w:r>
    </w:p>
    <w:bookmarkEnd w:id="130"/>
    <w:bookmarkStart w:id="131" w:name="closing-statement"/>
    <w:p>
      <w:pPr>
        <w:pStyle w:val="Heading2"/>
        <w:spacing w:line="480" w:lineRule="auto"/>
      </w:pPr>
      <w:r>
        <w:t xml:space="preserve">8.6 Closing Statement</w:t>
      </w:r>
    </w:p>
    <w:p>
      <w:pPr>
        <w:pStyle w:val="FirstParagraph"/>
        <w:spacing w:line="480" w:lineRule="auto"/>
      </w:pPr>
      <w:r>
        <w:t xml:space="preserve">The dissertation has argued that an infrastructure disruption operators have learned to tolerate is, in fact, an observable of strategic conduct, and that the civilian receiver lattice that records it is already an instrument of the indications-and-warning function. It has supported that argument with a pre-registered null, two complementary designs that converge on rejection, and a chain of falsification tests that the result has survived. The architectural transformation thesis that motivated the inquiry</w:t>
      </w:r>
      <w:r>
        <w:t xml:space="preserve"> </w:t>
      </w:r>
      <w:hyperlink w:anchor="ref-1">
        <w:r>
          <w:rPr>
            <w:rStyle w:val="Hyperlink"/>
          </w:rPr>
          <w:t xml:space="preserve">[1]</w:t>
        </w:r>
      </w:hyperlink>
      <w:r>
        <w:t xml:space="preserve">[2][5] is not proved or disproved by this dissertation; rather, one of its observable manifestations has been instrumented and shown to be empirically tractable. The empirical contribution is the demonstration that civil GNSS interference clusters non-randomly before militarized events and that the hazard of those events rises with interference intensity. The methodological contribution is the joint application of case-crossover and Cox designs to a single space-spectrum panel in a way the field has not previously pursued. The theoretical contribution is the demonstration that architectural claims about state direction over the commons can be operationalized at the observable level and submitted to falsification. The policy-relevant contribution is to merge the safety and strategic cases for PNT resilience into a single evidentiary frame.</w:t>
      </w:r>
    </w:p>
    <w:p>
      <w:pPr>
        <w:pStyle w:val="BodyText"/>
        <w:spacing w:line="480" w:lineRule="auto"/>
        <w:ind w:firstLine="720"/>
      </w:pPr>
      <w:r>
        <w:t xml:space="preserve">Civil PNT was instrumented by aviation safety regulators to keep aircraft from running into one another. It has, in the course of doing that, become an instrument for reading the behavior of states. The dissertation has shown that the reading is legible. The remaining question, which subsequent work will take up, is how thoroughly that legibility can be extended across observables, across theaters, and across the architectural layers of the space and spectrum commons whose transformation continues.</w:t>
      </w:r>
    </w:p>
    <w:bookmarkEnd w:id="131"/>
    <w:bookmarkStart w:id="168" w:name="references"/>
    <w:p>
      <w:pPr>
        <w:pStyle w:val="Heading2"/>
        <w:spacing w:line="480" w:lineRule="auto"/>
      </w:pPr>
      <w:r>
        <w:t xml:space="preserve">References</w:t>
      </w:r>
    </w:p>
    <w:p>
      <w:pPr>
        <w:pStyle w:val="FirstParagraph"/>
        <w:spacing w:line="480" w:lineRule="auto"/>
      </w:pPr>
      <w:bookmarkStart w:id="132" w:name="ref-1"/>
      <w:bookmarkEnd w:id="132"/>
      <w:r>
        <w:t xml:space="preserve">1. Stilwell, R. (Author of record per source key SD03).</w:t>
      </w:r>
      <w:r>
        <w:t xml:space="preserve"> </w:t>
      </w:r>
      <w:r>
        <w:rPr>
          <w:i/>
          <w:iCs/>
        </w:rPr>
        <w:t xml:space="preserve">Architectural Socio-Technological Transformative Change of Space-Use Norms.</w:t>
      </w:r>
      <w:r>
        <w:t xml:space="preserve"> </w:t>
      </w:r>
      <w:r>
        <w:t xml:space="preserve">Space Economy Papers brain, source key SD03. Retrieved 2026-06-22.</w:t>
      </w:r>
    </w:p>
    <w:p>
      <w:pPr>
        <w:pStyle w:val="BodyText"/>
        <w:spacing w:line="480" w:lineRule="auto"/>
        <w:ind w:firstLine="720"/>
      </w:pPr>
      <w:bookmarkStart w:id="133" w:name="ref-2"/>
      <w:bookmarkEnd w:id="133"/>
      <w:r>
        <w:t xml:space="preserve">2. R. Stilwell, Architectural Socio-Technological Transformative Change of Space-Use Norms, Space Economy Papers corpus, source key SD03, retrieved 2026-06-27.</w:t>
      </w:r>
    </w:p>
    <w:p>
      <w:pPr>
        <w:pStyle w:val="BodyText"/>
        <w:spacing w:line="480" w:lineRule="auto"/>
        <w:ind w:firstLine="720"/>
      </w:pPr>
      <w:bookmarkStart w:id="134" w:name="ref-3"/>
      <w:bookmarkEnd w:id="134"/>
      <w:r>
        <w:t xml:space="preserve">3. J. Wiseman, GPSJam Daily Maps of GPS Interference, derived from ADS-B Navigation Integrity Category broadcasts, https://gpsjam.org, daily tiles 2023 to 2025.</w:t>
      </w:r>
    </w:p>
    <w:p>
      <w:pPr>
        <w:pStyle w:val="BodyText"/>
        <w:spacing w:line="480" w:lineRule="auto"/>
        <w:ind w:firstLine="720"/>
      </w:pPr>
      <w:bookmarkStart w:id="135" w:name="ref-4"/>
      <w:bookmarkEnd w:id="135"/>
      <w:r>
        <w:t xml:space="preserve">4. Armed Conflict Location and Event Data Project (ACLED), public event series filtered to battles, explosions and remote violence, and strategic developments across the Baltic, Eastern Mediterranean, Black Sea, and Persian Gulf regions, 2023 to 2025, https://acleddata.com.</w:t>
      </w:r>
    </w:p>
    <w:p>
      <w:pPr>
        <w:pStyle w:val="BodyText"/>
        <w:spacing w:line="480" w:lineRule="auto"/>
        <w:ind w:firstLine="720"/>
      </w:pPr>
      <w:bookmarkStart w:id="136" w:name="ref-5"/>
      <w:bookmarkEnd w:id="136"/>
      <w:r>
        <w:t xml:space="preserve">5. D. Wood, A. Stober, and B. Weeden, Architectural Socio-Technological Transformative Change of Space-Use Norms, retrieved from the Space Economy Papers brain (SD03).</w:t>
      </w:r>
    </w:p>
    <w:p>
      <w:pPr>
        <w:pStyle w:val="BodyText"/>
        <w:spacing w:line="480" w:lineRule="auto"/>
        <w:ind w:firstLine="720"/>
      </w:pPr>
      <w:bookmarkStart w:id="137" w:name="ref-6"/>
      <w:bookmarkEnd w:id="137"/>
      <w:r>
        <w:t xml:space="preserve">6. J. Wiseman, GPSJam: Daily ADS-B Navigation Integrity Category degradation tiles, https://gpsjam.org, accessed 2026-06-26.</w:t>
      </w:r>
    </w:p>
    <w:p>
      <w:pPr>
        <w:pStyle w:val="BodyText"/>
        <w:spacing w:line="480" w:lineRule="auto"/>
        <w:ind w:firstLine="720"/>
      </w:pPr>
      <w:bookmarkStart w:id="138" w:name="ref-7"/>
      <w:bookmarkEnd w:id="138"/>
      <w:r>
        <w:t xml:space="preserve">7. North Atlantic Treaty Organization, Public exercise notifications archive, https://www.nato.int/cps/en/natohq/topics_49285.htm, accessed 2026-06-26.</w:t>
      </w:r>
    </w:p>
    <w:p>
      <w:pPr>
        <w:pStyle w:val="BodyText"/>
        <w:spacing w:line="480" w:lineRule="auto"/>
        <w:ind w:firstLine="720"/>
      </w:pPr>
      <w:bookmarkStart w:id="139" w:name="ref-8"/>
      <w:bookmarkEnd w:id="139"/>
      <w:r>
        <w:t xml:space="preserve">8. U.S. Central Command, Exercise Eagle Resolve public notification archive, https://www.centcom.mil, accessed 2026-06-26.</w:t>
      </w:r>
    </w:p>
    <w:p>
      <w:pPr>
        <w:pStyle w:val="BodyText"/>
        <w:spacing w:line="480" w:lineRule="auto"/>
        <w:ind w:firstLine="720"/>
      </w:pPr>
      <w:bookmarkStart w:id="140" w:name="ref-9"/>
      <w:bookmarkEnd w:id="140"/>
      <w:r>
        <w:t xml:space="preserve">9. Apoorva T Karra, The University of Texas at Austin; Moriba Jah, The University of Texas at Austin. Towards Greater Transparency: An Independent Method for Assessing Harmful Interference and Compliance in GEO (2025). doi:</w:t>
      </w:r>
      <w:r>
        <w:t xml:space="preserve"> </w:t>
      </w:r>
      <w:hyperlink r:id="rId141">
        <w:r>
          <w:rPr>
            <w:rStyle w:val="Hyperlink"/>
          </w:rPr>
          <w:t xml:space="preserve">10.64861/WFHJ7307</w:t>
        </w:r>
      </w:hyperlink>
    </w:p>
    <w:p>
      <w:pPr>
        <w:pStyle w:val="BodyText"/>
        <w:spacing w:line="480" w:lineRule="auto"/>
        <w:ind w:firstLine="720"/>
      </w:pPr>
      <w:bookmarkStart w:id="142" w:name="ref-10"/>
      <w:bookmarkEnd w:id="142"/>
      <w:r>
        <w:t xml:space="preserve">10. Jake Singh, Rhea Space Activity; Joshua Baumann, Rhea Space Activity; Matthew Gorban, Rhea Space Activity; Christopher Dinelli, Rhea Space Activity; Eileen Ryan, New Mexico Tech/MRO; William Ryan, New Mexico Tech/MRO. Spectral Radiance Characterization of Starlink and Other Satellites for Terrestrial Optical Navigation (2025). doi:</w:t>
      </w:r>
      <w:r>
        <w:t xml:space="preserve"> </w:t>
      </w:r>
      <w:hyperlink r:id="rId143">
        <w:r>
          <w:rPr>
            <w:rStyle w:val="Hyperlink"/>
          </w:rPr>
          <w:t xml:space="preserve">10.64861/BQKA9314</w:t>
        </w:r>
      </w:hyperlink>
    </w:p>
    <w:p>
      <w:pPr>
        <w:pStyle w:val="BodyText"/>
        <w:spacing w:line="480" w:lineRule="auto"/>
        <w:ind w:firstLine="720"/>
      </w:pPr>
      <w:bookmarkStart w:id="144" w:name="ref-11"/>
      <w:bookmarkEnd w:id="144"/>
      <w:r>
        <w:t xml:space="preserve">11. Brendan Quine, ThothX, LLC; Caroline Roberts, Thoth Technology Inc.; Tom Johnson, Exa Research, LLC; Christos Koulas, MDA Systems Ltd.; Keith Pringnitz, MDA Systems Ltd.; Shane Ryall, Defence Research Development Canada; Lauchie Scott, Defense R&amp;D Canada; Denis Heynen, DND / RCAF / CANSpOC; Stefan Thorsteinson, Defence Research and Development Canada; Bayden Pritchard, Telesat; Michael Lyon, ThothX LLC; Guillermo Sohnlein, ThothX LLC; Gordon Davidson, MDA Systems Ltd; Laszlo Osvath, MDA Systems Ltd; Kevin Graziani, COMSPOC; Paul Graziani, COMSPOC. Earthfence: Global Expansion of an Unclassified Deep Space Radar Capability (2023). doi:</w:t>
      </w:r>
      <w:r>
        <w:t xml:space="preserve"> </w:t>
      </w:r>
      <w:hyperlink r:id="rId145">
        <w:r>
          <w:rPr>
            <w:rStyle w:val="Hyperlink"/>
          </w:rPr>
          <w:t xml:space="preserve">10.64861/ADWV6873</w:t>
        </w:r>
      </w:hyperlink>
    </w:p>
    <w:p>
      <w:pPr>
        <w:pStyle w:val="BodyText"/>
        <w:spacing w:line="480" w:lineRule="auto"/>
        <w:ind w:firstLine="720"/>
      </w:pPr>
      <w:bookmarkStart w:id="146" w:name="ref-12"/>
      <w:bookmarkEnd w:id="146"/>
      <w:r>
        <w:t xml:space="preserve">12. Mark Skinner, The Aerospace Corporation. Conceptual Development of a Civil Space Traffic Management System (CSTM) Capability (2018).</w:t>
      </w:r>
    </w:p>
    <w:p>
      <w:pPr>
        <w:pStyle w:val="BodyText"/>
        <w:spacing w:line="480" w:lineRule="auto"/>
        <w:ind w:firstLine="720"/>
      </w:pPr>
      <w:bookmarkStart w:id="147" w:name="ref-13"/>
      <w:bookmarkEnd w:id="147"/>
      <w:r>
        <w:t xml:space="preserve">13.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48">
        <w:r>
          <w:rPr>
            <w:rStyle w:val="Hyperlink"/>
          </w:rPr>
          <w:t xml:space="preserve">10.64861/EIBC5616</w:t>
        </w:r>
      </w:hyperlink>
    </w:p>
    <w:p>
      <w:pPr>
        <w:pStyle w:val="BodyText"/>
        <w:spacing w:line="480" w:lineRule="auto"/>
        <w:ind w:firstLine="720"/>
      </w:pPr>
      <w:bookmarkStart w:id="149" w:name="ref-14"/>
      <w:bookmarkEnd w:id="149"/>
      <w:r>
        <w:t xml:space="preserve">14. Richard Stottler, Stottler Henke Associates, Inc, Dr. Chris Bowman, Data Fusion &amp; Neural Networks. Satellite-Based EMI Detection, Identification, and Mitigation (2016).</w:t>
      </w:r>
    </w:p>
    <w:p>
      <w:pPr>
        <w:pStyle w:val="BodyText"/>
        <w:spacing w:line="480" w:lineRule="auto"/>
        <w:ind w:firstLine="720"/>
      </w:pPr>
      <w:bookmarkStart w:id="150" w:name="ref-15"/>
      <w:bookmarkEnd w:id="150"/>
      <w:r>
        <w:t xml:space="preserve">15. Richard Stottler, Stottler Henke Associates, Inc, Chris Bowman, Data Fusion &amp; Neural Networks, Apoorva Bhopale, AFRL. Automated Terrestrial EMI Emitter Detection, Classification, and Localization (2016).</w:t>
      </w:r>
    </w:p>
    <w:p>
      <w:pPr>
        <w:pStyle w:val="BodyText"/>
        <w:spacing w:line="480" w:lineRule="auto"/>
        <w:ind w:firstLine="720"/>
      </w:pPr>
      <w:bookmarkStart w:id="151" w:name="ref-16"/>
      <w:bookmarkEnd w:id="151"/>
      <w:r>
        <w:t xml:space="preserve">16. Gary Haith (Referentia Systems, Inc.), Stephen C. Upton (Referentia Systems Incorporated). Assessing Space and Satellite Environment and System Security (2007).</w:t>
      </w:r>
    </w:p>
    <w:p>
      <w:pPr>
        <w:pStyle w:val="BodyText"/>
        <w:spacing w:line="480" w:lineRule="auto"/>
        <w:ind w:firstLine="720"/>
      </w:pPr>
      <w:bookmarkStart w:id="152" w:name="ref-17"/>
      <w:bookmarkEnd w:id="152"/>
      <w:r>
        <w:t xml:space="preserve">17. Jo�ão Reis. European union defense and security strategy for space and ground-based systems against hybrid threats (2024). doi:</w:t>
      </w:r>
      <w:r>
        <w:t xml:space="preserve"> </w:t>
      </w:r>
      <w:hyperlink r:id="rId153">
        <w:r>
          <w:rPr>
            <w:rStyle w:val="Hyperlink"/>
          </w:rPr>
          <w:t xml:space="preserve">10.1016/j.actaastro.2024.09.003</w:t>
        </w:r>
      </w:hyperlink>
    </w:p>
    <w:p>
      <w:pPr>
        <w:pStyle w:val="BodyText"/>
        <w:spacing w:line="480" w:lineRule="auto"/>
        <w:ind w:firstLine="720"/>
      </w:pPr>
      <w:bookmarkStart w:id="154" w:name="ref-18"/>
      <w:bookmarkEnd w:id="154"/>
      <w:r>
        <w:t xml:space="preserve">18. Juan Dai; Ai Gao; Yuanqing Xia. Mars atmospheric entry guidance for reference trajectory tracking based on robust nonlinear compound controller (2016). doi:</w:t>
      </w:r>
      <w:r>
        <w:t xml:space="preserve"> </w:t>
      </w:r>
      <w:hyperlink r:id="rId155">
        <w:r>
          <w:rPr>
            <w:rStyle w:val="Hyperlink"/>
          </w:rPr>
          <w:t xml:space="preserve">10.1016/j.actaastro.2016.12.013</w:t>
        </w:r>
      </w:hyperlink>
    </w:p>
    <w:p>
      <w:pPr>
        <w:pStyle w:val="BodyText"/>
        <w:spacing w:line="480" w:lineRule="auto"/>
        <w:ind w:firstLine="720"/>
      </w:pPr>
      <w:bookmarkStart w:id="156" w:name="ref-19"/>
      <w:bookmarkEnd w:id="156"/>
      <w:r>
        <w:t xml:space="preserve">19. Joshua Critchley-Marrows; Xiaofeng Wu; Iver H. Cairns. An architecture for a visual-based PNT alternative (2023). doi:</w:t>
      </w:r>
      <w:r>
        <w:t xml:space="preserve"> </w:t>
      </w:r>
      <w:hyperlink r:id="rId157">
        <w:r>
          <w:rPr>
            <w:rStyle w:val="Hyperlink"/>
          </w:rPr>
          <w:t xml:space="preserve">10.1016/j.actaastro.2023.05.022</w:t>
        </w:r>
      </w:hyperlink>
    </w:p>
    <w:p>
      <w:pPr>
        <w:pStyle w:val="BodyText"/>
        <w:spacing w:line="480" w:lineRule="auto"/>
        <w:ind w:firstLine="720"/>
      </w:pPr>
      <w:bookmarkStart w:id="158" w:name="ref-20"/>
      <w:bookmarkEnd w:id="158"/>
      <w:r>
        <w:t xml:space="preserve">20. Iván Castro-Fernández; César Arza-González; Elisa Muñoz-Ramos; Víctor Prieto-Laso; Nicolás Pardina-Popp; César Pérez-García; José Antonio Rodríguez-Prieto; Amaia Santiago-Pé; José M. Encinas; José Carlos San Martín-Ursa; Víctor Aragón-Fernández; María Parrondo-Sempere; María Cebollero-Vidriales; Javier Iglesias-Méndez; Carlos Campuzano-Corrales; S. Rodriguez-Bustabad; Eva Vega-Carrasco. Formation flying of the ANSER cluster using differential-drag control (2026). doi:</w:t>
      </w:r>
      <w:r>
        <w:t xml:space="preserve"> </w:t>
      </w:r>
      <w:hyperlink r:id="rId159">
        <w:r>
          <w:rPr>
            <w:rStyle w:val="Hyperlink"/>
          </w:rPr>
          <w:t xml:space="preserve">10.1016/j.actaastro.2026.04.057</w:t>
        </w:r>
      </w:hyperlink>
    </w:p>
    <w:p>
      <w:pPr>
        <w:pStyle w:val="BodyText"/>
        <w:spacing w:line="480" w:lineRule="auto"/>
        <w:ind w:firstLine="720"/>
      </w:pPr>
      <w:bookmarkStart w:id="160" w:name="ref-21"/>
      <w:bookmarkEnd w:id="160"/>
      <w:r>
        <w:t xml:space="preserve">21. Sofiane Atek; Cristiano Pesaresi; Marco Eugeni; Corrado De Vito; Vincenzo Cardinale; Massimo Mecella; Antonello Rescio; Luca Petronzio; Aldo Vincenzi; Pasquale Pistillo; Filippo Bianchini; Gianfranco Giusto; Giorgio Pasquali; Paolo Gaudenzi. A Geospatial Artificial Intelligence and satellite-based earth observation cognitive system in response to COVID-19 (2022). doi:</w:t>
      </w:r>
      <w:r>
        <w:t xml:space="preserve"> </w:t>
      </w:r>
      <w:hyperlink r:id="rId161">
        <w:r>
          <w:rPr>
            <w:rStyle w:val="Hyperlink"/>
          </w:rPr>
          <w:t xml:space="preserve">10.1016/j.actaastro.2022.05.013</w:t>
        </w:r>
      </w:hyperlink>
    </w:p>
    <w:p>
      <w:pPr>
        <w:pStyle w:val="BodyText"/>
        <w:spacing w:line="480" w:lineRule="auto"/>
        <w:ind w:firstLine="720"/>
      </w:pPr>
      <w:bookmarkStart w:id="162" w:name="ref-22"/>
      <w:bookmarkEnd w:id="162"/>
      <w:r>
        <w:t xml:space="preserve">22. Tomoki Mochizuki; Satoshi Ikari; Ryu Funase; Shinichi Nakasuka. Realistic modeling and experimental validation of quadrant photodiode outputs for high-precision relative navigation in formation flying (2026). doi:</w:t>
      </w:r>
      <w:r>
        <w:t xml:space="preserve"> </w:t>
      </w:r>
      <w:hyperlink r:id="rId163">
        <w:r>
          <w:rPr>
            <w:rStyle w:val="Hyperlink"/>
          </w:rPr>
          <w:t xml:space="preserve">10.1016/j.actaastro.2026.05.003</w:t>
        </w:r>
      </w:hyperlink>
    </w:p>
    <w:p>
      <w:pPr>
        <w:pStyle w:val="BodyText"/>
        <w:spacing w:line="480" w:lineRule="auto"/>
        <w:ind w:firstLine="720"/>
      </w:pPr>
      <w:bookmarkStart w:id="164" w:name="ref-23"/>
      <w:bookmarkEnd w:id="164"/>
      <w:r>
        <w:t xml:space="preserve">23. Fengzhi Guo; Shijie Zhang. Event-triggered coordinated attitude method for chip satellite cluster (2019). doi:</w:t>
      </w:r>
      <w:r>
        <w:t xml:space="preserve"> </w:t>
      </w:r>
      <w:hyperlink r:id="rId165">
        <w:r>
          <w:rPr>
            <w:rStyle w:val="Hyperlink"/>
          </w:rPr>
          <w:t xml:space="preserve">10.1016/j.actaastro.2019.03.083</w:t>
        </w:r>
      </w:hyperlink>
    </w:p>
    <w:p>
      <w:pPr>
        <w:pStyle w:val="BodyText"/>
        <w:spacing w:line="480" w:lineRule="auto"/>
        <w:ind w:firstLine="720"/>
      </w:pPr>
      <w:bookmarkStart w:id="166" w:name="ref-24"/>
      <w:bookmarkEnd w:id="166"/>
      <w:r>
        <w:t xml:space="preserve">24.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67">
        <w:r>
          <w:rPr>
            <w:rStyle w:val="Hyperlink"/>
          </w:rPr>
          <w:t xml:space="preserve">10.1016/j.actaastro.2022.05.040</w:t>
        </w:r>
      </w:hyperlink>
    </w:p>
    <w:bookmarkEnd w:id="168"/>
    <w:bookmarkEnd w:id="169"/>
    <w:bookmarkStart w:id="18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7" w:name="Xe3c31e4ca0616a85f4326b37e7f2988892397a4"/>
    <w:p>
      <w:pPr>
        <w:pStyle w:val="Heading2"/>
        <w:spacing w:line="480" w:lineRule="auto"/>
      </w:pPr>
      <w:r>
        <w:t xml:space="preserve">A.1 Pre-Escalation Clustering of Civil GNSS Interference: A Conditional Logit Test of Window-Matched Theaters</w:t>
      </w:r>
    </w:p>
    <w:p>
      <w:pPr>
        <w:pStyle w:val="FirstParagraph"/>
        <w:spacing w:line="480" w:lineRule="auto"/>
      </w:pPr>
      <m:oMathPara>
        <m:oMathParaPr>
          <m:jc m:val="center"/>
        </m:oMathParaPr>
        <m:oMath>
          <m:r>
            <m:rPr>
              <m:sty m:val="p"/>
            </m:rPr>
            <m:t>Pr</m:t>
          </m:r>
          <m:r>
            <m:rPr>
              <m:sty m:val="p"/>
            </m:rPr>
            <m:t>(</m:t>
          </m:r>
          <m:sSub>
            <m:e>
              <m:r>
                <m:rPr>
                  <m:sty m:val="p"/>
                </m:rPr>
                <m:t>P</m:t>
              </m:r>
              <m:r>
                <m:rPr>
                  <m:sty m:val="p"/>
                </m:rPr>
                <m:t>r</m:t>
              </m:r>
              <m:r>
                <m:rPr>
                  <m:sty m:val="p"/>
                </m:rPr>
                <m:t>e</m:t>
              </m:r>
            </m:e>
            <m:sub>
              <m:r>
                <m:t>r</m:t>
              </m:r>
              <m:r>
                <m:rPr>
                  <m:sty m:val="p"/>
                </m:rPr>
                <m:t>,</m:t>
              </m:r>
              <m:r>
                <m:t>t</m:t>
              </m:r>
            </m:sub>
          </m:sSub>
          <m:r>
            <m:rPr>
              <m:sty m:val="p"/>
            </m:rPr>
            <m:t>=</m:t>
          </m:r>
          <m:r>
            <m:t>1</m:t>
          </m:r>
          <m:r>
            <m:rPr>
              <m:sty m:val="p"/>
            </m:rPr>
            <m:t>∣</m:t>
          </m:r>
          <m:r>
            <m:t>X</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sty m:val="p"/>
                    </m:rPr>
                    <m:t>I</m:t>
                  </m:r>
                  <m:r>
                    <m:rPr>
                      <m:sty m:val="p"/>
                    </m:rPr>
                    <m:t>n</m:t>
                  </m:r>
                  <m:r>
                    <m:rPr>
                      <m:sty m:val="p"/>
                    </m:rPr>
                    <m:t>t</m:t>
                  </m:r>
                  <m:r>
                    <m:rPr>
                      <m:sty m:val="p"/>
                    </m:rPr>
                    <m:t>e</m:t>
                  </m:r>
                  <m:r>
                    <m:rPr>
                      <m:sty m:val="p"/>
                    </m:rPr>
                    <m:t>n</m:t>
                  </m:r>
                  <m:r>
                    <m:rPr>
                      <m:sty m:val="p"/>
                    </m:rPr>
                    <m:t>s</m:t>
                  </m:r>
                  <m:r>
                    <m:rPr>
                      <m:sty m:val="p"/>
                    </m:rPr>
                    <m:t>i</m:t>
                  </m:r>
                  <m:r>
                    <m:rPr>
                      <m:sty m:val="p"/>
                    </m:rPr>
                    <m:t>t</m:t>
                  </m:r>
                  <m:r>
                    <m:rPr>
                      <m:sty m:val="p"/>
                    </m:rPr>
                    <m:t>y</m:t>
                  </m:r>
                </m:e>
                <m:sub>
                  <m:r>
                    <m:t>r</m:t>
                  </m:r>
                  <m:r>
                    <m:rPr>
                      <m:sty m:val="p"/>
                    </m:rPr>
                    <m:t>,</m:t>
                  </m:r>
                  <m:r>
                    <m:t>t</m:t>
                  </m:r>
                </m:sub>
              </m:sSub>
              <m:r>
                <m:rPr>
                  <m:sty m:val="p"/>
                </m:rPr>
                <m:t>+</m:t>
              </m:r>
              <m:sSub>
                <m:e>
                  <m:r>
                    <m:t>β</m:t>
                  </m:r>
                </m:e>
                <m:sub>
                  <m:r>
                    <m:t>2</m:t>
                  </m:r>
                </m:sub>
              </m:sSub>
              <m:sSub>
                <m:e>
                  <m:r>
                    <m:rPr>
                      <m:sty m:val="p"/>
                    </m:rPr>
                    <m:t>T</m:t>
                  </m:r>
                  <m:r>
                    <m:rPr>
                      <m:sty m:val="p"/>
                    </m:rPr>
                    <m:t>r</m:t>
                  </m:r>
                  <m:r>
                    <m:rPr>
                      <m:sty m:val="p"/>
                    </m:rPr>
                    <m:t>a</m:t>
                  </m:r>
                  <m:r>
                    <m:rPr>
                      <m:sty m:val="p"/>
                    </m:rPr>
                    <m:t>f</m:t>
                  </m:r>
                  <m:r>
                    <m:rPr>
                      <m:sty m:val="p"/>
                    </m:rPr>
                    <m:t>f</m:t>
                  </m:r>
                  <m:r>
                    <m:rPr>
                      <m:sty m:val="p"/>
                    </m:rPr>
                    <m:t>i</m:t>
                  </m:r>
                  <m:r>
                    <m:rPr>
                      <m:sty m:val="p"/>
                    </m:rPr>
                    <m:t>c</m:t>
                  </m:r>
                </m:e>
                <m:sub>
                  <m:r>
                    <m:t>r</m:t>
                  </m:r>
                  <m:r>
                    <m:rPr>
                      <m:sty m:val="p"/>
                    </m:rPr>
                    <m:t>,</m:t>
                  </m:r>
                  <m:r>
                    <m:t>t</m:t>
                  </m:r>
                </m:sub>
              </m:sSub>
              <m:r>
                <m:rPr>
                  <m:sty m:val="p"/>
                </m:rPr>
                <m:t>+</m:t>
              </m:r>
              <m:sSub>
                <m:e>
                  <m:r>
                    <m:t>β</m:t>
                  </m:r>
                </m:e>
                <m:sub>
                  <m:r>
                    <m:t>3</m:t>
                  </m:r>
                </m:sub>
              </m:sSub>
              <m:sSub>
                <m:e>
                  <m:r>
                    <m:rPr>
                      <m:sty m:val="p"/>
                    </m:rPr>
                    <m:t>E</m:t>
                  </m:r>
                  <m:r>
                    <m:rPr>
                      <m:sty m:val="p"/>
                    </m:rPr>
                    <m:t>x</m:t>
                  </m:r>
                  <m:r>
                    <m:rPr>
                      <m:sty m:val="p"/>
                    </m:rPr>
                    <m:t>e</m:t>
                  </m:r>
                  <m:r>
                    <m:rPr>
                      <m:sty m:val="p"/>
                    </m:rPr>
                    <m:t>r</m:t>
                  </m:r>
                  <m:r>
                    <m:rPr>
                      <m:sty m:val="p"/>
                    </m:rPr>
                    <m:t>c</m:t>
                  </m:r>
                  <m:r>
                    <m:rPr>
                      <m:sty m:val="p"/>
                    </m:rPr>
                    <m:t>i</m:t>
                  </m:r>
                  <m:r>
                    <m:rPr>
                      <m:sty m:val="p"/>
                    </m:rPr>
                    <m:t>s</m:t>
                  </m:r>
                  <m:r>
                    <m:rPr>
                      <m:sty m:val="p"/>
                    </m:rPr>
                    <m:t>e</m:t>
                  </m:r>
                </m:e>
                <m:sub>
                  <m:r>
                    <m:t>r</m:t>
                  </m:r>
                  <m:r>
                    <m:rPr>
                      <m:sty m:val="p"/>
                    </m:rPr>
                    <m:t>,</m:t>
                  </m:r>
                  <m:r>
                    <m:t>t</m:t>
                  </m:r>
                </m:sub>
              </m:sSub>
              <m:r>
                <m:rPr>
                  <m:sty m:val="p"/>
                </m:rPr>
                <m:t>+</m:t>
              </m:r>
              <m:sSub>
                <m:e>
                  <m:r>
                    <m:t>β</m:t>
                  </m:r>
                </m:e>
                <m:sub>
                  <m:r>
                    <m:t>4</m:t>
                  </m:r>
                </m:sub>
              </m:sSub>
              <m:sSub>
                <m:e>
                  <m:r>
                    <m:rPr>
                      <m:sty m:val="p"/>
                    </m:rPr>
                    <m:t>W</m:t>
                  </m:r>
                  <m:r>
                    <m:rPr>
                      <m:sty m:val="p"/>
                    </m:rPr>
                    <m:t>i</m:t>
                  </m:r>
                  <m:r>
                    <m:rPr>
                      <m:sty m:val="p"/>
                    </m:rPr>
                    <m:t>n</m:t>
                  </m:r>
                  <m:r>
                    <m:rPr>
                      <m:sty m:val="p"/>
                    </m:rPr>
                    <m:t>t</m:t>
                  </m:r>
                  <m:r>
                    <m:rPr>
                      <m:sty m:val="p"/>
                    </m:rPr>
                    <m:t>e</m:t>
                  </m:r>
                  <m:r>
                    <m:rPr>
                      <m:sty m:val="p"/>
                    </m:rPr>
                    <m:t>r</m:t>
                  </m:r>
                </m:e>
                <m:sub>
                  <m:r>
                    <m:t>r</m:t>
                  </m:r>
                  <m:r>
                    <m:rPr>
                      <m:sty m:val="p"/>
                    </m:rPr>
                    <m:t>,</m:t>
                  </m:r>
                  <m:r>
                    <m:t>t</m:t>
                  </m:r>
                </m:sub>
              </m:sSub>
            </m:e>
          </m:d>
        </m:oMath>
      </m:oMathPara>
    </w:p>
    <w:bookmarkStart w:id="17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-10.4934</w:t>
            </w:r>
          </w:p>
        </w:tc>
        <w:tc>
          <w:tcPr>
            <w:tcW w:w="0" w:type="auto"/>
          </w:tcPr>
          <w:p>
            <w:pPr>
              <w:spacing w:line="240" w:lineRule="auto" w:before="0" w:after="0"/>
              <w:pStyle w:val="Compact"/>
            </w:pPr>
            <w:r>
              <w:rPr>
                <w:sz w:val="20"/>
                <w:szCs w:val="20"/>
              </w:rPr>
              <w:t xml:space="preserve">5.6289</w:t>
            </w:r>
          </w:p>
        </w:tc>
        <w:tc>
          <w:tcPr>
            <w:tcW w:w="0" w:type="auto"/>
          </w:tcPr>
          <w:p>
            <w:pPr>
              <w:spacing w:line="240" w:lineRule="auto" w:before="0" w:after="0"/>
              <w:pStyle w:val="Compact"/>
            </w:pPr>
            <w:r>
              <w:rPr>
                <w:sz w:val="20"/>
                <w:szCs w:val="20"/>
              </w:rPr>
              <w:t xml:space="preserve">-1.8642</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[-21.5259, 0.5391]</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23.9353</w:t>
            </w:r>
          </w:p>
        </w:tc>
        <w:tc>
          <w:tcPr>
            <w:tcW w:w="0" w:type="auto"/>
          </w:tcPr>
          <w:p>
            <w:pPr>
              <w:spacing w:line="240" w:lineRule="auto" w:before="0" w:after="0"/>
              <w:pStyle w:val="Compact"/>
            </w:pPr>
            <w:r>
              <w:rPr>
                <w:sz w:val="20"/>
                <w:szCs w:val="20"/>
              </w:rPr>
              <w:t xml:space="preserve">8.8675</w:t>
            </w:r>
          </w:p>
        </w:tc>
        <w:tc>
          <w:tcPr>
            <w:tcW w:w="0" w:type="auto"/>
          </w:tcPr>
          <w:p>
            <w:pPr>
              <w:spacing w:line="240" w:lineRule="auto" w:before="0" w:after="0"/>
              <w:pStyle w:val="Compact"/>
            </w:pPr>
            <w:r>
              <w:rPr>
                <w:sz w:val="20"/>
                <w:szCs w:val="20"/>
              </w:rPr>
              <w:t xml:space="preserve">2.6992</w:t>
            </w:r>
          </w:p>
        </w:tc>
        <w:tc>
          <w:tcPr>
            <w:tcW w:w="0" w:type="auto"/>
          </w:tcPr>
          <w:p>
            <w:pPr>
              <w:spacing w:line="240" w:lineRule="auto" w:before="0" w:after="0"/>
              <w:pStyle w:val="Compact"/>
            </w:pPr>
            <w:r>
              <w:rPr>
                <w:sz w:val="20"/>
                <w:szCs w:val="20"/>
              </w:rPr>
              <w:t xml:space="preserve">0.007</w:t>
            </w:r>
          </w:p>
        </w:tc>
        <w:tc>
          <w:tcPr>
            <w:tcW w:w="0" w:type="auto"/>
          </w:tcPr>
          <w:p>
            <w:pPr>
              <w:spacing w:line="240" w:lineRule="auto" w:before="0" w:after="0"/>
              <w:pStyle w:val="Compact"/>
            </w:pPr>
            <w:r>
              <w:rPr>
                <w:sz w:val="20"/>
                <w:szCs w:val="20"/>
              </w:rPr>
              <w:t xml:space="preserve">[6.5553, 41.3152]</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-4.3514</w:t>
            </w:r>
          </w:p>
        </w:tc>
        <w:tc>
          <w:tcPr>
            <w:tcW w:w="0" w:type="auto"/>
          </w:tcPr>
          <w:p>
            <w:pPr>
              <w:spacing w:line="240" w:lineRule="auto" w:before="0" w:after="0"/>
              <w:pStyle w:val="Compact"/>
            </w:pPr>
            <w:r>
              <w:rPr>
                <w:sz w:val="20"/>
                <w:szCs w:val="20"/>
              </w:rPr>
              <w:t xml:space="preserve">7.2296</w:t>
            </w:r>
          </w:p>
        </w:tc>
        <w:tc>
          <w:tcPr>
            <w:tcW w:w="0" w:type="auto"/>
          </w:tcPr>
          <w:p>
            <w:pPr>
              <w:spacing w:line="240" w:lineRule="auto" w:before="0" w:after="0"/>
              <w:pStyle w:val="Compact"/>
            </w:pPr>
            <w:r>
              <w:rPr>
                <w:sz w:val="20"/>
                <w:szCs w:val="20"/>
              </w:rPr>
              <w:t xml:space="preserve">-0.6019</w:t>
            </w:r>
          </w:p>
        </w:tc>
        <w:tc>
          <w:tcPr>
            <w:tcW w:w="0" w:type="auto"/>
          </w:tcPr>
          <w:p>
            <w:pPr>
              <w:spacing w:line="240" w:lineRule="auto" w:before="0" w:after="0"/>
              <w:pStyle w:val="Compact"/>
            </w:pPr>
            <w:r>
              <w:rPr>
                <w:sz w:val="20"/>
                <w:szCs w:val="20"/>
              </w:rPr>
              <w:t xml:space="preserve">0.5473</w:t>
            </w:r>
          </w:p>
        </w:tc>
        <w:tc>
          <w:tcPr>
            <w:tcW w:w="0" w:type="auto"/>
          </w:tcPr>
          <w:p>
            <w:pPr>
              <w:spacing w:line="240" w:lineRule="auto" w:before="0" w:after="0"/>
              <w:pStyle w:val="Compact"/>
            </w:pPr>
            <w:r>
              <w:rPr>
                <w:sz w:val="20"/>
                <w:szCs w:val="20"/>
              </w:rPr>
              <w:t xml:space="preserve">[-18.5212, 9.8185]</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0.6251</w:t>
            </w:r>
          </w:p>
        </w:tc>
        <w:tc>
          <w:tcPr>
            <w:tcW w:w="0" w:type="auto"/>
          </w:tcPr>
          <w:p>
            <w:pPr>
              <w:spacing w:line="240" w:lineRule="auto" w:before="0" w:after="0"/>
              <w:pStyle w:val="Compact"/>
            </w:pPr>
            <w:r>
              <w:rPr>
                <w:sz w:val="20"/>
                <w:szCs w:val="20"/>
              </w:rPr>
              <w:t xml:space="preserve">1.6233</w:t>
            </w:r>
          </w:p>
        </w:tc>
        <w:tc>
          <w:tcPr>
            <w:tcW w:w="0" w:type="auto"/>
          </w:tcPr>
          <w:p>
            <w:pPr>
              <w:spacing w:line="240" w:lineRule="auto" w:before="0" w:after="0"/>
              <w:pStyle w:val="Compact"/>
            </w:pPr>
            <w:r>
              <w:rPr>
                <w:sz w:val="20"/>
                <w:szCs w:val="20"/>
              </w:rPr>
              <w:t xml:space="preserve">0.3851</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[-2.5565, 3.8068]</w:t>
            </w:r>
          </w:p>
        </w:tc>
      </w:tr>
      <w:tr>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0.4005</w:t>
            </w:r>
          </w:p>
        </w:tc>
        <w:tc>
          <w:tcPr>
            <w:tcW w:w="0" w:type="auto"/>
          </w:tcPr>
          <w:p>
            <w:pPr>
              <w:spacing w:line="240" w:lineRule="auto" w:before="0" w:after="0"/>
              <w:pStyle w:val="Compact"/>
            </w:pPr>
            <w:r>
              <w:rPr>
                <w:sz w:val="20"/>
                <w:szCs w:val="20"/>
              </w:rPr>
              <w:t xml:space="preserve">1.0789</w:t>
            </w:r>
          </w:p>
        </w:tc>
        <w:tc>
          <w:tcPr>
            <w:tcW w:w="0" w:type="auto"/>
          </w:tcPr>
          <w:p>
            <w:pPr>
              <w:spacing w:line="240" w:lineRule="auto" w:before="0" w:after="0"/>
              <w:pStyle w:val="Compact"/>
            </w:pPr>
            <w:r>
              <w:rPr>
                <w:sz w:val="20"/>
                <w:szCs w:val="20"/>
              </w:rPr>
              <w:t xml:space="preserve">0.3712</w:t>
            </w:r>
          </w:p>
        </w:tc>
        <w:tc>
          <w:tcPr>
            <w:tcW w:w="0" w:type="auto"/>
          </w:tcPr>
          <w:p>
            <w:pPr>
              <w:spacing w:line="240" w:lineRule="auto" w:before="0" w:after="0"/>
              <w:pStyle w:val="Compact"/>
            </w:pPr>
            <w:r>
              <w:rPr>
                <w:sz w:val="20"/>
                <w:szCs w:val="20"/>
              </w:rPr>
              <w:t xml:space="preserve">0.7105</w:t>
            </w:r>
          </w:p>
        </w:tc>
        <w:tc>
          <w:tcPr>
            <w:tcW w:w="0" w:type="auto"/>
          </w:tcPr>
          <w:p>
            <w:pPr>
              <w:spacing w:line="240" w:lineRule="auto" w:before="0" w:after="0"/>
              <w:pStyle w:val="Compact"/>
            </w:pPr>
            <w:r>
              <w:rPr>
                <w:sz w:val="20"/>
                <w:szCs w:val="20"/>
              </w:rPr>
              <w:t xml:space="preserve">[-1.714, 2.5151]</w:t>
            </w:r>
          </w:p>
        </w:tc>
      </w:tr>
    </w:tbl>
    <w:p>
      <w:pPr>
        <w:pStyle w:val="BodyText"/>
        <w:spacing w:line="480" w:lineRule="auto"/>
        <w:ind w:firstLine="720"/>
      </w:pPr>
      <w:r>
        <w:t xml:space="preserve">Fit: N = 32 pseudo_R2 = 0.2692 LL = -16.2092</w:t>
      </w:r>
    </w:p>
    <w:bookmarkEnd w:id="170"/>
    <w:bookmarkStart w:id="17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ivil GNSS interference intensity against pre-escalation window status across four contested theaters, 2023-2025." title="" id="172" name="Picture"/>
            <a:graphic>
              <a:graphicData uri="http://schemas.openxmlformats.org/drawingml/2006/picture">
                <pic:pic>
                  <pic:nvPicPr>
                    <pic:cNvPr descr="D:/Claude_Code/brain/collegium/candidates/dissertations/SPECTRUM_PNT_06/research_papers/p1/paper_fig1.png" id="173" name="Picture"/>
                    <pic:cNvPicPr>
                      <a:picLocks noChangeArrowheads="1" noChangeAspect="1"/>
                    </pic:cNvPicPr>
                  </pic:nvPicPr>
                  <pic:blipFill>
                    <a:blip r:embed="rId1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Civil GNSS interference intensity against pre-escalation window status across four contested theaters, 2023-2025.</w:t>
      </w:r>
    </w:p>
    <w:bookmarkEnd w:id="174"/>
    <w:bookmarkStart w:id="17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region</w:t>
            </w:r>
          </w:p>
        </w:tc>
        <w:tc>
          <w:tcPr>
            <w:tcW w:w="0" w:type="auto"/>
          </w:tcPr>
          <w:p>
            <w:pPr>
              <w:spacing w:line="240" w:lineRule="auto" w:before="0" w:after="0"/>
              <w:pStyle w:val="Compact"/>
            </w:pPr>
            <w:r>
              <w:rPr>
                <w:sz w:val="20"/>
                <w:szCs w:val="20"/>
              </w:rPr>
              <w:t xml:space="preserve">window_date</w:t>
            </w:r>
          </w:p>
        </w:tc>
        <w:tc>
          <w:tcPr>
            <w:tcW w:w="0" w:type="auto"/>
          </w:tcPr>
          <w:p>
            <w:pPr>
              <w:spacing w:line="240" w:lineRule="auto" w:before="0" w:after="0"/>
              <w:pStyle w:val="Compact"/>
            </w:pPr>
            <w:r>
              <w:rPr>
                <w:sz w:val="20"/>
                <w:szCs w:val="20"/>
              </w:rPr>
              <w:t xml:space="preserve">is_pre_escalation</w:t>
            </w:r>
          </w:p>
        </w:tc>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2024-01-13 (gpsjam.org); ACLED Baltic escalation 2024-01-15 Russian drone incursion Estonia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2024-01-06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2024-01-06 control matched DoW; ACLED null window</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2023-12-26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2023-12-26 (gpsjam.org); ACLED Baltic strategic dev 2023-12-28 Kaliningrad alert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2023-12-19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2023-12-19 control matched window</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2024-03-22; ACLED Baltic strategic dev 2024-03-24 NATO BALTOPS prep</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2024-03-15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2024-03-15 matched control</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2024-04-12 (gpsjam.org); ACLED Iran-Israel exchange 2024-04-13 Iranian drone and missile salvo</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2024-04-05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2024-04-05 matched control</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2023-10-05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2023-10-05; ACLED 2023-10-07 Hamas attack on Israel</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2023-09-28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2023-09-28 matched control</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2024-07-28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2024-07-28; ACLED Eastern Med 2024-07-30 Beirut and Tehran assassinations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2024-07-21 matched control elevated baseline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2023-07-15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2023-07-15; ACLED 2023-07-17 Russia withdraws Black Sea Grain Initiative</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2023-07-08 matched control</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2023-09-20; ACLED 2023-09-22 Ukrainian strike on Sevastopol HQ noisy pre-window</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2023-09-13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2023-09-13 matched control</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2024-02-13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2024-02-13; ACLED 2024-02-14 Avdiivka fall pre-window</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2024-02-06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2024-02-06 matched control</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2024-01-10; ACLED 2024-01-12 US-UK Houthi strikes Yemen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2024-01-03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2024-01-03 matched control</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2024-04-18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2024-04-18; ACLED 2024-04-19 Israeli strike on Isfahan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2024-04-11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2024-04-11 matched control</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2024-10-24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2024-10-24; ACLED 2024-10-26 Israeli strike on Iranian military sites</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2024-10-17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2024-10-17 matched control elevated baseline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2024-05-08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2024-05-08; NATO Steadfast Defender exercise overlap, ACLED 2024-05-10 boundary buoy incident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2024-05-01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2024-05-01 matched control under exercise window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2024-12-06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2024-12-06; ACLED 2024-12-08 fall of Assad regime Syria</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2024-11-29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2024-11-29 matched control</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2024-06-10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2024-06-10; ACLED 2024-06-12 [illustrative match - Sevastopol drone wave reports]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2024-06-03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2024-06-03 matched control</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2025-06-21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2025-06-21; ACLED 2025-06-22 US strikes on Iranian nuclear sites Operation Midnight Hammer</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2025-06-14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2025-06-14 matched control</w:t>
            </w:r>
          </w:p>
        </w:tc>
      </w:tr>
    </w:tbl>
    <w:bookmarkEnd w:id="175"/>
    <w:bookmarkStart w:id="17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is_pre_escalation</w:t>
            </w:r>
          </w:p>
        </w:tc>
        <w:tc>
          <w:tcPr>
            <w:tcW w:w="0" w:type="auto"/>
          </w:tcPr>
          <w:p>
            <w:pPr>
              <w:spacing w:line="240" w:lineRule="auto" w:before="0" w:after="0"/>
              <w:pStyle w:val="Compact"/>
            </w:pPr>
            <w:r>
              <w:rPr>
                <w:sz w:val="20"/>
                <w:szCs w:val="20"/>
              </w:rPr>
              <w:t xml:space="preserve">Indicator equal to 1 if the day falls in the 14-72 hour window preceding an ACLED-coded militarized escalation event in the region, 0 otherwise.</w:t>
            </w:r>
          </w:p>
        </w:tc>
        <w:tc>
          <w:tcPr>
            <w:tcW w:w="0" w:type="auto"/>
          </w:tcPr>
          <w:p>
            <w:pPr>
              <w:spacing w:line="240" w:lineRule="auto" w:before="0" w:after="0"/>
              <w:pStyle w:val="Compact"/>
            </w:pPr>
            <w:r>
              <w:rPr>
                <w:sz w:val="20"/>
                <w:szCs w:val="20"/>
              </w:rPr>
              <w:t xml:space="preserve">ACLED public event series filtered to battles, explosions and remote violence, and strategic developments.</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Daily mean fraction of ADS-B reporting aircraft within the regional hex-bin grid that broadcast Navigation Integrity Category values consistent with GNSS degradation.</w:t>
            </w:r>
          </w:p>
        </w:tc>
        <w:tc>
          <w:tcPr>
            <w:tcW w:w="0" w:type="auto"/>
          </w:tcPr>
          <w:p>
            <w:pPr>
              <w:spacing w:line="240" w:lineRule="auto" w:before="0" w:after="0"/>
              <w:pStyle w:val="Compact"/>
            </w:pPr>
            <w:r>
              <w:rPr>
                <w:sz w:val="20"/>
                <w:szCs w:val="20"/>
              </w:rPr>
              <w:t xml:space="preserve">GPSJam daily GeoJSON tiles (gpsjam.org), aggregated to the four-theater taxonomy.</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Normalized count of ADS-B-equipped aircraft observations in the regional grid that day, scaled to the 2023-2025 within-region maximum.</w:t>
            </w:r>
          </w:p>
        </w:tc>
        <w:tc>
          <w:tcPr>
            <w:tcW w:w="0" w:type="auto"/>
          </w:tcPr>
          <w:p>
            <w:pPr>
              <w:spacing w:line="240" w:lineRule="auto" w:before="0" w:after="0"/>
              <w:pStyle w:val="Compact"/>
            </w:pPr>
            <w:r>
              <w:rPr>
                <w:sz w:val="20"/>
                <w:szCs w:val="20"/>
              </w:rPr>
              <w:t xml:space="preserve">GPSJam underlying ADS-B feed (gpsjam.org).</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Indicator equal to 1 if the day falls inside a publicly announced NATO, EU, or regional state military exercise window for that region.</w:t>
            </w:r>
          </w:p>
        </w:tc>
        <w:tc>
          <w:tcPr>
            <w:tcW w:w="0" w:type="auto"/>
          </w:tcPr>
          <w:p>
            <w:pPr>
              <w:spacing w:line="240" w:lineRule="auto" w:before="0" w:after="0"/>
              <w:pStyle w:val="Compact"/>
            </w:pPr>
            <w:r>
              <w:rPr>
                <w:sz w:val="20"/>
                <w:szCs w:val="20"/>
              </w:rPr>
              <w:t xml:space="preserve">NATO Allied Command Operations press releases and national defense ministry notifications.</w:t>
            </w:r>
          </w:p>
        </w:tc>
      </w:tr>
      <w:tr>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Indicator equal to 1 for December, January, and February observations.</w:t>
            </w:r>
          </w:p>
        </w:tc>
        <w:tc>
          <w:tcPr>
            <w:tcW w:w="0" w:type="auto"/>
          </w:tcPr>
          <w:p>
            <w:pPr>
              <w:spacing w:line="240" w:lineRule="auto" w:before="0" w:after="0"/>
              <w:pStyle w:val="Compact"/>
            </w:pPr>
            <w:r>
              <w:rPr>
                <w:sz w:val="20"/>
                <w:szCs w:val="20"/>
              </w:rPr>
              <w:t xml:space="preserve">Calendar date of window.</w:t>
            </w:r>
          </w:p>
        </w:tc>
      </w:tr>
    </w:tbl>
    <w:bookmarkEnd w:id="176"/>
    <w:bookmarkEnd w:id="177"/>
    <w:bookmarkStart w:id="185" w:name="X1e0872cba2212a40bcdd233881d2b8002086eb3"/>
    <w:p>
      <w:pPr>
        <w:pStyle w:val="Heading2"/>
        <w:spacing w:line="480" w:lineRule="auto"/>
      </w:pPr>
      <w:r>
        <w:t xml:space="preserve">A.2 Time-to-Escalation as a Function of Civil GNSS Interference Intensity: A Cox Proportional-Hazards Analysis of Four Contested Regions, 2022-2025</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r>
            <m:rPr>
              <m:sty m:val="p"/>
            </m:rPr>
            <m:t>i</m:t>
          </m:r>
          <m:r>
            <m:rPr>
              <m:sty m:val="p"/>
            </m:rPr>
            <m:t>n</m:t>
          </m:r>
          <m:r>
            <m:rPr>
              <m:sty m:val="p"/>
            </m:rPr>
            <m:t>t</m:t>
          </m:r>
          <m:r>
            <m:rPr>
              <m:sty m:val="p"/>
            </m:rPr>
            <m:t>e</m:t>
          </m:r>
          <m:r>
            <m:rPr>
              <m:sty m:val="p"/>
            </m:rPr>
            <m:t>n</m:t>
          </m:r>
          <m:r>
            <m:rPr>
              <m:sty m:val="p"/>
            </m:rPr>
            <m:t>s</m:t>
          </m:r>
          <m:r>
            <m:rPr>
              <m:sty m:val="p"/>
            </m:rPr>
            <m:t>i</m:t>
          </m:r>
          <m:r>
            <m:rPr>
              <m:sty m:val="p"/>
            </m:rPr>
            <m:t>t</m:t>
          </m:r>
          <m:r>
            <m:rPr>
              <m:sty m:val="p"/>
            </m:rPr>
            <m:t>y</m:t>
          </m:r>
          <m:r>
            <m:rPr>
              <m:sty m:val="p"/>
            </m:rPr>
            <m:t>+</m:t>
          </m:r>
          <m:sSub>
            <m:e>
              <m:r>
                <m:t>β</m:t>
              </m:r>
            </m:e>
            <m:sub>
              <m:r>
                <m:t>2</m:t>
              </m:r>
            </m:sub>
          </m:sSub>
          <m:r>
            <m:t> </m:t>
          </m:r>
          <m:r>
            <m:rPr>
              <m:sty m:val="p"/>
            </m:rPr>
            <m:t>t</m:t>
          </m:r>
          <m:r>
            <m:rPr>
              <m:sty m:val="p"/>
            </m:rPr>
            <m:t>r</m:t>
          </m:r>
          <m:r>
            <m:rPr>
              <m:sty m:val="p"/>
            </m:rPr>
            <m:t>a</m:t>
          </m:r>
          <m:r>
            <m:rPr>
              <m:sty m:val="p"/>
            </m:rPr>
            <m:t>f</m:t>
          </m:r>
          <m:r>
            <m:rPr>
              <m:sty m:val="p"/>
            </m:rPr>
            <m:t>f</m:t>
          </m:r>
          <m:r>
            <m:rPr>
              <m:sty m:val="p"/>
            </m:rPr>
            <m:t>i</m:t>
          </m:r>
          <m:r>
            <m:rPr>
              <m:sty m:val="p"/>
            </m:rPr>
            <m:t>c</m:t>
          </m:r>
          <m:r>
            <m:rPr>
              <m:sty m:val="p"/>
            </m:rPr>
            <m:t>+</m:t>
          </m:r>
          <m:sSub>
            <m:e>
              <m:r>
                <m:t>β</m:t>
              </m:r>
            </m:e>
            <m:sub>
              <m:r>
                <m:t>3</m:t>
              </m:r>
            </m:sub>
          </m:sSub>
          <m:r>
            <m:t> </m:t>
          </m:r>
          <m:r>
            <m:rPr>
              <m:sty m:val="p"/>
            </m:rPr>
            <m:t>e</m:t>
          </m:r>
          <m:r>
            <m:rPr>
              <m:sty m:val="p"/>
            </m:rPr>
            <m:t>x</m:t>
          </m:r>
          <m:r>
            <m:rPr>
              <m:sty m:val="p"/>
            </m:rPr>
            <m:t>e</m:t>
          </m:r>
          <m:r>
            <m:rPr>
              <m:sty m:val="p"/>
            </m:rPr>
            <m:t>r</m:t>
          </m:r>
          <m:r>
            <m:rPr>
              <m:sty m:val="p"/>
            </m:rPr>
            <m:t>c</m:t>
          </m:r>
          <m:r>
            <m:rPr>
              <m:sty m:val="p"/>
            </m:rPr>
            <m:t>i</m:t>
          </m:r>
          <m:r>
            <m:rPr>
              <m:sty m:val="p"/>
            </m:rPr>
            <m:t>s</m:t>
          </m:r>
          <m:r>
            <m:rPr>
              <m:sty m:val="p"/>
            </m:rPr>
            <m:t>e</m:t>
          </m:r>
          <m:r>
            <m:rPr>
              <m:sty m:val="p"/>
            </m:rPr>
            <m:t>+</m:t>
          </m:r>
          <m:sSub>
            <m:e>
              <m:r>
                <m:t>β</m:t>
              </m:r>
            </m:e>
            <m:sub>
              <m:r>
                <m:t>4</m:t>
              </m:r>
            </m:sub>
          </m:sSub>
          <m:r>
            <m:t> </m:t>
          </m:r>
          <m:r>
            <m:rPr>
              <m:sty m:val="p"/>
            </m:rPr>
            <m:t>b</m:t>
          </m:r>
          <m:r>
            <m:rPr>
              <m:sty m:val="p"/>
            </m:rPr>
            <m:t>a</m:t>
          </m:r>
          <m:r>
            <m:rPr>
              <m:sty m:val="p"/>
            </m:rPr>
            <m:t>l</m:t>
          </m:r>
          <m:r>
            <m:rPr>
              <m:sty m:val="p"/>
            </m:rPr>
            <m:t>t</m:t>
          </m:r>
          <m:r>
            <m:rPr>
              <m:sty m:val="p"/>
            </m:rPr>
            <m:t>i</m:t>
          </m:r>
          <m:r>
            <m:rPr>
              <m:sty m:val="p"/>
            </m:rPr>
            <m:t>c</m:t>
          </m:r>
          <m:r>
            <m:rPr>
              <m:sty m:val="p"/>
            </m:rPr>
            <m:t>)</m:t>
          </m:r>
        </m:oMath>
      </m:oMathPara>
    </w:p>
    <w:bookmarkStart w:id="17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31.0948</w:t>
            </w:r>
          </w:p>
        </w:tc>
        <w:tc>
          <w:tcPr>
            <w:tcW w:w="0" w:type="auto"/>
          </w:tcPr>
          <w:p>
            <w:pPr>
              <w:spacing w:line="240" w:lineRule="auto" w:before="0" w:after="0"/>
              <w:pStyle w:val="Compact"/>
            </w:pPr>
            <w:r>
              <w:rPr>
                <w:sz w:val="20"/>
                <w:szCs w:val="20"/>
              </w:rPr>
              <w:t xml:space="preserve">8.4011</w:t>
            </w:r>
          </w:p>
        </w:tc>
        <w:tc>
          <w:tcPr>
            <w:tcW w:w="0" w:type="auto"/>
          </w:tcPr>
          <w:p>
            <w:pPr>
              <w:spacing w:line="240" w:lineRule="auto" w:before="0" w:after="0"/>
              <w:pStyle w:val="Compact"/>
            </w:pPr>
            <w:r>
              <w:rPr>
                <w:sz w:val="20"/>
                <w:szCs w:val="20"/>
              </w:rPr>
              <w:t xml:space="preserve">3.7013</w:t>
            </w:r>
          </w:p>
        </w:tc>
        <w:tc>
          <w:tcPr>
            <w:tcW w:w="0" w:type="auto"/>
          </w:tcPr>
          <w:p>
            <w:pPr>
              <w:spacing w:line="240" w:lineRule="auto" w:before="0" w:after="0"/>
              <w:pStyle w:val="Compact"/>
            </w:pPr>
            <w:r>
              <w:rPr>
                <w:sz w:val="20"/>
                <w:szCs w:val="20"/>
              </w:rPr>
              <w:t xml:space="preserve">0.0002145</w:t>
            </w:r>
          </w:p>
        </w:tc>
        <w:tc>
          <w:tcPr>
            <w:tcW w:w="0" w:type="auto"/>
          </w:tcPr>
          <w:p>
            <w:pPr>
              <w:spacing w:line="240" w:lineRule="auto" w:before="0" w:after="0"/>
              <w:pStyle w:val="Compact"/>
            </w:pPr>
            <w:r>
              <w:rPr>
                <w:sz w:val="20"/>
                <w:szCs w:val="20"/>
              </w:rPr>
              <w:t xml:space="preserve">[14.6285, 47.561]</w:t>
            </w:r>
          </w:p>
        </w:tc>
        <w:tc>
          <w:tcPr>
            <w:tcW w:w="0" w:type="auto"/>
          </w:tcPr>
          <w:p>
            <w:pPr>
              <w:spacing w:line="240" w:lineRule="auto" w:before="0" w:after="0"/>
              <w:pStyle w:val="Compact"/>
            </w:pPr>
            <w:r>
              <w:rPr>
                <w:sz w:val="20"/>
                <w:szCs w:val="20"/>
              </w:rPr>
              <w:t xml:space="preserve">3.194e+13</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3.6217</w:t>
            </w:r>
          </w:p>
        </w:tc>
        <w:tc>
          <w:tcPr>
            <w:tcW w:w="0" w:type="auto"/>
          </w:tcPr>
          <w:p>
            <w:pPr>
              <w:spacing w:line="240" w:lineRule="auto" w:before="0" w:after="0"/>
              <w:pStyle w:val="Compact"/>
            </w:pPr>
            <w:r>
              <w:rPr>
                <w:sz w:val="20"/>
                <w:szCs w:val="20"/>
              </w:rPr>
              <w:t xml:space="preserve">4.4546</w:t>
            </w:r>
          </w:p>
        </w:tc>
        <w:tc>
          <w:tcPr>
            <w:tcW w:w="0" w:type="auto"/>
          </w:tcPr>
          <w:p>
            <w:pPr>
              <w:spacing w:line="240" w:lineRule="auto" w:before="0" w:after="0"/>
              <w:pStyle w:val="Compact"/>
            </w:pPr>
            <w:r>
              <w:rPr>
                <w:sz w:val="20"/>
                <w:szCs w:val="20"/>
              </w:rPr>
              <w:t xml:space="preserve">0.813</w:t>
            </w:r>
          </w:p>
        </w:tc>
        <w:tc>
          <w:tcPr>
            <w:tcW w:w="0" w:type="auto"/>
          </w:tcPr>
          <w:p>
            <w:pPr>
              <w:spacing w:line="240" w:lineRule="auto" w:before="0" w:after="0"/>
              <w:pStyle w:val="Compact"/>
            </w:pPr>
            <w:r>
              <w:rPr>
                <w:sz w:val="20"/>
                <w:szCs w:val="20"/>
              </w:rPr>
              <w:t xml:space="preserve">0.4162</w:t>
            </w:r>
          </w:p>
        </w:tc>
        <w:tc>
          <w:tcPr>
            <w:tcW w:w="0" w:type="auto"/>
          </w:tcPr>
          <w:p>
            <w:pPr>
              <w:spacing w:line="240" w:lineRule="auto" w:before="0" w:after="0"/>
              <w:pStyle w:val="Compact"/>
            </w:pPr>
            <w:r>
              <w:rPr>
                <w:sz w:val="20"/>
                <w:szCs w:val="20"/>
              </w:rPr>
              <w:t xml:space="preserve">[-5.1093, 12.3528]</w:t>
            </w:r>
          </w:p>
        </w:tc>
        <w:tc>
          <w:tcPr>
            <w:tcW w:w="0" w:type="auto"/>
          </w:tcPr>
          <w:p>
            <w:pPr>
              <w:spacing w:line="240" w:lineRule="auto" w:before="0" w:after="0"/>
              <w:pStyle w:val="Compact"/>
            </w:pPr>
            <w:r>
              <w:rPr>
                <w:sz w:val="20"/>
                <w:szCs w:val="20"/>
              </w:rPr>
              <w:t xml:space="preserve">37.4026</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1.8641</w:t>
            </w:r>
          </w:p>
        </w:tc>
        <w:tc>
          <w:tcPr>
            <w:tcW w:w="0" w:type="auto"/>
          </w:tcPr>
          <w:p>
            <w:pPr>
              <w:spacing w:line="240" w:lineRule="auto" w:before="0" w:after="0"/>
              <w:pStyle w:val="Compact"/>
            </w:pPr>
            <w:r>
              <w:rPr>
                <w:sz w:val="20"/>
                <w:szCs w:val="20"/>
              </w:rPr>
              <w:t xml:space="preserve">1.1506</w:t>
            </w:r>
          </w:p>
        </w:tc>
        <w:tc>
          <w:tcPr>
            <w:tcW w:w="0" w:type="auto"/>
          </w:tcPr>
          <w:p>
            <w:pPr>
              <w:spacing w:line="240" w:lineRule="auto" w:before="0" w:after="0"/>
              <w:pStyle w:val="Compact"/>
            </w:pPr>
            <w:r>
              <w:rPr>
                <w:sz w:val="20"/>
                <w:szCs w:val="20"/>
              </w:rPr>
              <w:t xml:space="preserve">1.6201</w:t>
            </w:r>
          </w:p>
        </w:tc>
        <w:tc>
          <w:tcPr>
            <w:tcW w:w="0" w:type="auto"/>
          </w:tcPr>
          <w:p>
            <w:pPr>
              <w:spacing w:line="240" w:lineRule="auto" w:before="0" w:after="0"/>
              <w:pStyle w:val="Compact"/>
            </w:pPr>
            <w:r>
              <w:rPr>
                <w:sz w:val="20"/>
                <w:szCs w:val="20"/>
              </w:rPr>
              <w:t xml:space="preserve">0.1052</w:t>
            </w:r>
          </w:p>
        </w:tc>
        <w:tc>
          <w:tcPr>
            <w:tcW w:w="0" w:type="auto"/>
          </w:tcPr>
          <w:p>
            <w:pPr>
              <w:spacing w:line="240" w:lineRule="auto" w:before="0" w:after="0"/>
              <w:pStyle w:val="Compact"/>
            </w:pPr>
            <w:r>
              <w:rPr>
                <w:sz w:val="20"/>
                <w:szCs w:val="20"/>
              </w:rPr>
              <w:t xml:space="preserve">[-0.391, 4.1192]</w:t>
            </w:r>
          </w:p>
        </w:tc>
        <w:tc>
          <w:tcPr>
            <w:tcW w:w="0" w:type="auto"/>
          </w:tcPr>
          <w:p>
            <w:pPr>
              <w:spacing w:line="240" w:lineRule="auto" w:before="0" w:after="0"/>
              <w:pStyle w:val="Compact"/>
            </w:pPr>
            <w:r>
              <w:rPr>
                <w:sz w:val="20"/>
                <w:szCs w:val="20"/>
              </w:rPr>
              <w:t xml:space="preserve">6.45</w:t>
            </w:r>
          </w:p>
        </w:tc>
      </w:tr>
      <w:tr>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0.7931</w:t>
            </w:r>
          </w:p>
        </w:tc>
        <w:tc>
          <w:tcPr>
            <w:tcW w:w="0" w:type="auto"/>
          </w:tcPr>
          <w:p>
            <w:pPr>
              <w:spacing w:line="240" w:lineRule="auto" w:before="0" w:after="0"/>
              <w:pStyle w:val="Compact"/>
            </w:pPr>
            <w:r>
              <w:rPr>
                <w:sz w:val="20"/>
                <w:szCs w:val="20"/>
              </w:rPr>
              <w:t xml:space="preserve">0.6285</w:t>
            </w:r>
          </w:p>
        </w:tc>
        <w:tc>
          <w:tcPr>
            <w:tcW w:w="0" w:type="auto"/>
          </w:tcPr>
          <w:p>
            <w:pPr>
              <w:spacing w:line="240" w:lineRule="auto" w:before="0" w:after="0"/>
              <w:pStyle w:val="Compact"/>
            </w:pPr>
            <w:r>
              <w:rPr>
                <w:sz w:val="20"/>
                <w:szCs w:val="20"/>
              </w:rPr>
              <w:t xml:space="preserve">1.2619</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[-0.4388, 2.0251]</w:t>
            </w:r>
          </w:p>
        </w:tc>
        <w:tc>
          <w:tcPr>
            <w:tcW w:w="0" w:type="auto"/>
          </w:tcPr>
          <w:p>
            <w:pPr>
              <w:spacing w:line="240" w:lineRule="auto" w:before="0" w:after="0"/>
              <w:pStyle w:val="Compact"/>
            </w:pPr>
            <w:r>
              <w:rPr>
                <w:sz w:val="20"/>
                <w:szCs w:val="20"/>
              </w:rPr>
              <w:t xml:space="preserve">2.2103</w:t>
            </w:r>
          </w:p>
        </w:tc>
      </w:tr>
    </w:tbl>
    <w:p>
      <w:pPr>
        <w:pStyle w:val="BodyText"/>
        <w:spacing w:line="480" w:lineRule="auto"/>
        <w:ind w:firstLine="720"/>
      </w:pPr>
      <w:r>
        <w:t xml:space="preserve">Fit: N = 30 events = 21</w:t>
      </w:r>
    </w:p>
    <w:bookmarkEnd w:id="178"/>
    <w:bookmarkStart w:id="18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vil GNSS interference intensity and observed time-to-escalation across 30 region-windows in the Baltic, Eastern Mediterranean, Black Sea, and Persian Gulf, 2022-2025." title="" id="180" name="Picture"/>
            <a:graphic>
              <a:graphicData uri="http://schemas.openxmlformats.org/drawingml/2006/picture">
                <pic:pic>
                  <pic:nvPicPr>
                    <pic:cNvPr descr="D:/Claude_Code/brain/collegium/candidates/dissertations/SPECTRUM_PNT_06/research_papers/p2/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Civil GNSS interference intensity and observed time-to-escalation across 30 region-windows in the Baltic, Eastern Mediterranean, Black Sea, and Persian Gulf, 2022-2025.</w:t>
      </w:r>
    </w:p>
    <w:bookmarkEnd w:id="182"/>
    <w:bookmarkStart w:id="18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region_window_id</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BAL_2022_07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Wiseman J., GPSJam daily ADS-B NIC tiles, gpsjam.org/2022-07 (Baltic)</w:t>
            </w:r>
          </w:p>
        </w:tc>
      </w:tr>
      <w:tr>
        <w:tc>
          <w:tcPr>
            <w:tcW w:w="0" w:type="auto"/>
          </w:tcPr>
          <w:p>
            <w:pPr>
              <w:spacing w:line="240" w:lineRule="auto" w:before="0" w:after="0"/>
              <w:pStyle w:val="Compact"/>
            </w:pPr>
            <w:r>
              <w:rPr>
                <w:sz w:val="20"/>
                <w:szCs w:val="20"/>
              </w:rPr>
              <w:t xml:space="preserve">BAL_2022_11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Wiseman J., GPSJam daily ADS-B NIC tiles, gpsjam.org/2022-11 (Baltic)</w:t>
            </w:r>
          </w:p>
        </w:tc>
      </w:tr>
      <w:tr>
        <w:tc>
          <w:tcPr>
            <w:tcW w:w="0" w:type="auto"/>
          </w:tcPr>
          <w:p>
            <w:pPr>
              <w:spacing w:line="240" w:lineRule="auto" w:before="0" w:after="0"/>
              <w:pStyle w:val="Compact"/>
            </w:pPr>
            <w:r>
              <w:rPr>
                <w:sz w:val="20"/>
                <w:szCs w:val="20"/>
              </w:rPr>
              <w:t xml:space="preserve">BAL_2023_03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2023-03; NATO Steadfast Defender exercise notification</w:t>
            </w:r>
          </w:p>
        </w:tc>
      </w:tr>
      <w:tr>
        <w:tc>
          <w:tcPr>
            <w:tcW w:w="0" w:type="auto"/>
          </w:tcPr>
          <w:p>
            <w:pPr>
              <w:spacing w:line="240" w:lineRule="auto" w:before="0" w:after="0"/>
              <w:pStyle w:val="Compact"/>
            </w:pPr>
            <w:r>
              <w:rPr>
                <w:sz w:val="20"/>
                <w:szCs w:val="20"/>
              </w:rPr>
              <w:t xml:space="preserve">BAL_2023_06</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2023-06 (matched non-escalation window)</w:t>
            </w:r>
          </w:p>
        </w:tc>
      </w:tr>
      <w:tr>
        <w:tc>
          <w:tcPr>
            <w:tcW w:w="0" w:type="auto"/>
          </w:tcPr>
          <w:p>
            <w:pPr>
              <w:spacing w:line="240" w:lineRule="auto" w:before="0" w:after="0"/>
              <w:pStyle w:val="Compact"/>
            </w:pPr>
            <w:r>
              <w:rPr>
                <w:sz w:val="20"/>
                <w:szCs w:val="20"/>
              </w:rPr>
              <w:t xml:space="preserve">BAL_2023_09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2023-09; ACLED strategic-development records EU/Baltic 2023</w:t>
            </w:r>
          </w:p>
        </w:tc>
      </w:tr>
      <w:tr>
        <w:tc>
          <w:tcPr>
            <w:tcW w:w="0" w:type="auto"/>
          </w:tcPr>
          <w:p>
            <w:pPr>
              <w:spacing w:line="240" w:lineRule="auto" w:before="0" w:after="0"/>
              <w:pStyle w:val="Compact"/>
            </w:pPr>
            <w:r>
              <w:rPr>
                <w:sz w:val="20"/>
                <w:szCs w:val="20"/>
              </w:rPr>
              <w:t xml:space="preserve">BAL_2024_01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2024-01 (matched non-escalation)</w:t>
            </w:r>
          </w:p>
        </w:tc>
      </w:tr>
      <w:tr>
        <w:tc>
          <w:tcPr>
            <w:tcW w:w="0" w:type="auto"/>
          </w:tcPr>
          <w:p>
            <w:pPr>
              <w:spacing w:line="240" w:lineRule="auto" w:before="0" w:after="0"/>
              <w:pStyle w:val="Compact"/>
            </w:pPr>
            <w:r>
              <w:rPr>
                <w:sz w:val="20"/>
                <w:szCs w:val="20"/>
              </w:rPr>
              <w:t xml:space="preserve">BAL_2024_05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2024-05; ACLED Baltic records 2024</w:t>
            </w:r>
          </w:p>
        </w:tc>
      </w:tr>
      <w:tr>
        <w:tc>
          <w:tcPr>
            <w:tcW w:w="0" w:type="auto"/>
          </w:tcPr>
          <w:p>
            <w:pPr>
              <w:spacing w:line="240" w:lineRule="auto" w:before="0" w:after="0"/>
              <w:pStyle w:val="Compact"/>
            </w:pPr>
            <w:r>
              <w:rPr>
                <w:sz w:val="20"/>
                <w:szCs w:val="20"/>
              </w:rPr>
              <w:t xml:space="preserve">EMD_2022_10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Mediterranean tiles 2022-10</w:t>
            </w:r>
          </w:p>
        </w:tc>
      </w:tr>
      <w:tr>
        <w:tc>
          <w:tcPr>
            <w:tcW w:w="0" w:type="auto"/>
          </w:tcPr>
          <w:p>
            <w:pPr>
              <w:spacing w:line="240" w:lineRule="auto" w:before="0" w:after="0"/>
              <w:pStyle w:val="Compact"/>
            </w:pPr>
            <w:r>
              <w:rPr>
                <w:sz w:val="20"/>
                <w:szCs w:val="20"/>
              </w:rPr>
              <w:t xml:space="preserve">EMD_2023_05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Mediterranean tiles 2023-05 (matched window)</w:t>
            </w:r>
          </w:p>
        </w:tc>
      </w:tr>
      <w:tr>
        <w:tc>
          <w:tcPr>
            <w:tcW w:w="0" w:type="auto"/>
          </w:tcPr>
          <w:p>
            <w:pPr>
              <w:spacing w:line="240" w:lineRule="auto" w:before="0" w:after="0"/>
              <w:pStyle w:val="Compact"/>
            </w:pPr>
            <w:r>
              <w:rPr>
                <w:sz w:val="20"/>
                <w:szCs w:val="20"/>
              </w:rPr>
              <w:t xml:space="preserve">EMD_2023_10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2023-10; ACLED Israel-Lebanon border events 2023-10</w:t>
            </w:r>
          </w:p>
        </w:tc>
      </w:tr>
      <w:tr>
        <w:tc>
          <w:tcPr>
            <w:tcW w:w="0" w:type="auto"/>
          </w:tcPr>
          <w:p>
            <w:pPr>
              <w:spacing w:line="240" w:lineRule="auto" w:before="0" w:after="0"/>
              <w:pStyle w:val="Compact"/>
            </w:pPr>
            <w:r>
              <w:rPr>
                <w:sz w:val="20"/>
                <w:szCs w:val="20"/>
              </w:rPr>
              <w:t xml:space="preserve">EMD_2024_02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2024-02; ACLED 2024-02 events</w:t>
            </w:r>
          </w:p>
        </w:tc>
      </w:tr>
      <w:tr>
        <w:tc>
          <w:tcPr>
            <w:tcW w:w="0" w:type="auto"/>
          </w:tcPr>
          <w:p>
            <w:pPr>
              <w:spacing w:line="240" w:lineRule="auto" w:before="0" w:after="0"/>
              <w:pStyle w:val="Compact"/>
            </w:pPr>
            <w:r>
              <w:rPr>
                <w:sz w:val="20"/>
                <w:szCs w:val="20"/>
              </w:rPr>
              <w:t xml:space="preserve">EMD_2024_07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2024-07; ACLED 2024-07 escalation records</w:t>
            </w:r>
          </w:p>
        </w:tc>
      </w:tr>
      <w:tr>
        <w:tc>
          <w:tcPr>
            <w:tcW w:w="0" w:type="auto"/>
          </w:tcPr>
          <w:p>
            <w:pPr>
              <w:spacing w:line="240" w:lineRule="auto" w:before="0" w:after="0"/>
              <w:pStyle w:val="Compact"/>
            </w:pPr>
            <w:r>
              <w:rPr>
                <w:sz w:val="20"/>
                <w:szCs w:val="20"/>
              </w:rPr>
              <w:t xml:space="preserve">EMD_2024_11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2024-11 (matched non-escalation)</w:t>
            </w:r>
          </w:p>
        </w:tc>
      </w:tr>
      <w:tr>
        <w:tc>
          <w:tcPr>
            <w:tcW w:w="0" w:type="auto"/>
          </w:tcPr>
          <w:p>
            <w:pPr>
              <w:spacing w:line="240" w:lineRule="auto" w:before="0" w:after="0"/>
              <w:pStyle w:val="Compact"/>
            </w:pPr>
            <w:r>
              <w:rPr>
                <w:sz w:val="20"/>
                <w:szCs w:val="20"/>
              </w:rPr>
              <w:t xml:space="preserve">BLK_2022_09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2022-09; ACLED Ukraine 2022-09</w:t>
            </w:r>
          </w:p>
        </w:tc>
      </w:tr>
      <w:tr>
        <w:tc>
          <w:tcPr>
            <w:tcW w:w="0" w:type="auto"/>
          </w:tcPr>
          <w:p>
            <w:pPr>
              <w:spacing w:line="240" w:lineRule="auto" w:before="0" w:after="0"/>
              <w:pStyle w:val="Compact"/>
            </w:pPr>
            <w:r>
              <w:rPr>
                <w:sz w:val="20"/>
                <w:szCs w:val="20"/>
              </w:rPr>
              <w:t xml:space="preserve">BLK_2023_02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2023-02; ACLED Ukraine 2023-02</w:t>
            </w:r>
          </w:p>
        </w:tc>
      </w:tr>
      <w:tr>
        <w:tc>
          <w:tcPr>
            <w:tcW w:w="0" w:type="auto"/>
          </w:tcPr>
          <w:p>
            <w:pPr>
              <w:spacing w:line="240" w:lineRule="auto" w:before="0" w:after="0"/>
              <w:pStyle w:val="Compact"/>
            </w:pPr>
            <w:r>
              <w:rPr>
                <w:sz w:val="20"/>
                <w:szCs w:val="20"/>
              </w:rPr>
              <w:t xml:space="preserve">BLK_2023_08</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2023-08 (matched window)</w:t>
            </w:r>
          </w:p>
        </w:tc>
      </w:tr>
      <w:tr>
        <w:tc>
          <w:tcPr>
            <w:tcW w:w="0" w:type="auto"/>
          </w:tcPr>
          <w:p>
            <w:pPr>
              <w:spacing w:line="240" w:lineRule="auto" w:before="0" w:after="0"/>
              <w:pStyle w:val="Compact"/>
            </w:pPr>
            <w:r>
              <w:rPr>
                <w:sz w:val="20"/>
                <w:szCs w:val="20"/>
              </w:rPr>
              <w:t xml:space="preserve">BLK_2024_04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2024-04; ACLED Ukraine battles 2024-04</w:t>
            </w:r>
          </w:p>
        </w:tc>
      </w:tr>
      <w:tr>
        <w:tc>
          <w:tcPr>
            <w:tcW w:w="0" w:type="auto"/>
          </w:tcPr>
          <w:p>
            <w:pPr>
              <w:spacing w:line="240" w:lineRule="auto" w:before="0" w:after="0"/>
              <w:pStyle w:val="Compact"/>
            </w:pPr>
            <w:r>
              <w:rPr>
                <w:sz w:val="20"/>
                <w:szCs w:val="20"/>
              </w:rPr>
              <w:t xml:space="preserve">BLK_2024_09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2024-09; ACLED Ukraine 2024-09</w:t>
            </w:r>
          </w:p>
        </w:tc>
      </w:tr>
      <w:tr>
        <w:tc>
          <w:tcPr>
            <w:tcW w:w="0" w:type="auto"/>
          </w:tcPr>
          <w:p>
            <w:pPr>
              <w:spacing w:line="240" w:lineRule="auto" w:before="0" w:after="0"/>
              <w:pStyle w:val="Compact"/>
            </w:pPr>
            <w:r>
              <w:rPr>
                <w:sz w:val="20"/>
                <w:szCs w:val="20"/>
              </w:rPr>
              <w:t xml:space="preserve">PGF_2022_12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2022-12; ACLED Gulf strategic events 2022-12</w:t>
            </w:r>
          </w:p>
        </w:tc>
      </w:tr>
      <w:tr>
        <w:tc>
          <w:tcPr>
            <w:tcW w:w="0" w:type="auto"/>
          </w:tcPr>
          <w:p>
            <w:pPr>
              <w:spacing w:line="240" w:lineRule="auto" w:before="0" w:after="0"/>
              <w:pStyle w:val="Compact"/>
            </w:pPr>
            <w:r>
              <w:rPr>
                <w:sz w:val="20"/>
                <w:szCs w:val="20"/>
              </w:rPr>
              <w:t xml:space="preserve">PGF_2023_04</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2023-04 (matched non-escalation)</w:t>
            </w:r>
          </w:p>
        </w:tc>
      </w:tr>
      <w:tr>
        <w:tc>
          <w:tcPr>
            <w:tcW w:w="0" w:type="auto"/>
          </w:tcPr>
          <w:p>
            <w:pPr>
              <w:spacing w:line="240" w:lineRule="auto" w:before="0" w:after="0"/>
              <w:pStyle w:val="Compact"/>
            </w:pPr>
            <w:r>
              <w:rPr>
                <w:sz w:val="20"/>
                <w:szCs w:val="20"/>
              </w:rPr>
              <w:t xml:space="preserve">PGF_2023_11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2023-11; ACLED Gulf 2023-11</w:t>
            </w:r>
          </w:p>
        </w:tc>
      </w:tr>
      <w:tr>
        <w:tc>
          <w:tcPr>
            <w:tcW w:w="0" w:type="auto"/>
          </w:tcPr>
          <w:p>
            <w:pPr>
              <w:spacing w:line="240" w:lineRule="auto" w:before="0" w:after="0"/>
              <w:pStyle w:val="Compact"/>
            </w:pPr>
            <w:r>
              <w:rPr>
                <w:sz w:val="20"/>
                <w:szCs w:val="20"/>
              </w:rPr>
              <w:t xml:space="preserve">PGF_2024_03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2024-03; CENTCOM Eagle Resolve exercise [illustrative timing]</w:t>
            </w:r>
          </w:p>
        </w:tc>
      </w:tr>
      <w:tr>
        <w:tc>
          <w:tcPr>
            <w:tcW w:w="0" w:type="auto"/>
          </w:tcPr>
          <w:p>
            <w:pPr>
              <w:spacing w:line="240" w:lineRule="auto" w:before="0" w:after="0"/>
              <w:pStyle w:val="Compact"/>
            </w:pPr>
            <w:r>
              <w:rPr>
                <w:sz w:val="20"/>
                <w:szCs w:val="20"/>
              </w:rPr>
              <w:t xml:space="preserve">PGF_2024_08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2024-08 (matched window)</w:t>
            </w:r>
          </w:p>
        </w:tc>
      </w:tr>
      <w:tr>
        <w:tc>
          <w:tcPr>
            <w:tcW w:w="0" w:type="auto"/>
          </w:tcPr>
          <w:p>
            <w:pPr>
              <w:spacing w:line="240" w:lineRule="auto" w:before="0" w:after="0"/>
              <w:pStyle w:val="Compact"/>
            </w:pPr>
            <w:r>
              <w:rPr>
                <w:sz w:val="20"/>
                <w:szCs w:val="20"/>
              </w:rPr>
              <w:t xml:space="preserve">PGF_2024_12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2024-12; ACLED Gulf 2024-12</w:t>
            </w:r>
          </w:p>
        </w:tc>
      </w:tr>
      <w:tr>
        <w:tc>
          <w:tcPr>
            <w:tcW w:w="0" w:type="auto"/>
          </w:tcPr>
          <w:p>
            <w:pPr>
              <w:spacing w:line="240" w:lineRule="auto" w:before="0" w:after="0"/>
              <w:pStyle w:val="Compact"/>
            </w:pPr>
            <w:r>
              <w:rPr>
                <w:sz w:val="20"/>
                <w:szCs w:val="20"/>
              </w:rPr>
              <w:t xml:space="preserve">BAL_2025_02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2025-02; ACLED 2025-02 records</w:t>
            </w:r>
          </w:p>
        </w:tc>
      </w:tr>
      <w:tr>
        <w:tc>
          <w:tcPr>
            <w:tcW w:w="0" w:type="auto"/>
          </w:tcPr>
          <w:p>
            <w:pPr>
              <w:spacing w:line="240" w:lineRule="auto" w:before="0" w:after="0"/>
              <w:pStyle w:val="Compact"/>
            </w:pPr>
            <w:r>
              <w:rPr>
                <w:sz w:val="20"/>
                <w:szCs w:val="20"/>
              </w:rPr>
              <w:t xml:space="preserve">BAL_2025_05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2025-05 (matched non-escalation)</w:t>
            </w:r>
          </w:p>
        </w:tc>
      </w:tr>
      <w:tr>
        <w:tc>
          <w:tcPr>
            <w:tcW w:w="0" w:type="auto"/>
          </w:tcPr>
          <w:p>
            <w:pPr>
              <w:spacing w:line="240" w:lineRule="auto" w:before="0" w:after="0"/>
              <w:pStyle w:val="Compact"/>
            </w:pPr>
            <w:r>
              <w:rPr>
                <w:sz w:val="20"/>
                <w:szCs w:val="20"/>
              </w:rPr>
              <w:t xml:space="preserve">EMD_2025_01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2025-01; ACLED 2025-01 records</w:t>
            </w:r>
          </w:p>
        </w:tc>
      </w:tr>
      <w:tr>
        <w:tc>
          <w:tcPr>
            <w:tcW w:w="0" w:type="auto"/>
          </w:tcPr>
          <w:p>
            <w:pPr>
              <w:spacing w:line="240" w:lineRule="auto" w:before="0" w:after="0"/>
              <w:pStyle w:val="Compact"/>
            </w:pPr>
            <w:r>
              <w:rPr>
                <w:sz w:val="20"/>
                <w:szCs w:val="20"/>
              </w:rPr>
              <w:t xml:space="preserve">BLK_2025_03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2025-03; ACLED Ukraine 2025-03</w:t>
            </w:r>
          </w:p>
        </w:tc>
      </w:tr>
      <w:tr>
        <w:tc>
          <w:tcPr>
            <w:tcW w:w="0" w:type="auto"/>
          </w:tcPr>
          <w:p>
            <w:pPr>
              <w:spacing w:line="240" w:lineRule="auto" w:before="0" w:after="0"/>
              <w:pStyle w:val="Compact"/>
            </w:pPr>
            <w:r>
              <w:rPr>
                <w:sz w:val="20"/>
                <w:szCs w:val="20"/>
              </w:rPr>
              <w:t xml:space="preserve">BLK_2025_06</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2025-06 (matched window)</w:t>
            </w:r>
          </w:p>
        </w:tc>
      </w:tr>
      <w:tr>
        <w:tc>
          <w:tcPr>
            <w:tcW w:w="0" w:type="auto"/>
          </w:tcPr>
          <w:p>
            <w:pPr>
              <w:spacing w:line="240" w:lineRule="auto" w:before="0" w:after="0"/>
              <w:pStyle w:val="Compact"/>
            </w:pPr>
            <w:r>
              <w:rPr>
                <w:sz w:val="20"/>
                <w:szCs w:val="20"/>
              </w:rPr>
              <w:t xml:space="preserve">PGF_2025_04</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2025-04; ACLED Gulf 2025-04 [illustrative event timing]</w:t>
            </w:r>
          </w:p>
        </w:tc>
      </w:tr>
    </w:tbl>
    <w:bookmarkEnd w:id="183"/>
    <w:bookmarkStart w:id="18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Hours elapsed within the observation window until militarized escalation event (event=1) or window close (event=0).</w:t>
            </w:r>
          </w:p>
        </w:tc>
        <w:tc>
          <w:tcPr>
            <w:tcW w:w="0" w:type="auto"/>
          </w:tcPr>
          <w:p>
            <w:pPr>
              <w:spacing w:line="240" w:lineRule="auto" w:before="0" w:after="0"/>
              <w:pStyle w:val="Compact"/>
            </w:pPr>
            <w:r>
              <w:rPr>
                <w:sz w:val="20"/>
                <w:szCs w:val="20"/>
              </w:rPr>
              <w:t xml:space="preserve">GPSJam.org daily tiles; ACLED event timestamps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1 if a militarized ACLED event (battle, explosion/remote violence, strategic development) occurred within the window; 0 if matched non-escalation window closed without event.</w:t>
            </w:r>
          </w:p>
        </w:tc>
        <w:tc>
          <w:tcPr>
            <w:tcW w:w="0" w:type="auto"/>
          </w:tcPr>
          <w:p>
            <w:pPr>
              <w:spacing w:line="240" w:lineRule="auto" w:before="0" w:after="0"/>
              <w:pStyle w:val="Compact"/>
            </w:pPr>
            <w:r>
              <w:rPr>
                <w:sz w:val="20"/>
                <w:szCs w:val="20"/>
              </w:rPr>
              <w:t xml:space="preserve">ACLED Armed Conflict Location and Event Data Project</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Regional daily mean of ADS-B Navigation Integrity Category (NIC) degradation share, rescaled 0-1, from GPSJam hex-bin tiles for the region-window.</w:t>
            </w:r>
          </w:p>
        </w:tc>
        <w:tc>
          <w:tcPr>
            <w:tcW w:w="0" w:type="auto"/>
          </w:tcPr>
          <w:p>
            <w:pPr>
              <w:spacing w:line="240" w:lineRule="auto" w:before="0" w:after="0"/>
              <w:pStyle w:val="Compact"/>
            </w:pPr>
            <w:r>
              <w:rPr>
                <w:sz w:val="20"/>
                <w:szCs w:val="20"/>
              </w:rPr>
              <w:t xml:space="preserve">Wiseman J., GPSJam.org daily ADS-B NIC tiles</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Regional ADS-B equipped aircraft density normalized 0-1, from the same GPSJam feed, used to absorb coverage-induced reporting bias.</w:t>
            </w:r>
          </w:p>
        </w:tc>
        <w:tc>
          <w:tcPr>
            <w:tcW w:w="0" w:type="auto"/>
          </w:tcPr>
          <w:p>
            <w:pPr>
              <w:spacing w:line="240" w:lineRule="auto" w:before="0" w:after="0"/>
              <w:pStyle w:val="Compact"/>
            </w:pPr>
            <w:r>
              <w:rPr>
                <w:sz w:val="20"/>
                <w:szCs w:val="20"/>
              </w:rPr>
              <w:t xml:space="preserve">GPSJam.org daily ADS-B traffic counts</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Indicator: 1 if the window overlaps a publicly announced NATO/EU/CENTCOM exercise; 0 otherwise.</w:t>
            </w:r>
          </w:p>
        </w:tc>
        <w:tc>
          <w:tcPr>
            <w:tcW w:w="0" w:type="auto"/>
          </w:tcPr>
          <w:p>
            <w:pPr>
              <w:spacing w:line="240" w:lineRule="auto" w:before="0" w:after="0"/>
              <w:pStyle w:val="Compact"/>
            </w:pPr>
            <w:r>
              <w:rPr>
                <w:sz w:val="20"/>
                <w:szCs w:val="20"/>
              </w:rPr>
              <w:t xml:space="preserve">NATO and CENTCOM public exercise notifications</w:t>
            </w:r>
          </w:p>
        </w:tc>
      </w:tr>
      <w:tr>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Indicator: 1 if region is Baltic; 0 if Eastern Mediterranean, Black Sea, or Persian Gulf.</w:t>
            </w:r>
          </w:p>
        </w:tc>
        <w:tc>
          <w:tcPr>
            <w:tcW w:w="0" w:type="auto"/>
          </w:tcPr>
          <w:p>
            <w:pPr>
              <w:spacing w:line="240" w:lineRule="auto" w:before="0" w:after="0"/>
              <w:pStyle w:val="Compact"/>
            </w:pPr>
            <w:r>
              <w:rPr>
                <w:sz w:val="20"/>
                <w:szCs w:val="20"/>
              </w:rPr>
              <w:t xml:space="preserve">ACLED regional taxonomy</w:t>
            </w:r>
          </w:p>
        </w:tc>
      </w:tr>
    </w:tbl>
    <w:bookmarkEnd w:id="184"/>
    <w:bookmarkEnd w:id="185"/>
    <w:bookmarkEnd w:id="1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1" Type="http://schemas.openxmlformats.org/officeDocument/2006/relationships/image" Target="media/rId171.png"/><Relationship Id="rId179" Type="http://schemas.openxmlformats.org/officeDocument/2006/relationships/image" Target="media/rId179.png"/><Relationship Id="rId155" Type="http://schemas.openxmlformats.org/officeDocument/2006/relationships/hyperlink" Target="https://doi.org/10.1016/j.actaastro.2016.12.013" TargetMode="External"/><Relationship Id="rId165" Type="http://schemas.openxmlformats.org/officeDocument/2006/relationships/hyperlink" Target="https://doi.org/10.1016/j.actaastro.2019.03.083" TargetMode="External"/><Relationship Id="rId161" Type="http://schemas.openxmlformats.org/officeDocument/2006/relationships/hyperlink" Target="https://doi.org/10.1016/j.actaastro.2022.05.013" TargetMode="External"/><Relationship Id="rId167" Type="http://schemas.openxmlformats.org/officeDocument/2006/relationships/hyperlink" Target="https://doi.org/10.1016/j.actaastro.2022.05.040" TargetMode="External"/><Relationship Id="rId157" Type="http://schemas.openxmlformats.org/officeDocument/2006/relationships/hyperlink" Target="https://doi.org/10.1016/j.actaastro.2023.05.022" TargetMode="External"/><Relationship Id="rId153" Type="http://schemas.openxmlformats.org/officeDocument/2006/relationships/hyperlink" Target="https://doi.org/10.1016/j.actaastro.2024.09.003" TargetMode="External"/><Relationship Id="rId159" Type="http://schemas.openxmlformats.org/officeDocument/2006/relationships/hyperlink" Target="https://doi.org/10.1016/j.actaastro.2026.04.057" TargetMode="External"/><Relationship Id="rId163" Type="http://schemas.openxmlformats.org/officeDocument/2006/relationships/hyperlink" Target="https://doi.org/10.1016/j.actaastro.2026.05.003" TargetMode="External"/><Relationship Id="rId145" Type="http://schemas.openxmlformats.org/officeDocument/2006/relationships/hyperlink" Target="https://doi.org/10.64861/ADWV6873" TargetMode="External"/><Relationship Id="rId143" Type="http://schemas.openxmlformats.org/officeDocument/2006/relationships/hyperlink" Target="https://doi.org/10.64861/BQKA9314" TargetMode="External"/><Relationship Id="rId148" Type="http://schemas.openxmlformats.org/officeDocument/2006/relationships/hyperlink" Target="https://doi.org/10.64861/EIBC5616" TargetMode="External"/><Relationship Id="rId141"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55" Type="http://schemas.openxmlformats.org/officeDocument/2006/relationships/hyperlink" Target="https://doi.org/10.1016/j.actaastro.2016.12.013" TargetMode="External"/><Relationship Id="rId165" Type="http://schemas.openxmlformats.org/officeDocument/2006/relationships/hyperlink" Target="https://doi.org/10.1016/j.actaastro.2019.03.083" TargetMode="External"/><Relationship Id="rId161" Type="http://schemas.openxmlformats.org/officeDocument/2006/relationships/hyperlink" Target="https://doi.org/10.1016/j.actaastro.2022.05.013" TargetMode="External"/><Relationship Id="rId167" Type="http://schemas.openxmlformats.org/officeDocument/2006/relationships/hyperlink" Target="https://doi.org/10.1016/j.actaastro.2022.05.040" TargetMode="External"/><Relationship Id="rId157" Type="http://schemas.openxmlformats.org/officeDocument/2006/relationships/hyperlink" Target="https://doi.org/10.1016/j.actaastro.2023.05.022" TargetMode="External"/><Relationship Id="rId153" Type="http://schemas.openxmlformats.org/officeDocument/2006/relationships/hyperlink" Target="https://doi.org/10.1016/j.actaastro.2024.09.003" TargetMode="External"/><Relationship Id="rId159" Type="http://schemas.openxmlformats.org/officeDocument/2006/relationships/hyperlink" Target="https://doi.org/10.1016/j.actaastro.2026.04.057" TargetMode="External"/><Relationship Id="rId163" Type="http://schemas.openxmlformats.org/officeDocument/2006/relationships/hyperlink" Target="https://doi.org/10.1016/j.actaastro.2026.05.003" TargetMode="External"/><Relationship Id="rId145" Type="http://schemas.openxmlformats.org/officeDocument/2006/relationships/hyperlink" Target="https://doi.org/10.64861/ADWV6873" TargetMode="External"/><Relationship Id="rId143" Type="http://schemas.openxmlformats.org/officeDocument/2006/relationships/hyperlink" Target="https://doi.org/10.64861/BQKA9314" TargetMode="External"/><Relationship Id="rId148" Type="http://schemas.openxmlformats.org/officeDocument/2006/relationships/hyperlink" Target="https://doi.org/10.64861/EIBC5616" TargetMode="External"/><Relationship Id="rId141"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Jamming as Observable Behavior: Do Civil GNSS Interference Events Cluster in Pre-Escalation Windows?</dc:title>
  <dc:creator>Clara Larsson (1B-ITI-130)</dc:creator>
  <cp:keywords/>
  <dcterms:created xsi:type="dcterms:W3CDTF">2026-07-02T17:52:14Z</dcterms:created>
  <dcterms:modified xsi:type="dcterms:W3CDTF">2026-07-02T17:52:14Z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