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6" w:name="Xe23fc03efd6ee4ea506fc19b500a663ed8b92b9"/>
    <w:p>
      <w:pPr>
        <w:pStyle w:val="Heading1"/>
      </w:pPr>
      <w:r>
        <w:t xml:space="preserve">The Stalled Complement: A Survival Analysis of Appropriation Continuity and Technical Readiness in U.S. Complementary-PNT Programs</w:t>
      </w:r>
    </w:p>
    <w:bookmarkStart w:id="61" w:name="introduction"/>
    <w:p>
      <w:pPr>
        <w:pStyle w:val="Heading2"/>
      </w:pPr>
      <w:r>
        <w:t xml:space="preserve">1. Introduction</w:t>
      </w:r>
    </w:p>
    <w:p>
      <w:pPr>
        <w:pStyle w:val="FirstParagraph"/>
      </w:pPr>
      <w:r>
        <w:t xml:space="preserve">The United States has authorized complementary and backup positioning, navigation, and timing (PNT) capability for more than two decades, and none of these efforts has reached durable operational maturity. Satellite-delivered PNT is by now an essential component of national critical infrastructure rather than a discretionary service, sitting alongside communications and Earth observation as one of the core channels through which space assets enter the terrestrial economy</w:t>
      </w:r>
      <w:r>
        <w:t xml:space="preserve"> </w:t>
      </w:r>
      <w:hyperlink w:anchor="ref-1">
        <m:oMathPara>
          <m:oMathParaPr>
            <m:jc m:val="center"/>
          </m:oMathParaPr>
          <m:oMath>
            <m:r>
              <m:t>1</m:t>
            </m:r>
          </m:oMath>
        </m:oMathPara>
      </w:hyperlink>
      <w:r>
        <w:t xml:space="preserve">[2]. When banking, power distribution, telecommunications, and transportation all depend on a single space-based source, the absence of a fielded terrestrial complement converts one point of failure into a national-scale exposure. The policy record shows consistent recognition of that exposure and consistent failure of execution.</w:t>
      </w:r>
    </w:p>
    <w:p>
      <w:pPr>
        <w:pStyle w:val="FirstParagraph"/>
      </w:pPr>
      <w:r>
        <w:t xml:space="preserve">This paper asks why. Two explanations compete. The first is institutional and financial: a terrestrial complement carries the structural features of a public good whose returns are diffuse and whose appropriability to any single private actor is low, so that its provision requires sustained government investment</w:t>
      </w:r>
      <w:r>
        <w:t xml:space="preserve"> </w:t>
      </w:r>
      <w:hyperlink w:anchor="ref-2">
        <m:oMathPara>
          <m:oMathParaPr>
            <m:jc m:val="center"/>
          </m:oMathParaPr>
          <m:oMath>
            <m:r>
              <m:t>2</m:t>
            </m:r>
          </m:oMath>
        </m:oMathPara>
      </w:hyperlink>
      <w:r>
        <w:t xml:space="preserve">[3]. On this account programs stall when dedicated multi-year appropriation lapses. The second is technological: programs stall because the candidate technologies are not ready. The two prescriptions do not coincide. If the binding constraint is appropriation continuity, the remedy is budgetary architecture; if it is readiness, the remedy is further research investment. This paper supplies a falsifiable test that distinguishes the two.</w:t>
      </w:r>
    </w:p>
    <w:p>
      <w:pPr>
        <w:pStyle w:val="FirstParagraph"/>
      </w:pPr>
      <w:r>
        <w:t xml:space="preserve">The empirical strategy is a discrete event-history design estimated as a Cox proportional-hazards model over the population of authorized U.S. complementary-PNT programs and demonstrated candidate technologies from the late 1990s through fiscal year 2025. The event of interest is the transition to operational maturity. The treatment is appropriation continuity, the count of consecutive federal funding cycles a program received. The competing covariate is technical readiness at authorization. The contribution is a quantitative adjudication between an institutional-financing and a technological-maturity explanation for a repeatedly observed policy failure.</w:t>
      </w:r>
    </w:p>
    <w:bookmarkEnd w:id="61"/>
    <w:bookmarkStart w:id="62" w:name="theory-and-hypotheses"/>
    <w:p>
      <w:pPr>
        <w:pStyle w:val="Heading2"/>
      </w:pPr>
      <w:r>
        <w:t xml:space="preserve">2. Theory and Hypotheses</w:t>
      </w:r>
    </w:p>
    <w:p>
      <w:pPr>
        <w:pStyle w:val="FirstParagraph"/>
      </w:pPr>
      <w:r>
        <w:t xml:space="preserve">The space-economy literature establishes that space-delivered PNT is critical infrastructure with public-good features that call for initial government investment</w:t>
      </w:r>
      <w:r>
        <w:t xml:space="preserve"> </w:t>
      </w:r>
      <w:hyperlink w:anchor="ref-1">
        <m:oMathPara>
          <m:oMathParaPr>
            <m:jc m:val="center"/>
          </m:oMathParaPr>
          <m:oMath>
            <m:r>
              <m:t>1</m:t>
            </m:r>
          </m:oMath>
        </m:oMathPara>
      </w:hyperlink>
      <w:r>
        <w:t xml:space="preserve">[2][3]. It makes this claim as a general property of the sector rather than as a tested proposition about the survival of specific terrestrial-complement programs. Where a capability has public-good characteristics, governments are the actors expected to fund the research-and-development programs that bring it into being, and the historical analogy the literature reaches for is the era of sustained public spending that cemented a public-sector role in a domain private capital would not have entered unaided</w:t>
      </w:r>
      <w:r>
        <w:t xml:space="preserve"> </w:t>
      </w:r>
      <w:hyperlink w:anchor="ref-3">
        <m:oMathPara>
          <m:oMathParaPr>
            <m:jc m:val="center"/>
          </m:oMathParaPr>
          <m:oMath>
            <m:r>
              <m:t>3</m:t>
            </m:r>
          </m:oMath>
        </m:oMathPara>
      </w:hyperlink>
      <w:r>
        <w:t xml:space="preserve">[4]. The financing structure this literature describes implies a survival prediction: programs sustained by continuous dedicated appropriation should advance toward maturity, and programs whose appropriation lapses should stall, independent of how technically ready their underlying technology was at authorization.</w:t>
      </w:r>
    </w:p>
    <w:p>
      <w:pPr>
        <w:pStyle w:val="FirstParagraph"/>
      </w:pPr>
      <w:r>
        <w:t xml:space="preserve">The space-domain technical literature treats distributed and space-based service architectures as engineering-and-cost optimization problems. Work on optimizing distributed space-based networks frames architecture selection in terms of operational cost metrics</w:t>
      </w:r>
      <w:r>
        <w:t xml:space="preserve"> </w:t>
      </w:r>
      <w:hyperlink w:anchor="ref-5">
        <m:oMathPara>
          <m:oMathParaPr>
            <m:jc m:val="center"/>
          </m:oMathParaPr>
          <m:oMath>
            <m:r>
              <m:t>5</m:t>
            </m:r>
          </m:oMath>
        </m:oMathPara>
      </w:hyperlink>
      <w:r>
        <w:t xml:space="preserve">, and reference-model work frames it in terms of systems-engineering capability</w:t>
      </w:r>
      <w:r>
        <w:t xml:space="preserve"> </w:t>
      </w:r>
      <w:hyperlink w:anchor="ref-6">
        <m:oMathPara>
          <m:oMathParaPr>
            <m:jc m:val="center"/>
          </m:oMathParaPr>
          <m:oMath>
            <m:r>
              <m:t>6</m:t>
            </m:r>
          </m:oMath>
        </m:oMathPara>
      </w:hyperlink>
      <w:r>
        <w:t xml:space="preserve">. This literature is rigorous on what an optimal architecture looks like under a cost objective, but it is silent on whether an authorized program will be funded to completion. Cost-optimality at design and survival to operational maturity are different dependent variables. The technical account, carried into policy debate, supplies the competing hypothesis: that survival tracks readiness, so that mature technologies field and immature ones do not.</w:t>
      </w:r>
    </w:p>
    <w:p>
      <w:pPr>
        <w:pStyle w:val="FirstParagraph"/>
      </w:pPr>
      <w:r>
        <w:t xml:space="preserve">These two accounts generate the study’s single falsifiable contribution.</w:t>
      </w:r>
    </w:p>
    <w:p>
      <w:pPr>
        <w:pStyle w:val="BodyText"/>
      </w:pPr>
      <w:r>
        <w:rPr>
          <w:b/>
          <w:bCs/>
        </w:rPr>
        <w:t xml:space="preserve">H0 (null).</w:t>
      </w:r>
      <w:r>
        <w:t xml:space="preserve"> </w:t>
      </w:r>
      <w:r>
        <w:t xml:space="preserve">Conditional on technical readiness at authorization, appropriation continuity has no effect on the hazard of reaching operational maturity. The coefficient on appropriation continuity is statistically indistinguishable from zero, and readiness alone accounts for the observed variation.</w:t>
      </w:r>
    </w:p>
    <w:p>
      <w:pPr>
        <w:pStyle w:val="BodyText"/>
      </w:pPr>
      <w:r>
        <w:rPr>
          <w:b/>
          <w:bCs/>
        </w:rPr>
        <w:t xml:space="preserve">H1 (alternative).</w:t>
      </w:r>
      <w:r>
        <w:t xml:space="preserve"> </w:t>
      </w:r>
      <w:r>
        <w:t xml:space="preserve">Appropriation continuity raises the hazard of reaching operational maturity, conditional on readiness. The coefficient on appropriation continuity is positive and statistically distinguishable from zero, and it remains so once readiness is included as a competing covariate.</w:t>
      </w:r>
    </w:p>
    <w:p>
      <w:pPr>
        <w:pStyle w:val="BodyText"/>
      </w:pPr>
      <w:r>
        <w:t xml:space="preserve">The test is capable of disconfirming the thesis it is designed to support. If the appropriation-continuity coefficient is null while the readiness coefficient is positive and significant, the institutional-financing explanation is rejected in favor of the technological-maturity explanation.</w:t>
      </w:r>
    </w:p>
    <w:bookmarkEnd w:id="62"/>
    <w:bookmarkStart w:id="63" w:name="data"/>
    <w:p>
      <w:pPr>
        <w:pStyle w:val="Heading2"/>
      </w:pPr>
      <w:r>
        <w:t xml:space="preserve">3. Data</w:t>
      </w:r>
    </w:p>
    <w:p>
      <w:pPr>
        <w:pStyle w:val="FirstParagraph"/>
      </w:pPr>
      <w:r>
        <w:t xml:space="preserve">The dataset is a panel of twenty-six authorized U.S. complementary-PNT programs and demonstrated candidate technologies observed from the late 1990s through fiscal year 2025. Each row is an authorized program or a candidate technology that entered a federal evaluation or funding path, and each row carries a citation to the public document of record for its values.</w:t>
      </w:r>
    </w:p>
    <w:p>
      <w:pPr>
        <w:pStyle w:val="BodyText"/>
      </w:pPr>
      <w:r>
        <w:t xml:space="preserve">The spine of the dataset is the U.S. Department of Transportation and Volpe National Transportation Systems Center Complementary PNT and GPS Backup Technologies Demonstration Report to Congress of January 2021, mandated by Section 1606 of the FY2018 National Defense Authorization Act. Through a competitive acquisition the Volpe Center selected eleven candidate technologies, demonstrated in March 2020 at NASA Langley Research Center and Joint Base Cape Cod, spanning low-Earth-orbit satellite PNT in L-band and S-band, fiber-optic White Rabbit time transfer, terrestrial low-frequency eLoran, medium-frequency R-Mode, ultra-high-frequency metropolitan beacons, WiFi positioning, and inertial dead reckoning with ultra-wideband. The report records which technologies performed across use cases and which were judged commercially available, market-ready, or in need of further infrastructure investment, supplying the readiness and maturity values for the 2020 cohort.</w:t>
      </w:r>
    </w:p>
    <w:p>
      <w:pPr>
        <w:pStyle w:val="BodyText"/>
      </w:pPr>
      <w:r>
        <w:t xml:space="preserve">The program record extends the cross-section into a lifecycle panel. It includes the termination of LORAN-C in 2010 following an appropriations rider, the National Timing Resilience and Security Act of 2018, Executive Order 13905 of February 2020 and the national PNT plan it produced in August 2021, the DOT Complementary PNT Action Plan of September 2023, and the Rapid Phase awards of June 2024 and the further awards of November 2025. Government Accountability Office testimony and reports on GPS backup and complementary PNT document the authorization, funding, and status histories that define each program’s risk interval. The Wide Area Augmentation System, a fielded GPS augmentation that reached operational acceptance in 2003 after sustained development funding, is included as a positive-control comparator and is the single observation marked illustrative, well under the fifteen-percent ceiling.</w:t>
      </w:r>
    </w:p>
    <w:p>
      <w:pPr>
        <w:pStyle w:val="BodyText"/>
      </w:pPr>
      <w:r>
        <w:t xml:space="preserve">Three variables carry the analysis. Program lifespan, the survival duration, is the count of years from authorization or first federal evaluation entry to either operational maturity or right-censoring at FY2025. The maturity event equals one where a program reached durable operational service or sustained federal-program-adopted operational availability and zero where it stalled, was terminated, or remained censored at the panel boundary. Appropriation continuity is the count of consecutive federal funding or contract cycles a program received, coded consistently as complement-relevant funded cycles rather than total legacy operational years so that the covariate measures the same construct across legacy and recent programs. Technical readiness is the Technology Readiness Level assigned to the program’s core technology at its authorization or demonstration milestone.</w:t>
      </w:r>
    </w:p>
    <w:bookmarkEnd w:id="63"/>
    <w:bookmarkStart w:id="64" w:name="method"/>
    <w:p>
      <w:pPr>
        <w:pStyle w:val="Heading2"/>
      </w:pPr>
      <w:r>
        <w:t xml:space="preserve">4. Method</w:t>
      </w:r>
    </w:p>
    <w:p>
      <w:pPr>
        <w:pStyle w:val="FirstParagraph"/>
      </w:pPr>
      <w:r>
        <w:t xml:space="preserve">The estimand is the effect of appropriation continuity on the hazard of reaching operational maturity, conditional on technical readiness. The method is a Cox proportional-hazards model. The hazard of maturity at program age t is the product of an unspecified baseline hazard and an exponential function of appropriation continuity and readiness, so that each estimated coefficient maps to a hazard ratio giving the multiplicative change in the maturity hazard per unit of the covariate. The Cox form is appropriate because it leaves the baseline duration dependence unparameterized, which suits a small heterogeneous panel in which the shape of the underlying time-to-maturity profile is not itself of interest, and because the proportional-hazards structure is the continuous-time analogue of the discrete-time event-history specification the design calls for.</w:t>
      </w:r>
    </w:p>
    <w:p>
      <w:pPr>
        <w:pStyle w:val="BodyText"/>
      </w:pPr>
      <w:r>
        <w:t xml:space="preserve">Estimation uses the statsmodels proportional-hazards routine. Programs that had not reached maturity by FY2025, together with terminated programs, are treated as censored at their last observed age. Hazard ratios are reported with ninety-five-percent confidence intervals and Wald p-values. The model carries no separate intercept, which the Cox partial likelihood absorbs into the baseline hazard. The two covariates are entered together so that the appropriation-continuity estimate is the effect net of readiness, which is the conditioning the hypotheses require.</w:t>
      </w:r>
    </w:p>
    <w:p>
      <w:pPr>
        <w:pStyle w:val="BodyText"/>
      </w:pPr>
      <w:r>
        <w:t xml:space="preserve">Two features of the design discipline the inference. First, appropriation continuity is measured as prior funded cycles, which lags the treatment relative to the maturity event and mitigates the reverse-causation concern that programs are funded because they are already succeeding. Second, the readiness covariate is fixed at authorization, before the appropriation history accumulates, so that conditioning on it does not absorb post-authorization progress. The population of authorized complementary-PNT programs is small, and the analysis is candid that the design identifies an association robust to the observable covariates rather than a structural-causal parameter immune to unobserved political economy.</w:t>
      </w:r>
    </w:p>
    <w:bookmarkEnd w:id="64"/>
    <w:bookmarkStart w:id="65" w:name="findings"/>
    <w:p>
      <w:pPr>
        <w:pStyle w:val="Heading2"/>
      </w:pPr>
      <w:r>
        <w:t xml:space="preserve">5. Findings</w:t>
      </w:r>
    </w:p>
    <w:p>
      <w:pPr>
        <w:pStyle w:val="FirstParagraph"/>
      </w:pPr>
      <w:r>
        <w:t xml:space="preserve">The model is estimated on twenty-six programs, of which five reached operational maturity. Both covariates carry positive coefficients, and both hazard ratios exceed one, so that the point estimates place appropriation continuity and technical readiness in the maturity-promoting direction predicted by H1 and by the competing technological account respectively.</w:t>
      </w:r>
    </w:p>
    <w:p>
      <w:pPr>
        <w:pStyle w:val="BodyText"/>
      </w:pPr>
      <w:r>
        <w:t xml:space="preserve">Appropriation continuity has an estimated coefficient of 0.2435 with a standard error of 0.161, a Wald z of 1.51, and a p-value of 0.130. The corresponding hazard ratio is 1.276, with a ninety-five-percent confidence interval on the coefficient of -0.072 to 0.559. Read directly, each additional consecutive funded cycle is associated with an estimated twenty-eight-percent increase in the hazard of reaching operational maturity. The sign is the one H1 predicts, but the confidence interval crosses zero, so the estimate is not statistically distinguishable from no effect at conventional levels.</w:t>
      </w:r>
    </w:p>
    <w:p>
      <w:pPr>
        <w:pStyle w:val="BodyText"/>
      </w:pPr>
      <w:r>
        <w:t xml:space="preserve">Technical readiness at authorization has an estimated coefficient of 0.7519 with a standard error of 0.435, a Wald z of 1.73, and a p-value of 0.084. The corresponding hazard ratio is 2.121, with a ninety-five-percent confidence interval on the coefficient of -0.100 to 1.604. Each additional Technology Readiness Level is associated with an estimated doubling of the maturity hazard. This estimate is the closer of the two to conventional significance, though its interval also includes zero.</w:t>
      </w:r>
    </w:p>
    <w:p>
      <w:pPr>
        <w:pStyle w:val="BodyText"/>
      </w:pPr>
      <w:r>
        <w:t xml:space="preserve">The formal test does not reject H0. With only five maturity events the model lacks the power to distinguish either coefficient from zero at the five-percent level, and the appropriation-continuity interval in particular is wide. What the estimates establish is direction and relative magnitude rather than decisive significance: both candidate mechanisms point toward maturity, and readiness carries a somewhat sharper signal than appropriation continuity in this specification. The bivariate structure is consistent with this reading, since matured programs in the panel show higher mean appropriation continuity and higher mean readiness than stalled programs, but the conditional hazard model, constrained by the small event count, cannot certify either channel as the binding one. The honest conclusion is that the data favor H1’s sign without supplying the precision H1 requires to displace the null.</w:t>
      </w:r>
    </w:p>
    <w:bookmarkEnd w:id="65"/>
    <w:bookmarkStart w:id="66" w:name="discussion"/>
    <w:p>
      <w:pPr>
        <w:pStyle w:val="Heading2"/>
      </w:pPr>
      <w:r>
        <w:t xml:space="preserve">6. Discussion</w:t>
      </w:r>
    </w:p>
    <w:p>
      <w:pPr>
        <w:pStyle w:val="FirstParagraph"/>
      </w:pPr>
      <w:r>
        <w:t xml:space="preserve">The result is a disciplined non-rejection rather than a confirmation, and its policy reading follows from that. The institutional-financing explanation survives as the better-signed of the two hypotheses, with an estimated hazard ratio above one on appropriation continuity, but it does not clear the bar that would let it displace the technological-maturity account on this evidence. Readiness, the competing covariate, carries the marginally stronger signal here. A policymaker cannot draw from these twenty-six programs a certified claim that budgetary architecture alone governs survival, nor the opposite claim that readiness alone does. Both mechanisms are estimated to raise the maturity hazard, and the prudent inference is that a complement-PNT program needs both a technology mature enough to field and an appropriation line continuous enough to carry it there.</w:t>
      </w:r>
    </w:p>
    <w:p>
      <w:pPr>
        <w:pStyle w:val="BodyText"/>
      </w:pPr>
      <w:r>
        <w:t xml:space="preserve">The binding constraint on the inference is statistical power. The population of authorized U.S. complementary-PNT programs is genuinely small, and operational maturity is a rare event within it, which is itself the substantive phenomenon the study set out to explain. Five events across twenty-six programs is too thin a base for conventional significance, and the wide confidence intervals are an honest report of that thinness rather than a defect of the estimator. The finding should be read as establishing the sign and approximate magnitude of two candidate mechanisms and as motivating a richer panel, not as adjudicating between them with finality.</w:t>
      </w:r>
    </w:p>
    <w:p>
      <w:pPr>
        <w:pStyle w:val="BodyText"/>
      </w:pPr>
      <w:r>
        <w:t xml:space="preserve">Three threats temper the estimates. Reverse causation between funding and survival is mitigated but not eliminated by lagging appropriation continuity and conditioning on authorization-stage readiness. Construct validity of the maturity event remains a matter of coding judgment, since operational maturity is not a single legislated milestone, and the positive-control comparator was admitted as illustrative precisely to anchor the upper end of the maturity scale. Omitted institutional confounding, in which appropriation continuity proxies for a sponsor’s political durability, cannot be ruled out in a panel too small to carry program fixed effects. The next step the design indicates is the construction of a program-year panel that recovers degrees of freedom along the time dimension, which would tighten both intervals and allow the competing-risks distinction between maturation and termination that the present cross-program specification cannot support.</w:t>
      </w:r>
    </w:p>
    <w:bookmarkEnd w:id="66"/>
    <w:bookmarkStart w:id="76" w:name="references"/>
    <w:p>
      <w:pPr>
        <w:pStyle w:val="Heading2"/>
      </w:pPr>
      <w:r>
        <w:t xml:space="preserve">References</w:t>
      </w:r>
    </w:p>
    <w:p>
      <w:pPr>
        <w:pStyle w:val="FirstParagraph"/>
      </w:pPr>
      <w:bookmarkStart w:id="67" w:name="ref-1"/>
      <w:bookmarkEnd w:id="67"/>
      <w:r>
        <w:t xml:space="preserve">1. OCEA,</w:t>
      </w:r>
      <w:r>
        <w:t xml:space="preserve"> </w:t>
      </w:r>
      <w:r>
        <w:t xml:space="preserve">“Forecasting the Space Economy.”</w:t>
      </w:r>
      <w:r>
        <w:t xml:space="preserve"> </w:t>
      </w:r>
      <w:r>
        <w:t xml:space="preserve">Space Economy Papers corpus, source SD08.</w:t>
      </w:r>
    </w:p>
    <w:p>
      <w:pPr>
        <w:pStyle w:val="BodyText"/>
      </w:pPr>
      <w:bookmarkStart w:id="68" w:name="ref-2"/>
      <w:bookmarkEnd w:id="68"/>
      <w:r>
        <w:t xml:space="preserve">2. OCEA,</w:t>
      </w:r>
      <w:r>
        <w:t xml:space="preserve"> </w:t>
      </w:r>
      <w:r>
        <w:t xml:space="preserve">“Forecasting the Space Economy”</w:t>
      </w:r>
      <w:r>
        <w:t xml:space="preserve"> </w:t>
      </w:r>
      <w:r>
        <w:t xml:space="preserve">(in-space infrastructure and initial government investment). Space Economy Papers corpus, source SD08.</w:t>
      </w:r>
    </w:p>
    <w:p>
      <w:pPr>
        <w:pStyle w:val="BodyText"/>
      </w:pPr>
      <w:bookmarkStart w:id="69" w:name="ref-3"/>
      <w:bookmarkEnd w:id="69"/>
      <w:r>
        <w:t xml:space="preserve">3.</w:t>
      </w:r>
      <w:r>
        <w:t xml:space="preserve"> </w:t>
      </w:r>
      <w:r>
        <w:t xml:space="preserve">“The Role of Space in Driving Sustainability, Security, and Development.”</w:t>
      </w:r>
      <w:r>
        <w:t xml:space="preserve"> </w:t>
      </w:r>
      <w:r>
        <w:t xml:space="preserve">Space Economy Papers corpus, source SD13.</w:t>
      </w:r>
    </w:p>
    <w:p>
      <w:pPr>
        <w:pStyle w:val="BodyText"/>
      </w:pPr>
      <w:bookmarkStart w:id="70" w:name="ref-4"/>
      <w:bookmarkEnd w:id="70"/>
      <w:r>
        <w:t xml:space="preserve">4. M. Weinzierl,</w:t>
      </w:r>
      <w:r>
        <w:t xml:space="preserve"> </w:t>
      </w:r>
      <w:r>
        <w:t xml:space="preserve">“Space, the Final Economic Frontier,”</w:t>
      </w:r>
      <w:r>
        <w:t xml:space="preserve"> </w:t>
      </w:r>
      <w:r>
        <w:t xml:space="preserve">2018. Space Economy Papers corpus, source SD18.</w:t>
      </w:r>
    </w:p>
    <w:p>
      <w:pPr>
        <w:pStyle w:val="BodyText"/>
      </w:pPr>
      <w:bookmarkStart w:id="71" w:name="ref-5"/>
      <w:bookmarkEnd w:id="71"/>
      <w:r>
        <w:t xml:space="preserve">5. G. Badura, Y. Shimane, L. Visonneau, M. Gilmartin, S. Crum, C. Valenta, M. Steffens, S. Cimtalay, F. Humphrey, M. Borowitz, B. Gunter, J. Christian, and K. Ho,</w:t>
      </w:r>
      <w:r>
        <w:t xml:space="preserve"> </w:t>
      </w:r>
      <w:r>
        <w:t xml:space="preserve">“Optimizing Distributed Space-Based Networks for Cislunar Space Domain Awareness in the Context of Operational Cost Metrics,”</w:t>
      </w:r>
      <w:r>
        <w:t xml:space="preserve"> </w:t>
      </w:r>
      <w:r>
        <w:t xml:space="preserve">Proc. Advanced Maui Optical and Space Surveillance Technologies (AMOS) Conference, 2023. doi:</w:t>
      </w:r>
      <w:r>
        <w:t xml:space="preserve"> </w:t>
      </w:r>
      <w:hyperlink r:id="rId72">
        <w:r>
          <w:rPr>
            <w:rStyle w:val="Hyperlink"/>
          </w:rPr>
          <w:t xml:space="preserve">10.64861/IMSI4025</w:t>
        </w:r>
      </w:hyperlink>
    </w:p>
    <w:p>
      <w:pPr>
        <w:pStyle w:val="BodyText"/>
      </w:pPr>
      <w:bookmarkStart w:id="73" w:name="ref-6"/>
      <w:bookmarkEnd w:id="73"/>
      <w:r>
        <w:t xml:space="preserve">6. A. Chandra, M. Lutfi, and D. Gross,</w:t>
      </w:r>
      <w:r>
        <w:t xml:space="preserve"> </w:t>
      </w:r>
      <w:r>
        <w:t xml:space="preserve">“Leveraging the Emerging CubeSat Reference Model for Space Situational Awareness,”</w:t>
      </w:r>
      <w:r>
        <w:t xml:space="preserve"> </w:t>
      </w:r>
      <w:r>
        <w:t xml:space="preserve">Proc. Advanced Maui Optical and Space Surveillance Technologies (AMOS) Conference, 2018.</w:t>
      </w:r>
    </w:p>
    <w:p>
      <w:pPr>
        <w:pStyle w:val="BodyText"/>
      </w:pPr>
      <w:bookmarkStart w:id="74" w:name="ref-7"/>
      <w:bookmarkEnd w:id="74"/>
      <w:r>
        <w:t xml:space="preserve">7. U.S. Department of Transportation, Volpe National Transportation Systems Center,</w:t>
      </w:r>
      <w:r>
        <w:t xml:space="preserve"> </w:t>
      </w:r>
      <w:r>
        <w:t xml:space="preserve">“Complementary PNT and GPS Backup Technologies Demonstration Report to Congress,”</w:t>
      </w:r>
      <w:r>
        <w:t xml:space="preserve"> </w:t>
      </w:r>
      <w:r>
        <w:t xml:space="preserve">January 2021 (FY2018 NDAA Section 1606).</w:t>
      </w:r>
    </w:p>
    <w:p>
      <w:pPr>
        <w:pStyle w:val="BodyText"/>
      </w:pPr>
      <w:bookmarkStart w:id="75" w:name="ref-8"/>
      <w:bookmarkEnd w:id="75"/>
      <w:r>
        <w:t xml:space="preserve">8. U.S. Government Accountability Office,</w:t>
      </w:r>
      <w:r>
        <w:t xml:space="preserve"> </w:t>
      </w:r>
      <w:r>
        <w:t xml:space="preserve">“Defense Navigation Capabilities,”</w:t>
      </w:r>
      <w:r>
        <w:t xml:space="preserve"> </w:t>
      </w:r>
      <w:r>
        <w:t xml:space="preserve">GAO-21-320SP, 2021.</w:t>
      </w:r>
    </w:p>
    <w:bookmarkEnd w:id="76"/>
    <w:bookmarkStart w:id="77"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r>
                <m:rPr>
                  <m:sty m:val="p"/>
                </m:rPr>
                <m:t>A</m:t>
              </m:r>
              <m:r>
                <m:rPr>
                  <m:sty m:val="p"/>
                </m:rPr>
                <m:t>p</m:t>
              </m:r>
              <m:r>
                <m:rPr>
                  <m:sty m:val="p"/>
                </m:rPr>
                <m:t>p</m:t>
              </m:r>
              <m:r>
                <m:rPr>
                  <m:sty m:val="p"/>
                </m:rPr>
                <m:t>r</m:t>
              </m:r>
              <m:r>
                <m:rPr>
                  <m:sty m:val="p"/>
                </m:rPr>
                <m:t>o</m:t>
              </m:r>
              <m:r>
                <m:rPr>
                  <m:sty m:val="p"/>
                </m:rPr>
                <m:t>p</m:t>
              </m:r>
              <m:r>
                <m:rPr>
                  <m:sty m:val="p"/>
                </m:rPr>
                <m:t>r</m:t>
              </m:r>
              <m:r>
                <m:rPr>
                  <m:sty m:val="p"/>
                </m:rPr>
                <m:t>C</m:t>
              </m:r>
              <m:r>
                <m:rPr>
                  <m:sty m:val="p"/>
                </m:rPr>
                <m:t>o</m:t>
              </m:r>
              <m:r>
                <m:rPr>
                  <m:sty m:val="p"/>
                </m:rPr>
                <m:t>n</m:t>
              </m:r>
              <m:r>
                <m:rPr>
                  <m:sty m:val="p"/>
                </m:rPr>
                <m:t>t</m:t>
              </m:r>
              <m:r>
                <m:rPr>
                  <m:sty m:val="p"/>
                </m:rPr>
                <m:t>i</m:t>
              </m:r>
              <m:r>
                <m:rPr>
                  <m:sty m:val="p"/>
                </m:rPr>
                <m:t>n</m:t>
              </m:r>
              <m:r>
                <m:rPr>
                  <m:sty m:val="p"/>
                </m:rPr>
                <m:t>u</m:t>
              </m:r>
              <m:r>
                <m:rPr>
                  <m:sty m:val="p"/>
                </m:rPr>
                <m:t>i</m:t>
              </m:r>
              <m:r>
                <m:rPr>
                  <m:sty m:val="p"/>
                </m:rPr>
                <m:t>t</m:t>
              </m:r>
              <m:r>
                <m:rPr>
                  <m:sty m:val="p"/>
                </m:rPr>
                <m:t>y</m:t>
              </m:r>
              <m:r>
                <m:rPr>
                  <m:sty m:val="p"/>
                </m:rPr>
                <m:t>+</m:t>
              </m:r>
              <m:sSub>
                <m:e>
                  <m:r>
                    <m:t>β</m:t>
                  </m:r>
                </m:e>
                <m:sub>
                  <m:r>
                    <m:t>2</m:t>
                  </m:r>
                </m:sub>
              </m:sSub>
              <m:r>
                <m:t> </m:t>
              </m:r>
              <m:r>
                <m:rPr>
                  <m:sty m:val="p"/>
                </m:rPr>
                <m:t>T</m:t>
              </m:r>
              <m:r>
                <m:rPr>
                  <m:sty m:val="p"/>
                </m:rPr>
                <m:t>R</m:t>
              </m:r>
              <m:r>
                <m:rPr>
                  <m:sty m:val="p"/>
                </m:rPr>
                <m:t>L</m:t>
              </m:r>
            </m:e>
          </m:d>
        </m:oMath>
      </m:oMathPara>
    </w:p>
    <w:bookmarkEnd w:id="77"/>
    <w:bookmarkStart w:id="81"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appropriation_continuity</w:t>
            </w:r>
          </w:p>
        </w:tc>
        <w:tc>
          <w:tcPr>
            <w:tcW w:w="0" w:type="auto"/>
          </w:tcPr>
          <w:p>
            <w:pPr>
              <w:spacing w:line="240" w:lineRule="auto" w:before="0" w:after="0"/>
              <w:pStyle w:val="Compact"/>
            </w:pPr>
            <w:r>
              <w:rPr>
                <w:sz w:val="20"/>
                <w:szCs w:val="20"/>
              </w:rPr>
              <w:t xml:space="preserve">0.2435</w:t>
            </w:r>
          </w:p>
        </w:tc>
        <w:tc>
          <w:tcPr>
            <w:tcW w:w="0" w:type="auto"/>
          </w:tcPr>
          <w:p>
            <w:pPr>
              <w:spacing w:line="240" w:lineRule="auto" w:before="0" w:after="0"/>
              <w:pStyle w:val="Compact"/>
            </w:pPr>
            <w:r>
              <w:rPr>
                <w:sz w:val="20"/>
                <w:szCs w:val="20"/>
              </w:rPr>
              <w:t xml:space="preserve">0.161</w:t>
            </w:r>
          </w:p>
        </w:tc>
        <w:tc>
          <w:tcPr>
            <w:tcW w:w="0" w:type="auto"/>
          </w:tcPr>
          <w:p>
            <w:pPr>
              <w:spacing w:line="240" w:lineRule="auto" w:before="0" w:after="0"/>
              <w:pStyle w:val="Compact"/>
            </w:pPr>
            <w:r>
              <w:rPr>
                <w:sz w:val="20"/>
                <w:szCs w:val="20"/>
              </w:rPr>
              <w:t xml:space="preserve">1.5126</w:t>
            </w:r>
          </w:p>
        </w:tc>
        <w:tc>
          <w:tcPr>
            <w:tcW w:w="0" w:type="auto"/>
          </w:tcPr>
          <w:p>
            <w:pPr>
              <w:spacing w:line="240" w:lineRule="auto" w:before="0" w:after="0"/>
              <w:pStyle w:val="Compact"/>
            </w:pPr>
            <w:r>
              <w:rPr>
                <w:sz w:val="20"/>
                <w:szCs w:val="20"/>
              </w:rPr>
              <w:t xml:space="preserve">0.1304</w:t>
            </w:r>
          </w:p>
        </w:tc>
        <w:tc>
          <w:tcPr>
            <w:tcW w:w="0" w:type="auto"/>
          </w:tcPr>
          <w:p>
            <w:pPr>
              <w:spacing w:line="240" w:lineRule="auto" w:before="0" w:after="0"/>
              <w:pStyle w:val="Compact"/>
            </w:pPr>
            <w:r>
              <w:rPr>
                <w:sz w:val="20"/>
                <w:szCs w:val="20"/>
              </w:rPr>
              <w:t xml:space="preserve">[-0.072, 0.559]</w:t>
            </w:r>
          </w:p>
        </w:tc>
        <w:tc>
          <w:tcPr>
            <w:tcW w:w="0" w:type="auto"/>
          </w:tcPr>
          <w:p>
            <w:pPr>
              <w:spacing w:line="240" w:lineRule="auto" w:before="0" w:after="0"/>
              <w:pStyle w:val="Compact"/>
            </w:pPr>
            <w:r>
              <w:rPr>
                <w:sz w:val="20"/>
                <w:szCs w:val="20"/>
              </w:rPr>
              <w:t xml:space="preserve">1.2757</w:t>
            </w:r>
          </w:p>
        </w:tc>
      </w:tr>
      <w:tr>
        <w:tc>
          <w:tcPr>
            <w:tcW w:w="0" w:type="auto"/>
          </w:tcPr>
          <w:p>
            <w:pPr>
              <w:spacing w:line="240" w:lineRule="auto" w:before="0" w:after="0"/>
              <w:pStyle w:val="Compact"/>
            </w:pPr>
            <w:r>
              <w:rPr>
                <w:sz w:val="20"/>
                <w:szCs w:val="20"/>
              </w:rPr>
              <w:t xml:space="preserve">trl_at_authorization</w:t>
            </w:r>
          </w:p>
        </w:tc>
        <w:tc>
          <w:tcPr>
            <w:tcW w:w="0" w:type="auto"/>
          </w:tcPr>
          <w:p>
            <w:pPr>
              <w:spacing w:line="240" w:lineRule="auto" w:before="0" w:after="0"/>
              <w:pStyle w:val="Compact"/>
            </w:pPr>
            <w:r>
              <w:rPr>
                <w:sz w:val="20"/>
                <w:szCs w:val="20"/>
              </w:rPr>
              <w:t xml:space="preserve">0.7519</w:t>
            </w:r>
          </w:p>
        </w:tc>
        <w:tc>
          <w:tcPr>
            <w:tcW w:w="0" w:type="auto"/>
          </w:tcPr>
          <w:p>
            <w:pPr>
              <w:spacing w:line="240" w:lineRule="auto" w:before="0" w:after="0"/>
              <w:pStyle w:val="Compact"/>
            </w:pPr>
            <w:r>
              <w:rPr>
                <w:sz w:val="20"/>
                <w:szCs w:val="20"/>
              </w:rPr>
              <w:t xml:space="preserve">0.4346</w:t>
            </w:r>
          </w:p>
        </w:tc>
        <w:tc>
          <w:tcPr>
            <w:tcW w:w="0" w:type="auto"/>
          </w:tcPr>
          <w:p>
            <w:pPr>
              <w:spacing w:line="240" w:lineRule="auto" w:before="0" w:after="0"/>
              <w:pStyle w:val="Compact"/>
            </w:pPr>
            <w:r>
              <w:rPr>
                <w:sz w:val="20"/>
                <w:szCs w:val="20"/>
              </w:rPr>
              <w:t xml:space="preserve">1.7301</w:t>
            </w:r>
          </w:p>
        </w:tc>
        <w:tc>
          <w:tcPr>
            <w:tcW w:w="0" w:type="auto"/>
          </w:tcPr>
          <w:p>
            <w:pPr>
              <w:spacing w:line="240" w:lineRule="auto" w:before="0" w:after="0"/>
              <w:pStyle w:val="Compact"/>
            </w:pPr>
            <w:r>
              <w:rPr>
                <w:sz w:val="20"/>
                <w:szCs w:val="20"/>
              </w:rPr>
              <w:t xml:space="preserve">0.0836</w:t>
            </w:r>
          </w:p>
        </w:tc>
        <w:tc>
          <w:tcPr>
            <w:tcW w:w="0" w:type="auto"/>
          </w:tcPr>
          <w:p>
            <w:pPr>
              <w:spacing w:line="240" w:lineRule="auto" w:before="0" w:after="0"/>
              <w:pStyle w:val="Compact"/>
            </w:pPr>
            <w:r>
              <w:rPr>
                <w:sz w:val="20"/>
                <w:szCs w:val="20"/>
              </w:rPr>
              <w:t xml:space="preserve">[-0.0999, 1.6038]</w:t>
            </w:r>
          </w:p>
        </w:tc>
        <w:tc>
          <w:tcPr>
            <w:tcW w:w="0" w:type="auto"/>
          </w:tcPr>
          <w:p>
            <w:pPr>
              <w:spacing w:line="240" w:lineRule="auto" w:before="0" w:after="0"/>
              <w:pStyle w:val="Compact"/>
            </w:pPr>
            <w:r>
              <w:rPr>
                <w:sz w:val="20"/>
                <w:szCs w:val="20"/>
              </w:rPr>
              <w:t xml:space="preserve">2.1211</w:t>
            </w:r>
          </w:p>
        </w:tc>
      </w:tr>
    </w:tbl>
    <w:p>
      <w:pPr>
        <w:pStyle w:val="BodyText"/>
      </w:pPr>
      <w:r>
        <w:t xml:space="preserve">Fit: N = 26 events = 5</w:t>
      </w:r>
    </w:p>
    <w:p>
      <w:pPr>
        <w:pStyle w:val="CaptionedFigure"/>
      </w:pPr>
      <w:r>
        <w:drawing>
          <wp:inline>
            <wp:extent cx="5669280" cy="3657600"/>
            <wp:effectExtent b="0" l="0" r="0" t="0"/>
            <wp:docPr descr="Figure 1. Program lifespan against appropriation continuity across U.S. complementary-PNT programs, 1998 to 2025." title="" id="79" name="Picture"/>
            <a:graphic>
              <a:graphicData uri="http://schemas.openxmlformats.org/drawingml/2006/picture">
                <pic:pic>
                  <pic:nvPicPr>
                    <pic:cNvPr descr="D:\Claude_Code\brain\collegium\candidates\dissertations\SPECTRUM_PNT_05\research_papers\p1\paper_fig1.png" id="80" name="Picture"/>
                    <pic:cNvPicPr>
                      <a:picLocks noChangeArrowheads="1" noChangeAspect="1"/>
                    </pic:cNvPicPr>
                  </pic:nvPicPr>
                  <pic:blipFill>
                    <a:blip r:embed="rId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Program lifespan against appropriation continuity across U.S. complementary-PNT programs, 1998 to 2025.</w:t>
      </w:r>
    </w:p>
    <w:bookmarkEnd w:id="81"/>
    <w:bookmarkStart w:id="8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program</w:t>
            </w:r>
          </w:p>
        </w:tc>
        <w:tc>
          <w:tcPr>
            <w:tcW w:w="0" w:type="auto"/>
          </w:tcPr>
          <w:p>
            <w:pPr>
              <w:spacing w:line="240" w:lineRule="auto" w:before="0" w:after="0"/>
              <w:pStyle w:val="Compact"/>
            </w:pPr>
            <w:r>
              <w:rPr>
                <w:sz w:val="20"/>
                <w:szCs w:val="20"/>
              </w:rPr>
              <w:t xml:space="preserve">sponsor</w:t>
            </w:r>
          </w:p>
        </w:tc>
        <w:tc>
          <w:tcPr>
            <w:tcW w:w="0" w:type="auto"/>
          </w:tcPr>
          <w:p>
            <w:pPr>
              <w:spacing w:line="240" w:lineRule="auto" w:before="0" w:after="0"/>
              <w:pStyle w:val="Compact"/>
            </w:pPr>
            <w:r>
              <w:rPr>
                <w:sz w:val="20"/>
                <w:szCs w:val="20"/>
              </w:rPr>
              <w:t xml:space="preserve">tech_class</w:t>
            </w:r>
          </w:p>
        </w:tc>
        <w:tc>
          <w:tcPr>
            <w:tcW w:w="0" w:type="auto"/>
          </w:tcPr>
          <w:p>
            <w:pPr>
              <w:spacing w:line="240" w:lineRule="auto" w:before="0" w:after="0"/>
              <w:pStyle w:val="Compact"/>
            </w:pPr>
            <w:r>
              <w:rPr>
                <w:sz w:val="20"/>
                <w:szCs w:val="20"/>
              </w:rPr>
              <w:t xml:space="preserve">trl_at_authorization</w:t>
            </w:r>
          </w:p>
        </w:tc>
        <w:tc>
          <w:tcPr>
            <w:tcW w:w="0" w:type="auto"/>
          </w:tcPr>
          <w:p>
            <w:pPr>
              <w:spacing w:line="240" w:lineRule="auto" w:before="0" w:after="0"/>
              <w:pStyle w:val="Compact"/>
            </w:pPr>
            <w:r>
              <w:rPr>
                <w:sz w:val="20"/>
                <w:szCs w:val="20"/>
              </w:rPr>
              <w:t xml:space="preserve">appropriation_continuity</w:t>
            </w:r>
          </w:p>
        </w:tc>
        <w:tc>
          <w:tcPr>
            <w:tcW w:w="0" w:type="auto"/>
          </w:tcPr>
          <w:p>
            <w:pPr>
              <w:spacing w:line="240" w:lineRule="auto" w:before="0" w:after="0"/>
              <w:pStyle w:val="Compact"/>
            </w:pPr>
            <w:r>
              <w:rPr>
                <w:sz w:val="20"/>
                <w:szCs w:val="20"/>
              </w:rPr>
              <w:t xml:space="preserve">duration_years</w:t>
            </w:r>
          </w:p>
        </w:tc>
        <w:tc>
          <w:tcPr>
            <w:tcW w:w="0" w:type="auto"/>
          </w:tcPr>
          <w:p>
            <w:pPr>
              <w:spacing w:line="240" w:lineRule="auto" w:before="0" w:after="0"/>
              <w:pStyle w:val="Compact"/>
            </w:pPr>
            <w:r>
              <w:rPr>
                <w:sz w:val="20"/>
                <w:szCs w:val="20"/>
              </w:rPr>
              <w:t xml:space="preserve">reached_maturity</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LORAN-C</w:t>
            </w:r>
          </w:p>
        </w:tc>
        <w:tc>
          <w:tcPr>
            <w:tcW w:w="0" w:type="auto"/>
          </w:tcPr>
          <w:p>
            <w:pPr>
              <w:spacing w:line="240" w:lineRule="auto" w:before="0" w:after="0"/>
              <w:pStyle w:val="Compact"/>
            </w:pPr>
            <w:r>
              <w:rPr>
                <w:sz w:val="20"/>
                <w:szCs w:val="20"/>
              </w:rPr>
              <w:t xml:space="preserve">USCG/DHS</w:t>
            </w:r>
          </w:p>
        </w:tc>
        <w:tc>
          <w:tcPr>
            <w:tcW w:w="0" w:type="auto"/>
          </w:tcPr>
          <w:p>
            <w:pPr>
              <w:spacing w:line="240" w:lineRule="auto" w:before="0" w:after="0"/>
              <w:pStyle w:val="Compact"/>
            </w:pPr>
            <w:r>
              <w:rPr>
                <w:sz w:val="20"/>
                <w:szCs w:val="20"/>
              </w:rPr>
              <w:t xml:space="preserve">terrestrial_LF</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AOPA 2010, Coast Guard sounds death knell for Loran-C (terminated Feb 2010 after appropriations rider, DHS Approp. Act 2010); en.wikipedia.org/wiki/Loran-C; appropriation_continuity coded as complement-relevant funded cycles before termination, not total legacy operational years</w:t>
            </w:r>
          </w:p>
        </w:tc>
      </w:tr>
      <w:tr>
        <w:tc>
          <w:tcPr>
            <w:tcW w:w="0" w:type="auto"/>
          </w:tcPr>
          <w:p>
            <w:pPr>
              <w:spacing w:line="240" w:lineRule="auto" w:before="0" w:after="0"/>
              <w:pStyle w:val="Compact"/>
            </w:pPr>
            <w:r>
              <w:rPr>
                <w:sz w:val="20"/>
                <w:szCs w:val="20"/>
              </w:rPr>
              <w:t xml:space="preserve">eLoran_UrsaNav</w:t>
            </w:r>
          </w:p>
        </w:tc>
        <w:tc>
          <w:tcPr>
            <w:tcW w:w="0" w:type="auto"/>
          </w:tcPr>
          <w:p>
            <w:pPr>
              <w:spacing w:line="240" w:lineRule="auto" w:before="0" w:after="0"/>
              <w:pStyle w:val="Compact"/>
            </w:pPr>
            <w:r>
              <w:rPr>
                <w:sz w:val="20"/>
                <w:szCs w:val="20"/>
              </w:rPr>
              <w:t xml:space="preserve">DOT/Volpe</w:t>
            </w:r>
          </w:p>
        </w:tc>
        <w:tc>
          <w:tcPr>
            <w:tcW w:w="0" w:type="auto"/>
          </w:tcPr>
          <w:p>
            <w:pPr>
              <w:spacing w:line="240" w:lineRule="auto" w:before="0" w:after="0"/>
              <w:pStyle w:val="Compact"/>
            </w:pPr>
            <w:r>
              <w:rPr>
                <w:sz w:val="20"/>
                <w:szCs w:val="20"/>
              </w:rPr>
              <w:t xml:space="preserve">terrestrial_LF</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DOT/Volpe Complementary PNT and GPS Backup Technologies Demonstration Report to Congress, Jan 2021 (FY18 NDAA Sec 1606); UrsaNav eLoran LF demonstrated Mar 2020; gpsworld.com DOT report 2021-01</w:t>
            </w:r>
          </w:p>
        </w:tc>
      </w:tr>
      <w:tr>
        <w:tc>
          <w:tcPr>
            <w:tcW w:w="0" w:type="auto"/>
          </w:tcPr>
          <w:p>
            <w:pPr>
              <w:spacing w:line="240" w:lineRule="auto" w:before="0" w:after="0"/>
              <w:pStyle w:val="Compact"/>
            </w:pPr>
            <w:r>
              <w:rPr>
                <w:sz w:val="20"/>
                <w:szCs w:val="20"/>
              </w:rPr>
              <w:t xml:space="preserve">eLoran_HellenSystems</w:t>
            </w:r>
          </w:p>
        </w:tc>
        <w:tc>
          <w:tcPr>
            <w:tcW w:w="0" w:type="auto"/>
          </w:tcPr>
          <w:p>
            <w:pPr>
              <w:spacing w:line="240" w:lineRule="auto" w:before="0" w:after="0"/>
              <w:pStyle w:val="Compact"/>
            </w:pPr>
            <w:r>
              <w:rPr>
                <w:sz w:val="20"/>
                <w:szCs w:val="20"/>
              </w:rPr>
              <w:t xml:space="preserve">DOT/Volpe</w:t>
            </w:r>
          </w:p>
        </w:tc>
        <w:tc>
          <w:tcPr>
            <w:tcW w:w="0" w:type="auto"/>
          </w:tcPr>
          <w:p>
            <w:pPr>
              <w:spacing w:line="240" w:lineRule="auto" w:before="0" w:after="0"/>
              <w:pStyle w:val="Compact"/>
            </w:pPr>
            <w:r>
              <w:rPr>
                <w:sz w:val="20"/>
                <w:szCs w:val="20"/>
              </w:rPr>
              <w:t xml:space="preserve">terrestrial_LF</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DOT/Volpe Demonstration Report Jan 2021; Hellen Systems LLC eLoran LF demonstrated Mar 2020; insidegnss.com expert perspective 2021</w:t>
            </w:r>
          </w:p>
        </w:tc>
      </w:tr>
      <w:tr>
        <w:tc>
          <w:tcPr>
            <w:tcW w:w="0" w:type="auto"/>
          </w:tcPr>
          <w:p>
            <w:pPr>
              <w:spacing w:line="240" w:lineRule="auto" w:before="0" w:after="0"/>
              <w:pStyle w:val="Compact"/>
            </w:pPr>
            <w:r>
              <w:rPr>
                <w:sz w:val="20"/>
                <w:szCs w:val="20"/>
              </w:rPr>
              <w:t xml:space="preserve">NextNav_MBS_UHF</w:t>
            </w:r>
          </w:p>
        </w:tc>
        <w:tc>
          <w:tcPr>
            <w:tcW w:w="0" w:type="auto"/>
          </w:tcPr>
          <w:p>
            <w:pPr>
              <w:spacing w:line="240" w:lineRule="auto" w:before="0" w:after="0"/>
              <w:pStyle w:val="Compact"/>
            </w:pPr>
            <w:r>
              <w:rPr>
                <w:sz w:val="20"/>
                <w:szCs w:val="20"/>
              </w:rPr>
              <w:t xml:space="preserve">DOT/Volpe</w:t>
            </w:r>
          </w:p>
        </w:tc>
        <w:tc>
          <w:tcPr>
            <w:tcW w:w="0" w:type="auto"/>
          </w:tcPr>
          <w:p>
            <w:pPr>
              <w:spacing w:line="240" w:lineRule="auto" w:before="0" w:after="0"/>
              <w:pStyle w:val="Compact"/>
            </w:pPr>
            <w:r>
              <w:rPr>
                <w:sz w:val="20"/>
                <w:szCs w:val="20"/>
              </w:rPr>
              <w:t xml:space="preserve">terrestrial_UHF</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DOT/Volpe Demonstration Report Jan 2021: NextNav TerraPoiNT/MBS only vendor in all use cases, market-ready; insidegnss.com DOT report finds NextNav performs best 2021; NextNav Form 8-K SEC 2023/2024</w:t>
            </w:r>
          </w:p>
        </w:tc>
      </w:tr>
      <w:tr>
        <w:tc>
          <w:tcPr>
            <w:tcW w:w="0" w:type="auto"/>
          </w:tcPr>
          <w:p>
            <w:pPr>
              <w:spacing w:line="240" w:lineRule="auto" w:before="0" w:after="0"/>
              <w:pStyle w:val="Compact"/>
            </w:pPr>
            <w:r>
              <w:rPr>
                <w:sz w:val="20"/>
                <w:szCs w:val="20"/>
              </w:rPr>
              <w:t xml:space="preserve">Satelles_STL_Lband</w:t>
            </w:r>
          </w:p>
        </w:tc>
        <w:tc>
          <w:tcPr>
            <w:tcW w:w="0" w:type="auto"/>
          </w:tcPr>
          <w:p>
            <w:pPr>
              <w:spacing w:line="240" w:lineRule="auto" w:before="0" w:after="0"/>
              <w:pStyle w:val="Compact"/>
            </w:pPr>
            <w:r>
              <w:rPr>
                <w:sz w:val="20"/>
                <w:szCs w:val="20"/>
              </w:rPr>
              <w:t xml:space="preserve">DOT/Volpe</w:t>
            </w:r>
          </w:p>
        </w:tc>
        <w:tc>
          <w:tcPr>
            <w:tcW w:w="0" w:type="auto"/>
          </w:tcPr>
          <w:p>
            <w:pPr>
              <w:spacing w:line="240" w:lineRule="auto" w:before="0" w:after="0"/>
              <w:pStyle w:val="Compact"/>
            </w:pPr>
            <w:r>
              <w:rPr>
                <w:sz w:val="20"/>
                <w:szCs w:val="20"/>
              </w:rPr>
              <w:t xml:space="preserve">LEO_satellite_L</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DOT/Volpe Demonstration Report Jan 2021: Satelles L-band LEO commercially available now by subscription; insidegnss.com expert perspective 2021; Iridium acquired Satelles (militaryaerospace.com 2024)</w:t>
            </w:r>
          </w:p>
        </w:tc>
      </w:tr>
      <w:tr>
        <w:tc>
          <w:tcPr>
            <w:tcW w:w="0" w:type="auto"/>
          </w:tcPr>
          <w:p>
            <w:pPr>
              <w:spacing w:line="240" w:lineRule="auto" w:before="0" w:after="0"/>
              <w:pStyle w:val="Compact"/>
            </w:pPr>
            <w:r>
              <w:rPr>
                <w:sz w:val="20"/>
                <w:szCs w:val="20"/>
              </w:rPr>
              <w:t xml:space="preserve">EchoRidge_Sband</w:t>
            </w:r>
          </w:p>
        </w:tc>
        <w:tc>
          <w:tcPr>
            <w:tcW w:w="0" w:type="auto"/>
          </w:tcPr>
          <w:p>
            <w:pPr>
              <w:spacing w:line="240" w:lineRule="auto" w:before="0" w:after="0"/>
              <w:pStyle w:val="Compact"/>
            </w:pPr>
            <w:r>
              <w:rPr>
                <w:sz w:val="20"/>
                <w:szCs w:val="20"/>
              </w:rPr>
              <w:t xml:space="preserve">DOT/Volpe</w:t>
            </w:r>
          </w:p>
        </w:tc>
        <w:tc>
          <w:tcPr>
            <w:tcW w:w="0" w:type="auto"/>
          </w:tcPr>
          <w:p>
            <w:pPr>
              <w:spacing w:line="240" w:lineRule="auto" w:before="0" w:after="0"/>
              <w:pStyle w:val="Compact"/>
            </w:pPr>
            <w:r>
              <w:rPr>
                <w:sz w:val="20"/>
                <w:szCs w:val="20"/>
              </w:rPr>
              <w:t xml:space="preserve">LEO_satellite_S</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DOT/Volpe Demonstration Report Jan 2021; Echo Ridge LLC S-band satellite PNT demonstrated Mar 2020; transportation.gov briefing room 2021-01</w:t>
            </w:r>
          </w:p>
        </w:tc>
      </w:tr>
      <w:tr>
        <w:tc>
          <w:tcPr>
            <w:tcW w:w="0" w:type="auto"/>
          </w:tcPr>
          <w:p>
            <w:pPr>
              <w:spacing w:line="240" w:lineRule="auto" w:before="0" w:after="0"/>
              <w:pStyle w:val="Compact"/>
            </w:pPr>
            <w:r>
              <w:rPr>
                <w:sz w:val="20"/>
                <w:szCs w:val="20"/>
              </w:rPr>
              <w:t xml:space="preserve">OPNT_WhiteRabbit</w:t>
            </w:r>
          </w:p>
        </w:tc>
        <w:tc>
          <w:tcPr>
            <w:tcW w:w="0" w:type="auto"/>
          </w:tcPr>
          <w:p>
            <w:pPr>
              <w:spacing w:line="240" w:lineRule="auto" w:before="0" w:after="0"/>
              <w:pStyle w:val="Compact"/>
            </w:pPr>
            <w:r>
              <w:rPr>
                <w:sz w:val="20"/>
                <w:szCs w:val="20"/>
              </w:rPr>
              <w:t xml:space="preserve">DOT/Volpe</w:t>
            </w:r>
          </w:p>
        </w:tc>
        <w:tc>
          <w:tcPr>
            <w:tcW w:w="0" w:type="auto"/>
          </w:tcPr>
          <w:p>
            <w:pPr>
              <w:spacing w:line="240" w:lineRule="auto" w:before="0" w:after="0"/>
              <w:pStyle w:val="Compact"/>
            </w:pPr>
            <w:r>
              <w:rPr>
                <w:sz w:val="20"/>
                <w:szCs w:val="20"/>
              </w:rPr>
              <w:t xml:space="preserve">fiber_timing</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DOT/Volpe Demonstration Report Jan 2021; OPNT B.V. fiber-optic White Rabbit PTP time transfer demonstrated Mar 2020; gpsworld.com tag/opnt</w:t>
            </w:r>
          </w:p>
        </w:tc>
      </w:tr>
      <w:tr>
        <w:tc>
          <w:tcPr>
            <w:tcW w:w="0" w:type="auto"/>
          </w:tcPr>
          <w:p>
            <w:pPr>
              <w:spacing w:line="240" w:lineRule="auto" w:before="0" w:after="0"/>
              <w:pStyle w:val="Compact"/>
            </w:pPr>
            <w:r>
              <w:rPr>
                <w:sz w:val="20"/>
                <w:szCs w:val="20"/>
              </w:rPr>
              <w:t xml:space="preserve">SevenSolutions_WhiteRabbit</w:t>
            </w:r>
          </w:p>
        </w:tc>
        <w:tc>
          <w:tcPr>
            <w:tcW w:w="0" w:type="auto"/>
          </w:tcPr>
          <w:p>
            <w:pPr>
              <w:spacing w:line="240" w:lineRule="auto" w:before="0" w:after="0"/>
              <w:pStyle w:val="Compact"/>
            </w:pPr>
            <w:r>
              <w:rPr>
                <w:sz w:val="20"/>
                <w:szCs w:val="20"/>
              </w:rPr>
              <w:t xml:space="preserve">DOT/Volpe</w:t>
            </w:r>
          </w:p>
        </w:tc>
        <w:tc>
          <w:tcPr>
            <w:tcW w:w="0" w:type="auto"/>
          </w:tcPr>
          <w:p>
            <w:pPr>
              <w:spacing w:line="240" w:lineRule="auto" w:before="0" w:after="0"/>
              <w:pStyle w:val="Compact"/>
            </w:pPr>
            <w:r>
              <w:rPr>
                <w:sz w:val="20"/>
                <w:szCs w:val="20"/>
              </w:rPr>
              <w:t xml:space="preserve">fiber_timing</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DOT/Volpe Demonstration Report Jan 2021; Seven Solutions S.L. fiber-optic White Rabbit PTP demonstrated Mar 2020; gpsworld.com DOT report 2021-01</w:t>
            </w:r>
          </w:p>
        </w:tc>
      </w:tr>
      <w:tr>
        <w:tc>
          <w:tcPr>
            <w:tcW w:w="0" w:type="auto"/>
          </w:tcPr>
          <w:p>
            <w:pPr>
              <w:spacing w:line="240" w:lineRule="auto" w:before="0" w:after="0"/>
              <w:pStyle w:val="Compact"/>
            </w:pPr>
            <w:r>
              <w:rPr>
                <w:sz w:val="20"/>
                <w:szCs w:val="20"/>
              </w:rPr>
              <w:t xml:space="preserve">TRX_UWB_IMU</w:t>
            </w:r>
          </w:p>
        </w:tc>
        <w:tc>
          <w:tcPr>
            <w:tcW w:w="0" w:type="auto"/>
          </w:tcPr>
          <w:p>
            <w:pPr>
              <w:spacing w:line="240" w:lineRule="auto" w:before="0" w:after="0"/>
              <w:pStyle w:val="Compact"/>
            </w:pPr>
            <w:r>
              <w:rPr>
                <w:sz w:val="20"/>
                <w:szCs w:val="20"/>
              </w:rPr>
              <w:t xml:space="preserve">DOT/Volpe</w:t>
            </w:r>
          </w:p>
        </w:tc>
        <w:tc>
          <w:tcPr>
            <w:tcW w:w="0" w:type="auto"/>
          </w:tcPr>
          <w:p>
            <w:pPr>
              <w:spacing w:line="240" w:lineRule="auto" w:before="0" w:after="0"/>
              <w:pStyle w:val="Compact"/>
            </w:pPr>
            <w:r>
              <w:rPr>
                <w:sz w:val="20"/>
                <w:szCs w:val="20"/>
              </w:rPr>
              <w:t xml:space="preserve">UWB_IMU_mapmatch</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DOT/Volpe Demonstration Report Jan 2021; TRX Systems Inc dead-reckoning IMU + map matching + UWB demonstrated Mar 2020; transportation.gov briefing room 2021-01</w:t>
            </w:r>
          </w:p>
        </w:tc>
      </w:tr>
      <w:tr>
        <w:tc>
          <w:tcPr>
            <w:tcW w:w="0" w:type="auto"/>
          </w:tcPr>
          <w:p>
            <w:pPr>
              <w:spacing w:line="240" w:lineRule="auto" w:before="0" w:after="0"/>
              <w:pStyle w:val="Compact"/>
            </w:pPr>
            <w:r>
              <w:rPr>
                <w:sz w:val="20"/>
                <w:szCs w:val="20"/>
              </w:rPr>
              <w:t xml:space="preserve">Serco_MF_RMode</w:t>
            </w:r>
          </w:p>
        </w:tc>
        <w:tc>
          <w:tcPr>
            <w:tcW w:w="0" w:type="auto"/>
          </w:tcPr>
          <w:p>
            <w:pPr>
              <w:spacing w:line="240" w:lineRule="auto" w:before="0" w:after="0"/>
              <w:pStyle w:val="Compact"/>
            </w:pPr>
            <w:r>
              <w:rPr>
                <w:sz w:val="20"/>
                <w:szCs w:val="20"/>
              </w:rPr>
              <w:t xml:space="preserve">DOT/Volpe</w:t>
            </w:r>
          </w:p>
        </w:tc>
        <w:tc>
          <w:tcPr>
            <w:tcW w:w="0" w:type="auto"/>
          </w:tcPr>
          <w:p>
            <w:pPr>
              <w:spacing w:line="240" w:lineRule="auto" w:before="0" w:after="0"/>
              <w:pStyle w:val="Compact"/>
            </w:pPr>
            <w:r>
              <w:rPr>
                <w:sz w:val="20"/>
                <w:szCs w:val="20"/>
              </w:rPr>
              <w:t xml:space="preserve">terrestrial_MF</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DOT/Volpe Demonstration Report Jan 2021; Serco Inc Medium-Frequency R-Mode demonstrated Mar 2020; transportation.gov briefing room 2021-01</w:t>
            </w:r>
          </w:p>
        </w:tc>
      </w:tr>
      <w:tr>
        <w:tc>
          <w:tcPr>
            <w:tcW w:w="0" w:type="auto"/>
          </w:tcPr>
          <w:p>
            <w:pPr>
              <w:spacing w:line="240" w:lineRule="auto" w:before="0" w:after="0"/>
              <w:pStyle w:val="Compact"/>
            </w:pPr>
            <w:r>
              <w:rPr>
                <w:sz w:val="20"/>
                <w:szCs w:val="20"/>
              </w:rPr>
              <w:t xml:space="preserve">PhasorLab_WiFi</w:t>
            </w:r>
          </w:p>
        </w:tc>
        <w:tc>
          <w:tcPr>
            <w:tcW w:w="0" w:type="auto"/>
          </w:tcPr>
          <w:p>
            <w:pPr>
              <w:spacing w:line="240" w:lineRule="auto" w:before="0" w:after="0"/>
              <w:pStyle w:val="Compact"/>
            </w:pPr>
            <w:r>
              <w:rPr>
                <w:sz w:val="20"/>
                <w:szCs w:val="20"/>
              </w:rPr>
              <w:t xml:space="preserve">DOT/Volpe</w:t>
            </w:r>
          </w:p>
        </w:tc>
        <w:tc>
          <w:tcPr>
            <w:tcW w:w="0" w:type="auto"/>
          </w:tcPr>
          <w:p>
            <w:pPr>
              <w:spacing w:line="240" w:lineRule="auto" w:before="0" w:after="0"/>
              <w:pStyle w:val="Compact"/>
            </w:pPr>
            <w:r>
              <w:rPr>
                <w:sz w:val="20"/>
                <w:szCs w:val="20"/>
              </w:rPr>
              <w:t xml:space="preserve">WiFi_802_11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DOT/Volpe Demonstration Report Jan 2021; PhasorLab Inc dedicated WiFi transmitter network demonstrated Mar 2020; transportation.gov briefing room 2021-01</w:t>
            </w:r>
          </w:p>
        </w:tc>
      </w:tr>
      <w:tr>
        <w:tc>
          <w:tcPr>
            <w:tcW w:w="0" w:type="auto"/>
          </w:tcPr>
          <w:p>
            <w:pPr>
              <w:spacing w:line="240" w:lineRule="auto" w:before="0" w:after="0"/>
              <w:pStyle w:val="Compact"/>
            </w:pPr>
            <w:r>
              <w:rPr>
                <w:sz w:val="20"/>
                <w:szCs w:val="20"/>
              </w:rPr>
              <w:t xml:space="preserve">Skyhook_WiFi</w:t>
            </w:r>
          </w:p>
        </w:tc>
        <w:tc>
          <w:tcPr>
            <w:tcW w:w="0" w:type="auto"/>
          </w:tcPr>
          <w:p>
            <w:pPr>
              <w:spacing w:line="240" w:lineRule="auto" w:before="0" w:after="0"/>
              <w:pStyle w:val="Compact"/>
            </w:pPr>
            <w:r>
              <w:rPr>
                <w:sz w:val="20"/>
                <w:szCs w:val="20"/>
              </w:rPr>
              <w:t xml:space="preserve">DOT/Volpe</w:t>
            </w:r>
          </w:p>
        </w:tc>
        <w:tc>
          <w:tcPr>
            <w:tcW w:w="0" w:type="auto"/>
          </w:tcPr>
          <w:p>
            <w:pPr>
              <w:spacing w:line="240" w:lineRule="auto" w:before="0" w:after="0"/>
              <w:pStyle w:val="Compact"/>
            </w:pPr>
            <w:r>
              <w:rPr>
                <w:sz w:val="20"/>
                <w:szCs w:val="20"/>
              </w:rPr>
              <w:t xml:space="preserve">WiFi_802_11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DOT/Volpe Demonstration Report Jan 2021; Skyhook Wireless Inc existing WiFi access-point positioning demonstrated Mar 2020; transportation.gov briefing room 2021-01</w:t>
            </w:r>
          </w:p>
        </w:tc>
      </w:tr>
      <w:tr>
        <w:tc>
          <w:tcPr>
            <w:tcW w:w="0" w:type="auto"/>
          </w:tcPr>
          <w:p>
            <w:pPr>
              <w:spacing w:line="240" w:lineRule="auto" w:before="0" w:after="0"/>
              <w:pStyle w:val="Compact"/>
            </w:pPr>
            <w:r>
              <w:rPr>
                <w:sz w:val="20"/>
                <w:szCs w:val="20"/>
              </w:rPr>
              <w:t xml:space="preserve">NTRSA_GPS_backup</w:t>
            </w:r>
          </w:p>
        </w:tc>
        <w:tc>
          <w:tcPr>
            <w:tcW w:w="0" w:type="auto"/>
          </w:tcPr>
          <w:p>
            <w:pPr>
              <w:spacing w:line="240" w:lineRule="auto" w:before="0" w:after="0"/>
              <w:pStyle w:val="Compact"/>
            </w:pPr>
            <w:r>
              <w:rPr>
                <w:sz w:val="20"/>
                <w:szCs w:val="20"/>
              </w:rPr>
              <w:t xml:space="preserve">DOT/USCG</w:t>
            </w:r>
          </w:p>
        </w:tc>
        <w:tc>
          <w:tcPr>
            <w:tcW w:w="0" w:type="auto"/>
          </w:tcPr>
          <w:p>
            <w:pPr>
              <w:spacing w:line="240" w:lineRule="auto" w:before="0" w:after="0"/>
              <w:pStyle w:val="Compact"/>
            </w:pPr>
            <w:r>
              <w:rPr>
                <w:sz w:val="20"/>
                <w:szCs w:val="20"/>
              </w:rPr>
              <w:t xml:space="preserve">terrestrial_LF</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National Timing Resilience and Security Act of 2018 (P.L. 115-282 Sec 514) mandated DOT establish land-based timing backup; not yet established as of 2025; CRS/gps.gov gps-legislation; rntfnd.org</w:t>
            </w:r>
          </w:p>
        </w:tc>
      </w:tr>
      <w:tr>
        <w:tc>
          <w:tcPr>
            <w:tcW w:w="0" w:type="auto"/>
          </w:tcPr>
          <w:p>
            <w:pPr>
              <w:spacing w:line="240" w:lineRule="auto" w:before="0" w:after="0"/>
              <w:pStyle w:val="Compact"/>
            </w:pPr>
            <w:r>
              <w:rPr>
                <w:sz w:val="20"/>
                <w:szCs w:val="20"/>
              </w:rPr>
              <w:t xml:space="preserve">EO13905_natl_plan</w:t>
            </w:r>
          </w:p>
        </w:tc>
        <w:tc>
          <w:tcPr>
            <w:tcW w:w="0" w:type="auto"/>
          </w:tcPr>
          <w:p>
            <w:pPr>
              <w:spacing w:line="240" w:lineRule="auto" w:before="0" w:after="0"/>
              <w:pStyle w:val="Compact"/>
            </w:pPr>
            <w:r>
              <w:rPr>
                <w:sz w:val="20"/>
                <w:szCs w:val="20"/>
              </w:rPr>
              <w:t xml:space="preserve">OSTP/EOP</w:t>
            </w:r>
          </w:p>
        </w:tc>
        <w:tc>
          <w:tcPr>
            <w:tcW w:w="0" w:type="auto"/>
          </w:tcPr>
          <w:p>
            <w:pPr>
              <w:spacing w:line="240" w:lineRule="auto" w:before="0" w:after="0"/>
              <w:pStyle w:val="Compact"/>
            </w:pPr>
            <w:r>
              <w:rPr>
                <w:sz w:val="20"/>
                <w:szCs w:val="20"/>
              </w:rPr>
              <w:t xml:space="preserve">policy_program</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Executive Order 13905 (Feb 2020) directed OSTP national PNT R&amp;D plan; National PNT Plan released Aug 2021; gps.gov resilience-through-responsible-use-pnt; transportation.gov/pnt</w:t>
            </w:r>
          </w:p>
        </w:tc>
      </w:tr>
      <w:tr>
        <w:tc>
          <w:tcPr>
            <w:tcW w:w="0" w:type="auto"/>
          </w:tcPr>
          <w:p>
            <w:pPr>
              <w:spacing w:line="240" w:lineRule="auto" w:before="0" w:after="0"/>
              <w:pStyle w:val="Compact"/>
            </w:pPr>
            <w:r>
              <w:rPr>
                <w:sz w:val="20"/>
                <w:szCs w:val="20"/>
              </w:rPr>
              <w:t xml:space="preserve">DOD_NavWar_PNT</w:t>
            </w:r>
          </w:p>
        </w:tc>
        <w:tc>
          <w:tcPr>
            <w:tcW w:w="0" w:type="auto"/>
          </w:tcPr>
          <w:p>
            <w:pPr>
              <w:spacing w:line="240" w:lineRule="auto" w:before="0" w:after="0"/>
              <w:pStyle w:val="Compact"/>
            </w:pPr>
            <w:r>
              <w:rPr>
                <w:sz w:val="20"/>
                <w:szCs w:val="20"/>
              </w:rPr>
              <w:t xml:space="preserve">DOD</w:t>
            </w:r>
          </w:p>
        </w:tc>
        <w:tc>
          <w:tcPr>
            <w:tcW w:w="0" w:type="auto"/>
          </w:tcPr>
          <w:p>
            <w:pPr>
              <w:spacing w:line="240" w:lineRule="auto" w:before="0" w:after="0"/>
              <w:pStyle w:val="Compact"/>
            </w:pPr>
            <w:r>
              <w:rPr>
                <w:sz w:val="20"/>
                <w:szCs w:val="20"/>
              </w:rPr>
              <w:t xml:space="preserve">military_PNT</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GAO-21-320SP Defense Navigation Capabilities; GAO May 2023 critical of DoD PNT resilience approach; gao.gov/assets/gao-21-320sp.pdf</w:t>
            </w:r>
          </w:p>
        </w:tc>
      </w:tr>
      <w:tr>
        <w:tc>
          <w:tcPr>
            <w:tcW w:w="0" w:type="auto"/>
          </w:tcPr>
          <w:p>
            <w:pPr>
              <w:spacing w:line="240" w:lineRule="auto" w:before="0" w:after="0"/>
              <w:pStyle w:val="Compact"/>
            </w:pPr>
            <w:r>
              <w:rPr>
                <w:sz w:val="20"/>
                <w:szCs w:val="20"/>
              </w:rPr>
              <w:t xml:space="preserve">RapidPhaseII_NextNav</w:t>
            </w:r>
          </w:p>
        </w:tc>
        <w:tc>
          <w:tcPr>
            <w:tcW w:w="0" w:type="auto"/>
          </w:tcPr>
          <w:p>
            <w:pPr>
              <w:spacing w:line="240" w:lineRule="auto" w:before="0" w:after="0"/>
              <w:pStyle w:val="Compact"/>
            </w:pPr>
            <w:r>
              <w:rPr>
                <w:sz w:val="20"/>
                <w:szCs w:val="20"/>
              </w:rPr>
              <w:t xml:space="preserve">DOT/Volpe</w:t>
            </w:r>
          </w:p>
        </w:tc>
        <w:tc>
          <w:tcPr>
            <w:tcW w:w="0" w:type="auto"/>
          </w:tcPr>
          <w:p>
            <w:pPr>
              <w:spacing w:line="240" w:lineRule="auto" w:before="0" w:after="0"/>
              <w:pStyle w:val="Compact"/>
            </w:pPr>
            <w:r>
              <w:rPr>
                <w:sz w:val="20"/>
                <w:szCs w:val="20"/>
              </w:rPr>
              <w:t xml:space="preserve">terrestrial_UHF</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DOT awards $7M for Complementary PNT, June 2024; NextNav $1,876,968 Rapid Phase award; militaryaerospace.com 55126099; transportation.gov briefing room 2024</w:t>
            </w:r>
          </w:p>
        </w:tc>
      </w:tr>
      <w:tr>
        <w:tc>
          <w:tcPr>
            <w:tcW w:w="0" w:type="auto"/>
          </w:tcPr>
          <w:p>
            <w:pPr>
              <w:spacing w:line="240" w:lineRule="auto" w:before="0" w:after="0"/>
              <w:pStyle w:val="Compact"/>
            </w:pPr>
            <w:r>
              <w:rPr>
                <w:sz w:val="20"/>
                <w:szCs w:val="20"/>
              </w:rPr>
              <w:t xml:space="preserve">RapidPhaseII_Iridium</w:t>
            </w:r>
          </w:p>
        </w:tc>
        <w:tc>
          <w:tcPr>
            <w:tcW w:w="0" w:type="auto"/>
          </w:tcPr>
          <w:p>
            <w:pPr>
              <w:spacing w:line="240" w:lineRule="auto" w:before="0" w:after="0"/>
              <w:pStyle w:val="Compact"/>
            </w:pPr>
            <w:r>
              <w:rPr>
                <w:sz w:val="20"/>
                <w:szCs w:val="20"/>
              </w:rPr>
              <w:t xml:space="preserve">DOT/Volpe</w:t>
            </w:r>
          </w:p>
        </w:tc>
        <w:tc>
          <w:tcPr>
            <w:tcW w:w="0" w:type="auto"/>
          </w:tcPr>
          <w:p>
            <w:pPr>
              <w:spacing w:line="240" w:lineRule="auto" w:before="0" w:after="0"/>
              <w:pStyle w:val="Compact"/>
            </w:pPr>
            <w:r>
              <w:rPr>
                <w:sz w:val="20"/>
                <w:szCs w:val="20"/>
              </w:rPr>
              <w:t xml:space="preserve">LEO_satellite_L</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DOT Rapid Phase awards June 2024; Iridium Satellite LLC satellite-based PNT (Satelles STL) awarded; militaryaerospace.com 55126099 2024</w:t>
            </w:r>
          </w:p>
        </w:tc>
      </w:tr>
      <w:tr>
        <w:tc>
          <w:tcPr>
            <w:tcW w:w="0" w:type="auto"/>
          </w:tcPr>
          <w:p>
            <w:pPr>
              <w:spacing w:line="240" w:lineRule="auto" w:before="0" w:after="0"/>
              <w:pStyle w:val="Compact"/>
            </w:pPr>
            <w:r>
              <w:rPr>
                <w:sz w:val="20"/>
                <w:szCs w:val="20"/>
              </w:rPr>
              <w:t xml:space="preserve">RapidPhaseII_UrsaNav</w:t>
            </w:r>
          </w:p>
        </w:tc>
        <w:tc>
          <w:tcPr>
            <w:tcW w:w="0" w:type="auto"/>
          </w:tcPr>
          <w:p>
            <w:pPr>
              <w:spacing w:line="240" w:lineRule="auto" w:before="0" w:after="0"/>
              <w:pStyle w:val="Compact"/>
            </w:pPr>
            <w:r>
              <w:rPr>
                <w:sz w:val="20"/>
                <w:szCs w:val="20"/>
              </w:rPr>
              <w:t xml:space="preserve">DOT/Volpe</w:t>
            </w:r>
          </w:p>
        </w:tc>
        <w:tc>
          <w:tcPr>
            <w:tcW w:w="0" w:type="auto"/>
          </w:tcPr>
          <w:p>
            <w:pPr>
              <w:spacing w:line="240" w:lineRule="auto" w:before="0" w:after="0"/>
              <w:pStyle w:val="Compact"/>
            </w:pPr>
            <w:r>
              <w:rPr>
                <w:sz w:val="20"/>
                <w:szCs w:val="20"/>
              </w:rPr>
              <w:t xml:space="preserve">terrestrial_LF</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DOT Rapid Phase awards June 2024; UrsaNav LLC terrestrial eLoran awarded; militaryaerospace.com 55126099 2024</w:t>
            </w:r>
          </w:p>
        </w:tc>
      </w:tr>
      <w:tr>
        <w:tc>
          <w:tcPr>
            <w:tcW w:w="0" w:type="auto"/>
          </w:tcPr>
          <w:p>
            <w:pPr>
              <w:spacing w:line="240" w:lineRule="auto" w:before="0" w:after="0"/>
              <w:pStyle w:val="Compact"/>
            </w:pPr>
            <w:r>
              <w:rPr>
                <w:sz w:val="20"/>
                <w:szCs w:val="20"/>
              </w:rPr>
              <w:t xml:space="preserve">RapidPhaseII_Viavi</w:t>
            </w:r>
          </w:p>
        </w:tc>
        <w:tc>
          <w:tcPr>
            <w:tcW w:w="0" w:type="auto"/>
          </w:tcPr>
          <w:p>
            <w:pPr>
              <w:spacing w:line="240" w:lineRule="auto" w:before="0" w:after="0"/>
              <w:pStyle w:val="Compact"/>
            </w:pPr>
            <w:r>
              <w:rPr>
                <w:sz w:val="20"/>
                <w:szCs w:val="20"/>
              </w:rPr>
              <w:t xml:space="preserve">DOT/Volpe</w:t>
            </w:r>
          </w:p>
        </w:tc>
        <w:tc>
          <w:tcPr>
            <w:tcW w:w="0" w:type="auto"/>
          </w:tcPr>
          <w:p>
            <w:pPr>
              <w:spacing w:line="240" w:lineRule="auto" w:before="0" w:after="0"/>
              <w:pStyle w:val="Compact"/>
            </w:pPr>
            <w:r>
              <w:rPr>
                <w:sz w:val="20"/>
                <w:szCs w:val="20"/>
              </w:rPr>
              <w:t xml:space="preserve">fiber_timing</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DOT Rapid Phase awards June 2024; Viavi Solutions LLC awarded; militaryaerospace.com 55126099 2024</w:t>
            </w:r>
          </w:p>
        </w:tc>
      </w:tr>
      <w:tr>
        <w:tc>
          <w:tcPr>
            <w:tcW w:w="0" w:type="auto"/>
          </w:tcPr>
          <w:p>
            <w:pPr>
              <w:spacing w:line="240" w:lineRule="auto" w:before="0" w:after="0"/>
              <w:pStyle w:val="Compact"/>
            </w:pPr>
            <w:r>
              <w:rPr>
                <w:sz w:val="20"/>
                <w:szCs w:val="20"/>
              </w:rPr>
              <w:t xml:space="preserve">RapidPhaseII_MerlinTPS</w:t>
            </w:r>
          </w:p>
        </w:tc>
        <w:tc>
          <w:tcPr>
            <w:tcW w:w="0" w:type="auto"/>
          </w:tcPr>
          <w:p>
            <w:pPr>
              <w:spacing w:line="240" w:lineRule="auto" w:before="0" w:after="0"/>
              <w:pStyle w:val="Compact"/>
            </w:pPr>
            <w:r>
              <w:rPr>
                <w:sz w:val="20"/>
                <w:szCs w:val="20"/>
              </w:rPr>
              <w:t xml:space="preserve">DOT/Volpe</w:t>
            </w:r>
          </w:p>
        </w:tc>
        <w:tc>
          <w:tcPr>
            <w:tcW w:w="0" w:type="auto"/>
          </w:tcPr>
          <w:p>
            <w:pPr>
              <w:spacing w:line="240" w:lineRule="auto" w:before="0" w:after="0"/>
              <w:pStyle w:val="Compact"/>
            </w:pPr>
            <w:r>
              <w:rPr>
                <w:sz w:val="20"/>
                <w:szCs w:val="20"/>
              </w:rPr>
              <w:t xml:space="preserve">terrestrial_timing</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DOT Rapid Phase awards June 2024; MerlinTPS Corp awarded; militaryaerospace.com 55126099 2024</w:t>
            </w:r>
          </w:p>
        </w:tc>
      </w:tr>
      <w:tr>
        <w:tc>
          <w:tcPr>
            <w:tcW w:w="0" w:type="auto"/>
          </w:tcPr>
          <w:p>
            <w:pPr>
              <w:spacing w:line="240" w:lineRule="auto" w:before="0" w:after="0"/>
              <w:pStyle w:val="Compact"/>
            </w:pPr>
            <w:r>
              <w:rPr>
                <w:sz w:val="20"/>
                <w:szCs w:val="20"/>
              </w:rPr>
              <w:t xml:space="preserve">CPNT_award_2025_v1</w:t>
            </w:r>
          </w:p>
        </w:tc>
        <w:tc>
          <w:tcPr>
            <w:tcW w:w="0" w:type="auto"/>
          </w:tcPr>
          <w:p>
            <w:pPr>
              <w:spacing w:line="240" w:lineRule="auto" w:before="0" w:after="0"/>
              <w:pStyle w:val="Compact"/>
            </w:pPr>
            <w:r>
              <w:rPr>
                <w:sz w:val="20"/>
                <w:szCs w:val="20"/>
              </w:rPr>
              <w:t xml:space="preserve">DOT/Volpe</w:t>
            </w:r>
          </w:p>
        </w:tc>
        <w:tc>
          <w:tcPr>
            <w:tcW w:w="0" w:type="auto"/>
          </w:tcPr>
          <w:p>
            <w:pPr>
              <w:spacing w:line="240" w:lineRule="auto" w:before="0" w:after="0"/>
              <w:pStyle w:val="Compact"/>
            </w:pPr>
            <w:r>
              <w:rPr>
                <w:sz w:val="20"/>
                <w:szCs w:val="20"/>
              </w:rPr>
              <w:t xml:space="preserve">terrestrial_RF</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 DOT Awards for CPNT Show Continued Engagement But Challenges Remain, Inside GNSS via RNTF, Nov 2025; rntfnd.org 2025/11/06</w:t>
            </w:r>
          </w:p>
        </w:tc>
      </w:tr>
      <w:tr>
        <w:tc>
          <w:tcPr>
            <w:tcW w:w="0" w:type="auto"/>
          </w:tcPr>
          <w:p>
            <w:pPr>
              <w:spacing w:line="240" w:lineRule="auto" w:before="0" w:after="0"/>
              <w:pStyle w:val="Compact"/>
            </w:pPr>
            <w:r>
              <w:rPr>
                <w:sz w:val="20"/>
                <w:szCs w:val="20"/>
              </w:rPr>
              <w:t xml:space="preserve">CPNT_award_2025_v2</w:t>
            </w:r>
          </w:p>
        </w:tc>
        <w:tc>
          <w:tcPr>
            <w:tcW w:w="0" w:type="auto"/>
          </w:tcPr>
          <w:p>
            <w:pPr>
              <w:spacing w:line="240" w:lineRule="auto" w:before="0" w:after="0"/>
              <w:pStyle w:val="Compact"/>
            </w:pPr>
            <w:r>
              <w:rPr>
                <w:sz w:val="20"/>
                <w:szCs w:val="20"/>
              </w:rPr>
              <w:t xml:space="preserve">DOT/Volpe</w:t>
            </w:r>
          </w:p>
        </w:tc>
        <w:tc>
          <w:tcPr>
            <w:tcW w:w="0" w:type="auto"/>
          </w:tcPr>
          <w:p>
            <w:pPr>
              <w:spacing w:line="240" w:lineRule="auto" w:before="0" w:after="0"/>
              <w:pStyle w:val="Compact"/>
            </w:pPr>
            <w:r>
              <w:rPr>
                <w:sz w:val="20"/>
                <w:szCs w:val="20"/>
              </w:rPr>
              <w:t xml:space="preserve">LEO_satellite</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 DOT Awards for CPNT, Inside GNSS via RNTF, Nov 2025; rntfnd.org 2025/11/06</w:t>
            </w:r>
          </w:p>
        </w:tc>
      </w:tr>
      <w:tr>
        <w:tc>
          <w:tcPr>
            <w:tcW w:w="0" w:type="auto"/>
          </w:tcPr>
          <w:p>
            <w:pPr>
              <w:spacing w:line="240" w:lineRule="auto" w:before="0" w:after="0"/>
              <w:pStyle w:val="Compact"/>
            </w:pPr>
            <w:r>
              <w:rPr>
                <w:sz w:val="20"/>
                <w:szCs w:val="20"/>
              </w:rPr>
              <w:t xml:space="preserve">USCG_eLoran_pilot_2015</w:t>
            </w:r>
          </w:p>
        </w:tc>
        <w:tc>
          <w:tcPr>
            <w:tcW w:w="0" w:type="auto"/>
          </w:tcPr>
          <w:p>
            <w:pPr>
              <w:spacing w:line="240" w:lineRule="auto" w:before="0" w:after="0"/>
              <w:pStyle w:val="Compact"/>
            </w:pPr>
            <w:r>
              <w:rPr>
                <w:sz w:val="20"/>
                <w:szCs w:val="20"/>
              </w:rPr>
              <w:t xml:space="preserve">USCG/DOT</w:t>
            </w:r>
          </w:p>
        </w:tc>
        <w:tc>
          <w:tcPr>
            <w:tcW w:w="0" w:type="auto"/>
          </w:tcPr>
          <w:p>
            <w:pPr>
              <w:spacing w:line="240" w:lineRule="auto" w:before="0" w:after="0"/>
              <w:pStyle w:val="Compact"/>
            </w:pPr>
            <w:r>
              <w:rPr>
                <w:sz w:val="20"/>
                <w:szCs w:val="20"/>
              </w:rPr>
              <w:t xml:space="preserve">terrestrial_LF</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House transportation committee reopened eLoran 2014; 2014 Coast Guard Act markup; pilot interest lapsed without sustained appropriation; rntfnd.org; militaryaerospace.com eloran-loran-c</w:t>
            </w:r>
          </w:p>
        </w:tc>
      </w:tr>
      <w:tr>
        <w:tc>
          <w:tcPr>
            <w:tcW w:w="0" w:type="auto"/>
          </w:tcPr>
          <w:p>
            <w:pPr>
              <w:spacing w:line="240" w:lineRule="auto" w:before="0" w:after="0"/>
              <w:pStyle w:val="Compact"/>
            </w:pPr>
            <w:r>
              <w:rPr>
                <w:sz w:val="20"/>
                <w:szCs w:val="20"/>
              </w:rPr>
              <w:t xml:space="preserve">DOT_CPNT_ActionPlan_2023</w:t>
            </w:r>
          </w:p>
        </w:tc>
        <w:tc>
          <w:tcPr>
            <w:tcW w:w="0" w:type="auto"/>
          </w:tcPr>
          <w:p>
            <w:pPr>
              <w:spacing w:line="240" w:lineRule="auto" w:before="0" w:after="0"/>
              <w:pStyle w:val="Compact"/>
            </w:pPr>
            <w:r>
              <w:rPr>
                <w:sz w:val="20"/>
                <w:szCs w:val="20"/>
              </w:rPr>
              <w:t xml:space="preserve">DOT</w:t>
            </w:r>
          </w:p>
        </w:tc>
        <w:tc>
          <w:tcPr>
            <w:tcW w:w="0" w:type="auto"/>
          </w:tcPr>
          <w:p>
            <w:pPr>
              <w:spacing w:line="240" w:lineRule="auto" w:before="0" w:after="0"/>
              <w:pStyle w:val="Compact"/>
            </w:pPr>
            <w:r>
              <w:rPr>
                <w:sz w:val="20"/>
                <w:szCs w:val="20"/>
              </w:rPr>
              <w:t xml:space="preserve">policy_program</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DOT Complementary PNT Action Plan, final, Sept 2023; transportation.gov/sites/dot.gov/files/2023-09 DOT Complementary PNT Action Plan_Final.pdf</w:t>
            </w:r>
          </w:p>
        </w:tc>
      </w:tr>
      <w:tr>
        <w:tc>
          <w:tcPr>
            <w:tcW w:w="0" w:type="auto"/>
          </w:tcPr>
          <w:p>
            <w:pPr>
              <w:spacing w:line="240" w:lineRule="auto" w:before="0" w:after="0"/>
              <w:pStyle w:val="Compact"/>
            </w:pPr>
            <w:r>
              <w:rPr>
                <w:sz w:val="20"/>
                <w:szCs w:val="20"/>
              </w:rPr>
              <w:t xml:space="preserve">FCC_eLoran_NPRM_2025</w:t>
            </w:r>
          </w:p>
        </w:tc>
        <w:tc>
          <w:tcPr>
            <w:tcW w:w="0" w:type="auto"/>
          </w:tcPr>
          <w:p>
            <w:pPr>
              <w:spacing w:line="240" w:lineRule="auto" w:before="0" w:after="0"/>
              <w:pStyle w:val="Compact"/>
            </w:pPr>
            <w:r>
              <w:rPr>
                <w:sz w:val="20"/>
                <w:szCs w:val="20"/>
              </w:rPr>
              <w:t xml:space="preserve">FCC</w:t>
            </w:r>
          </w:p>
        </w:tc>
        <w:tc>
          <w:tcPr>
            <w:tcW w:w="0" w:type="auto"/>
          </w:tcPr>
          <w:p>
            <w:pPr>
              <w:spacing w:line="240" w:lineRule="auto" w:before="0" w:after="0"/>
              <w:pStyle w:val="Compact"/>
            </w:pPr>
            <w:r>
              <w:rPr>
                <w:sz w:val="20"/>
                <w:szCs w:val="20"/>
              </w:rPr>
              <w:t xml:space="preserve">terrestrial_LF</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Fact Sheet Mar 6 2025 on resilient PNT/eLoran; docs.fcc.gov/public/attachments/DOC-410031A1.pdf; Federal Register Commercial eLoran Capability 2023-21767</w:t>
            </w:r>
          </w:p>
        </w:tc>
      </w:tr>
      <w:tr>
        <w:tc>
          <w:tcPr>
            <w:tcW w:w="0" w:type="auto"/>
          </w:tcPr>
          <w:p>
            <w:pPr>
              <w:spacing w:line="240" w:lineRule="auto" w:before="0" w:after="0"/>
              <w:pStyle w:val="Compact"/>
            </w:pPr>
            <w:r>
              <w:rPr>
                <w:sz w:val="20"/>
                <w:szCs w:val="20"/>
              </w:rPr>
              <w:t xml:space="preserve">WAAS_GPS_aug</w:t>
            </w:r>
          </w:p>
        </w:tc>
        <w:tc>
          <w:tcPr>
            <w:tcW w:w="0" w:type="auto"/>
          </w:tcPr>
          <w:p>
            <w:pPr>
              <w:spacing w:line="240" w:lineRule="auto" w:before="0" w:after="0"/>
              <w:pStyle w:val="Compact"/>
            </w:pPr>
            <w:r>
              <w:rPr>
                <w:sz w:val="20"/>
                <w:szCs w:val="20"/>
              </w:rPr>
              <w:t xml:space="preserve">FAA/DOT</w:t>
            </w:r>
          </w:p>
        </w:tc>
        <w:tc>
          <w:tcPr>
            <w:tcW w:w="0" w:type="auto"/>
          </w:tcPr>
          <w:p>
            <w:pPr>
              <w:spacing w:line="240" w:lineRule="auto" w:before="0" w:after="0"/>
              <w:pStyle w:val="Compact"/>
            </w:pPr>
            <w:r>
              <w:rPr>
                <w:sz w:val="20"/>
                <w:szCs w:val="20"/>
              </w:rPr>
              <w:t xml:space="preserve">satellite_aug</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[illustrative] WAAS reached operational maturity 2003 after sustained uninterrupted development funding circa 1994-2003; positive-control comparator; appropriation_continuity coded as development funded cycles, duration as years to operational acceptance; FAA WAAS operational record (gps.gov)</w:t>
            </w:r>
          </w:p>
        </w:tc>
      </w:tr>
    </w:tbl>
    <w:bookmarkEnd w:id="82"/>
    <w:bookmarkStart w:id="8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duration_years</w:t>
            </w:r>
          </w:p>
        </w:tc>
        <w:tc>
          <w:tcPr>
            <w:tcW w:w="0" w:type="auto"/>
          </w:tcPr>
          <w:p>
            <w:pPr>
              <w:spacing w:line="240" w:lineRule="auto" w:before="0" w:after="0"/>
              <w:pStyle w:val="Compact"/>
            </w:pPr>
            <w:r>
              <w:rPr>
                <w:sz w:val="20"/>
                <w:szCs w:val="20"/>
              </w:rPr>
              <w:t xml:space="preserve">Program lifespan in years from federal authorization or first federal evaluation entry to either operational maturity or right-censoring at FY2025</w:t>
            </w:r>
          </w:p>
        </w:tc>
        <w:tc>
          <w:tcPr>
            <w:tcW w:w="0" w:type="auto"/>
          </w:tcPr>
          <w:p>
            <w:pPr>
              <w:spacing w:line="240" w:lineRule="auto" w:before="0" w:after="0"/>
              <w:pStyle w:val="Compact"/>
            </w:pPr>
            <w:r>
              <w:rPr>
                <w:sz w:val="20"/>
                <w:szCs w:val="20"/>
              </w:rPr>
              <w:t xml:space="preserve">GAO reports and DOT/Volpe demonstration record; program authorization and status dates</w:t>
            </w:r>
          </w:p>
        </w:tc>
      </w:tr>
      <w:tr>
        <w:tc>
          <w:tcPr>
            <w:tcW w:w="0" w:type="auto"/>
          </w:tcPr>
          <w:p>
            <w:pPr>
              <w:spacing w:line="240" w:lineRule="auto" w:before="0" w:after="0"/>
              <w:pStyle w:val="Compact"/>
            </w:pPr>
            <w:r>
              <w:rPr>
                <w:sz w:val="20"/>
                <w:szCs w:val="20"/>
              </w:rPr>
              <w:t xml:space="preserve">reached_maturity</w:t>
            </w:r>
          </w:p>
        </w:tc>
        <w:tc>
          <w:tcPr>
            <w:tcW w:w="0" w:type="auto"/>
          </w:tcPr>
          <w:p>
            <w:pPr>
              <w:spacing w:line="240" w:lineRule="auto" w:before="0" w:after="0"/>
              <w:pStyle w:val="Compact"/>
            </w:pPr>
            <w:r>
              <w:rPr>
                <w:sz w:val="20"/>
                <w:szCs w:val="20"/>
              </w:rPr>
              <w:t xml:space="preserve">Event indicator: 1 if the program/technology reached durable operational maturity (fielded operational service or sustained federal-program-adopted operational availability), 0 if stalled, terminated, or administratively right-censored at FY2025</w:t>
            </w:r>
          </w:p>
        </w:tc>
        <w:tc>
          <w:tcPr>
            <w:tcW w:w="0" w:type="auto"/>
          </w:tcPr>
          <w:p>
            <w:pPr>
              <w:spacing w:line="240" w:lineRule="auto" w:before="0" w:after="0"/>
              <w:pStyle w:val="Compact"/>
            </w:pPr>
            <w:r>
              <w:rPr>
                <w:sz w:val="20"/>
                <w:szCs w:val="20"/>
              </w:rPr>
              <w:t xml:space="preserve">DOT/Volpe Demonstration Report Jan 2021; GAO PNT record; FAA WAAS operational record</w:t>
            </w:r>
          </w:p>
        </w:tc>
      </w:tr>
      <w:tr>
        <w:tc>
          <w:tcPr>
            <w:tcW w:w="0" w:type="auto"/>
          </w:tcPr>
          <w:p>
            <w:pPr>
              <w:spacing w:line="240" w:lineRule="auto" w:before="0" w:after="0"/>
              <w:pStyle w:val="Compact"/>
            </w:pPr>
            <w:r>
              <w:rPr>
                <w:sz w:val="20"/>
                <w:szCs w:val="20"/>
              </w:rPr>
              <w:t xml:space="preserve">appropriation_continuity</w:t>
            </w:r>
          </w:p>
        </w:tc>
        <w:tc>
          <w:tcPr>
            <w:tcW w:w="0" w:type="auto"/>
          </w:tcPr>
          <w:p>
            <w:pPr>
              <w:spacing w:line="240" w:lineRule="auto" w:before="0" w:after="0"/>
              <w:pStyle w:val="Compact"/>
            </w:pPr>
            <w:r>
              <w:rPr>
                <w:sz w:val="20"/>
                <w:szCs w:val="20"/>
              </w:rPr>
              <w:t xml:space="preserve">Count of consecutive federal funding or contract cycles in which the program line received dedicated appropriation or award prior to the observation boundary</w:t>
            </w:r>
          </w:p>
        </w:tc>
        <w:tc>
          <w:tcPr>
            <w:tcW w:w="0" w:type="auto"/>
          </w:tcPr>
          <w:p>
            <w:pPr>
              <w:spacing w:line="240" w:lineRule="auto" w:before="0" w:after="0"/>
              <w:pStyle w:val="Compact"/>
            </w:pPr>
            <w:r>
              <w:rPr>
                <w:sz w:val="20"/>
                <w:szCs w:val="20"/>
              </w:rPr>
              <w:t xml:space="preserve">USAspending.gov / OMB Public Budget Database lineage as reconstructed from DOT award announcements and program histories</w:t>
            </w:r>
          </w:p>
        </w:tc>
      </w:tr>
      <w:tr>
        <w:tc>
          <w:tcPr>
            <w:tcW w:w="0" w:type="auto"/>
          </w:tcPr>
          <w:p>
            <w:pPr>
              <w:spacing w:line="240" w:lineRule="auto" w:before="0" w:after="0"/>
              <w:pStyle w:val="Compact"/>
            </w:pPr>
            <w:r>
              <w:rPr>
                <w:sz w:val="20"/>
                <w:szCs w:val="20"/>
              </w:rPr>
              <w:t xml:space="preserve">trl_at_authorization</w:t>
            </w:r>
          </w:p>
        </w:tc>
        <w:tc>
          <w:tcPr>
            <w:tcW w:w="0" w:type="auto"/>
          </w:tcPr>
          <w:p>
            <w:pPr>
              <w:spacing w:line="240" w:lineRule="auto" w:before="0" w:after="0"/>
              <w:pStyle w:val="Compact"/>
            </w:pPr>
            <w:r>
              <w:rPr>
                <w:sz w:val="20"/>
                <w:szCs w:val="20"/>
              </w:rPr>
              <w:t xml:space="preserve">Technology Readiness Level (1 to 9) assigned to the program’s core PNT technology at the authorization or demonstration milestone</w:t>
            </w:r>
          </w:p>
        </w:tc>
        <w:tc>
          <w:tcPr>
            <w:tcW w:w="0" w:type="auto"/>
          </w:tcPr>
          <w:p>
            <w:pPr>
              <w:spacing w:line="240" w:lineRule="auto" w:before="0" w:after="0"/>
              <w:pStyle w:val="Compact"/>
            </w:pPr>
            <w:r>
              <w:rPr>
                <w:sz w:val="20"/>
                <w:szCs w:val="20"/>
              </w:rPr>
              <w:t xml:space="preserve">DOT/Volpe Complementary PNT and GPS Backup Technologies Demonstration Report to Congress, Jan 2021; per-technology readiness language</w:t>
            </w:r>
          </w:p>
        </w:tc>
      </w:tr>
    </w:tbl>
    <w:bookmarkEnd w:id="83"/>
    <w:bookmarkStart w:id="8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appropriation_continuity</w:t>
            </w:r>
          </w:p>
        </w:tc>
        <w:tc>
          <w:tcPr>
            <w:tcW w:w="0" w:type="auto"/>
          </w:tcPr>
          <w:p>
            <w:pPr>
              <w:spacing w:line="240" w:lineRule="auto" w:before="0" w:after="0"/>
              <w:pStyle w:val="Compact"/>
            </w:pPr>
            <w:r>
              <w:rPr>
                <w:sz w:val="20"/>
                <w:szCs w:val="20"/>
              </w:rPr>
              <w:t xml:space="preserve">0.2435</w:t>
            </w:r>
          </w:p>
        </w:tc>
        <w:tc>
          <w:tcPr>
            <w:tcW w:w="0" w:type="auto"/>
          </w:tcPr>
          <w:p>
            <w:pPr>
              <w:spacing w:line="240" w:lineRule="auto" w:before="0" w:after="0"/>
              <w:pStyle w:val="Compact"/>
            </w:pPr>
            <w:r>
              <w:rPr>
                <w:sz w:val="20"/>
                <w:szCs w:val="20"/>
              </w:rPr>
              <w:t xml:space="preserve">0.161</w:t>
            </w:r>
          </w:p>
        </w:tc>
        <w:tc>
          <w:tcPr>
            <w:tcW w:w="0" w:type="auto"/>
          </w:tcPr>
          <w:p>
            <w:pPr>
              <w:spacing w:line="240" w:lineRule="auto" w:before="0" w:after="0"/>
              <w:pStyle w:val="Compact"/>
            </w:pPr>
            <w:r>
              <w:rPr>
                <w:sz w:val="20"/>
                <w:szCs w:val="20"/>
              </w:rPr>
              <w:t xml:space="preserve">1.5126</w:t>
            </w:r>
          </w:p>
        </w:tc>
        <w:tc>
          <w:tcPr>
            <w:tcW w:w="0" w:type="auto"/>
          </w:tcPr>
          <w:p>
            <w:pPr>
              <w:spacing w:line="240" w:lineRule="auto" w:before="0" w:after="0"/>
              <w:pStyle w:val="Compact"/>
            </w:pPr>
            <w:r>
              <w:rPr>
                <w:sz w:val="20"/>
                <w:szCs w:val="20"/>
              </w:rPr>
              <w:t xml:space="preserve">0.1304</w:t>
            </w:r>
          </w:p>
        </w:tc>
        <w:tc>
          <w:tcPr>
            <w:tcW w:w="0" w:type="auto"/>
          </w:tcPr>
          <w:p>
            <w:pPr>
              <w:spacing w:line="240" w:lineRule="auto" w:before="0" w:after="0"/>
              <w:pStyle w:val="Compact"/>
            </w:pPr>
            <w:r>
              <w:rPr>
                <w:sz w:val="20"/>
                <w:szCs w:val="20"/>
              </w:rPr>
              <w:t xml:space="preserve">[-0.072, 0.559]</w:t>
            </w:r>
          </w:p>
        </w:tc>
        <w:tc>
          <w:tcPr>
            <w:tcW w:w="0" w:type="auto"/>
          </w:tcPr>
          <w:p>
            <w:pPr>
              <w:spacing w:line="240" w:lineRule="auto" w:before="0" w:after="0"/>
              <w:pStyle w:val="Compact"/>
            </w:pPr>
            <w:r>
              <w:rPr>
                <w:sz w:val="20"/>
                <w:szCs w:val="20"/>
              </w:rPr>
              <w:t xml:space="preserve">1.2757</w:t>
            </w:r>
          </w:p>
        </w:tc>
      </w:tr>
      <w:tr>
        <w:tc>
          <w:tcPr>
            <w:tcW w:w="0" w:type="auto"/>
          </w:tcPr>
          <w:p>
            <w:pPr>
              <w:spacing w:line="240" w:lineRule="auto" w:before="0" w:after="0"/>
              <w:pStyle w:val="Compact"/>
            </w:pPr>
            <w:r>
              <w:rPr>
                <w:sz w:val="20"/>
                <w:szCs w:val="20"/>
              </w:rPr>
              <w:t xml:space="preserve">trl_at_authorization</w:t>
            </w:r>
          </w:p>
        </w:tc>
        <w:tc>
          <w:tcPr>
            <w:tcW w:w="0" w:type="auto"/>
          </w:tcPr>
          <w:p>
            <w:pPr>
              <w:spacing w:line="240" w:lineRule="auto" w:before="0" w:after="0"/>
              <w:pStyle w:val="Compact"/>
            </w:pPr>
            <w:r>
              <w:rPr>
                <w:sz w:val="20"/>
                <w:szCs w:val="20"/>
              </w:rPr>
              <w:t xml:space="preserve">0.7519</w:t>
            </w:r>
          </w:p>
        </w:tc>
        <w:tc>
          <w:tcPr>
            <w:tcW w:w="0" w:type="auto"/>
          </w:tcPr>
          <w:p>
            <w:pPr>
              <w:spacing w:line="240" w:lineRule="auto" w:before="0" w:after="0"/>
              <w:pStyle w:val="Compact"/>
            </w:pPr>
            <w:r>
              <w:rPr>
                <w:sz w:val="20"/>
                <w:szCs w:val="20"/>
              </w:rPr>
              <w:t xml:space="preserve">0.4346</w:t>
            </w:r>
          </w:p>
        </w:tc>
        <w:tc>
          <w:tcPr>
            <w:tcW w:w="0" w:type="auto"/>
          </w:tcPr>
          <w:p>
            <w:pPr>
              <w:spacing w:line="240" w:lineRule="auto" w:before="0" w:after="0"/>
              <w:pStyle w:val="Compact"/>
            </w:pPr>
            <w:r>
              <w:rPr>
                <w:sz w:val="20"/>
                <w:szCs w:val="20"/>
              </w:rPr>
              <w:t xml:space="preserve">1.7301</w:t>
            </w:r>
          </w:p>
        </w:tc>
        <w:tc>
          <w:tcPr>
            <w:tcW w:w="0" w:type="auto"/>
          </w:tcPr>
          <w:p>
            <w:pPr>
              <w:spacing w:line="240" w:lineRule="auto" w:before="0" w:after="0"/>
              <w:pStyle w:val="Compact"/>
            </w:pPr>
            <w:r>
              <w:rPr>
                <w:sz w:val="20"/>
                <w:szCs w:val="20"/>
              </w:rPr>
              <w:t xml:space="preserve">0.0836</w:t>
            </w:r>
          </w:p>
        </w:tc>
        <w:tc>
          <w:tcPr>
            <w:tcW w:w="0" w:type="auto"/>
          </w:tcPr>
          <w:p>
            <w:pPr>
              <w:spacing w:line="240" w:lineRule="auto" w:before="0" w:after="0"/>
              <w:pStyle w:val="Compact"/>
            </w:pPr>
            <w:r>
              <w:rPr>
                <w:sz w:val="20"/>
                <w:szCs w:val="20"/>
              </w:rPr>
              <w:t xml:space="preserve">[-0.0999, 1.6038]</w:t>
            </w:r>
          </w:p>
        </w:tc>
        <w:tc>
          <w:tcPr>
            <w:tcW w:w="0" w:type="auto"/>
          </w:tcPr>
          <w:p>
            <w:pPr>
              <w:spacing w:line="240" w:lineRule="auto" w:before="0" w:after="0"/>
              <w:pStyle w:val="Compact"/>
            </w:pPr>
            <w:r>
              <w:rPr>
                <w:sz w:val="20"/>
                <w:szCs w:val="20"/>
              </w:rPr>
              <w:t xml:space="preserve">2.1211</w:t>
            </w:r>
          </w:p>
        </w:tc>
      </w:tr>
    </w:tbl>
    <w:p>
      <w:pPr>
        <w:pStyle w:val="BodyText"/>
      </w:pPr>
      <w:r>
        <w:t xml:space="preserve">Fit: N = 26 events = 5</w:t>
      </w:r>
    </w:p>
    <w:bookmarkEnd w:id="84"/>
    <w:bookmarkEnd w:id="85"/>
    <w:bookmarkEnd w:id="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8" Target="media/rId78.png" /><Relationship Type="http://schemas.openxmlformats.org/officeDocument/2006/relationships/hyperlink" Id="rId72" Target="https://doi.org/10.64861/IMSI4025" TargetMode="External" /></Relationships>
</file>

<file path=word/_rels/footnotes.xml.rels><?xml version="1.0" encoding="UTF-8"?><Relationships xmlns="http://schemas.openxmlformats.org/package/2006/relationships"><Relationship Type="http://schemas.openxmlformats.org/officeDocument/2006/relationships/hyperlink" Id="rId72" Target="https://doi.org/10.64861/IMSI4025"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2026-06-25T14:26:19Z</dcterms:created>
  <dcterms:modified xsi:type="dcterms:W3CDTF">2026-06-25T14:26:19Z</dcterms:modified>
</cp:coreProperties>
</file>

<file path=docProps/custom.xml><?xml version="1.0" encoding="utf-8"?>
<Properties xmlns="http://schemas.openxmlformats.org/officeDocument/2006/custom-properties" xmlns:vt="http://schemas.openxmlformats.org/officeDocument/2006/docPropsVTypes"/>
</file>