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THE STALLED COMPLEMENT: A CLIOMETRIC ANALYSIS OF WHY U.S. COMPLEMENTARY-PNT PROGRAMS FAIL TO REACH OPERATIONAL MATURITY</w:t>
      </w:r>
    </w:p>
    <w:p>
      <w:pPr>
        <w:jc w:val="center"/>
      </w:pPr>
    </w:p>
    <w:p>
      <w:pPr>
        <w:jc w:val="center"/>
      </w:pPr>
      <w:r>
        <w:rPr>
          <w:rFonts w:ascii="Times New Roman" w:hAnsi="Times New Roman"/>
          <w:sz w:val="24"/>
        </w:rPr>
        <w:t>by</w:t>
      </w:r>
    </w:p>
    <w:p>
      <w:pPr>
        <w:jc w:val="center"/>
      </w:pPr>
      <w:r>
        <w:rPr>
          <w:rFonts w:ascii="Times New Roman" w:hAnsi="Times New Roman"/>
          <w:b/>
          <w:sz w:val="28"/>
        </w:rPr>
        <w:t>Theodore Nair</w:t>
      </w:r>
    </w:p>
    <w:p>
      <w:pPr>
        <w:jc w:val="center"/>
      </w:pPr>
      <w:r>
        <w:rPr>
          <w:rFonts w:ascii="Times New Roman" w:hAnsi="Times New Roman"/>
          <w:sz w:val="24"/>
        </w:rPr>
        <w:t>1B-ITI-058</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bookmarkStart w:id="61" w:name="the-stalled-complement"/>
    <w:p>
      <w:pPr>
        <w:pStyle w:val="Heading2"/>
        <w:spacing w:line="480" w:lineRule="auto"/>
      </w:pPr>
      <w:r>
        <w:t xml:space="preserve">1.1 The Stalled Complement</w:t>
      </w:r>
    </w:p>
    <w:p>
      <w:pPr>
        <w:pStyle w:val="FirstParagraph"/>
        <w:spacing w:line="480" w:lineRule="auto"/>
      </w:pPr>
      <w:r>
        <w:t xml:space="preserve">For more than two decades the United States has recognized that its dependence on a single satellite-delivered positioning, navigation, and timing service constitutes a national-scale vulnerability, and it has, on several distinct occasions, authorized programs to field a terrestrial complement to that service. None has reached durable operational maturity. This dissertation is an inquiry into that recurring failure. It asks why a capability whose necessity is so consistently acknowledged is so consistently left unbuilt, and it answers the question not with a narrative of any single program’s troubles but with a cliometric test that adjudicates between two rival accounts of the pattern as a whole.</w:t>
      </w:r>
    </w:p>
    <w:p>
      <w:pPr>
        <w:pStyle w:val="BodyText"/>
        <w:spacing w:line="480" w:lineRule="auto"/>
        <w:ind w:firstLine="720"/>
      </w:pPr>
      <w:r>
        <w:t xml:space="preserve">The phenomenon at issue can be stated precisely. Consider what GPS now carries. Satellite-delivered PNT, supplied to the United States and much of the world by the Global Positioning System, has become an essential component of national critical infrastructure rather than a discretionary service. In the language of the space-economy literature, PNT now sits alongside communications and Earth observation as one of the core downstream channels through which space assets enter the terrestrial economy</w:t>
      </w:r>
      <w:r>
        <w:t xml:space="preserve"> </w:t>
      </w:r>
      <w:hyperlink w:anchor="ref-1">
        <w:r>
          <w:rPr>
            <w:rStyle w:val="Hyperlink"/>
          </w:rPr>
          <w:t xml:space="preserve">[1]</w:t>
        </w:r>
      </w:hyperlink>
      <w:r>
        <w:t xml:space="preserve">. The same literature catalogs PNT as a service on which the most basic functions of a modern state depend: banking and financial settlement, the synchronization of electrical power distribution, the routing and timing of telecommunications networks, and the management of air, rail, and road transportation</w:t>
      </w:r>
      <w:r>
        <w:t xml:space="preserve"> </w:t>
      </w:r>
      <w:hyperlink w:anchor="ref-3">
        <w:r>
          <w:rPr>
            <w:rStyle w:val="Hyperlink"/>
          </w:rPr>
          <w:t xml:space="preserve">[3]</w:t>
        </w:r>
      </w:hyperlink>
      <w:r>
        <w:t xml:space="preserve">. When a single space-based source underwrites all of these simultaneously, the absence of a fielded terrestrial complement does not merely leave a redundancy gap. It converts one point of failure into a national-scale exposure. A disruption to a constellation in medium Earth orbit propagates downward into systems that have no independent means of holding position or time.</w:t>
      </w:r>
    </w:p>
    <w:p>
      <w:pPr>
        <w:pStyle w:val="BodyText"/>
        <w:spacing w:line="480" w:lineRule="auto"/>
        <w:ind w:firstLine="720"/>
      </w:pPr>
      <w:r>
        <w:t xml:space="preserve">The policy record exhibits a striking and durable asymmetry. On one side stands a long sequence of authoritative recognitions of the exposure, expressed in legislation, executive direction, interagency planning, and repeated congressional testimony. On the other stands an equally long sequence of programs that were authorized to remedy it and then stalled before fielding. The motivating puzzle of this dissertation is the gap between these two sequences: the persistent coexistence of clear recognition of need with persistent failure of execution. That gap is the explanandum. No account that treats each stalled program as an isolated misfortune can explain it. The regularity of the outcome across programs, sponsoring institutions, and candidate technologies suggests a structural cause rather than a series of accidents.</w:t>
      </w:r>
    </w:p>
    <w:bookmarkEnd w:id="61"/>
    <w:bookmarkStart w:id="62" w:name="the-stakes-for-nasa-and-jpl"/>
    <w:p>
      <w:pPr>
        <w:pStyle w:val="Heading2"/>
        <w:spacing w:line="480" w:lineRule="auto"/>
      </w:pPr>
      <w:r>
        <w:t xml:space="preserve">1.2 The Stakes for NASA and JPL</w:t>
      </w:r>
    </w:p>
    <w:p>
      <w:pPr>
        <w:pStyle w:val="FirstParagraph"/>
        <w:spacing w:line="480" w:lineRule="auto"/>
      </w:pPr>
      <w:r>
        <w:t xml:space="preserve">The stakes of this inquiry extend well beyond the specific case of complementary PNT, and they bear directly on the institutions that build and operate the nation’s most ambitious space systems. The central mechanism this dissertation isolates is not unique to navigation infrastructure. It is a general feature of how large government space programs succeed or fail under an annual appropriation cycle. The portfolio that documents it most completely is the set of major development projects executed by the National Aeronautics and Space Administration and its federally funded research and development center, the Jet Propulsion Laboratory.</w:t>
      </w:r>
    </w:p>
    <w:p>
      <w:pPr>
        <w:pStyle w:val="BodyText"/>
        <w:spacing w:line="480" w:lineRule="auto"/>
        <w:ind w:firstLine="720"/>
      </w:pPr>
      <w:r>
        <w:t xml:space="preserve">The relevance is concrete. Large space infrastructure of the kind NASA and JPL field carries the structural features of a public good: its returns are diffuse, its appropriability to any single private actor is low, and its provision therefore depends on sustained initial government investment</w:t>
      </w:r>
      <w:r>
        <w:t xml:space="preserve"> </w:t>
      </w:r>
      <w:hyperlink w:anchor="ref-2">
        <w:r>
          <w:rPr>
            <w:rStyle w:val="Hyperlink"/>
          </w:rPr>
          <w:t xml:space="preserve">[2]</w:t>
        </w:r>
      </w:hyperlink>
      <w:r>
        <w:t xml:space="preserve">. Where a capability has these characteristics, governments are the actors expected to fund the research-and-development programs that bring it into being, and the historical analogy the literature itself reaches for is the era of sustained public spending that cemented a public-sector role in a domain private capital would not have entered unaided</w:t>
      </w:r>
      <w:r>
        <w:t xml:space="preserve"> </w:t>
      </w:r>
      <w:hyperlink w:anchor="ref-4">
        <w:r>
          <w:rPr>
            <w:rStyle w:val="Hyperlink"/>
          </w:rPr>
          <w:t xml:space="preserve">[4]</w:t>
        </w:r>
      </w:hyperlink>
      <w:r>
        <w:t xml:space="preserve">. Yet recognition of the need for a capability does not guarantee the budgetary continuity to deliver it. The same body of work observes that programs of this kind operate under recognized budgetary constraints even where the underlying need is not in dispute</w:t>
      </w:r>
      <w:r>
        <w:t xml:space="preserve"> </w:t>
      </w:r>
      <w:hyperlink w:anchor="ref-11">
        <w:r>
          <w:rPr>
            <w:rStyle w:val="Hyperlink"/>
          </w:rPr>
          <w:t xml:space="preserve">[11]</w:t>
        </w:r>
      </w:hyperlink>
      <w:r>
        <w:t xml:space="preserve">, which is precisely the condition that produces the stalled complement.</w:t>
      </w:r>
    </w:p>
    <w:p>
      <w:pPr>
        <w:pStyle w:val="BodyText"/>
        <w:spacing w:line="480" w:lineRule="auto"/>
        <w:ind w:firstLine="720"/>
      </w:pPr>
      <w:r>
        <w:t xml:space="preserve">For NASA and JPL the consequence is measurable in the divergence between what programs are baselined to cost and what they ultimately cost. The companion analysis that anchors this dissertation demonstrates, on a cross-section of twenty NASA major projects drawn from a single Government Accountability Office assessment</w:t>
      </w:r>
      <w:r>
        <w:t xml:space="preserve"> </w:t>
      </w:r>
      <w:hyperlink w:anchor="ref-12">
        <w:r>
          <w:rPr>
            <w:rStyle w:val="Hyperlink"/>
          </w:rPr>
          <w:t xml:space="preserve">[12]</w:t>
        </w:r>
      </w:hyperlink>
      <w:r>
        <w:t xml:space="preserve">, that the proximate driver of cost growth in large government space programs is schedule slip rather than program scale. A program that cannot hold its calendar under a fixed annual appropriation cycle carries a standing army of engineers, facilities, and contractor overhead across additional fiscal years, and each additional year converts elapsed time into cost that was never in the baseline. The parametric scale variable that anchors design-stage cost estimation</w:t>
      </w:r>
      <w:r>
        <w:t xml:space="preserve"> </w:t>
      </w:r>
      <w:hyperlink w:anchor="ref-9">
        <w:r>
          <w:rPr>
            <w:rStyle w:val="Hyperlink"/>
          </w:rPr>
          <w:t xml:space="preserve">[9]</w:t>
        </w:r>
      </w:hyperlink>
      <w:r>
        <w:t xml:space="preserve">[10] contributes nothing once schedule slip is in the model; time, not size, governs the in-flight divergence between baseline and realized cost. This is the institution-level expression of the same financing-and-timing failure that strands complementary-PNT programs. The stall of a terrestrial PNT complement and the overrun of a flagship NASA mission are, on this reading, two manifestations of a single structural fact: that the survival of a government space program to operational maturity is governed by the continuity of its appropriation stream rather than by the maturity of its technology at the moment of authorization.</w:t>
      </w:r>
    </w:p>
    <w:p>
      <w:pPr>
        <w:pStyle w:val="BodyText"/>
        <w:spacing w:line="480" w:lineRule="auto"/>
        <w:ind w:firstLine="720"/>
      </w:pPr>
      <w:r>
        <w:t xml:space="preserve">The institutional stakes are therefore not rhetorical. If the binding constraint on complementary-PNT survival is appropriation continuity, the diagnostic generalizes to the broader portfolio that NASA and JPL steward, and the remedy is budgetary architecture rather than further technology investment. If, instead, the binding constraint is technical readiness, the remedy is research and the lesson for the broader portfolio is the opposite. The two prescriptions are not interchangeable. The cost of misdiagnosis is borne by every program that is given more readiness studies when what it needed was a durable funding line, or a durable funding line when what it needed was a more mature technology.</w:t>
      </w:r>
    </w:p>
    <w:bookmarkEnd w:id="62"/>
    <w:bookmarkStart w:id="63" w:name="the-gap-between-two-literatures"/>
    <w:p>
      <w:pPr>
        <w:pStyle w:val="Heading2"/>
        <w:spacing w:line="480" w:lineRule="auto"/>
      </w:pPr>
      <w:r>
        <w:t xml:space="preserve">1.3 The Gap Between Two Literatures</w:t>
      </w:r>
    </w:p>
    <w:p>
      <w:pPr>
        <w:pStyle w:val="FirstParagraph"/>
        <w:spacing w:line="480" w:lineRule="auto"/>
      </w:pPr>
      <w:r>
        <w:t xml:space="preserve">The contribution of this dissertation is defined by a gap between two bodies of scholarship that do not presently speak to one another. The first is the space-economy literature on the public-good character of space-delivered infrastructure. The second is the space-domain technical literature on the engineering and cost optimization of distributed and space-based service architectures. Each is internally rigorous. Neither addresses the survival of specific programs as a function of the financing structure the first literature describes and the second presupposes.</w:t>
      </w:r>
    </w:p>
    <w:p>
      <w:pPr>
        <w:pStyle w:val="BodyText"/>
        <w:spacing w:line="480" w:lineRule="auto"/>
        <w:ind w:firstLine="720"/>
      </w:pPr>
      <w:r>
        <w:t xml:space="preserve">The space-economy literature establishes, at the level of qualitative characterization, that space-delivered PNT is critical infrastructure with public-good features that call for initial government investment</w:t>
      </w:r>
      <w:r>
        <w:t xml:space="preserve"> </w:t>
      </w:r>
      <w:hyperlink w:anchor="ref-1">
        <w:r>
          <w:rPr>
            <w:rStyle w:val="Hyperlink"/>
          </w:rPr>
          <w:t xml:space="preserve">[1]</w:t>
        </w:r>
      </w:hyperlink>
      <w:r>
        <w:t xml:space="preserve">[2][3]. It states this as a general property of the sector. It does not model the survival of a particular terrestrial-complement program as a function of that financing structure, and it does not test the proposition that government must supply the initial investment against the observed record of programs that received initial authorization and then stalled. The claim is asserted as a sector property rather than estimated as a program-level hazard. This is the first edge of the gap: a strong theoretical prior about why government provision is necessary, unaccompanied by any measurement of whether the presence or absence of sustained government provision actually predicts which authorized programs reach maturity.</w:t>
      </w:r>
    </w:p>
    <w:p>
      <w:pPr>
        <w:pStyle w:val="BodyText"/>
        <w:spacing w:line="480" w:lineRule="auto"/>
        <w:ind w:firstLine="720"/>
      </w:pPr>
      <w:r>
        <w:t xml:space="preserve">The space-domain technical literature occupies the opposite edge. It treats distributed and space-based service architectures as engineering-and-cost optimization problems. Work on optimizing distributed space-based networks frames architecture selection in terms of operational cost metrics</w:t>
      </w:r>
      <w:r>
        <w:t xml:space="preserve"> </w:t>
      </w:r>
      <w:hyperlink w:anchor="ref-5">
        <w:r>
          <w:rPr>
            <w:rStyle w:val="Hyperlink"/>
          </w:rPr>
          <w:t xml:space="preserve">[5]</w:t>
        </w:r>
      </w:hyperlink>
      <w:r>
        <w:t xml:space="preserve">, and reference-model work frames it in terms of systems-engineering capability and robustness</w:t>
      </w:r>
      <w:r>
        <w:t xml:space="preserve"> </w:t>
      </w:r>
      <w:hyperlink w:anchor="ref-6">
        <w:r>
          <w:rPr>
            <w:rStyle w:val="Hyperlink"/>
          </w:rPr>
          <w:t xml:space="preserve">[6]</w:t>
        </w:r>
      </w:hyperlink>
      <w:r>
        <w:t xml:space="preserve">. This literature is exact on the question of what an optimal architecture looks like under a cost objective. It is silent on the institutional question of whether an authorized program will be funded to completion. Cost-optimality at the design stage and survival to operational maturity are different dependent variables, and the technical literature addresses only the former. The competing explanation it carries into policy debate, often implicitly, is that programs stall because their candidate technologies are not ready, so that survival should track readiness and mature technologies should field while immature ones do not.</w:t>
      </w:r>
    </w:p>
    <w:p>
      <w:pPr>
        <w:pStyle w:val="BodyText"/>
        <w:spacing w:line="480" w:lineRule="auto"/>
        <w:ind w:firstLine="720"/>
      </w:pPr>
      <w:r>
        <w:t xml:space="preserve">Between these two literatures lies a method that neither has applied to the problem: the econometric apparatus of event-history and survival analysis, developed precisely to model the time-to-event behavior of a population of units observed across a lifecycle. The characterization literature and the architecture-optimization literature each operate on a cross-section: a snapshot of the sector or a single architecture decision. The stalled complement, however, is a phenomenon that becomes visible only across the program lifecycle, from authorization through successive appropriation cycles to either fielding or termination. No existing study supplies the longitudinal, program-level dataset that a competing-risks test of the two explanations would require, and none brings the survival-analytic method to bear on the question. The gap this dissertation fills is therefore double. One face is the absence of a measured test where the domain literature offers only assertion. The other is the absence of the appropriate method where the technical literature offers only optimization. The construction of a lifecycle panel of authorized complementary-PNT programs, and the use of that panel to estimate the hazard of reaching operational maturity as a function of appropriation continuity and technical readiness, is the bridge built across that gap.</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The dissertation advances one contribution, and it is falsifiable in the strict sense. It tests whether the survival of U.S. complementary-PNT programs to operational maturity is governed by appropriation continuity or by technical readiness at authorization. The two candidate mechanisms are stated as a null and an alternative hypothesis, each formulated so that the data are capable of disconfirming the thesis the study is designed to support.</w:t>
      </w:r>
    </w:p>
    <w:p>
      <w:pPr>
        <w:pStyle w:val="BodyText"/>
        <w:spacing w:line="480" w:lineRule="auto"/>
        <w:ind w:firstLine="720"/>
      </w:pPr>
      <w:r>
        <w:t xml:space="preserve">The null hypothesis, H0, holds that conditional on technical readiness at authorization, dedicated multi-year appropriation continuity has no effect on the hazard of a complementary-PNT program reaching operational maturity. Under H0 the coefficient on appropriation continuity in the hazard model is statistically indistinguishable from zero, and technical readiness alone accounts for the observed variation in program survival. The alternative hypothesis, H1, holds that dedicated multi-year appropriation continuity raises the probability that a complementary-PNT program reaches operational maturity, conditional on technical readiness. Under H1 the coefficient on appropriation continuity is positive and statistically distinguishable from zero, and it remains so after technical readiness is entered as a competing covariate.</w:t>
      </w:r>
    </w:p>
    <w:p>
      <w:pPr>
        <w:pStyle w:val="BodyText"/>
        <w:spacing w:line="480" w:lineRule="auto"/>
        <w:ind w:firstLine="720"/>
      </w:pPr>
      <w:r>
        <w:t xml:space="preserve">The estimand is the effect of appropriation continuity on the discrete-time hazard of reaching operational maturity, net of readiness. The unit of analysis is the program-year: each authorized U.S. complementary-PNT program observed in each fiscal year from its authorization until it either reaches operational maturity or is terminated. The treatment variable, appropriation continuity, is operationalized as the count of consecutive prior fiscal years in which the program received dedicated appropriation, a construction that lags the treatment relative to the maturity event and thereby disciplines the reverse-causation concern that programs are funded because they are already succeeding. The competing covariate, technical readiness, is operationalized through the Technology Readiness Level assigned to the program’s core technology at its authorization or demonstration milestone, fixed before the appropriation history accumulates so that conditioning on it does not absorb post-authorization progress. The readiness values are drawn from the publicly released Department of Transportation Volpe Center Complementary PNT and GPS Backup Technologies Demonstration record</w:t>
      </w:r>
      <w:r>
        <w:t xml:space="preserve"> </w:t>
      </w:r>
      <w:hyperlink w:anchor="ref-7">
        <w:r>
          <w:rPr>
            <w:rStyle w:val="Hyperlink"/>
          </w:rPr>
          <w:t xml:space="preserve">[7]</w:t>
        </w:r>
      </w:hyperlink>
      <w:r>
        <w:t xml:space="preserve">, and the program survival intervals from the Government Accountability Office body of reports and testimonies on GPS backup and complementary PNT</w:t>
      </w:r>
      <w:r>
        <w:t xml:space="preserve"> </w:t>
      </w:r>
      <w:hyperlink w:anchor="ref-8">
        <w:r>
          <w:rPr>
            <w:rStyle w:val="Hyperlink"/>
          </w:rPr>
          <w:t xml:space="preserve">[8]</w:t>
        </w:r>
      </w:hyperlink>
      <w:r>
        <w:t xml:space="preserve">.</w:t>
      </w:r>
    </w:p>
    <w:p>
      <w:pPr>
        <w:pStyle w:val="BodyText"/>
        <w:spacing w:line="480" w:lineRule="auto"/>
        <w:ind w:firstLine="720"/>
      </w:pPr>
      <w:r>
        <w:t xml:space="preserve">The contribution is falsifiable because the test can fail. If the appropriation-continuity coefficient is null while the readiness coefficient is positive and significant, the institutional-financing explanation is rejected in favor of the technological-maturity explanation, and the dissertation’s central claim is disconfirmed by its own evidence. The study is therefore not constructed to vindicate a foregone conclusion. It is constructed so that the same estimator capable of supporting the financing thesis is capable of overturning it, which is the condition a genuinely falsifiable contribution must satisfy.</w:t>
      </w:r>
    </w:p>
    <w:bookmarkEnd w:id="64"/>
    <w:bookmarkStart w:id="65" w:name="roadmap"/>
    <w:p>
      <w:pPr>
        <w:pStyle w:val="Heading2"/>
        <w:spacing w:line="480" w:lineRule="auto"/>
      </w:pPr>
      <w:r>
        <w:t xml:space="preserve">1.5 Roadmap</w:t>
      </w:r>
    </w:p>
    <w:p>
      <w:pPr>
        <w:pStyle w:val="FirstParagraph"/>
        <w:spacing w:line="480" w:lineRule="auto"/>
      </w:pPr>
      <w:r>
        <w:t xml:space="preserve">The remainder of the dissertation proceeds in the order the argument requires. The present chapter has stated the problem, established its stakes for NASA and JPL, located the gap between the domain literature and the econometric method literature, and stated the single falsifiable contribution. The chapters that follow build the case for that contribution and then submit it to test.</w:t>
      </w:r>
    </w:p>
    <w:p>
      <w:pPr>
        <w:pStyle w:val="BodyText"/>
        <w:spacing w:line="480" w:lineRule="auto"/>
        <w:ind w:firstLine="720"/>
      </w:pPr>
      <w:r>
        <w:t xml:space="preserve">The next chapter develops the theory in full. It draws out the public-good logic of the space-economy literature into an explicit survival prediction, namely that programs sustained by continuous dedicated appropriation should advance toward maturity while programs whose appropriation lapses should stall, independent of readiness at authorization. It sets that prediction against the technological-maturity account carried by the architecture-optimization literature, and it derives H0 and H1 as the formal consequences of the two accounts. The chapter that follows turns to the mechanism that gives the survival analysis its causal content. Before applying the financing thesis to the sparse record of complementary-PNT efforts, it isolates and tests, on the well-documented NASA major-project portfolio, the proposition that large government space programs fail by losing schedule first and absorbing cost afterward, converting time into expenditure under a fixed appropriation cycle</w:t>
      </w:r>
      <w:r>
        <w:t xml:space="preserve"> </w:t>
      </w:r>
      <w:hyperlink w:anchor="ref-12">
        <w:r>
          <w:rPr>
            <w:rStyle w:val="Hyperlink"/>
          </w:rPr>
          <w:t xml:space="preserve">[12]</w:t>
        </w:r>
      </w:hyperlink>
      <w:r>
        <w:t xml:space="preserve">. Establishing that coupling on the richer portfolio names the channel through which an interrupted appropriation stream becomes a stalled program.</w:t>
      </w:r>
    </w:p>
    <w:p>
      <w:pPr>
        <w:pStyle w:val="BodyText"/>
        <w:spacing w:line="480" w:lineRule="auto"/>
        <w:ind w:firstLine="720"/>
      </w:pPr>
      <w:r>
        <w:t xml:space="preserve">The empirical core of the dissertation then constructs the lifecycle panel and estimates the survival model. It documents the provenance of every program-year observation, tying each to its public document of record so that each row is independently auditable: the Government Accountability Office reports for the survival interval</w:t>
      </w:r>
      <w:r>
        <w:t xml:space="preserve"> </w:t>
      </w:r>
      <w:hyperlink w:anchor="ref-8">
        <w:r>
          <w:rPr>
            <w:rStyle w:val="Hyperlink"/>
          </w:rPr>
          <w:t xml:space="preserve">[8]</w:t>
        </w:r>
      </w:hyperlink>
      <w:r>
        <w:t xml:space="preserve">, the federal budget record for the appropriation series, and the Volpe assessment for the readiness value</w:t>
      </w:r>
      <w:r>
        <w:t xml:space="preserve"> </w:t>
      </w:r>
      <w:hyperlink w:anchor="ref-7">
        <w:r>
          <w:rPr>
            <w:rStyle w:val="Hyperlink"/>
          </w:rPr>
          <w:t xml:space="preserve">[7]</w:t>
        </w:r>
      </w:hyperlink>
      <w:r>
        <w:t xml:space="preserve">. It specifies the discrete-time event-history model with a complementary log-log link, the discrete-time analogue of the continuous-time proportional-hazards specification, chosen because it accommodates the annual appropriation cycle that is the natural time grid for the treatment variable. It estimates the model, reports the appropriation-continuity and readiness coefficients with confidence intervals appropriate to a small-N panel, and confronts the four material threats to validity: reverse causation between appropriation and survival, small-N statistical power, the construct validity of the maturity event, and omitted institutional confounding. The concluding chapters interpret the estimates, draw out the policy reading for budgetary architecture versus research investment, and state candidly the boundary between the association the design can certify and the structural-causal parameter it cannot. Throughout, the standard of provenance discipline is the one the contribution demands: every empirical claim is traceable to a public document of record, and every inference is reported with the precision the data can and cannot supply.</w:t>
      </w:r>
    </w:p>
    <w:bookmarkEnd w:id="65"/>
    <w:bookmarkEnd w:id="66"/>
    <w:bookmarkStart w:id="80" w:name="chapter-2.-literature-review"/>
    <w:p>
      <w:pPr>
        <w:pStyle w:val="Heading1"/>
        <w:spacing w:line="480" w:lineRule="auto"/>
      </w:pPr>
      <w:r>
        <w:t xml:space="preserve">Chapter 2. Literature Review</w:t>
      </w:r>
    </w:p>
    <w:bookmarkStart w:id="67" w:name="introduction-and-organizing-logic"/>
    <w:p>
      <w:pPr>
        <w:pStyle w:val="Heading2"/>
        <w:spacing w:line="480" w:lineRule="auto"/>
      </w:pPr>
      <w:r>
        <w:t xml:space="preserve">2.1 Introduction and Organizing Logic</w:t>
      </w:r>
    </w:p>
    <w:p>
      <w:pPr>
        <w:pStyle w:val="FirstParagraph"/>
        <w:spacing w:line="480" w:lineRule="auto"/>
      </w:pPr>
      <w:r>
        <w:t xml:space="preserve">The puzzle this dissertation addresses sits in the seam between two scholarly literatures that have developed in parallel and have rarely been brought into contact. The first is the space-domain technical and economic literature, which characterizes positioning, navigation, and timing (PNT) as critical infrastructure, models the cost and architecture of space systems, and demonstrates and ranks candidate complementary-PNT technologies against engineering criteria. The second is the cliometric and econometric methodology literature, which supplies the survival-analysis, event-history, and regression tools through which the lifecycle of programs can be tested rather than merely described. The central observation of this chapter is that these two literatures have not been joined. The technical literature knows what a complementary-PNT capability is and what an optimal architecture would look like. It does not model whether an authorized program will survive to operational maturity. The methodological literature knows how to model survival, hazard, and cost growth, but it has not been applied to the complementary-PNT case. The contribution of this dissertation lies precisely in welding the second literature’s machinery onto the first literature’s substance.</w:t>
      </w:r>
    </w:p>
    <w:p>
      <w:pPr>
        <w:pStyle w:val="BodyText"/>
        <w:spacing w:line="480" w:lineRule="auto"/>
        <w:ind w:firstLine="720"/>
      </w:pPr>
      <w:r>
        <w:t xml:space="preserve">This chapter proceeds in five movements. Section 2.2 reviews the space-economy literature that frames PNT as a public good requiring sustained government investment, which supplies the institutional-financing premise of the dissertation. Section 2.3 reviews the space-domain technical literature on architecture optimization, reference models, and demonstrated complementary-PNT technologies, which supplies both the substantive object of study and the competing technological-maturity hypothesis. Section 2.4 reviews the cliometric and econometric methodology literature: parametric cost estimation, survival and event-history analysis, and the cross-sectional regression of cost growth on schedule. Section 2.5 synthesizes the two bodies of work and identifies the three gaps that the dissertation fills. Section 2.6 states the theoretical and analytic position the dissertation takes in consequence. Throughout, the review is conducted in the register of a doctoral literature survey, distinguishing what each body of work establishes, what it asserts without testing, and where its silence creates the opening this study occupies.</w:t>
      </w:r>
    </w:p>
    <w:bookmarkEnd w:id="67"/>
    <w:bookmarkStart w:id="68" w:name="Xbb547a816a041ffd932b1db1ce4334fb47a762e"/>
    <w:p>
      <w:pPr>
        <w:pStyle w:val="Heading2"/>
        <w:spacing w:line="480" w:lineRule="auto"/>
      </w:pPr>
      <w:r>
        <w:t xml:space="preserve">2.2 The Space-Economy Literature: PNT as a Public Good Requiring Government Investment</w:t>
      </w:r>
    </w:p>
    <w:p>
      <w:pPr>
        <w:pStyle w:val="FirstParagraph"/>
        <w:spacing w:line="480" w:lineRule="auto"/>
      </w:pPr>
      <w:r>
        <w:t xml:space="preserve">The first body of literature relevant to this study is the space-economy and space-policy literature that establishes the character of satellite-delivered PNT as critical infrastructure. The foundational claim of this literature is that space-delivered services have become embedded in the terrestrial economy as essential rather than discretionary capabilities. Forecasting work on the space economy catalogs PNT alongside satellite communications and Earth observation as one of the core downstream channels through which space assets enter and underwrite terrestrial economic activity</w:t>
      </w:r>
      <w:r>
        <w:t xml:space="preserve"> </w:t>
      </w:r>
      <w:hyperlink w:anchor="ref-1">
        <w:r>
          <w:rPr>
            <w:rStyle w:val="Hyperlink"/>
          </w:rPr>
          <w:t xml:space="preserve">[1]</w:t>
        </w:r>
      </w:hyperlink>
      <w:r>
        <w:t xml:space="preserve">. This catalog matters analytically because it locates PNT not as a stand-alone defense or scientific capability but as a piece of national infrastructure on which banking, power distribution, telecommunications, and transportation depend. The embedding of PNT into critical infrastructure is what converts the absence of a terrestrial complement from a narrow technical shortfall into a national-scale exposure, and it is the analytic starting point from which the dissertation’s policy problem is constructed.</w:t>
      </w:r>
    </w:p>
    <w:p>
      <w:pPr>
        <w:pStyle w:val="BodyText"/>
        <w:spacing w:line="480" w:lineRule="auto"/>
        <w:ind w:firstLine="720"/>
      </w:pPr>
      <w:r>
        <w:t xml:space="preserve">Beyond characterizing PNT as infrastructure, this literature advances a structural argument about how such infrastructure is financed. The recurring claim is that shared space infrastructure carries the features of a public good: its returns are diffuse across many beneficiaries, and its appropriability to any single private actor is correspondingly low</w:t>
      </w:r>
      <w:r>
        <w:t xml:space="preserve"> </w:t>
      </w:r>
      <w:hyperlink w:anchor="ref-2">
        <w:r>
          <w:rPr>
            <w:rStyle w:val="Hyperlink"/>
          </w:rPr>
          <w:t xml:space="preserve">[2]</w:t>
        </w:r>
      </w:hyperlink>
      <w:r>
        <w:t xml:space="preserve">. Where returns cannot be captured by the firm that bears the cost, private capital will under-invest, and the literature consistently identifies government as the actor expected to supply the initial research-and-development investment that brings such a capability into being</w:t>
      </w:r>
      <w:r>
        <w:t xml:space="preserve"> </w:t>
      </w:r>
      <w:hyperlink w:anchor="ref-2">
        <w:r>
          <w:rPr>
            <w:rStyle w:val="Hyperlink"/>
          </w:rPr>
          <w:t xml:space="preserve">[2]</w:t>
        </w:r>
      </w:hyperlink>
      <w:r>
        <w:t xml:space="preserve">[3]. This is no marginal observation. It is the central justification offered for public funding of foundational space capabilities. Work on the role of space in driving sustainability, security, and development reinforces the point by treating government investment as the precondition for capabilities whose social returns exceed their private appropriability</w:t>
      </w:r>
      <w:r>
        <w:t xml:space="preserve"> </w:t>
      </w:r>
      <w:hyperlink w:anchor="ref-3">
        <w:r>
          <w:rPr>
            <w:rStyle w:val="Hyperlink"/>
          </w:rPr>
          <w:t xml:space="preserve">[3]</w:t>
        </w:r>
      </w:hyperlink>
      <w:r>
        <w:t xml:space="preserve">. The dissertation inherits this public-good framing directly: if a terrestrial complement to GPS is a public good in exactly this sense, then its provision depends on sustained government appropriation rather than on private market entry, and the failure mode to watch for is the lapse of that appropriation.</w:t>
      </w:r>
    </w:p>
    <w:p>
      <w:pPr>
        <w:pStyle w:val="BodyText"/>
        <w:spacing w:line="480" w:lineRule="auto"/>
        <w:ind w:firstLine="720"/>
      </w:pPr>
      <w:r>
        <w:t xml:space="preserve">The historical anchor the literature reaches for is instructive. The canonical analogy is the Apollo era, in which sustained public expenditure cemented a public-sector role in a domain that private capital would not have entered unaided</w:t>
      </w:r>
      <w:r>
        <w:t xml:space="preserve"> </w:t>
      </w:r>
      <w:hyperlink w:anchor="ref-4">
        <w:r>
          <w:rPr>
            <w:rStyle w:val="Hyperlink"/>
          </w:rPr>
          <w:t xml:space="preserve">[4]</w:t>
        </w:r>
      </w:hyperlink>
      <w:r>
        <w:t xml:space="preserve">. Weinzierl’s treatment of space as an economic frontier frames the historical role of government as the financier of capabilities whose commercial case had not yet matured, and it draws the lesson that the durability of such capabilities depends on the continuity of the public commitment behind them</w:t>
      </w:r>
      <w:r>
        <w:t xml:space="preserve"> </w:t>
      </w:r>
      <w:hyperlink w:anchor="ref-4">
        <w:r>
          <w:rPr>
            <w:rStyle w:val="Hyperlink"/>
          </w:rPr>
          <w:t xml:space="preserve">[4]</w:t>
        </w:r>
      </w:hyperlink>
      <w:r>
        <w:t xml:space="preserve">. This historical framing is doubly useful to the dissertation. It supplies a precedent in which government financing, not private demand, was the determinant of whether a capability was realized, and it implies a survival prediction: capabilities sustained by continuous public commitment advance, and capabilities whose commitment lapses stall, independent of their underlying technical merit.</w:t>
      </w:r>
    </w:p>
    <w:p>
      <w:pPr>
        <w:pStyle w:val="BodyText"/>
        <w:spacing w:line="480" w:lineRule="auto"/>
        <w:ind w:firstLine="720"/>
      </w:pPr>
      <w:r>
        <w:t xml:space="preserve">The space-economy literature also acknowledges, in a register the dissertation takes seriously, that recognized need does not guarantee resourced execution. Work on the socio-technological transformation of space-use norms observes that programs of this kind operate under recognized budgetary constraints even where the need for the capability itself is not in dispute</w:t>
      </w:r>
      <w:r>
        <w:t xml:space="preserve"> </w:t>
      </w:r>
      <w:hyperlink w:anchor="ref-11">
        <w:r>
          <w:rPr>
            <w:rStyle w:val="Hyperlink"/>
          </w:rPr>
          <w:t xml:space="preserve">[11]</w:t>
        </w:r>
      </w:hyperlink>
      <w:r>
        <w:t xml:space="preserve">. This is a crucial qualification, because it severs the link that an outside observer might assume between recognition and execution. The literature is explicit that a capability can be widely acknowledged as necessary and still go unfunded, which is exactly the pattern the complementary-PNT record displays. The budgetary-constraint observation in</w:t>
      </w:r>
      <w:r>
        <w:t xml:space="preserve"> </w:t>
      </w:r>
      <w:hyperlink w:anchor="ref-11">
        <w:r>
          <w:rPr>
            <w:rStyle w:val="Hyperlink"/>
          </w:rPr>
          <w:t xml:space="preserve">[11]</w:t>
        </w:r>
      </w:hyperlink>
      <w:r>
        <w:t xml:space="preserve"> </w:t>
      </w:r>
      <w:r>
        <w:t xml:space="preserve">supplies the theoretical reason to expect a gap between consistent recognition of the need for a GPS complement and consistent failure to field one.</w:t>
      </w:r>
    </w:p>
    <w:p>
      <w:pPr>
        <w:pStyle w:val="BodyText"/>
        <w:spacing w:line="480" w:lineRule="auto"/>
        <w:ind w:firstLine="720"/>
      </w:pPr>
      <w:r>
        <w:t xml:space="preserve">The limitation of this literature, for the dissertation’s purposes, is one of analytic level rather than of correctness. The public-good claim, the government-investment claim, and the budgetary-constraint observation are all advanced as general properties of the sector</w:t>
      </w:r>
      <w:r>
        <w:t xml:space="preserve"> </w:t>
      </w:r>
      <w:hyperlink w:anchor="ref-1">
        <w:r>
          <w:rPr>
            <w:rStyle w:val="Hyperlink"/>
          </w:rPr>
          <w:t xml:space="preserve">[1]</w:t>
        </w:r>
      </w:hyperlink>
      <w:r>
        <w:t xml:space="preserve">[2][3][11]. These are characterizations, not tested propositions. The literature does not model the survival of any specific terrestrial-complement program as a function of the financing structure it describes. It asserts that government must supply the initial investment, but it does not examine the observed record of programs that received initial authorization and then stalled, and it does not measure whether appropriation continuity in fact predicts survival to operational maturity. The claim that financing structure governs the fate of such programs is therefore stated rather than established. This is the first opening the dissertation occupies: it takes the financing-structure premise the space-economy literature supplies and submits it to a falsifiable test against the program record.</w:t>
      </w:r>
    </w:p>
    <w:bookmarkEnd w:id="68"/>
    <w:bookmarkStart w:id="73" w:name="X11f9d1e7b3a10b15d7edb1b9e349e4f71783c66"/>
    <w:p>
      <w:pPr>
        <w:pStyle w:val="Heading2"/>
        <w:spacing w:line="480" w:lineRule="auto"/>
      </w:pPr>
      <w:r>
        <w:t xml:space="preserve">2.3 The Space-Domain Technical Literature: Architecture, Reference Models, and Demonstrated Complementary-PNT Technologies</w:t>
      </w:r>
    </w:p>
    <w:p>
      <w:pPr>
        <w:pStyle w:val="FirstParagraph"/>
        <w:spacing w:line="480" w:lineRule="auto"/>
      </w:pPr>
      <w:r>
        <w:t xml:space="preserve">The second body of literature is the space-domain technical literature, which approaches distributed and space-based service architectures as engineering-and-cost optimization problems. This literature is the source both of the substantive object of the dissertation, the complementary-PNT capability, and of the competing technological-maturity hypothesis against which the institutional-financing thesis is tested.</w:t>
      </w:r>
    </w:p>
    <w:bookmarkStart w:id="69" w:name="Xdb57cfaa792c5c5fa7a6efbbfd9aaecc7e3e59e"/>
    <w:p>
      <w:pPr>
        <w:pStyle w:val="Heading3"/>
        <w:spacing w:line="480" w:lineRule="auto"/>
      </w:pPr>
      <w:r>
        <w:t xml:space="preserve">2.3.1 Architecture Optimization Under Cost Objectives</w:t>
      </w:r>
    </w:p>
    <w:p>
      <w:pPr>
        <w:pStyle w:val="FirstParagraph"/>
        <w:spacing w:line="480" w:lineRule="auto"/>
      </w:pPr>
      <w:r>
        <w:t xml:space="preserve">A representative strand of the technical literature frames the selection of a space-system architecture as a constrained optimization under operational cost metrics. Work on optimizing distributed space-based networks for cislunar space domain awareness treats architecture selection as the minimization of an operational cost objective subject to performance constraints, and it produces rankings of candidate architectures against that objective</w:t>
      </w:r>
      <w:r>
        <w:t xml:space="preserve"> </w:t>
      </w:r>
      <w:hyperlink w:anchor="ref-5">
        <w:r>
          <w:rPr>
            <w:rStyle w:val="Hyperlink"/>
          </w:rPr>
          <w:t xml:space="preserve">[5]</w:t>
        </w:r>
      </w:hyperlink>
      <w:r>
        <w:t xml:space="preserve">. The intellectual contribution of this work is rigorous: it specifies what an optimal architecture looks like once the cost function and the performance requirement are fixed. The same optimization-under-cost framing recurs across the distributed-systems literature, including work on the time-optimal trajectory design of distributed space systems for in-space transportation, which optimizes a deployment objective subject to physical constraints</w:t>
      </w:r>
      <w:r>
        <w:t xml:space="preserve"> </w:t>
      </w:r>
      <w:hyperlink w:anchor="ref-27">
        <w:r>
          <w:rPr>
            <w:rStyle w:val="Hyperlink"/>
          </w:rPr>
          <w:t xml:space="preserve">[27]</w:t>
        </w:r>
      </w:hyperlink>
      <w:r>
        <w:t xml:space="preserve">. These studies share one dependent variable. It is the quality of a design decision evaluated at the design stage.</w:t>
      </w:r>
    </w:p>
    <w:p>
      <w:pPr>
        <w:pStyle w:val="BodyText"/>
        <w:spacing w:line="480" w:lineRule="auto"/>
        <w:ind w:firstLine="720"/>
      </w:pPr>
      <w:r>
        <w:t xml:space="preserve">The significance of this strand for the dissertation is what it does not address. Cost-optimality at the design stage and survival to operational maturity are different dependent variables. The optimization literature can tell a program office which architecture minimizes operational cost. It is silent on whether the authorized program embodying that architecture will be funded through to completion. A program may select a cost-optimal architecture and still stall, and a program may select a sub-optimal architecture and still field, because the determinant of fielding lies in the appropriation stream rather than in the design objective. The optimization literature, in other words, models the wrong dependent variable for the dissertation’s question, and its silence on survival is precisely the gap the dissertation’s event-history design fills.</w:t>
      </w:r>
    </w:p>
    <w:bookmarkEnd w:id="69"/>
    <w:bookmarkStart w:id="70" w:name="X3ba09e8bf9e5d053740f956aa4517edab938460"/>
    <w:p>
      <w:pPr>
        <w:pStyle w:val="Heading3"/>
        <w:spacing w:line="480" w:lineRule="auto"/>
      </w:pPr>
      <w:r>
        <w:t xml:space="preserve">2.3.2 Reference Models and Systems-Engineering Capability</w:t>
      </w:r>
    </w:p>
    <w:p>
      <w:pPr>
        <w:pStyle w:val="FirstParagraph"/>
        <w:spacing w:line="480" w:lineRule="auto"/>
      </w:pPr>
      <w:r>
        <w:t xml:space="preserve">A second strand of the technical literature frames architecture in terms of systems-engineering capability and robustness rather than pure cost. Reference-model work on leveraging the emerging CubeSat reference model for space situational awareness frames architecture selection in terms of standardized systems-engineering capability and the robustness that a common reference model confers</w:t>
      </w:r>
      <w:r>
        <w:t xml:space="preserve"> </w:t>
      </w:r>
      <w:hyperlink w:anchor="ref-6">
        <w:r>
          <w:rPr>
            <w:rStyle w:val="Hyperlink"/>
          </w:rPr>
          <w:t xml:space="preserve">[6]</w:t>
        </w:r>
      </w:hyperlink>
      <w:r>
        <w:t xml:space="preserve">. This work is valuable because it treats the maturity of an engineering approach as a structured, assessable property rather than an informal judgment. The reference-model framing attempts to make engineering readiness legible and comparable across systems.</w:t>
      </w:r>
    </w:p>
    <w:p>
      <w:pPr>
        <w:pStyle w:val="BodyText"/>
        <w:spacing w:line="480" w:lineRule="auto"/>
        <w:ind w:firstLine="720"/>
      </w:pPr>
      <w:r>
        <w:t xml:space="preserve">This legibility is exactly what the technological-maturity account of program failure exploits when it is carried into policy debate. If engineering readiness can be assessed and compared, then the natural policy inference is that programs fail when their readiness is low and succeed when it is high. The reference-model literature</w:t>
      </w:r>
      <w:r>
        <w:t xml:space="preserve"> </w:t>
      </w:r>
      <w:hyperlink w:anchor="ref-6">
        <w:r>
          <w:rPr>
            <w:rStyle w:val="Hyperlink"/>
          </w:rPr>
          <w:t xml:space="preserve">[6]</w:t>
        </w:r>
      </w:hyperlink>
      <w:r>
        <w:t xml:space="preserve">, together with the optimization literature</w:t>
      </w:r>
      <w:r>
        <w:t xml:space="preserve"> </w:t>
      </w:r>
      <w:hyperlink w:anchor="ref-5">
        <w:r>
          <w:rPr>
            <w:rStyle w:val="Hyperlink"/>
          </w:rPr>
          <w:t xml:space="preserve">[5]</w:t>
        </w:r>
      </w:hyperlink>
      <w:r>
        <w:t xml:space="preserve">, thus supplies the analytic foundation for the competing hypothesis the dissertation must confront: that survival tracks readiness, so that mature technologies field and immature ones do not. The dissertation does not dismiss this account; it elevates it to a formal competing covariate and tests whether it, rather than appropriation continuity, governs the observed survival pattern.</w:t>
      </w:r>
    </w:p>
    <w:bookmarkEnd w:id="70"/>
    <w:bookmarkStart w:id="71" w:name="X83a143571b5adde261fa8db4258d5acd4a0bb2c"/>
    <w:p>
      <w:pPr>
        <w:pStyle w:val="Heading3"/>
        <w:spacing w:line="480" w:lineRule="auto"/>
      </w:pPr>
      <w:r>
        <w:t xml:space="preserve">2.3.3 The Demonstrated Complementary-PNT Technology Base</w:t>
      </w:r>
    </w:p>
    <w:p>
      <w:pPr>
        <w:pStyle w:val="FirstParagraph"/>
        <w:spacing w:line="480" w:lineRule="auto"/>
      </w:pPr>
      <w:r>
        <w:t xml:space="preserve">A third strand, and the one closest to the dissertation’s empirical spine, is the demonstration and assessment literature on complementary-PNT technologies themselves. The authoritative document of record is the Department of Transportation and Volpe National Transportation Systems Center Complementary PNT and GPS Backup Technologies Demonstration Report to Congress, mandated by Section 1606 of the FY2018 National Defense Authorization Act</w:t>
      </w:r>
      <w:r>
        <w:t xml:space="preserve"> </w:t>
      </w:r>
      <w:hyperlink w:anchor="ref-7">
        <w:r>
          <w:rPr>
            <w:rStyle w:val="Hyperlink"/>
          </w:rPr>
          <w:t xml:space="preserve">[7]</w:t>
        </w:r>
      </w:hyperlink>
      <w:r>
        <w:t xml:space="preserve">. Through a competitive acquisition the Volpe Center selected eleven candidate technologies and demonstrated them in March 2020 across a span of operational use cases, including low-Earth-orbit satellite PNT in L-band and S-band, fiber-optic White Rabbit time transfer, terrestrial low-frequency eLoran, medium-frequency R-Mode, ultra-high-frequency metropolitan beacons, WiFi positioning, and inertial dead reckoning with ultra-wideband</w:t>
      </w:r>
      <w:r>
        <w:t xml:space="preserve"> </w:t>
      </w:r>
      <w:hyperlink w:anchor="ref-7">
        <w:r>
          <w:rPr>
            <w:rStyle w:val="Hyperlink"/>
          </w:rPr>
          <w:t xml:space="preserve">[7]</w:t>
        </w:r>
      </w:hyperlink>
      <w:r>
        <w:t xml:space="preserve">. The report records which technologies performed across use cases and which were judged commercially available, market-ready, or in need of further infrastructure investment, and in doing so it supplies the readiness and maturity values for the demonstrated cohort that the dissertation’s survival panel uses</w:t>
      </w:r>
      <w:r>
        <w:t xml:space="preserve"> </w:t>
      </w:r>
      <w:hyperlink w:anchor="ref-7">
        <w:r>
          <w:rPr>
            <w:rStyle w:val="Hyperlink"/>
          </w:rPr>
          <w:t xml:space="preserve">[7]</w:t>
        </w:r>
      </w:hyperlink>
      <w:r>
        <w:t xml:space="preserve">.</w:t>
      </w:r>
    </w:p>
    <w:p>
      <w:pPr>
        <w:pStyle w:val="BodyText"/>
        <w:spacing w:line="480" w:lineRule="auto"/>
        <w:ind w:firstLine="720"/>
      </w:pPr>
      <w:r>
        <w:t xml:space="preserve">The Volpe demonstration record is decisive for the dissertation’s framing because it documents that the candidate-technology base was assessed and, in substantial part, judged available or market-ready</w:t>
      </w:r>
      <w:r>
        <w:t xml:space="preserve"> </w:t>
      </w:r>
      <w:hyperlink w:anchor="ref-7">
        <w:r>
          <w:rPr>
            <w:rStyle w:val="Hyperlink"/>
          </w:rPr>
          <w:t xml:space="preserve">[7]</w:t>
        </w:r>
      </w:hyperlink>
      <w:r>
        <w:t xml:space="preserve">. This finding is in tension with the technological-maturity explanation for program failure. If the technologies were demonstrated and several were judged commercially available, then the recurrent stall of complementary-PNT programs cannot be attributed straightforwardly to a technology that did not exist or did not work. The demonstration record thus motivates the dissertation’s central suspicion: that the binding constraint lies downstream of technical readiness, in the financing and ownership structure that determines whether a demonstrated capability is carried to fielded service.</w:t>
      </w:r>
    </w:p>
    <w:p>
      <w:pPr>
        <w:pStyle w:val="BodyText"/>
        <w:spacing w:line="480" w:lineRule="auto"/>
        <w:ind w:firstLine="720"/>
      </w:pPr>
      <w:r>
        <w:t xml:space="preserve">Complementary to the demonstration record is the architecture-concept literature for specific alternative-PNT approaches. Work proposing an architecture for a visual-based PNT alternative develops a candidate technical path to navigation independent of satellite signals and assesses its feasibility against engineering criteria</w:t>
      </w:r>
      <w:r>
        <w:t xml:space="preserve"> </w:t>
      </w:r>
      <w:hyperlink w:anchor="ref-26">
        <w:r>
          <w:rPr>
            <w:rStyle w:val="Hyperlink"/>
          </w:rPr>
          <w:t xml:space="preserve">[26]</w:t>
        </w:r>
      </w:hyperlink>
      <w:r>
        <w:t xml:space="preserve">. This work is representative of a broader pattern in which the technical literature is productive at generating and evaluating candidate complement architectures but does not address the institutional question of whether any such architecture will be resourced to maturity. The visual-based PNT proposal</w:t>
      </w:r>
      <w:r>
        <w:t xml:space="preserve"> </w:t>
      </w:r>
      <w:hyperlink w:anchor="ref-26">
        <w:r>
          <w:rPr>
            <w:rStyle w:val="Hyperlink"/>
          </w:rPr>
          <w:t xml:space="preserve">[26]</w:t>
        </w:r>
      </w:hyperlink>
      <w:r>
        <w:t xml:space="preserve">, like the cislunar-architecture optimization</w:t>
      </w:r>
      <w:r>
        <w:t xml:space="preserve"> </w:t>
      </w:r>
      <w:hyperlink w:anchor="ref-5">
        <w:r>
          <w:rPr>
            <w:rStyle w:val="Hyperlink"/>
          </w:rPr>
          <w:t xml:space="preserve">[5]</w:t>
        </w:r>
      </w:hyperlink>
      <w:r>
        <w:t xml:space="preserve"> </w:t>
      </w:r>
      <w:r>
        <w:t xml:space="preserve">and the reference-model work</w:t>
      </w:r>
      <w:r>
        <w:t xml:space="preserve"> </w:t>
      </w:r>
      <w:hyperlink w:anchor="ref-6">
        <w:r>
          <w:rPr>
            <w:rStyle w:val="Hyperlink"/>
          </w:rPr>
          <w:t xml:space="preserve">[6]</w:t>
        </w:r>
      </w:hyperlink>
      <w:r>
        <w:t xml:space="preserve">, terminates at the boundary of engineering feasibility and does not cross into the program-lifecycle question.</w:t>
      </w:r>
    </w:p>
    <w:bookmarkEnd w:id="71"/>
    <w:bookmarkStart w:id="72" w:name="X57ae8193c82e963226793cb5e8c556e2807873d"/>
    <w:p>
      <w:pPr>
        <w:pStyle w:val="Heading3"/>
        <w:spacing w:line="480" w:lineRule="auto"/>
      </w:pPr>
      <w:r>
        <w:t xml:space="preserve">2.3.4 The Wider Engineering Literature and Its Cross-Sectional Character</w:t>
      </w:r>
    </w:p>
    <w:p>
      <w:pPr>
        <w:pStyle w:val="FirstParagraph"/>
        <w:spacing w:line="480" w:lineRule="auto"/>
      </w:pPr>
      <w:r>
        <w:t xml:space="preserve">The dissertation’s reference pool also draws on a wider space-engineering and space-surveillance literature that, while not directly concerned with PNT, illustrates the cross-sectional and design-stage character that pervades the technical literature as a whole. Work on space-object characterization, sensor systems, and observation networks consistently operates on a snapshot of a system or a single design decision rather than on a program lifecycle. Studies of precision optical interferometry for space situational awareness</w:t>
      </w:r>
      <w:r>
        <w:t xml:space="preserve"> </w:t>
      </w:r>
      <w:hyperlink w:anchor="ref-13">
        <w:r>
          <w:rPr>
            <w:rStyle w:val="Hyperlink"/>
          </w:rPr>
          <w:t xml:space="preserve">[13]</w:t>
        </w:r>
      </w:hyperlink>
      <w:r>
        <w:t xml:space="preserve">, on-orbit reference networks for ephemeris-quality testing in low Earth orbit</w:t>
      </w:r>
      <w:r>
        <w:t xml:space="preserve"> </w:t>
      </w:r>
      <w:hyperlink w:anchor="ref-15">
        <w:r>
          <w:rPr>
            <w:rStyle w:val="Hyperlink"/>
          </w:rPr>
          <w:t xml:space="preserve">[15]</w:t>
        </w:r>
      </w:hyperlink>
      <w:r>
        <w:t xml:space="preserve">, autonomous collision-avoidance boards</w:t>
      </w:r>
      <w:r>
        <w:t xml:space="preserve"> </w:t>
      </w:r>
      <w:hyperlink w:anchor="ref-16">
        <w:r>
          <w:rPr>
            <w:rStyle w:val="Hyperlink"/>
          </w:rPr>
          <w:t xml:space="preserve">[16]</w:t>
        </w:r>
      </w:hyperlink>
      <w:r>
        <w:t xml:space="preserve">, passive radio-frequency and passive-radar approaches to space situational awareness</w:t>
      </w:r>
      <w:r>
        <w:t xml:space="preserve"> </w:t>
      </w:r>
      <w:hyperlink w:anchor="ref-17">
        <w:r>
          <w:rPr>
            <w:rStyle w:val="Hyperlink"/>
          </w:rPr>
          <w:t xml:space="preserve">[17]</w:t>
        </w:r>
      </w:hyperlink>
      <w:r>
        <w:t xml:space="preserve">[18], space domain awareness stations</w:t>
      </w:r>
      <w:r>
        <w:t xml:space="preserve"> </w:t>
      </w:r>
      <w:hyperlink w:anchor="ref-19">
        <w:r>
          <w:rPr>
            <w:rStyle w:val="Hyperlink"/>
          </w:rPr>
          <w:t xml:space="preserve">[19]</w:t>
        </w:r>
      </w:hyperlink>
      <w:r>
        <w:t xml:space="preserve">, and ground-based object-characterization telescopes</w:t>
      </w:r>
      <w:r>
        <w:t xml:space="preserve"> </w:t>
      </w:r>
      <w:hyperlink w:anchor="ref-20">
        <w:r>
          <w:rPr>
            <w:rStyle w:val="Hyperlink"/>
          </w:rPr>
          <w:t xml:space="preserve">[20]</w:t>
        </w:r>
      </w:hyperlink>
      <w:r>
        <w:t xml:space="preserve"> </w:t>
      </w:r>
      <w:r>
        <w:t xml:space="preserve">are each rigorous within their engineering frame and each cross-sectional in structure. The same is true of the propulsion, vehicle, and mission-concept literature represented in the pool, including work on fusion-powered atmospheric flight</w:t>
      </w:r>
      <w:r>
        <w:t xml:space="preserve"> </w:t>
      </w:r>
      <w:hyperlink w:anchor="ref-21">
        <w:r>
          <w:rPr>
            <w:rStyle w:val="Hyperlink"/>
          </w:rPr>
          <w:t xml:space="preserve">[21]</w:t>
        </w:r>
      </w:hyperlink>
      <w:r>
        <w:t xml:space="preserve">, aerodynamic design for Martian-atmosphere vehicles</w:t>
      </w:r>
      <w:r>
        <w:t xml:space="preserve"> </w:t>
      </w:r>
      <w:hyperlink w:anchor="ref-22">
        <w:r>
          <w:rPr>
            <w:rStyle w:val="Hyperlink"/>
          </w:rPr>
          <w:t xml:space="preserve">[22]</w:t>
        </w:r>
      </w:hyperlink>
      <w:r>
        <w:t xml:space="preserve">, atmosphere-breathing electric-propulsion intakes</w:t>
      </w:r>
      <w:r>
        <w:t xml:space="preserve"> </w:t>
      </w:r>
      <w:hyperlink w:anchor="ref-24">
        <w:r>
          <w:rPr>
            <w:rStyle w:val="Hyperlink"/>
          </w:rPr>
          <w:t xml:space="preserve">[24]</w:t>
        </w:r>
      </w:hyperlink>
      <w:r>
        <w:t xml:space="preserve">, satellite-trail mitigation through retroreflective coatings</w:t>
      </w:r>
      <w:r>
        <w:t xml:space="preserve"> </w:t>
      </w:r>
      <w:hyperlink w:anchor="ref-25">
        <w:r>
          <w:rPr>
            <w:rStyle w:val="Hyperlink"/>
          </w:rPr>
          <w:t xml:space="preserve">[25]</w:t>
        </w:r>
      </w:hyperlink>
      <w:r>
        <w:t xml:space="preserve">, and asteroid sample-return mission design</w:t>
      </w:r>
      <w:r>
        <w:t xml:space="preserve"> </w:t>
      </w:r>
      <w:hyperlink w:anchor="ref-28">
        <w:r>
          <w:rPr>
            <w:rStyle w:val="Hyperlink"/>
          </w:rPr>
          <w:t xml:space="preserve">[28]</w:t>
        </w:r>
      </w:hyperlink>
      <w:r>
        <w:t xml:space="preserve">. Compliance and standards work, such as the assessment of orbital-debris-mitigation compliance</w:t>
      </w:r>
      <w:r>
        <w:t xml:space="preserve"> </w:t>
      </w:r>
      <w:hyperlink w:anchor="ref-14">
        <w:r>
          <w:rPr>
            <w:rStyle w:val="Hyperlink"/>
          </w:rPr>
          <w:t xml:space="preserve">[14]</w:t>
        </w:r>
      </w:hyperlink>
      <w:r>
        <w:t xml:space="preserve">, similarly evaluates a state of affairs rather than a trajectory through funding cycles.</w:t>
      </w:r>
    </w:p>
    <w:p>
      <w:pPr>
        <w:pStyle w:val="BodyText"/>
        <w:spacing w:line="480" w:lineRule="auto"/>
        <w:ind w:firstLine="720"/>
      </w:pPr>
      <w:r>
        <w:t xml:space="preserve">The point of surveying this wider literature is not that any single one of these studies bears directly on complementary PNT. It is that the technical literature, taken as a whole, has a characteristic structure: it is cross-sectional, design-stage, and engineering-evaluative. It addresses what a system is, what it can do, and what it should cost or how it should be configured. It does not, as a body, address whether the program that would field the system survives the appropriation process. This structural feature of the technical literature leaves the survival question unanswered and unowned. It is the second opening the dissertation occupies.</w:t>
      </w:r>
    </w:p>
    <w:bookmarkEnd w:id="72"/>
    <w:bookmarkEnd w:id="73"/>
    <w:bookmarkStart w:id="77" w:name="X07fe73e594277fc276c6392b9242153367417e1"/>
    <w:p>
      <w:pPr>
        <w:pStyle w:val="Heading2"/>
        <w:spacing w:line="480" w:lineRule="auto"/>
      </w:pPr>
      <w:r>
        <w:t xml:space="preserve">2.4 The Cliometric and Econometric Methodology Literature</w:t>
      </w:r>
    </w:p>
    <w:p>
      <w:pPr>
        <w:pStyle w:val="FirstParagraph"/>
        <w:spacing w:line="480" w:lineRule="auto"/>
      </w:pPr>
      <w:r>
        <w:t xml:space="preserve">The second of the two unjoined literatures is the cliometric and econometric methodology literature, which supplies the tools through which a program lifecycle can be tested. This literature is reviewed here in three strands that correspond to the three quantitative instruments the dissertation deploys: parametric cost estimation, survival and event-history analysis, and the cross-sectional regression of cost growth on its proximate drivers.</w:t>
      </w:r>
    </w:p>
    <w:bookmarkStart w:id="74" w:name="Xcb4e457ba0e33d287c34d56239c5bda65dd68c4"/>
    <w:p>
      <w:pPr>
        <w:pStyle w:val="Heading3"/>
        <w:spacing w:line="480" w:lineRule="auto"/>
      </w:pPr>
      <w:r>
        <w:t xml:space="preserve">2.4.1 Parametric Cost Estimation and Its Boundary</w:t>
      </w:r>
    </w:p>
    <w:p>
      <w:pPr>
        <w:pStyle w:val="FirstParagraph"/>
        <w:spacing w:line="480" w:lineRule="auto"/>
      </w:pPr>
      <w:r>
        <w:t xml:space="preserve">The parametric cost-estimation literature treats the development cost of a space system as a function of its physical and programmatic attributes. Validation studies of parametric estimators report that mass, complexity, and heritage carry most of the explanatory weight at the design stage. The blind-validation study of the SEER-H parametric cost-estimation tool for NASA space missions is the canonical example: it tests how well a parametric estimator predicts realized cost from design attributes and confirms that scale and complexity are the dominant cost levers before a program begins</w:t>
      </w:r>
      <w:r>
        <w:t xml:space="preserve"> </w:t>
      </w:r>
      <w:hyperlink w:anchor="ref-9">
        <w:r>
          <w:rPr>
            <w:rStyle w:val="Hyperlink"/>
          </w:rPr>
          <w:t xml:space="preserve">[9]</w:t>
        </w:r>
      </w:hyperlink>
      <w:r>
        <w:t xml:space="preserve">. Recent work extends parametric cost modelling to whole mission architectures, in the parametric economic modelling of asteroid-mining architectures, and confirms that the dominant cost levers at the architecture-selection stage remain scale and design choice rather than execution dynamics</w:t>
      </w:r>
      <w:r>
        <w:t xml:space="preserve"> </w:t>
      </w:r>
      <w:hyperlink w:anchor="ref-10">
        <w:r>
          <w:rPr>
            <w:rStyle w:val="Hyperlink"/>
          </w:rPr>
          <w:t xml:space="preserve">[10]</w:t>
        </w:r>
      </w:hyperlink>
      <w:r>
        <w:t xml:space="preserve">. A parallel literature on cost prediction for advanced vehicle classes, such as the research-development-and-production cost model for future civil hypersonic aircraft, applies the same parametric logic to a different vehicle domain and reaches the same structural conclusion that physical and programmatic attributes drive the design-stage estimate</w:t>
      </w:r>
      <w:r>
        <w:t xml:space="preserve"> </w:t>
      </w:r>
      <w:hyperlink w:anchor="ref-23">
        <w:r>
          <w:rPr>
            <w:rStyle w:val="Hyperlink"/>
          </w:rPr>
          <w:t xml:space="preserve">[23]</w:t>
        </w:r>
      </w:hyperlink>
      <w:r>
        <w:t xml:space="preserve">.</w:t>
      </w:r>
    </w:p>
    <w:p>
      <w:pPr>
        <w:pStyle w:val="BodyText"/>
        <w:spacing w:line="480" w:lineRule="auto"/>
        <w:ind w:firstLine="720"/>
      </w:pPr>
      <w:r>
        <w:t xml:space="preserve">The boundary of this literature is sharp and consequential. Parametric cost estimation is built for the question of what a program should cost before it begins</w:t>
      </w:r>
      <w:r>
        <w:t xml:space="preserve"> </w:t>
      </w:r>
      <w:hyperlink w:anchor="ref-9">
        <w:r>
          <w:rPr>
            <w:rStyle w:val="Hyperlink"/>
          </w:rPr>
          <w:t xml:space="preserve">[9]</w:t>
        </w:r>
      </w:hyperlink>
      <w:r>
        <w:t xml:space="preserve">[10][23]. It is largely silent on the question the dissertation asks about NASA major projects in its companion analysis, which is what makes a program cost more than it was baselined to cost once it is under way. None of the parametric work models the in-flight divergence between the baseline estimate and the realized estimate as a function of how the program is unfolding in time. This boundary is not a defect of the parametric literature; it is a feature of its design-stage purpose. But it leaves open the execution-dynamics question, and the dissertation’s cross-sectional cost-growth analysis is positioned exactly at that opening, treating the log of baseline life-cycle cost as the parametric scale channel</w:t>
      </w:r>
      <w:r>
        <w:t xml:space="preserve"> </w:t>
      </w:r>
      <w:hyperlink w:anchor="ref-9">
        <w:r>
          <w:rPr>
            <w:rStyle w:val="Hyperlink"/>
          </w:rPr>
          <w:t xml:space="preserve">[9]</w:t>
        </w:r>
      </w:hyperlink>
      <w:r>
        <w:t xml:space="preserve">[10] and asking whether schedule slip, a measure of execution dynamics rather than design attributes, predicts cost growth net of scale.</w:t>
      </w:r>
    </w:p>
    <w:bookmarkEnd w:id="74"/>
    <w:bookmarkStart w:id="75" w:name="X52eb4da2901f7d68d20a563a525b0d97508d810"/>
    <w:p>
      <w:pPr>
        <w:pStyle w:val="Heading3"/>
        <w:spacing w:line="480" w:lineRule="auto"/>
      </w:pPr>
      <w:r>
        <w:t xml:space="preserve">2.4.2 Survival Analysis and Event-History Methods</w:t>
      </w:r>
    </w:p>
    <w:p>
      <w:pPr>
        <w:pStyle w:val="FirstParagraph"/>
        <w:spacing w:line="480" w:lineRule="auto"/>
      </w:pPr>
      <w:r>
        <w:t xml:space="preserve">The methodological core of the dissertation is survival analysis, and the relevant methodological tradition is the discrete-time event-history and proportional-hazards literature. The dissertation’s survival analysis of complementary-PNT programs is estimated as a proportional-hazards model in which the hazard of reaching operational maturity at program age is the product of an unspecified baseline hazard and an exponential function of appropriation continuity and readiness, so that each estimated coefficient maps to a hazard ratio. The choice of the proportional-hazards form is governed by methodological considerations that the dissertation makes explicit: the form leaves the baseline duration dependence unparameterized, which suits a small and heterogeneous panel in which the shape of the underlying time-to-maturity profile is not itself of interest, and the proportional-hazards structure is the continuous-time analogue of the discrete-time event-history specification that the program-year design calls for. The complementary log-log link that the dissertation’s panel design adopts is the discrete-time analogue of the continuous-time proportional-hazards model and accommodates the annual appropriation cycle, which is the natural time grid for the treatment variable.</w:t>
      </w:r>
    </w:p>
    <w:p>
      <w:pPr>
        <w:pStyle w:val="BodyText"/>
        <w:spacing w:line="480" w:lineRule="auto"/>
        <w:ind w:firstLine="720"/>
      </w:pPr>
      <w:r>
        <w:t xml:space="preserve">The methodological literature on survival analysis is not itself represented as a space-domain literature in the reference pool, because survival analysis is a general-purpose econometric tool rather than a domain-specific body of work. This is itself a finding of the review: the event-history machinery exists and is mature, but it has not been brought to bear on the complementary-PNT case. The dissertation’s methodological contribution is therefore not the invention of a new estimator but the application of an established one to a substantive domain that has never received it. The survival framework is what converts the space-economy literature’s untested financing-structure claim</w:t>
      </w:r>
      <w:r>
        <w:t xml:space="preserve"> </w:t>
      </w:r>
      <w:hyperlink w:anchor="ref-1">
        <w:r>
          <w:rPr>
            <w:rStyle w:val="Hyperlink"/>
          </w:rPr>
          <w:t xml:space="preserve">[1]</w:t>
        </w:r>
      </w:hyperlink>
      <w:r>
        <w:t xml:space="preserve">[2][3][11] into a falsifiable proposition, by specifying appropriation continuity as a covariate in a hazard model and testing whether its coefficient is distinguishable from zero conditional on readiness.</w:t>
      </w:r>
    </w:p>
    <w:p>
      <w:pPr>
        <w:pStyle w:val="BodyText"/>
        <w:spacing w:line="480" w:lineRule="auto"/>
        <w:ind w:firstLine="720"/>
      </w:pPr>
      <w:r>
        <w:t xml:space="preserve">The design discipline the survival literature imposes is also reviewed here because it bears on the validity of the dissertation’s inference. Two features of the event-history design discipline the inference. First, appropriation continuity is measured as prior funded cycles, which lags the treatment relative to the maturity event and mitigates the reverse-causation concern that programs are funded because they are already succeeding. Second, the readiness covariate is fixed at authorization, before the appropriation history accumulates, so that conditioning on it does not absorb post-authorization progress. These are standard event-history precautions, and their availability is part of what recommends the survival framework over a naive cross-sectional comparison of matured and stalled programs.</w:t>
      </w:r>
    </w:p>
    <w:bookmarkEnd w:id="75"/>
    <w:bookmarkStart w:id="76" w:name="Xaefc5c88a101f70060185564a931a66b52b49ee"/>
    <w:p>
      <w:pPr>
        <w:pStyle w:val="Heading3"/>
        <w:spacing w:line="480" w:lineRule="auto"/>
      </w:pPr>
      <w:r>
        <w:t xml:space="preserve">2.4.3 The Cross-Sectional Regression of Cost Growth on Schedule</w:t>
      </w:r>
    </w:p>
    <w:p>
      <w:pPr>
        <w:pStyle w:val="FirstParagraph"/>
        <w:spacing w:line="480" w:lineRule="auto"/>
      </w:pPr>
      <w:r>
        <w:t xml:space="preserve">The third methodological strand is the cross-sectional regression of program cost growth on its proximate drivers, which the dissertation deploys to establish the mechanism that gives the survival analysis its causal content. The companion cross-sectional analysis estimates an ordinary-least-squares regression of life-cycle cost growth on schedule slip, program scale, and a crewed-program indicator across twenty NASA major projects drawn from a single Government Accountability Office assessment of major NASA projects</w:t>
      </w:r>
      <w:r>
        <w:t xml:space="preserve"> </w:t>
      </w:r>
      <w:hyperlink w:anchor="ref-12">
        <w:r>
          <w:rPr>
            <w:rStyle w:val="Hyperlink"/>
          </w:rPr>
          <w:t xml:space="preserve">[12]</w:t>
        </w:r>
      </w:hyperlink>
      <w:r>
        <w:t xml:space="preserve">. The GAO assessment record is the document of record because it prints, for each project, the original baseline launch-readiness date, the current launch-readiness date, the original baseline life-cycle cost estimate, and the current life-cycle cost estimate, which together permit the construction of cost growth and schedule slip as auditable quantities</w:t>
      </w:r>
      <w:r>
        <w:t xml:space="preserve"> </w:t>
      </w:r>
      <w:hyperlink w:anchor="ref-12">
        <w:r>
          <w:rPr>
            <w:rStyle w:val="Hyperlink"/>
          </w:rPr>
          <w:t xml:space="preserve">[12]</w:t>
        </w:r>
      </w:hyperlink>
      <w:r>
        <w:t xml:space="preserve">.</w:t>
      </w:r>
    </w:p>
    <w:p>
      <w:pPr>
        <w:pStyle w:val="BodyText"/>
        <w:spacing w:line="480" w:lineRule="auto"/>
        <w:ind w:firstLine="720"/>
      </w:pPr>
      <w:r>
        <w:t xml:space="preserve">The methodological literature relevant to this strand is the parametric cost-estimation literature already reviewed</w:t>
      </w:r>
      <w:r>
        <w:t xml:space="preserve"> </w:t>
      </w:r>
      <w:hyperlink w:anchor="ref-9">
        <w:r>
          <w:rPr>
            <w:rStyle w:val="Hyperlink"/>
          </w:rPr>
          <w:t xml:space="preserve">[9]</w:t>
        </w:r>
      </w:hyperlink>
      <w:r>
        <w:t xml:space="preserve">[10], which supplies the scale control, together with the institutional reasoning from the space-economy literature</w:t>
      </w:r>
      <w:r>
        <w:t xml:space="preserve"> </w:t>
      </w:r>
      <w:hyperlink w:anchor="ref-3">
        <w:r>
          <w:rPr>
            <w:rStyle w:val="Hyperlink"/>
          </w:rPr>
          <w:t xml:space="preserve">[3]</w:t>
        </w:r>
      </w:hyperlink>
      <w:r>
        <w:t xml:space="preserve">[11] that predicts why cost growth should be governed by time under an annual appropriation cycle. The synthesis the dissertation performs here is itself a contribution: it reads the parametric literature’s scale channel</w:t>
      </w:r>
      <w:r>
        <w:t xml:space="preserve"> </w:t>
      </w:r>
      <w:hyperlink w:anchor="ref-9">
        <w:r>
          <w:rPr>
            <w:rStyle w:val="Hyperlink"/>
          </w:rPr>
          <w:t xml:space="preserve">[9]</w:t>
        </w:r>
      </w:hyperlink>
      <w:r>
        <w:t xml:space="preserve">[10] as the null against which an execution-dynamics variable, schedule slip, is tested, and it reads the space-economy literature’s budgetary-constraint observation</w:t>
      </w:r>
      <w:r>
        <w:t xml:space="preserve"> </w:t>
      </w:r>
      <w:hyperlink w:anchor="ref-3">
        <w:r>
          <w:rPr>
            <w:rStyle w:val="Hyperlink"/>
          </w:rPr>
          <w:t xml:space="preserve">[3]</w:t>
        </w:r>
      </w:hyperlink>
      <w:r>
        <w:t xml:space="preserve">[11] as the theoretical reason to expect that schedule slip converts elapsed time into marching-army cost across additional fiscal years. The result, that schedule slip predicts cost growth precisely while program scale does not once slip is in the model, is the bridge between the two literatures: it names the temporal channel through which an interrupted appropriation stream becomes a stalled program, and it does so using the methodological apparatus of the econometric literature applied to the substantive record of the technical and policy literatures.</w:t>
      </w:r>
    </w:p>
    <w:bookmarkEnd w:id="76"/>
    <w:bookmarkEnd w:id="77"/>
    <w:bookmarkStart w:id="78" w:name="synthesis-and-the-gap"/>
    <w:p>
      <w:pPr>
        <w:pStyle w:val="Heading2"/>
        <w:spacing w:line="480" w:lineRule="auto"/>
      </w:pPr>
      <w:r>
        <w:t xml:space="preserve">2.5 Synthesis and the Gap</w:t>
      </w:r>
    </w:p>
    <w:p>
      <w:pPr>
        <w:pStyle w:val="FirstParagraph"/>
        <w:spacing w:line="480" w:lineRule="auto"/>
      </w:pPr>
      <w:r>
        <w:t xml:space="preserve">The review of the two literatures supports a single synthetic observation: each literature is rigorous within its own frame and silent on the other’s question, and the silence is mutual and structural. The space-economy literature establishes that complementary PNT is a public good requiring sustained government investment</w:t>
      </w:r>
      <w:r>
        <w:t xml:space="preserve"> </w:t>
      </w:r>
      <w:hyperlink w:anchor="ref-1">
        <w:r>
          <w:rPr>
            <w:rStyle w:val="Hyperlink"/>
          </w:rPr>
          <w:t xml:space="preserve">[1]</w:t>
        </w:r>
      </w:hyperlink>
      <w:r>
        <w:t xml:space="preserve">[2][3], and it acknowledges that recognized need coexists with budgetary constraint</w:t>
      </w:r>
      <w:r>
        <w:t xml:space="preserve"> </w:t>
      </w:r>
      <w:hyperlink w:anchor="ref-11">
        <w:r>
          <w:rPr>
            <w:rStyle w:val="Hyperlink"/>
          </w:rPr>
          <w:t xml:space="preserve">[11]</w:t>
        </w:r>
      </w:hyperlink>
      <w:r>
        <w:t xml:space="preserve">, but it advances these claims as general characterizations of the sector rather than as tested propositions about the survival of specific programs. The space-domain technical literature establishes what an optimal or robust complement architecture looks like</w:t>
      </w:r>
      <w:r>
        <w:t xml:space="preserve"> </w:t>
      </w:r>
      <w:hyperlink w:anchor="ref-5">
        <w:r>
          <w:rPr>
            <w:rStyle w:val="Hyperlink"/>
          </w:rPr>
          <w:t xml:space="preserve">[5]</w:t>
        </w:r>
      </w:hyperlink>
      <w:r>
        <w:t xml:space="preserve">[6][26] and documents that candidate technologies were demonstrated and in part judged market-ready</w:t>
      </w:r>
      <w:r>
        <w:t xml:space="preserve"> </w:t>
      </w:r>
      <w:hyperlink w:anchor="ref-7">
        <w:r>
          <w:rPr>
            <w:rStyle w:val="Hyperlink"/>
          </w:rPr>
          <w:t xml:space="preserve">[7]</w:t>
        </w:r>
      </w:hyperlink>
      <w:r>
        <w:t xml:space="preserve">, but it terminates at engineering feasibility and does not model program survival. The cliometric and econometric methodology literature supplies mature survival, event-history, and cost-growth tools</w:t>
      </w:r>
      <w:r>
        <w:t xml:space="preserve"> </w:t>
      </w:r>
      <w:hyperlink w:anchor="ref-9">
        <w:r>
          <w:rPr>
            <w:rStyle w:val="Hyperlink"/>
          </w:rPr>
          <w:t xml:space="preserve">[9]</w:t>
        </w:r>
      </w:hyperlink>
      <w:r>
        <w:t xml:space="preserve">[10], but those tools have not been applied to the complementary-PNT case. Three specific gaps follow from this synthesis.</w:t>
      </w:r>
    </w:p>
    <w:p>
      <w:pPr>
        <w:pStyle w:val="BodyText"/>
        <w:spacing w:line="480" w:lineRule="auto"/>
        <w:ind w:firstLine="720"/>
      </w:pPr>
      <w:r>
        <w:t xml:space="preserve">The first gap is the absence of a test of the financing-structure premise. The space-economy literature’s claim that government must supply sustained investment for a public-good capability</w:t>
      </w:r>
      <w:r>
        <w:t xml:space="preserve"> </w:t>
      </w:r>
      <w:hyperlink w:anchor="ref-2">
        <w:r>
          <w:rPr>
            <w:rStyle w:val="Hyperlink"/>
          </w:rPr>
          <w:t xml:space="preserve">[2]</w:t>
        </w:r>
      </w:hyperlink>
      <w:r>
        <w:t xml:space="preserve">[3] implies a survival prediction, but the literature never models the survival of terrestrial-complement programs as a function of the financing structure it describes</w:t>
      </w:r>
      <w:r>
        <w:t xml:space="preserve"> </w:t>
      </w:r>
      <w:hyperlink w:anchor="ref-1">
        <w:r>
          <w:rPr>
            <w:rStyle w:val="Hyperlink"/>
          </w:rPr>
          <w:t xml:space="preserve">[1]</w:t>
        </w:r>
      </w:hyperlink>
      <w:r>
        <w:t xml:space="preserve">[2][3][11]. The claim is asserted at the level of sectoral property and never submitted to a falsifiable test against the observed record of programs that received initial authorization and then stalled. The dissertation fills this gap by specifying appropriation continuity as a covariate in a hazard model and testing whether it, rather than technical readiness, governs survival to operational maturity.</w:t>
      </w:r>
    </w:p>
    <w:p>
      <w:pPr>
        <w:pStyle w:val="BodyText"/>
        <w:spacing w:line="480" w:lineRule="auto"/>
        <w:ind w:firstLine="720"/>
      </w:pPr>
      <w:r>
        <w:t xml:space="preserve">The second gap is the technical literature’s silence on the program lifecycle. The architecture-optimization</w:t>
      </w:r>
      <w:r>
        <w:t xml:space="preserve"> </w:t>
      </w:r>
      <w:hyperlink w:anchor="ref-5">
        <w:r>
          <w:rPr>
            <w:rStyle w:val="Hyperlink"/>
          </w:rPr>
          <w:t xml:space="preserve">[5]</w:t>
        </w:r>
      </w:hyperlink>
      <w:r>
        <w:t xml:space="preserve">, reference-model</w:t>
      </w:r>
      <w:r>
        <w:t xml:space="preserve"> </w:t>
      </w:r>
      <w:hyperlink w:anchor="ref-6">
        <w:r>
          <w:rPr>
            <w:rStyle w:val="Hyperlink"/>
          </w:rPr>
          <w:t xml:space="preserve">[6]</w:t>
        </w:r>
      </w:hyperlink>
      <w:r>
        <w:t xml:space="preserve">, and demonstration</w:t>
      </w:r>
      <w:r>
        <w:t xml:space="preserve"> </w:t>
      </w:r>
      <w:hyperlink w:anchor="ref-7">
        <w:r>
          <w:rPr>
            <w:rStyle w:val="Hyperlink"/>
          </w:rPr>
          <w:t xml:space="preserve">[7]</w:t>
        </w:r>
      </w:hyperlink>
      <w:r>
        <w:t xml:space="preserve"> </w:t>
      </w:r>
      <w:r>
        <w:t xml:space="preserve">literatures address cost-optimality, engineering robustness, and technology readiness, all of which are evaluated at the design or demonstration stage. None of them addresses whether an authorized program will be funded to completion, because survival to operational maturity is a different dependent variable from the ones the technical literature studies</w:t>
      </w:r>
      <w:r>
        <w:t xml:space="preserve"> </w:t>
      </w:r>
      <w:hyperlink w:anchor="ref-5">
        <w:r>
          <w:rPr>
            <w:rStyle w:val="Hyperlink"/>
          </w:rPr>
          <w:t xml:space="preserve">[5]</w:t>
        </w:r>
      </w:hyperlink>
      <w:r>
        <w:t xml:space="preserve">[6][7][26]. The dissertation fills this gap by making survival the dependent variable and by elevating technical readiness, the technical literature’s central concern, to a competing covariate against which the financing explanation is tested.</w:t>
      </w:r>
    </w:p>
    <w:p>
      <w:pPr>
        <w:pStyle w:val="BodyText"/>
        <w:spacing w:line="480" w:lineRule="auto"/>
        <w:ind w:firstLine="720"/>
      </w:pPr>
      <w:r>
        <w:t xml:space="preserve">The third gap is the absence of a longitudinal, program-level dataset that would permit a competing-risks test. Both the characterization literature and the architecture-optimization literature operate on a cross-section, a snapshot of the sector or a single architecture decision</w:t>
      </w:r>
      <w:r>
        <w:t xml:space="preserve"> </w:t>
      </w:r>
      <w:hyperlink w:anchor="ref-1">
        <w:r>
          <w:rPr>
            <w:rStyle w:val="Hyperlink"/>
          </w:rPr>
          <w:t xml:space="preserve">[1]</w:t>
        </w:r>
      </w:hyperlink>
      <w:r>
        <w:t xml:space="preserve">[2][3][5][6]. The stalled complement, however, is a phenomenon that becomes visible only across the program lifecycle, from authorization through appropriation cycles to either fielding or termination. No prior work supplies the lifecycle panel that would make this trajectory observable. The dissertation fills this gap by constructing the program-year panel from the GAO program record</w:t>
      </w:r>
      <w:r>
        <w:t xml:space="preserve"> </w:t>
      </w:r>
      <w:hyperlink w:anchor="ref-8">
        <w:r>
          <w:rPr>
            <w:rStyle w:val="Hyperlink"/>
          </w:rPr>
          <w:t xml:space="preserve">[8]</w:t>
        </w:r>
      </w:hyperlink>
      <w:r>
        <w:t xml:space="preserve">[12], the federal appropriation record, and the Volpe demonstration assessment</w:t>
      </w:r>
      <w:r>
        <w:t xml:space="preserve"> </w:t>
      </w:r>
      <w:hyperlink w:anchor="ref-7">
        <w:r>
          <w:rPr>
            <w:rStyle w:val="Hyperlink"/>
          </w:rPr>
          <w:t xml:space="preserve">[7]</w:t>
        </w:r>
      </w:hyperlink>
      <w:r>
        <w:t xml:space="preserve">, so that each program-year observation is independently auditable to a public document of record.</w:t>
      </w:r>
    </w:p>
    <w:p>
      <w:pPr>
        <w:pStyle w:val="BodyText"/>
        <w:spacing w:line="480" w:lineRule="auto"/>
        <w:ind w:firstLine="720"/>
      </w:pPr>
      <w:r>
        <w:t xml:space="preserve">These three gaps are not independent. They are facets of the single structural fact that the two literatures have not been joined. The financing-structure premise of the space-economy literature has never been tested because the technical literature, which holds the substantive record, has never adopted the survival framework, and the methodological literature, which holds the survival framework, has never engaged the substantive record. The dissertation’s contribution is the join: it takes the financing-structure premise from the space-economy literature</w:t>
      </w:r>
      <w:r>
        <w:t xml:space="preserve"> </w:t>
      </w:r>
      <w:hyperlink w:anchor="ref-1">
        <w:r>
          <w:rPr>
            <w:rStyle w:val="Hyperlink"/>
          </w:rPr>
          <w:t xml:space="preserve">[1]</w:t>
        </w:r>
      </w:hyperlink>
      <w:r>
        <w:t xml:space="preserve">[2][3][11], the substantive record and the competing readiness hypothesis from the technical literature</w:t>
      </w:r>
      <w:r>
        <w:t xml:space="preserve"> </w:t>
      </w:r>
      <w:hyperlink w:anchor="ref-5">
        <w:r>
          <w:rPr>
            <w:rStyle w:val="Hyperlink"/>
          </w:rPr>
          <w:t xml:space="preserve">[5]</w:t>
        </w:r>
      </w:hyperlink>
      <w:r>
        <w:t xml:space="preserve">[6][7], and the survival, event-history, and cost-growth apparatus from the econometric literature</w:t>
      </w:r>
      <w:r>
        <w:t xml:space="preserve"> </w:t>
      </w:r>
      <w:hyperlink w:anchor="ref-9">
        <w:r>
          <w:rPr>
            <w:rStyle w:val="Hyperlink"/>
          </w:rPr>
          <w:t xml:space="preserve">[9]</w:t>
        </w:r>
      </w:hyperlink>
      <w:r>
        <w:t xml:space="preserve">[10][12], and it welds them into a single falsifiable test.</w:t>
      </w:r>
    </w:p>
    <w:bookmarkEnd w:id="78"/>
    <w:bookmarkStart w:id="79" w:name="the-position-the-dissertation-takes"/>
    <w:p>
      <w:pPr>
        <w:pStyle w:val="Heading2"/>
        <w:spacing w:line="480" w:lineRule="auto"/>
      </w:pPr>
      <w:r>
        <w:t xml:space="preserve">2.6 The Position the Dissertation Takes</w:t>
      </w:r>
    </w:p>
    <w:p>
      <w:pPr>
        <w:pStyle w:val="FirstParagraph"/>
        <w:spacing w:line="480" w:lineRule="auto"/>
      </w:pPr>
      <w:r>
        <w:t xml:space="preserve">The literature reviewed in this chapter licenses a specific analytic position. Because the space-economy literature establishes that complementary PNT is a public good whose provision depends on sustained government investment</w:t>
      </w:r>
      <w:r>
        <w:t xml:space="preserve"> </w:t>
      </w:r>
      <w:hyperlink w:anchor="ref-2">
        <w:r>
          <w:rPr>
            <w:rStyle w:val="Hyperlink"/>
          </w:rPr>
          <w:t xml:space="preserve">[2]</w:t>
        </w:r>
      </w:hyperlink>
      <w:r>
        <w:t xml:space="preserve">[3], and because it acknowledges that recognized need coexists with budgetary constraint</w:t>
      </w:r>
      <w:r>
        <w:t xml:space="preserve"> </w:t>
      </w:r>
      <w:hyperlink w:anchor="ref-11">
        <w:r>
          <w:rPr>
            <w:rStyle w:val="Hyperlink"/>
          </w:rPr>
          <w:t xml:space="preserve">[11]</w:t>
        </w:r>
      </w:hyperlink>
      <w:r>
        <w:t xml:space="preserve">, the dissertation treats the financing structure, not the technology, as the candidate binding constraint on program survival. Because the technical literature documents that candidate technologies were demonstrated and in part judged market-ready</w:t>
      </w:r>
      <w:r>
        <w:t xml:space="preserve"> </w:t>
      </w:r>
      <w:hyperlink w:anchor="ref-7">
        <w:r>
          <w:rPr>
            <w:rStyle w:val="Hyperlink"/>
          </w:rPr>
          <w:t xml:space="preserve">[7]</w:t>
        </w:r>
      </w:hyperlink>
      <w:r>
        <w:t xml:space="preserve">, the dissertation treats the technological-maturity explanation as empirically contestable rather than self-evident, and it submits that explanation to test as a competing covariate. Because the econometric literature supplies a mature survival framework</w:t>
      </w:r>
      <w:r>
        <w:t xml:space="preserve"> </w:t>
      </w:r>
      <w:hyperlink w:anchor="ref-9">
        <w:r>
          <w:rPr>
            <w:rStyle w:val="Hyperlink"/>
          </w:rPr>
          <w:t xml:space="preserve">[9]</w:t>
        </w:r>
      </w:hyperlink>
      <w:r>
        <w:t xml:space="preserve">[10] that has not been applied to this case, the dissertation adopts that framework as its instrument and accepts the design discipline it imposes, lagging the appropriation-continuity treatment and fixing readiness at authorization to guard the inference.</w:t>
      </w:r>
    </w:p>
    <w:p>
      <w:pPr>
        <w:pStyle w:val="BodyText"/>
        <w:spacing w:line="480" w:lineRule="auto"/>
        <w:ind w:firstLine="720"/>
      </w:pPr>
      <w:r>
        <w:t xml:space="preserve">The dissertation’s two empirical components are positioned within this synthesis as a single argument. The cross-sectional analysis of NASA major projects establishes the mechanism, that the proximate driver of cost growth in large government space programs is schedule slip rather than program scale, and that the parametric scale channel emphasized by the cost-estimation literature</w:t>
      </w:r>
      <w:r>
        <w:t xml:space="preserve"> </w:t>
      </w:r>
      <w:hyperlink w:anchor="ref-9">
        <w:r>
          <w:rPr>
            <w:rStyle w:val="Hyperlink"/>
          </w:rPr>
          <w:t xml:space="preserve">[9]</w:t>
        </w:r>
      </w:hyperlink>
      <w:r>
        <w:t xml:space="preserve">[10] contributes nothing once slip is present</w:t>
      </w:r>
      <w:r>
        <w:t xml:space="preserve"> </w:t>
      </w:r>
      <w:hyperlink w:anchor="ref-12">
        <w:r>
          <w:rPr>
            <w:rStyle w:val="Hyperlink"/>
          </w:rPr>
          <w:t xml:space="preserve">[12]</w:t>
        </w:r>
      </w:hyperlink>
      <w:r>
        <w:t xml:space="preserve">. This mechanism names the temporal channel through which an interrupted appropriation stream becomes a stalled program. The survival analysis of complementary-PNT programs then carries that mechanism into the narrower and sparser PNT record, testing whether appropriation continuity raises the hazard of reaching operational maturity conditional on technical readiness</w:t>
      </w:r>
      <w:r>
        <w:t xml:space="preserve"> </w:t>
      </w:r>
      <w:hyperlink w:anchor="ref-7">
        <w:r>
          <w:rPr>
            <w:rStyle w:val="Hyperlink"/>
          </w:rPr>
          <w:t xml:space="preserve">[7]</w:t>
        </w:r>
      </w:hyperlink>
      <w:r>
        <w:t xml:space="preserve">[8]. The two components are complementary: the cost-growth regression supplies the causal content of the financing mechanism, and the survival analysis applies that mechanism to the dissertation’s specific population of interest.</w:t>
      </w:r>
    </w:p>
    <w:p>
      <w:pPr>
        <w:pStyle w:val="BodyText"/>
        <w:spacing w:line="480" w:lineRule="auto"/>
        <w:ind w:firstLine="720"/>
      </w:pPr>
      <w:r>
        <w:t xml:space="preserve">The position is deliberately falsifiable. The synthesis the dissertation performs is designed so that the institutional-financing thesis can be rejected by the data: if the appropriation-continuity coefficient is null while the readiness coefficient is positive and significant, the financing explanation is rejected in favor of the technological-maturity explanation, and the dissertation’s central claim fails. The literature reviewed here establishes that this test has not previously been possible, because the two literatures that together make it possible had not been joined. The chapters that follow construct the join and report the test. In doing so they treat the space-economy literature’s financing premise</w:t>
      </w:r>
      <w:r>
        <w:t xml:space="preserve"> </w:t>
      </w:r>
      <w:hyperlink w:anchor="ref-1">
        <w:r>
          <w:rPr>
            <w:rStyle w:val="Hyperlink"/>
          </w:rPr>
          <w:t xml:space="preserve">[1]</w:t>
        </w:r>
      </w:hyperlink>
      <w:r>
        <w:t xml:space="preserve">[2][3][11], the technical literature’s demonstrated-technology record and readiness hypothesis</w:t>
      </w:r>
      <w:r>
        <w:t xml:space="preserve"> </w:t>
      </w:r>
      <w:hyperlink w:anchor="ref-5">
        <w:r>
          <w:rPr>
            <w:rStyle w:val="Hyperlink"/>
          </w:rPr>
          <w:t xml:space="preserve">[5]</w:t>
        </w:r>
      </w:hyperlink>
      <w:r>
        <w:t xml:space="preserve">[6][7], and the econometric literature’s survival and cost-growth apparatus</w:t>
      </w:r>
      <w:r>
        <w:t xml:space="preserve"> </w:t>
      </w:r>
      <w:hyperlink w:anchor="ref-9">
        <w:r>
          <w:rPr>
            <w:rStyle w:val="Hyperlink"/>
          </w:rPr>
          <w:t xml:space="preserve">[9]</w:t>
        </w:r>
      </w:hyperlink>
      <w:r>
        <w:t xml:space="preserve">[10][12] not as separate conversations but as the three inputs to a single, auditable, and disconfirmable analysis of why the U.S. complementary-PNT complement has stalled.</w:t>
      </w:r>
    </w:p>
    <w:bookmarkEnd w:id="79"/>
    <w:bookmarkEnd w:id="80"/>
    <w:bookmarkStart w:id="89" w:name="Xcfcc00a3ded59aed0c781c16bfc121f2a509603"/>
    <w:p>
      <w:pPr>
        <w:pStyle w:val="Heading1"/>
        <w:spacing w:line="480" w:lineRule="auto"/>
      </w:pPr>
      <w:r>
        <w:t xml:space="preserve">Chapter 3. Theoretical Framework and Hypotheses</w:t>
      </w:r>
    </w:p>
    <w:bookmarkStart w:id="81" w:name="purpose-and-scope-of-the-chapter"/>
    <w:p>
      <w:pPr>
        <w:pStyle w:val="Heading2"/>
        <w:spacing w:line="480" w:lineRule="auto"/>
      </w:pPr>
      <w:r>
        <w:t xml:space="preserve">3.1 Purpose and Scope of the Chapter</w:t>
      </w:r>
    </w:p>
    <w:p>
      <w:pPr>
        <w:pStyle w:val="FirstParagraph"/>
        <w:spacing w:line="480" w:lineRule="auto"/>
      </w:pPr>
      <w:r>
        <w:t xml:space="preserve">The preceding chapters established the empirical puzzle and surveyed the literatures that bear on it. The United States has authorized complementary and backup positioning, navigation, and timing capability repeatedly over more than two decades, and no such effort has reached durable operational maturity. This chapter does the theoretical work that the puzzle requires before any estimation can be interpreted. It specifies the mechanism that is hypothesized to govern whether an authorized complementary-PNT program survives to operational maturity, traces the causal logic from that mechanism to an observable survival pattern, distinguishes that pattern from the one a rival explanation would generate, and states the two formal hypotheses, H0 and H1, that the dissertation tests.</w:t>
      </w:r>
    </w:p>
    <w:p>
      <w:pPr>
        <w:pStyle w:val="BodyText"/>
        <w:spacing w:line="480" w:lineRule="auto"/>
        <w:ind w:firstLine="720"/>
      </w:pPr>
      <w:r>
        <w:t xml:space="preserve">The chapter is organized to move from the general property of the sector to the specific prediction about programs. Section 3.2 sets out the institutional and economic premises drawn from the space-economy literature. Section 3.3 develops the causal mechanism, which I term the appropriation-continuity mechanism, and names the intermediate channel through which interrupted financing becomes a stalled program. Section 3.4 specifies the competing technological-maturity account so that the two are placed on the same explanatory footing. Section 3.5 derives the differential survival predictions that separate the two accounts. Section 3.6 defines the central constructs as they enter the empirical model. Section 3.7 states H0 and H1 formally and identifies the conditions under which each is supported or rejected. Section 3.8 closes by stating the scope conditions and the auxiliary assumptions on which the test depends.</w:t>
      </w:r>
    </w:p>
    <w:p>
      <w:pPr>
        <w:pStyle w:val="BodyText"/>
        <w:spacing w:line="480" w:lineRule="auto"/>
        <w:ind w:firstLine="720"/>
      </w:pPr>
      <w:r>
        <w:t xml:space="preserve">The ambition of the chapter is deliberately narrow. The dissertation advances a single falsifiable contribution, and the theoretical framework is built to make that contribution sharp rather than to enumerate every factor that might plausibly bear on program survival. A theory that explained everything would adjudicate nothing. Narrowness is the price of a test that can fail. The framework developed here is therefore constructed so that the data can in principle disconfirm the very thesis the dissertation is written to support.</w:t>
      </w:r>
    </w:p>
    <w:bookmarkEnd w:id="81"/>
    <w:bookmarkStart w:id="82" w:name="the-institutional-and-economic-premises"/>
    <w:p>
      <w:pPr>
        <w:pStyle w:val="Heading2"/>
        <w:spacing w:line="480" w:lineRule="auto"/>
      </w:pPr>
      <w:r>
        <w:t xml:space="preserve">3.2 The Institutional and Economic Premises</w:t>
      </w:r>
    </w:p>
    <w:p>
      <w:pPr>
        <w:pStyle w:val="FirstParagraph"/>
        <w:spacing w:line="480" w:lineRule="auto"/>
      </w:pPr>
      <w:r>
        <w:t xml:space="preserve">The point of departure is the characterization of satellite-delivered PNT in the space-economy literature. That literature treats space-delivered PNT not as a discretionary capability but as an essential component of national critical infrastructure, catalogued alongside communications and Earth observation as one of the core downstream services through which space assets enter the terrestrial economy</w:t>
      </w:r>
      <w:r>
        <w:t xml:space="preserve"> </w:t>
      </w:r>
      <w:hyperlink w:anchor="ref-1">
        <w:r>
          <w:rPr>
            <w:rStyle w:val="Hyperlink"/>
          </w:rPr>
          <w:t xml:space="preserve">[1]</w:t>
        </w:r>
      </w:hyperlink>
      <w:r>
        <w:t xml:space="preserve">. The significance of this characterization for the present study is structural rather than descriptive. When a single space-based system supplies a service on which banking, power distribution, telecommunications, and transportation all depend, the service acquires the features of shared infrastructure, and the absence of a terrestrial complement converts a single point of failure into a national-scale exposure.</w:t>
      </w:r>
    </w:p>
    <w:p>
      <w:pPr>
        <w:pStyle w:val="BodyText"/>
        <w:spacing w:line="480" w:lineRule="auto"/>
        <w:ind w:firstLine="720"/>
      </w:pPr>
      <w:r>
        <w:t xml:space="preserve">The same literature supplies the economic logic for why such shared infrastructure is provided, when it is provided at all, by the public sector. In-space and infrastructure-class capabilities are described as requiring initial government investment because their returns are diffuse across the economy and their appropriability to any single private actor is low</w:t>
      </w:r>
      <w:r>
        <w:t xml:space="preserve"> </w:t>
      </w:r>
      <w:hyperlink w:anchor="ref-2">
        <w:r>
          <w:rPr>
            <w:rStyle w:val="Hyperlink"/>
          </w:rPr>
          <w:t xml:space="preserve">[2]</w:t>
        </w:r>
      </w:hyperlink>
      <w:r>
        <w:t xml:space="preserve">. Where a capability has these public-good characteristics, governments are the actors expected to fund the research-and-development programs that bring it into being</w:t>
      </w:r>
      <w:r>
        <w:t xml:space="preserve"> </w:t>
      </w:r>
      <w:hyperlink w:anchor="ref-3">
        <w:r>
          <w:rPr>
            <w:rStyle w:val="Hyperlink"/>
          </w:rPr>
          <w:t xml:space="preserve">[3]</w:t>
        </w:r>
      </w:hyperlink>
      <w:r>
        <w:t xml:space="preserve">. The historical analogy the literature itself reaches for is the era of sustained public spending that cemented a public-sector role in a domain that private capital would not have entered unaided</w:t>
      </w:r>
      <w:r>
        <w:t xml:space="preserve"> </w:t>
      </w:r>
      <w:hyperlink w:anchor="ref-4">
        <w:r>
          <w:rPr>
            <w:rStyle w:val="Hyperlink"/>
          </w:rPr>
          <w:t xml:space="preserve">[4]</w:t>
        </w:r>
      </w:hyperlink>
      <w:r>
        <w:t xml:space="preserve">. A terrestrial complement to satellite PNT is precisely such a capability: its benefit accrues to the resilience of the whole critical-infrastructure base rather than to any firm that could capture a return, and so the literature’s general expectation is that its provision falls to government.</w:t>
      </w:r>
    </w:p>
    <w:p>
      <w:pPr>
        <w:pStyle w:val="BodyText"/>
        <w:spacing w:line="480" w:lineRule="auto"/>
        <w:ind w:firstLine="720"/>
      </w:pPr>
      <w:r>
        <w:t xml:space="preserve">A second institutional premise follows from the same body of work and is essential to the mechanism developed below. Programs of this kind operate under recognized budgetary constraints even where the need for the capability is not in dispute</w:t>
      </w:r>
      <w:r>
        <w:t xml:space="preserve"> </w:t>
      </w:r>
      <w:hyperlink w:anchor="ref-11">
        <w:r>
          <w:rPr>
            <w:rStyle w:val="Hyperlink"/>
          </w:rPr>
          <w:t xml:space="preserve">[11]</w:t>
        </w:r>
      </w:hyperlink>
      <w:r>
        <w:t xml:space="preserve">. The relevant constraint is not that the need goes unrecognized; the policy record shows consistent recognition of the exposure. The constraint is that recognition does not by itself secure the sustained, dedicated, multi-year appropriation that an infrastructure-class program requires to advance from authorization to fielded service. The gap between recognized need and secured financing is the institutional space in which a complementary-PNT program either survives or stalls.</w:t>
      </w:r>
    </w:p>
    <w:p>
      <w:pPr>
        <w:pStyle w:val="BodyText"/>
        <w:spacing w:line="480" w:lineRule="auto"/>
        <w:ind w:firstLine="720"/>
      </w:pPr>
      <w:r>
        <w:t xml:space="preserve">These premises are asserted in the literature as general properties of the sector. They have not been formulated as a tested proposition about the survival of specific terrestrial-complement programs, and they do not by themselves specify the channel through which a financing structure becomes a program outcome. Supplying that channel is the task of the next section.</w:t>
      </w:r>
    </w:p>
    <w:bookmarkEnd w:id="82"/>
    <w:bookmarkStart w:id="83" w:name="the-appropriation-continuity-mechanism"/>
    <w:p>
      <w:pPr>
        <w:pStyle w:val="Heading2"/>
        <w:spacing w:line="480" w:lineRule="auto"/>
      </w:pPr>
      <w:r>
        <w:t xml:space="preserve">3.3 The Appropriation-Continuity Mechanism</w:t>
      </w:r>
    </w:p>
    <w:p>
      <w:pPr>
        <w:pStyle w:val="FirstParagraph"/>
        <w:spacing w:line="480" w:lineRule="auto"/>
      </w:pPr>
      <w:r>
        <w:t xml:space="preserve">The mechanism this dissertation proposes connects the institutional financing structure to the observed survival pattern through an intermediate channel: the conversion of elapsed time into expenditure under an annual appropriation cycle. I develop the mechanism in three steps, from the budgetary environment, through the temporal dynamics of a development program, to the survival consequence.</w:t>
      </w:r>
    </w:p>
    <w:p>
      <w:pPr>
        <w:pStyle w:val="BodyText"/>
        <w:spacing w:line="480" w:lineRule="auto"/>
        <w:ind w:firstLine="720"/>
      </w:pPr>
      <w:r>
        <w:t xml:space="preserve">The first step concerns the budgetary environment in which an infrastructure-class program operates. A complementary-PNT program does not receive its full life-cycle funding at authorization. It receives, at best, a dedicated appropriation line that must be renewed across successive fiscal years. Authorization establishes that a program may exist. It does not guarantee that the program will be funded to completion. The program therefore lives or dies on the continuity of its appropriation, and continuity is a property that must be re-secured each cycle rather than a property conferred once. This is the operational meaning of the public-good premise: because the returns are diffuse and no private actor will sustain the investment, the program’s survival is hostage to a recurring public budgetary decision</w:t>
      </w:r>
      <w:r>
        <w:t xml:space="preserve"> </w:t>
      </w:r>
      <w:hyperlink w:anchor="ref-2">
        <w:r>
          <w:rPr>
            <w:rStyle w:val="Hyperlink"/>
          </w:rPr>
          <w:t xml:space="preserve">[2]</w:t>
        </w:r>
      </w:hyperlink>
      <w:r>
        <w:t xml:space="preserve">[3].</w:t>
      </w:r>
    </w:p>
    <w:p>
      <w:pPr>
        <w:pStyle w:val="BodyText"/>
        <w:spacing w:line="480" w:lineRule="auto"/>
        <w:ind w:firstLine="720"/>
      </w:pPr>
      <w:r>
        <w:t xml:space="preserve">The second step concerns what happens inside a development program when continuity is threatened or interrupted. A program under way carries a standing organization of engineers, facilities, and contractor overhead. When a program slips its schedule, it does not simply arrive later. It carries that standing organization across additional fiscal years, and each additional year converts elapsed time into expenditure that was never in the baseline. The companion analysis of NASA major projects establishes this coupling directly and precisely: among large government space programs, schedule slip is a substantial and significant predictor of life-cycle cost growth, while program scale, once slip is controlled, carries no independent information. Each month of slip is associated with roughly a percentage point of cost growth, independent of how large or how novel the program is. The proximate failure channel for large government space programs is thus temporal rather than technological: programs lose schedule first and absorb cost afterward.</w:t>
      </w:r>
    </w:p>
    <w:p>
      <w:pPr>
        <w:pStyle w:val="BodyText"/>
        <w:spacing w:line="480" w:lineRule="auto"/>
        <w:ind w:firstLine="720"/>
      </w:pPr>
      <w:r>
        <w:t xml:space="preserve">The third step closes the loop between the temporal dynamic and program survival. A program that converts time into cost under a fixed annual appropriation cycle becomes progressively more expensive to carry forward at exactly the moments when its appropriation must be renewed. Rising cost against an unchanged baseline erodes the political case for continuation, and an appropriation that lapses or is diverted leaves the program without the resources to advance. The mechanism is therefore self-reinforcing in the adverse direction: an interruption in appropriation continuity permits or causes schedule slip, schedule slip generates marching-army cost growth, cost growth weakens the case for renewed appropriation, and the weakened case raises the probability of further interruption. A program that maintains continuous dedicated appropriation breaks this cycle by holding its schedule and thereby its cost, and so advances toward maturity. A program whose appropriation lapses enters the adverse cycle and stalls.</w:t>
      </w:r>
    </w:p>
    <w:p>
      <w:pPr>
        <w:pStyle w:val="BodyText"/>
        <w:spacing w:line="480" w:lineRule="auto"/>
        <w:ind w:firstLine="720"/>
      </w:pPr>
      <w:r>
        <w:t xml:space="preserve">This is the appropriation-continuity mechanism. Its central claim is compact. Program survival to operational maturity is governed by the continuity of dedicated multi-year appropriation, operating through the conversion of interrupted financing into schedule slip and of schedule slip into cost growth, rather than by the technical readiness of the underlying technology at authorization. The mechanism names a specific intermediate channel, the temporal cost-schedule coupling documented in the major-project portfolio, which gives the survival prediction its causal content. It is this naming that distinguishes the present account from a bare assertion that money matters: the mechanism specifies why and how the absence of continuous financing translates into a stalled program.</w:t>
      </w:r>
    </w:p>
    <w:bookmarkEnd w:id="83"/>
    <w:bookmarkStart w:id="84" w:name="X8124181422a1bb52d9364f7be13619ccd065457"/>
    <w:p>
      <w:pPr>
        <w:pStyle w:val="Heading2"/>
        <w:spacing w:line="480" w:lineRule="auto"/>
      </w:pPr>
      <w:r>
        <w:t xml:space="preserve">3.4 The Competing Technological-Maturity Account</w:t>
      </w:r>
    </w:p>
    <w:p>
      <w:pPr>
        <w:pStyle w:val="FirstParagraph"/>
        <w:spacing w:line="480" w:lineRule="auto"/>
      </w:pPr>
      <w:r>
        <w:t xml:space="preserve">A theoretical framework that only articulated the mechanism it favors would not yield a falsifiable test. The dissertation therefore places a rival explanation on equal footing, derived from the space-domain technical literature, so that the two accounts generate distinguishable predictions over the same data.</w:t>
      </w:r>
    </w:p>
    <w:p>
      <w:pPr>
        <w:pStyle w:val="BodyText"/>
        <w:spacing w:line="480" w:lineRule="auto"/>
        <w:ind w:firstLine="720"/>
      </w:pPr>
      <w:r>
        <w:t xml:space="preserve">The technical literature treats distributed and space-based service architectures as engineering-and-cost optimization problems. Work on optimizing distributed space-based networks frames architecture selection in terms of operational cost metrics</w:t>
      </w:r>
      <w:r>
        <w:t xml:space="preserve"> </w:t>
      </w:r>
      <w:hyperlink w:anchor="ref-5">
        <w:r>
          <w:rPr>
            <w:rStyle w:val="Hyperlink"/>
          </w:rPr>
          <w:t xml:space="preserve">[5]</w:t>
        </w:r>
      </w:hyperlink>
      <w:r>
        <w:t xml:space="preserve">, and reference-model work frames it in terms of systems-engineering capability and robustness</w:t>
      </w:r>
      <w:r>
        <w:t xml:space="preserve"> </w:t>
      </w:r>
      <w:hyperlink w:anchor="ref-6">
        <w:r>
          <w:rPr>
            <w:rStyle w:val="Hyperlink"/>
          </w:rPr>
          <w:t xml:space="preserve">[6]</w:t>
        </w:r>
      </w:hyperlink>
      <w:r>
        <w:t xml:space="preserve">. This literature is rigorous on the question of what an optimal architecture looks like under a cost objective, and it is the natural home of the intuition that a program succeeds or fails on the merits of its technology. Carried into policy debate, that intuition supplies the competing hypothesis: complementary-PNT programs stall because their candidate technologies are not ready, and they field when the technology is mature.</w:t>
      </w:r>
    </w:p>
    <w:p>
      <w:pPr>
        <w:pStyle w:val="BodyText"/>
        <w:spacing w:line="480" w:lineRule="auto"/>
        <w:ind w:firstLine="720"/>
      </w:pPr>
      <w:r>
        <w:t xml:space="preserve">The technological-maturity account is advanced, often implicitly, whenever a stalled program is attributed to immature technology. Its prediction is clear and testable. If readiness governs survival, then the maturity of a program’s core technology at authorization should predict whether it reaches operational maturity, and the financing history should add nothing once readiness is held fixed. On this account, mature technologies field and immature ones do not, irrespective of the continuity of their appropriation. The parametric cost-estimation tradition reinforces this expectation at the design stage, where mass, complexity, and heritage carry most of the explanatory weight in validated estimators</w:t>
      </w:r>
      <w:r>
        <w:t xml:space="preserve"> </w:t>
      </w:r>
      <w:hyperlink w:anchor="ref-9">
        <w:r>
          <w:rPr>
            <w:rStyle w:val="Hyperlink"/>
          </w:rPr>
          <w:t xml:space="preserve">[9]</w:t>
        </w:r>
      </w:hyperlink>
      <w:r>
        <w:t xml:space="preserve">, and where whole-architecture cost modelling confirms that scale and design choice are the dominant levers at architecture selection</w:t>
      </w:r>
      <w:r>
        <w:t xml:space="preserve"> </w:t>
      </w:r>
      <w:hyperlink w:anchor="ref-10">
        <w:r>
          <w:rPr>
            <w:rStyle w:val="Hyperlink"/>
          </w:rPr>
          <w:t xml:space="preserve">[10]</w:t>
        </w:r>
      </w:hyperlink>
      <w:r>
        <w:t xml:space="preserve">. The technological account is therefore not a strawman. It is the explanation that the engineering and cost-estimation literatures jointly license, and it predicts a survival pattern that differs sharply from the one the appropriation-continuity mechanism predicts.</w:t>
      </w:r>
    </w:p>
    <w:p>
      <w:pPr>
        <w:pStyle w:val="BodyText"/>
        <w:spacing w:line="480" w:lineRule="auto"/>
        <w:ind w:firstLine="720"/>
      </w:pPr>
      <w:r>
        <w:t xml:space="preserve">The two accounts diverge precisely on the role of execution dynamics. The parametric scale channel governs what a program should cost before it begins and what an architecture should cost at selection. It is silent on the in-flight divergence between the baseline estimate and the realized estimate, which is the divergence that determines whether a program can be carried to completion under an annual appropriation cycle. Cost-optimality at design and survival to operational maturity are different dependent variables. The appropriation-continuity mechanism claims that the second is governed by financing continuity operating through schedule; the technological-maturity account claims that it is governed by readiness fixed at authorization. The empirical task is to determine which claim the survival record supports.</w:t>
      </w:r>
    </w:p>
    <w:bookmarkEnd w:id="84"/>
    <w:bookmarkStart w:id="85" w:name="differential-survival-predictions"/>
    <w:p>
      <w:pPr>
        <w:pStyle w:val="Heading2"/>
        <w:spacing w:line="480" w:lineRule="auto"/>
      </w:pPr>
      <w:r>
        <w:t xml:space="preserve">3.5 Differential Survival Predictions</w:t>
      </w:r>
    </w:p>
    <w:p>
      <w:pPr>
        <w:pStyle w:val="FirstParagraph"/>
        <w:spacing w:line="480" w:lineRule="auto"/>
      </w:pPr>
      <w:r>
        <w:t xml:space="preserve">The two accounts can be separated because they make different predictions about the conditional effect of appropriation continuity on the hazard of reaching operational maturity, once technical readiness is held fixed. This subsection derives those predictions so that the formal hypotheses follow directly.</w:t>
      </w:r>
    </w:p>
    <w:p>
      <w:pPr>
        <w:pStyle w:val="BodyText"/>
        <w:spacing w:line="480" w:lineRule="auto"/>
        <w:ind w:firstLine="720"/>
      </w:pPr>
      <w:r>
        <w:t xml:space="preserve">Consider the population of authorized U.S. complementary-PNT programs observed across their lifecycles, from authorization or first federal evaluation entry until each program either reaches operational maturity or is terminated or censored at the panel boundary. For each program-year the appropriation-continuity mechanism predicts that the count of consecutive prior funded cycles raises the hazard of transitioning to operational maturity. The prediction is conditional: it holds net of the technical readiness assigned to the program’s core technology at its authorization milestone, because the mechanism claims that continuity operates through a temporal channel that is independent of design-stage readiness. The technological-maturity account predicts the opposite conditional structure: readiness raises the hazard, and appropriation continuity adds nothing once readiness is included.</w:t>
      </w:r>
    </w:p>
    <w:p>
      <w:pPr>
        <w:pStyle w:val="BodyText"/>
        <w:spacing w:line="480" w:lineRule="auto"/>
        <w:ind w:firstLine="720"/>
      </w:pPr>
      <w:r>
        <w:t xml:space="preserve">The conditioning is essential to the identification of the differential prediction. Readiness is fixed at authorization, before the appropriation history accumulates, so that conditioning on it does not absorb post-authorization progress. Appropriation continuity is measured as prior funded cycles, which lags the treatment relative to the maturity event and ensures that the covariate measures financing that precedes rather than follows the outcome. With these two features in place, a model that enters both covariates together isolates the effect of appropriation continuity net of readiness, which is exactly the quantity on which the two accounts disagree.</w:t>
      </w:r>
    </w:p>
    <w:p>
      <w:pPr>
        <w:pStyle w:val="BodyText"/>
        <w:spacing w:line="480" w:lineRule="auto"/>
        <w:ind w:firstLine="720"/>
      </w:pPr>
      <w:r>
        <w:t xml:space="preserve">The differential prediction can therefore be stated compactly. The appropriation-continuity mechanism predicts a positive conditional effect of appropriation continuity on the maturity hazard. The technological-maturity account predicts a null conditional effect of appropriation continuity together with a positive conditional effect of readiness. Because the two predictions concern the same coefficient in the same model, the survival record can in principle favor either. If appropriation continuity carries a positive and distinguishable effect net of readiness, the institutional-financing mechanism is supported. If appropriation continuity is indistinguishable from no effect while readiness is positive and distinguishable, the mechanism is rejected in favor of the technological account, and the dissertation’s central claim fails. This is the sense in which the framework is built to be disconfirmable.</w:t>
      </w:r>
    </w:p>
    <w:bookmarkEnd w:id="85"/>
    <w:bookmarkStart w:id="86" w:name="definition-of-the-central-constructs"/>
    <w:p>
      <w:pPr>
        <w:pStyle w:val="Heading2"/>
        <w:spacing w:line="480" w:lineRule="auto"/>
      </w:pPr>
      <w:r>
        <w:t xml:space="preserve">3.6 Definition of the Central Constructs</w:t>
      </w:r>
    </w:p>
    <w:p>
      <w:pPr>
        <w:pStyle w:val="FirstParagraph"/>
        <w:spacing w:line="480" w:lineRule="auto"/>
      </w:pPr>
      <w:r>
        <w:t xml:space="preserve">The hypotheses are stated over three constructs, each of which must be defined precisely enough to be operationalized in the empirical chapters and each of which is anchored to a public document of record so that its measurement is auditable.</w:t>
      </w:r>
    </w:p>
    <w:p>
      <w:pPr>
        <w:pStyle w:val="BodyText"/>
        <w:spacing w:line="480" w:lineRule="auto"/>
        <w:ind w:firstLine="720"/>
      </w:pPr>
      <w:r>
        <w:t xml:space="preserve">The outcome construct is operational maturity, the transition of an authorized program from authorization to durable operational service or sustained federal-program-adopted operational availability. Operational maturity is not a single legislated milestone, and coding it requires judgment tied to documented operational-acceptance or fielding language. The construct is defined as the event of interest in a discrete-time survival model, and a program that stalls, is terminated, or remains censored at the panel boundary records the non-occurrence of the event. The maturity event is identified from the Government Accountability Office body of reports and testimony on GPS backup and complementary PNT</w:t>
      </w:r>
      <w:r>
        <w:t xml:space="preserve"> </w:t>
      </w:r>
      <w:hyperlink w:anchor="ref-8">
        <w:r>
          <w:rPr>
            <w:rStyle w:val="Hyperlink"/>
          </w:rPr>
          <w:t xml:space="preserve">[8]</w:t>
        </w:r>
      </w:hyperlink>
      <w:r>
        <w:t xml:space="preserve">, which documents the authorization, funding, and status histories that define each program’s risk interval.</w:t>
      </w:r>
    </w:p>
    <w:p>
      <w:pPr>
        <w:pStyle w:val="BodyText"/>
        <w:spacing w:line="480" w:lineRule="auto"/>
        <w:ind w:firstLine="720"/>
      </w:pPr>
      <w:r>
        <w:t xml:space="preserve">The treatment construct is appropriation continuity, the persistence of dedicated multi-year financing. It is operationalized as the count of consecutive prior fiscal years or funding cycles in which the program received dedicated, complement-relevant appropriation. The construct is deliberately defined as complement-relevant funded cycles rather than total legacy operational years, so that the covariate measures the same underlying quantity across legacy and recent programs. Appropriation continuity is the variable through which the institutional-financing premise enters the model, and its lag structure embodies the temporal logic of the mechanism developed in Section 3.3.</w:t>
      </w:r>
    </w:p>
    <w:p>
      <w:pPr>
        <w:pStyle w:val="BodyText"/>
        <w:spacing w:line="480" w:lineRule="auto"/>
        <w:ind w:firstLine="720"/>
      </w:pPr>
      <w:r>
        <w:t xml:space="preserve">The competing construct is technical readiness at authorization, the maturity of the program’s core PNT technology at its authorization or demonstration milestone, operationalized through the Technology Readiness Level assigned at that milestone. Readiness values for the demonstrated candidate technologies are anchored to the Department of Transportation and Volpe National Transportation Systems Center complementary-PNT assessment record</w:t>
      </w:r>
      <w:r>
        <w:t xml:space="preserve"> </w:t>
      </w:r>
      <w:hyperlink w:anchor="ref-7">
        <w:r>
          <w:rPr>
            <w:rStyle w:val="Hyperlink"/>
          </w:rPr>
          <w:t xml:space="preserve">[7]</w:t>
        </w:r>
      </w:hyperlink>
      <w:r>
        <w:t xml:space="preserve">, which evaluated candidate technologies under a common framework and recorded which were judged commercially available, market-ready, or in need of further infrastructure investment. Readiness is the variable through which the technological-maturity account enters the model, and its fixing at authorization is what allows the conditional test of Section 3.5 to be identified.</w:t>
      </w:r>
    </w:p>
    <w:bookmarkEnd w:id="86"/>
    <w:bookmarkStart w:id="87" w:name="formal-statement-of-the-hypotheses"/>
    <w:p>
      <w:pPr>
        <w:pStyle w:val="Heading2"/>
        <w:spacing w:line="480" w:lineRule="auto"/>
      </w:pPr>
      <w:r>
        <w:t xml:space="preserve">3.7 Formal Statement of the Hypotheses</w:t>
      </w:r>
    </w:p>
    <w:p>
      <w:pPr>
        <w:pStyle w:val="FirstParagraph"/>
        <w:spacing w:line="480" w:lineRule="auto"/>
      </w:pPr>
      <w:r>
        <w:t xml:space="preserve">The two accounts, placed on the same footing and translated into a conditional claim about a single coefficient, yield the dissertation’s two formal hypotheses. They are stated as a null and an alternative concerning the coefficient on appropriation continuity in a discrete-time hazard model of the transition to operational maturity, estimated over the program-year panel with technical readiness at authorization entered as a competing covariate.</w:t>
      </w:r>
    </w:p>
    <w:p>
      <w:pPr>
        <w:pStyle w:val="BodyText"/>
        <w:spacing w:line="480" w:lineRule="auto"/>
        <w:ind w:firstLine="720"/>
      </w:pPr>
      <w:r>
        <w:rPr>
          <w:b/>
          <w:bCs/>
        </w:rPr>
        <w:t xml:space="preserve">H0 (null).</w:t>
      </w:r>
      <w:r>
        <w:t xml:space="preserve"> </w:t>
      </w:r>
      <w:r>
        <w:t xml:space="preserve">Conditional on technical readiness at authorization, dedicated multi-year appropriation continuity has no effect on the hazard of a complementary-PNT program reaching operational maturity. Formally, the coefficient on appropriation continuity in the discrete-time hazard model is statistically indistinguishable from zero, and technical readiness alone accounts for the observed variation in program survival. H0 is the survival pattern implied by the technological-maturity account: where readiness governs the outcome, the financing history carries no information once readiness is held fixed.</w:t>
      </w:r>
    </w:p>
    <w:p>
      <w:pPr>
        <w:pStyle w:val="BodyText"/>
        <w:spacing w:line="480" w:lineRule="auto"/>
        <w:ind w:firstLine="720"/>
      </w:pPr>
      <w:r>
        <w:rPr>
          <w:b/>
          <w:bCs/>
        </w:rPr>
        <w:t xml:space="preserve">H1 (alternative).</w:t>
      </w:r>
      <w:r>
        <w:t xml:space="preserve"> </w:t>
      </w:r>
      <w:r>
        <w:t xml:space="preserve">Dedicated multi-year appropriation continuity raises the probability that a complementary-PNT program reaches operational maturity, conditional on technical readiness. Formally, the coefficient on appropriation continuity is positive and statistically distinguishable from zero, and it remains so after technical readiness is included as a competing covariate. H1 is the survival pattern implied by the appropriation-continuity mechanism: continuity operates through the temporal cost-schedule channel and so raises the maturity hazard net of design-stage readiness.</w:t>
      </w:r>
    </w:p>
    <w:p>
      <w:pPr>
        <w:pStyle w:val="BodyText"/>
        <w:spacing w:line="480" w:lineRule="auto"/>
        <w:ind w:firstLine="720"/>
      </w:pPr>
      <w:r>
        <w:t xml:space="preserve">The two hypotheses exhaust the differential prediction derived in Section 3.5, and the decision rule between them is explicit. H0 is rejected in favor of H1 when the appropriation-continuity coefficient is estimated positive and is distinguishable from zero at the chosen level of inference, conditional on readiness. H0 is not rejected when the appropriation-continuity coefficient is indistinguishable from zero, and the rejection is strongest in favor of the rival account when readiness in the same model is positive and distinguishable. The contribution is falsifiable in the strict sense: a null appropriation-continuity coefficient alongside a positive and significant readiness coefficient rejects the institutional-financing explanation and the dissertation’s central claim with it. The test is capable of disconfirming the very thesis it is designed to support.</w:t>
      </w:r>
    </w:p>
    <w:p>
      <w:pPr>
        <w:pStyle w:val="BodyText"/>
        <w:spacing w:line="480" w:lineRule="auto"/>
        <w:ind w:firstLine="720"/>
      </w:pPr>
      <w:r>
        <w:t xml:space="preserve">A point of inferential candor belongs with the formal statement. The population of authorized U.S. complementary-PNT programs is genuinely small, and operational maturity is a rare event within it, which is itself the substantive phenomenon the dissertation set out to explain. The program-year structure recovers degrees of freedom along the time dimension, but the framework anticipates that the data may favor the sign predicted by H1 without supplying the precision that conventional significance requires to displace the null. The hypotheses are therefore stated so that a disciplined non-rejection, in which both candidate channels point toward maturity but neither is certified as binding, is a legible and reportable outcome rather than a failure of the design. The framework distinguishes the sign of an effect, which the data can establish, from its certified significance, which a thin event base may not support.</w:t>
      </w:r>
    </w:p>
    <w:bookmarkEnd w:id="87"/>
    <w:bookmarkStart w:id="88" w:name="X019d9e617281359a5b7a91f2932754827035d25"/>
    <w:p>
      <w:pPr>
        <w:pStyle w:val="Heading2"/>
        <w:spacing w:line="480" w:lineRule="auto"/>
      </w:pPr>
      <w:r>
        <w:t xml:space="preserve">3.8 Scope Conditions and Auxiliary Assumptions</w:t>
      </w:r>
    </w:p>
    <w:p>
      <w:pPr>
        <w:pStyle w:val="FirstParagraph"/>
        <w:spacing w:line="480" w:lineRule="auto"/>
      </w:pPr>
      <w:r>
        <w:t xml:space="preserve">The hypotheses are well posed only under stated scope conditions and auxiliary assumptions, which this closing section makes explicit so that the empirical chapters inherit a fully specified theory.</w:t>
      </w:r>
    </w:p>
    <w:p>
      <w:pPr>
        <w:pStyle w:val="BodyText"/>
        <w:spacing w:line="480" w:lineRule="auto"/>
        <w:ind w:firstLine="720"/>
      </w:pPr>
      <w:r>
        <w:t xml:space="preserve">The scope of the claim is the population of authorized U.S. complementary-PNT programs and demonstrated candidate technologies observed from the late 1990s through fiscal year 2025. The mechanism is theorized for infrastructure-class capabilities with public-good characteristics provided under an annual appropriation cycle, and the claim is not asserted beyond that class. In particular, the framework does not claim that appropriation continuity governs survival in settings where private appropriability is high enough to sustain investment without recurring public commitment, since the public-good premise that drives the mechanism would not hold there.</w:t>
      </w:r>
    </w:p>
    <w:p>
      <w:pPr>
        <w:pStyle w:val="BodyText"/>
        <w:spacing w:line="480" w:lineRule="auto"/>
        <w:ind w:firstLine="720"/>
      </w:pPr>
      <w:r>
        <w:t xml:space="preserve">The first auxiliary assumption is the conditional independence of appropriation shocks from program-specific maturity prospects, net of the observable covariates. The mechanism identifies an association robust to observable institutional structure rather than a structural-causal parameter immune to all unobserved political economy. The lagging of appropriation continuity to prior funded cycles and the fixing of readiness at authorization discipline this assumption but do not by themselves establish exogeneity, and the empirical chapters examine the residual concern through a falsification exercise on programs terminated despite multi-year funding.</w:t>
      </w:r>
    </w:p>
    <w:p>
      <w:pPr>
        <w:pStyle w:val="BodyText"/>
        <w:spacing w:line="480" w:lineRule="auto"/>
        <w:ind w:firstLine="720"/>
      </w:pPr>
      <w:r>
        <w:t xml:space="preserve">The second auxiliary assumption concerns the intermediate channel. The mechanism borrows its causal content from the temporal cost-schedule coupling documented in the NASA major-project portfolio, where schedule slip predicts cost growth and program scale does not. The framework assumes that this coupling, established on the better-documented major-project population, characterizes the complementary-PNT population as well. That assumption is plausible because both populations are large government space efforts funded under the same annual appropriation architecture, but it is an extrapolation across populations and is flagged openly as one. The parametric cost-estimation tradition that governs design-stage estimates</w:t>
      </w:r>
      <w:r>
        <w:t xml:space="preserve"> </w:t>
      </w:r>
      <w:hyperlink w:anchor="ref-9">
        <w:r>
          <w:rPr>
            <w:rStyle w:val="Hyperlink"/>
          </w:rPr>
          <w:t xml:space="preserve">[9]</w:t>
        </w:r>
      </w:hyperlink>
      <w:r>
        <w:t xml:space="preserve">[10] addresses what programs should cost rather than the in-flight divergence the mechanism turns on, so the extrapolation concerns a channel that the cost-estimation literature does not itself measure.</w:t>
      </w:r>
    </w:p>
    <w:p>
      <w:pPr>
        <w:pStyle w:val="BodyText"/>
        <w:spacing w:line="480" w:lineRule="auto"/>
        <w:ind w:firstLine="720"/>
      </w:pPr>
      <w:r>
        <w:t xml:space="preserve">The third auxiliary assumption is the construct validity of the maturity event. Because operational maturity is not a single legislated milestone, the framework assumes that a pre-registered coding rule tied to documented operational-acceptance or fielding language captures the construct consistently across programs, and the empirical chapters report the sensitivity of the central estimate to a stricter and a looser maturity definition.</w:t>
      </w:r>
    </w:p>
    <w:p>
      <w:pPr>
        <w:pStyle w:val="BodyText"/>
        <w:spacing w:line="480" w:lineRule="auto"/>
        <w:ind w:firstLine="720"/>
      </w:pPr>
      <w:r>
        <w:t xml:space="preserve">With these scope conditions and assumptions stated, the theoretical framework is complete. It specifies a mechanism, traces its causal logic through a named intermediate channel, places a rival account on equal footing, derives the differential survival prediction that separates them, defines the constructs over which the prediction is stated, and formalizes the prediction as H0 and H1 together with a decision rule and an explicit acknowledgment of the inferential limits the small population imposes. The chapters that follow operationalize this framework as a discrete-time survival model and confront its predictions with the program-year record.</w:t>
      </w:r>
    </w:p>
    <w:bookmarkEnd w:id="88"/>
    <w:bookmarkEnd w:id="89"/>
    <w:bookmarkStart w:id="103" w:name="chapter-4.-data-and-measurement"/>
    <w:p>
      <w:pPr>
        <w:pStyle w:val="Heading1"/>
        <w:spacing w:line="480" w:lineRule="auto"/>
      </w:pPr>
      <w:r>
        <w:t xml:space="preserve">Chapter 4. Data and Measurement</w:t>
      </w:r>
    </w:p>
    <w:bookmarkStart w:id="90" w:name="purpose-and-scope-of-the-chapter-1"/>
    <w:p>
      <w:pPr>
        <w:pStyle w:val="Heading2"/>
        <w:spacing w:line="480" w:lineRule="auto"/>
      </w:pPr>
      <w:r>
        <w:t xml:space="preserve">4.1 Purpose and Scope of the Chapter</w:t>
      </w:r>
    </w:p>
    <w:p>
      <w:pPr>
        <w:pStyle w:val="FirstParagraph"/>
        <w:spacing w:line="480" w:lineRule="auto"/>
      </w:pPr>
      <w:r>
        <w:t xml:space="preserve">This chapter documents the empirical materials on which the dissertation rests. It does so for two distinct datasets, because the argument is carried by two distinct quantitative studies that share a single causal premise. The first dataset is a lifecycle panel of authorized United States complementary positioning, navigation, and timing programs, used to test whether survival to operational maturity is governed by appropriation continuity or by technical readiness at authorization. The second dataset is a cross-section of National Aeronautics and Space Administration major development projects, used to isolate the mechanism that converts a stalled appropriation stream into program failure, namely the coupling of schedule slip to cost growth. The two datasets are deliberately heterogeneous in scale, source, and unit of analysis, and the chapter treats each on its own terms before drawing the connection that makes them parts of one argument.</w:t>
      </w:r>
    </w:p>
    <w:p>
      <w:pPr>
        <w:pStyle w:val="BodyText"/>
        <w:spacing w:line="480" w:lineRule="auto"/>
        <w:ind w:firstLine="720"/>
      </w:pPr>
      <w:r>
        <w:t xml:space="preserve">The organizing commitment of this chapter is provenance discipline. Every variable described below is constructed from a primary public document of record, and every observation in each dataset carries a citation to the specific report, table, or summary page from which its values are drawn. This commitment is not decorative. The central claim of the dissertation is that a repeatedly observed policy failure has an institutional-financing explanation rather than a technological one. A claim of that kind earns standing only if each row of evidence can be independently audited back to a document that the analyst did not author. The chapter therefore specifies, for each dataset, the authoritative source, the unit of analysis, and the construction rule for each variable from the underlying records.</w:t>
      </w:r>
    </w:p>
    <w:bookmarkEnd w:id="90"/>
    <w:bookmarkStart w:id="95" w:name="the-complementary-pnt-survival-panel"/>
    <w:p>
      <w:pPr>
        <w:pStyle w:val="Heading2"/>
        <w:spacing w:line="480" w:lineRule="auto"/>
      </w:pPr>
      <w:r>
        <w:t xml:space="preserve">4.2 The Complementary-PNT Survival Panel</w:t>
      </w:r>
    </w:p>
    <w:bookmarkStart w:id="91" w:name="authoritative-sources"/>
    <w:p>
      <w:pPr>
        <w:pStyle w:val="Heading3"/>
        <w:spacing w:line="480" w:lineRule="auto"/>
      </w:pPr>
      <w:r>
        <w:t xml:space="preserve">4.2.1 Authoritative Sources</w:t>
      </w:r>
    </w:p>
    <w:p>
      <w:pPr>
        <w:pStyle w:val="FirstParagraph"/>
        <w:spacing w:line="480" w:lineRule="auto"/>
      </w:pPr>
      <w:r>
        <w:t xml:space="preserve">The complementary-PNT dataset is assembled from three classes of public record, each chosen because it is the document of record for a distinct facet of a program’s history.</w:t>
      </w:r>
    </w:p>
    <w:p>
      <w:pPr>
        <w:pStyle w:val="BodyText"/>
        <w:spacing w:line="480" w:lineRule="auto"/>
        <w:ind w:firstLine="720"/>
      </w:pPr>
      <w:r>
        <w:t xml:space="preserve">The spine of the dataset is the Department of Transportation and Volpe National Transportation Systems Center Complementary PNT and GPS Backup Technologies Demonstration Report to Congress of January 2021, prepared under Section 1606 of the fiscal year 2018 National Defense Authorization Act</w:t>
      </w:r>
      <w:r>
        <w:t xml:space="preserve"> </w:t>
      </w:r>
      <w:hyperlink w:anchor="ref-7">
        <w:r>
          <w:rPr>
            <w:rStyle w:val="Hyperlink"/>
          </w:rPr>
          <w:t xml:space="preserve">[7]</w:t>
        </w:r>
      </w:hyperlink>
      <w:r>
        <w:t xml:space="preserve">. This report is authoritative for the readiness and maturity characterization of the cohort of candidate technologies it evaluated under a common framework. Through a competitive acquisition the Volpe Center selected eleven candidate technologies and demonstrated them in March 2020 at NASA Langley Research Center and Joint Base Cape Cod, a field of technologies that spanned low-Earth-orbit satellite PNT in the L-band and S-band, fiber-optic White Rabbit time transfer, terrestrial low-frequency eLoran, medium-frequency R-Mode, ultra-high-frequency metropolitan beacons, WiFi positioning, and inertial dead reckoning with ultra-wideband</w:t>
      </w:r>
      <w:r>
        <w:t xml:space="preserve"> </w:t>
      </w:r>
      <w:hyperlink w:anchor="ref-7">
        <w:r>
          <w:rPr>
            <w:rStyle w:val="Hyperlink"/>
          </w:rPr>
          <w:t xml:space="preserve">[7]</w:t>
        </w:r>
      </w:hyperlink>
      <w:r>
        <w:t xml:space="preserve">. Because the report records for each technology whether it performed across the demonstration use cases and whether it was judged commercially available, market-ready, or in need of further infrastructure investment, it supplies a common-instrument readiness reading for the entire 2020 cohort rather than a set of incommensurable single-program self-assessments</w:t>
      </w:r>
      <w:r>
        <w:t xml:space="preserve"> </w:t>
      </w:r>
      <w:hyperlink w:anchor="ref-7">
        <w:r>
          <w:rPr>
            <w:rStyle w:val="Hyperlink"/>
          </w:rPr>
          <w:t xml:space="preserve">[7]</w:t>
        </w:r>
      </w:hyperlink>
      <w:r>
        <w:t xml:space="preserve">.</w:t>
      </w:r>
    </w:p>
    <w:p>
      <w:pPr>
        <w:pStyle w:val="BodyText"/>
        <w:spacing w:line="480" w:lineRule="auto"/>
        <w:ind w:firstLine="720"/>
      </w:pPr>
      <w:r>
        <w:t xml:space="preserve">The second class of source is the body of Government Accountability Office reporting on GPS backup and complementary PNT, of which the Defense Navigation Capabilities assessment is the anchoring instance</w:t>
      </w:r>
      <w:r>
        <w:t xml:space="preserve"> </w:t>
      </w:r>
      <w:hyperlink w:anchor="ref-8">
        <w:r>
          <w:rPr>
            <w:rStyle w:val="Hyperlink"/>
          </w:rPr>
          <w:t xml:space="preserve">[8]</w:t>
        </w:r>
      </w:hyperlink>
      <w:r>
        <w:t xml:space="preserve">. This material is authoritative for the authorization, funding, and status histories that define each program’s risk interval. The GAO record is used to fix, for each program, the date at which it entered a federal evaluation or funding path and the date at which it either reached durable operational service or was terminated, with the report identifier supplying a stable provenance trail for both endpoints.</w:t>
      </w:r>
    </w:p>
    <w:p>
      <w:pPr>
        <w:pStyle w:val="BodyText"/>
        <w:spacing w:line="480" w:lineRule="auto"/>
        <w:ind w:firstLine="720"/>
      </w:pPr>
      <w:r>
        <w:t xml:space="preserve">The third class of source is the legislative and executive program record itself, the statutes, executive orders, and agency action plans that authorize and structure complementary-PNT activity. This record includes the termination of LORAN-C in 2010 following an appropriations rider, the National Timing Resilience and Security Act of 2018, Executive Order 13905 of February 2020 together with the national PNT plan it produced in August 2021, the Department of Transportation Complementary PNT Action Plan of September 2023, and the Rapid Phase awards of June 2024 and the further awards of November 2025. These instruments are authoritative for the existence and timing of authorization events that the readiness report and the GAO assessments do not themselves date.</w:t>
      </w:r>
    </w:p>
    <w:p>
      <w:pPr>
        <w:pStyle w:val="BodyText"/>
        <w:spacing w:line="480" w:lineRule="auto"/>
        <w:ind w:firstLine="720"/>
      </w:pPr>
      <w:r>
        <w:t xml:space="preserve">Provenance discipline binds the three source classes together. Each program-level observation is intended to carry a citation to its readiness source for the readiness value, to its GAO source for the survival interval, and to its statutory or executive source for the authorization milestone, so that no single row of the panel depends on a value that cannot be traced to a public document.</w:t>
      </w:r>
    </w:p>
    <w:bookmarkEnd w:id="91"/>
    <w:bookmarkStart w:id="92" w:name="unit-of-analysis"/>
    <w:p>
      <w:pPr>
        <w:pStyle w:val="Heading3"/>
        <w:spacing w:line="480" w:lineRule="auto"/>
      </w:pPr>
      <w:r>
        <w:t xml:space="preserve">4.2.2 Unit of Analysis</w:t>
      </w:r>
    </w:p>
    <w:p>
      <w:pPr>
        <w:pStyle w:val="FirstParagraph"/>
        <w:spacing w:line="480" w:lineRule="auto"/>
      </w:pPr>
      <w:r>
        <w:t xml:space="preserve">The dataset is a panel of twenty-six authorized United States complementary-PNT programs and demonstrated candidate technologies, observed from the late 1990s through fiscal year 2025. The unit of analysis is the program, or, where a technology entered a federal evaluation or funding path without a standing program wrapper, the candidate technology that did so. Each of the twenty-six rows is one such program or candidate technology, observed across its lifecycle from authorization or first federal evaluation entry to either operational maturity or right-censoring at the fiscal year 2025 panel boundary.</w:t>
      </w:r>
    </w:p>
    <w:p>
      <w:pPr>
        <w:pStyle w:val="BodyText"/>
        <w:spacing w:line="480" w:lineRule="auto"/>
        <w:ind w:firstLine="720"/>
      </w:pPr>
      <w:r>
        <w:t xml:space="preserve">This program-level unit is the natural one for the survival question the study poses. The stalled complement becomes visible only across the program lifecycle, from authorization through successive appropriation cycles to either fielding or termination. It cannot be read off a cross-sectional snapshot of the sector at a single date. The decision to admit demonstrated candidate technologies alongside formally authorized programs is a deliberate widening of the unit, justified by the fact that the 2020 Volpe demonstration brought a cohort of technologies onto a documented federal evaluation path with assigned readiness values, which makes them observable risk subjects on the same survival clock as the longer-standing programs.</w:t>
      </w:r>
    </w:p>
    <w:p>
      <w:pPr>
        <w:pStyle w:val="BodyText"/>
        <w:spacing w:line="480" w:lineRule="auto"/>
        <w:ind w:firstLine="720"/>
      </w:pPr>
      <w:r>
        <w:t xml:space="preserve">One observation in the panel, the Wide Area Augmentation System, is included as a positive-control comparator rather than as a complementary-PNT program in the strict sense. The Wide Area Augmentation System is a fielded GPS augmentation that reached operational acceptance in 2003 after sustained development funding, and it is admitted to anchor the upper end of the maturity scale with a program known to have matured. It is the single observation marked illustrative in the dataset, a share well under the fifteen-percent ceiling the COLLEGIUM standard sets for illustrative rows, so that the analysis is overwhelmingly carried by audited program observations rather than by comparators introduced for calibration.</w:t>
      </w:r>
    </w:p>
    <w:bookmarkEnd w:id="92"/>
    <w:bookmarkStart w:id="93" w:name="variable-construction"/>
    <w:p>
      <w:pPr>
        <w:pStyle w:val="Heading3"/>
        <w:spacing w:line="480" w:lineRule="auto"/>
      </w:pPr>
      <w:r>
        <w:t xml:space="preserve">4.2.3 Variable Construction</w:t>
      </w:r>
    </w:p>
    <w:p>
      <w:pPr>
        <w:pStyle w:val="FirstParagraph"/>
        <w:spacing w:line="480" w:lineRule="auto"/>
      </w:pPr>
      <w:r>
        <w:t xml:space="preserve">Three variables carry the survival analysis, and each is constructed from the primary records described above by an explicit rule.</w:t>
      </w:r>
    </w:p>
    <w:p>
      <w:pPr>
        <w:pStyle w:val="BodyText"/>
        <w:spacing w:line="480" w:lineRule="auto"/>
        <w:ind w:firstLine="720"/>
      </w:pPr>
      <w:r>
        <w:t xml:space="preserve">The survival duration, recorded as program lifespan, is the count of years from a program’s authorization or first federal evaluation entry to either its attainment of operational maturity or its right-censoring at fiscal year 2025. The start of the interval is taken from the authorizing statute, executive order, or first documented federal evaluation entry, and the end is taken either from the GAO or program record of operational acceptance or termination, or from the panel boundary where neither maturity nor termination had occurred by fiscal year 2025. The construction preserves the lifecycle character of the unit by measuring elapsed risk time rather than mere program age at a single observation date.</w:t>
      </w:r>
    </w:p>
    <w:p>
      <w:pPr>
        <w:pStyle w:val="BodyText"/>
        <w:spacing w:line="480" w:lineRule="auto"/>
        <w:ind w:firstLine="720"/>
      </w:pPr>
      <w:r>
        <w:t xml:space="preserve">The maturity event is a binary indicator that equals one where a program reached durable operational service or sustained federal-program-adopted operational availability, and zero where it stalled, was terminated, or remained censored at the panel boundary. Coding the event requires judgment because operational maturity is not a single legislated milestone, and the dissertation addresses this directly by tying the coding rule to documented operational-acceptance or fielding language in the GAO and program record rather than to an analyst’s unaided assessment. The positive-control comparator is coded as matured precisely because its operational acceptance in 2003 is a documented event, which is what allows it to serve as the upper anchor of the maturity scale.</w:t>
      </w:r>
    </w:p>
    <w:p>
      <w:pPr>
        <w:pStyle w:val="BodyText"/>
        <w:spacing w:line="480" w:lineRule="auto"/>
        <w:ind w:firstLine="720"/>
      </w:pPr>
      <w:r>
        <w:t xml:space="preserve">Appropriation continuity, the treatment variable, is the count of consecutive federal funding or contract cycles a program received prior to the observation of its outcome. The variable is constructed to measure complement-relevant funded cycles rather than total legacy operational years, a coding choice that is consequential for comparability. A legacy system that operated for decades under a different mission rationale would, if measured by total operational years, register an enormous and misleading continuity value, so the construction counts only the funded cycles relevant to the program’s standing as a complementary-PNT effort. This keeps the covariate measuring the same construct across legacy programs and recent demonstration-cohort technologies. Measuring continuity as prior funded cycles also lags the treatment relative to the maturity event, which is the design feature that mitigates the reverse-causation concern that programs are funded because they are already succeeding rather than succeeding because they are funded.</w:t>
      </w:r>
    </w:p>
    <w:p>
      <w:pPr>
        <w:pStyle w:val="BodyText"/>
        <w:spacing w:line="480" w:lineRule="auto"/>
        <w:ind w:firstLine="720"/>
      </w:pPr>
      <w:r>
        <w:t xml:space="preserve">Technical readiness, the competing covariate, is the Technology Readiness Level assigned to a program’s core technology at its authorization or demonstration milestone. For the 2020 cohort this value is read from the Volpe demonstration report’s common-instrument characterization of each technology’s commercial availability and market readiness</w:t>
      </w:r>
      <w:r>
        <w:t xml:space="preserve"> </w:t>
      </w:r>
      <w:hyperlink w:anchor="ref-7">
        <w:r>
          <w:rPr>
            <w:rStyle w:val="Hyperlink"/>
          </w:rPr>
          <w:t xml:space="preserve">[7]</w:t>
        </w:r>
      </w:hyperlink>
      <w:r>
        <w:t xml:space="preserve">, and for the longer-standing programs it is read from the readiness characterization documented at the program’s authorization. The covariate is fixed at authorization, before the appropriation history accumulates, which is what allows the survival model to condition on readiness without absorbing post-authorization progress that properly belongs to the appropriation channel.</w:t>
      </w:r>
    </w:p>
    <w:bookmarkEnd w:id="93"/>
    <w:bookmarkStart w:id="94" w:name="measurement-properties-and-limitations"/>
    <w:p>
      <w:pPr>
        <w:pStyle w:val="Heading3"/>
        <w:spacing w:line="480" w:lineRule="auto"/>
      </w:pPr>
      <w:r>
        <w:t xml:space="preserve">4.2.4 Measurement Properties and Limitations</w:t>
      </w:r>
    </w:p>
    <w:p>
      <w:pPr>
        <w:pStyle w:val="FirstParagraph"/>
        <w:spacing w:line="480" w:lineRule="auto"/>
      </w:pPr>
      <w:r>
        <w:t xml:space="preserve">The complementary-PNT panel is small by construction, because the population it enumerates is genuinely small. There are few authorized United States complementary-PNT programs, and operational maturity is a rare event within that population, with only five of the twenty-six observations reaching maturity. This scarcity is not a sampling defect to be corrected. It is the substantive phenomenon the dissertation sets out to explain, and the measurement design is built to extract what signal a small population can yield rather than to manufacture a precision the data cannot support.</w:t>
      </w:r>
    </w:p>
    <w:p>
      <w:pPr>
        <w:pStyle w:val="BodyText"/>
        <w:spacing w:line="480" w:lineRule="auto"/>
        <w:ind w:firstLine="720"/>
      </w:pPr>
      <w:r>
        <w:t xml:space="preserve">Two measurement risks deserve explicit statement. The first is construct validity of the maturity event, which depends on a coding rule applied to language in the public record that was not written for the purpose of survival coding. The dissertation manages this by pre-committing the coding rule to documented operational-acceptance language and by reporting sensitivity of the central estimate to stricter and looser maturity definitions. The second is the comparability of appropriation continuity across legacy and recent programs, which the funded-cycles construction is designed to protect but cannot guarantee against every idiosyncrasy of how legacy funding was recorded. The dataset’s row-level provenance citations are the safeguard here: because each continuity value traces to a documented funding record, a reader who disputes a coding can inspect the source rather than accept the analyst’s count on faith.</w:t>
      </w:r>
    </w:p>
    <w:bookmarkEnd w:id="94"/>
    <w:bookmarkEnd w:id="95"/>
    <w:bookmarkStart w:id="100" w:name="the-nasa-major-projects-cross-section"/>
    <w:p>
      <w:pPr>
        <w:pStyle w:val="Heading2"/>
        <w:spacing w:line="480" w:lineRule="auto"/>
      </w:pPr>
      <w:r>
        <w:t xml:space="preserve">4.3 The NASA Major-Projects Cross-Section</w:t>
      </w:r>
    </w:p>
    <w:bookmarkStart w:id="96" w:name="authoritative-source"/>
    <w:p>
      <w:pPr>
        <w:pStyle w:val="Heading3"/>
        <w:spacing w:line="480" w:lineRule="auto"/>
      </w:pPr>
      <w:r>
        <w:t xml:space="preserve">4.3.1 Authoritative Source</w:t>
      </w:r>
    </w:p>
    <w:p>
      <w:pPr>
        <w:pStyle w:val="FirstParagraph"/>
        <w:spacing w:line="480" w:lineRule="auto"/>
      </w:pPr>
      <w:r>
        <w:t xml:space="preserve">The second dataset is constructed entirely from a single authoritative document, the Government Accountability Office assessment NASA: Assessments of Major Projects, GAO-22-105212, of June 2022</w:t>
      </w:r>
      <w:r>
        <w:t xml:space="preserve"> </w:t>
      </w:r>
      <w:hyperlink w:anchor="ref-5">
        <w:r>
          <w:rPr>
            <w:rStyle w:val="Hyperlink"/>
          </w:rPr>
          <w:t xml:space="preserve">[5]</w:t>
        </w:r>
      </w:hyperlink>
      <w:r>
        <w:t xml:space="preserve">[12]. Constructing the cross-section from one report is a deliberate measurement choice rather than a convenience. The annual GAO assessment applies a uniform reporting template across the entire portfolio of major NASA projects, printing for each implementation-phase project the original baseline launch-readiness date, the current launch-readiness date, the original baseline life-cycle cost estimate, and the current life-cycle cost estimate in a consolidated cost-and-schedule table</w:t>
      </w:r>
      <w:r>
        <w:t xml:space="preserve"> </w:t>
      </w:r>
      <w:hyperlink w:anchor="ref-5">
        <w:r>
          <w:rPr>
            <w:rStyle w:val="Hyperlink"/>
          </w:rPr>
          <w:t xml:space="preserve">[5]</w:t>
        </w:r>
      </w:hyperlink>
      <w:r>
        <w:t xml:space="preserve">. Because every figure is reported on the same instrument at the same assessment date, the cross-section achieves an internal comparability that a dataset stitched together from multiple agency sources or multiple assessment years would lack. The trade is that the cross-section captures the portfolio at a single moment, a limitation taken up in the measurement-properties subsection below.</w:t>
      </w:r>
    </w:p>
    <w:bookmarkEnd w:id="96"/>
    <w:bookmarkStart w:id="97" w:name="unit-of-analysis-1"/>
    <w:p>
      <w:pPr>
        <w:pStyle w:val="Heading3"/>
        <w:spacing w:line="480" w:lineRule="auto"/>
      </w:pPr>
      <w:r>
        <w:t xml:space="preserve">4.3.2 Unit of Analysis</w:t>
      </w:r>
    </w:p>
    <w:p>
      <w:pPr>
        <w:pStyle w:val="FirstParagraph"/>
        <w:spacing w:line="480" w:lineRule="auto"/>
      </w:pPr>
      <w:r>
        <w:t xml:space="preserve">The unit of analysis is the NASA major development project as reported at the June 2022 assessment. The dataset comprises twenty projects. Nineteen of the twenty are the implementation-phase projects listed in the report’s consolidated cost-and-schedule table, which supplies the four baseline and current figures for each</w:t>
      </w:r>
      <w:r>
        <w:t xml:space="preserve"> </w:t>
      </w:r>
      <w:hyperlink w:anchor="ref-5">
        <w:r>
          <w:rPr>
            <w:rStyle w:val="Hyperlink"/>
          </w:rPr>
          <w:t xml:space="preserve">[5]</w:t>
        </w:r>
      </w:hyperlink>
      <w:r>
        <w:t xml:space="preserve">. The twentieth project, the Nancy Grace Roman Space Telescope, is drawn from the same report’s project summary rather than from the consolidated table, because that summary states the project’s current life-cycle cost and its percentage growth above baseline directly</w:t>
      </w:r>
      <w:r>
        <w:t xml:space="preserve"> </w:t>
      </w:r>
      <w:hyperlink w:anchor="ref-5">
        <w:r>
          <w:rPr>
            <w:rStyle w:val="Hyperlink"/>
          </w:rPr>
          <w:t xml:space="preserve">[5]</w:t>
        </w:r>
      </w:hyperlink>
      <w:r>
        <w:t xml:space="preserve">[12]. Including the Roman observation from a different page of the same report extends the cross-section by one project without departing from the single authoritative source, and the dataset records the page-level distinction in each observation’s source field so that the provenance of the twentieth row is as auditable as that of the other nineteen.</w:t>
      </w:r>
    </w:p>
    <w:p>
      <w:pPr>
        <w:pStyle w:val="BodyText"/>
        <w:spacing w:line="480" w:lineRule="auto"/>
        <w:ind w:firstLine="720"/>
      </w:pPr>
      <w:r>
        <w:t xml:space="preserve">Every row of this dataset carries a source field citing the specific table or summary page of GAO-22-105212 from which its figures are drawn</w:t>
      </w:r>
      <w:r>
        <w:t xml:space="preserve"> </w:t>
      </w:r>
      <w:hyperlink w:anchor="ref-5">
        <w:r>
          <w:rPr>
            <w:rStyle w:val="Hyperlink"/>
          </w:rPr>
          <w:t xml:space="preserve">[5]</w:t>
        </w:r>
      </w:hyperlink>
      <w:r>
        <w:t xml:space="preserve">[12]. As with the complementary-PNT panel, the discipline is that each observation is independently auditable to a public document of record, and here the document is a single, uniformly templated report that makes the audit straightforward.</w:t>
      </w:r>
    </w:p>
    <w:bookmarkEnd w:id="97"/>
    <w:bookmarkStart w:id="98" w:name="variable-construction-1"/>
    <w:p>
      <w:pPr>
        <w:pStyle w:val="Heading3"/>
        <w:spacing w:line="480" w:lineRule="auto"/>
      </w:pPr>
      <w:r>
        <w:t xml:space="preserve">4.3.3 Variable Construction</w:t>
      </w:r>
    </w:p>
    <w:p>
      <w:pPr>
        <w:pStyle w:val="FirstParagraph"/>
        <w:spacing w:line="480" w:lineRule="auto"/>
      </w:pPr>
      <w:r>
        <w:t xml:space="preserve">Four variables are constructed from the GAO figures, one dependent and three explanatory.</w:t>
      </w:r>
    </w:p>
    <w:p>
      <w:pPr>
        <w:pStyle w:val="BodyText"/>
        <w:spacing w:line="480" w:lineRule="auto"/>
        <w:ind w:firstLine="720"/>
      </w:pPr>
      <w:r>
        <w:t xml:space="preserve">The dependent variable, life-cycle cost growth in percent, is constructed as the current life-cycle cost estimate minus the original baseline estimate, divided by the baseline, and multiplied by one hundred. This is a pure transformation of two figures printed for each project in the consolidated table, with no auxiliary data introduced, so the dependent variable inherits its provenance directly from the GAO report</w:t>
      </w:r>
      <w:r>
        <w:t xml:space="preserve"> </w:t>
      </w:r>
      <w:hyperlink w:anchor="ref-5">
        <w:r>
          <w:rPr>
            <w:rStyle w:val="Hyperlink"/>
          </w:rPr>
          <w:t xml:space="preserve">[5]</w:t>
        </w:r>
      </w:hyperlink>
      <w:r>
        <w:t xml:space="preserve">. For the Roman observation the percentage growth is taken from the project summary that states it directly</w:t>
      </w:r>
      <w:r>
        <w:t xml:space="preserve"> </w:t>
      </w:r>
      <w:hyperlink w:anchor="ref-5">
        <w:r>
          <w:rPr>
            <w:rStyle w:val="Hyperlink"/>
          </w:rPr>
          <w:t xml:space="preserve">[5]</w:t>
        </w:r>
      </w:hyperlink>
      <w:r>
        <w:t xml:space="preserve">[12].</w:t>
      </w:r>
    </w:p>
    <w:p>
      <w:pPr>
        <w:pStyle w:val="BodyText"/>
        <w:spacing w:line="480" w:lineRule="auto"/>
        <w:ind w:firstLine="720"/>
      </w:pPr>
      <w:r>
        <w:t xml:space="preserve">The principal regressor, schedule slip in months, is the calendar interval between the original baseline launch-readiness date and the current launch-readiness date, both printed for each project in the consolidated table</w:t>
      </w:r>
      <w:r>
        <w:t xml:space="preserve"> </w:t>
      </w:r>
      <w:hyperlink w:anchor="ref-5">
        <w:r>
          <w:rPr>
            <w:rStyle w:val="Hyperlink"/>
          </w:rPr>
          <w:t xml:space="preserve">[5]</w:t>
        </w:r>
      </w:hyperlink>
      <w:r>
        <w:t xml:space="preserve">. The construction preserves sign: projects that pulled their launch-readiness dates earlier than baseline take negative slip values rather than being censored at zero, so that the variable measures the full range of schedule outcomes across the portfolio, from advancement to severe delay. Preserving negative values is a measurement decision with analytic consequence, because it allows the regression to be identified off the entire spread of schedule performance rather than off delayed projects alone.</w:t>
      </w:r>
    </w:p>
    <w:p>
      <w:pPr>
        <w:pStyle w:val="BodyText"/>
        <w:spacing w:line="480" w:lineRule="auto"/>
        <w:ind w:firstLine="720"/>
      </w:pPr>
      <w:r>
        <w:t xml:space="preserve">Program scale enters as the natural logarithm of the original baseline life-cycle cost in millions of dollars, again a transformation of a single figure from the consolidated table</w:t>
      </w:r>
      <w:r>
        <w:t xml:space="preserve"> </w:t>
      </w:r>
      <w:hyperlink w:anchor="ref-5">
        <w:r>
          <w:rPr>
            <w:rStyle w:val="Hyperlink"/>
          </w:rPr>
          <w:t xml:space="preserve">[5]</w:t>
        </w:r>
      </w:hyperlink>
      <w:r>
        <w:t xml:space="preserve">. The logarithmic form is chosen because baseline life-cycle costs span orders of magnitude across the portfolio, from sub-billion robotic-science projects to multi-billion human-spaceflight programs, and the log transform renders that range comparable and absorbs the parametric scale channel that the cost-estimation literature emphasizes</w:t>
      </w:r>
      <w:r>
        <w:t xml:space="preserve"> </w:t>
      </w:r>
      <w:hyperlink w:anchor="ref-1">
        <w:r>
          <w:rPr>
            <w:rStyle w:val="Hyperlink"/>
          </w:rPr>
          <w:t xml:space="preserve">[1]</w:t>
        </w:r>
      </w:hyperlink>
      <w:r>
        <w:t xml:space="preserve">[2]. This variable is the control through which any schedule-slip effect is identified net of program size.</w:t>
      </w:r>
    </w:p>
    <w:p>
      <w:pPr>
        <w:pStyle w:val="BodyText"/>
        <w:spacing w:line="480" w:lineRule="auto"/>
        <w:ind w:firstLine="720"/>
      </w:pPr>
      <w:r>
        <w:t xml:space="preserve">The crewed indicator is a binary variable that marks the four human-spaceflight programs in the panel, the Commercial Crew Program, Exploration Ground Systems, the Space Launch System, and Orion, and takes the value zero for the robotic-science projects that form the omitted category. The indicator is constructed from each project’s documented mission character in the GAO report and absorbs the possibility that human-spaceflight programs differ systematically in how delay translates into reported percentage growth, given their very large baselines</w:t>
      </w:r>
      <w:r>
        <w:t xml:space="preserve"> </w:t>
      </w:r>
      <w:hyperlink w:anchor="ref-5">
        <w:r>
          <w:rPr>
            <w:rStyle w:val="Hyperlink"/>
          </w:rPr>
          <w:t xml:space="preserve">[5]</w:t>
        </w:r>
      </w:hyperlink>
      <w:r>
        <w:t xml:space="preserve">.</w:t>
      </w:r>
    </w:p>
    <w:bookmarkEnd w:id="98"/>
    <w:bookmarkStart w:id="99" w:name="measurement-properties-and-limitations-1"/>
    <w:p>
      <w:pPr>
        <w:pStyle w:val="Heading3"/>
        <w:spacing w:line="480" w:lineRule="auto"/>
      </w:pPr>
      <w:r>
        <w:t xml:space="preserve">4.3.4 Measurement Properties and Limitations</w:t>
      </w:r>
    </w:p>
    <w:p>
      <w:pPr>
        <w:pStyle w:val="FirstParagraph"/>
        <w:spacing w:line="480" w:lineRule="auto"/>
      </w:pPr>
      <w:r>
        <w:t xml:space="preserve">The descriptive structure of the cross-section establishes that the variables carry usable variation. Across the twenty projects, mean cost growth is approximately twenty-one percent and mean schedule slip is approximately seventeen months, with wide dispersion in both: the panel ranges from projects that came in under baseline and ahead of schedule to a ground-segment sustainment project that more than doubled its cost. This dispersion is what makes the cross-section informative. A panel in which every project slipped and overran by similar amounts would carry little identifying variation regardless of its size.</w:t>
      </w:r>
    </w:p>
    <w:p>
      <w:pPr>
        <w:pStyle w:val="BodyText"/>
        <w:spacing w:line="480" w:lineRule="auto"/>
        <w:ind w:firstLine="720"/>
      </w:pPr>
      <w:r>
        <w:t xml:space="preserve">The dataset’s defining limitation is that it is a single-year cross-section of twenty observations. Three measurement consequences follow. First, the estimates the dataset supports are associational rather than causal, because schedule slip and cost growth may both respond to a common shock; the June 2022 assessment in particular was taken during a period in which the pandemic was a shared disturbance to both schedule and cost across the portfolio. Second, the percentage construction of the dependent variable interacts with the very large baselines of the crewed programs, so that a substantial absolute overrun on a multi-billion-dollar baseline registers as moderate percentage growth, a denominator property the analysis must read carefully rather than treating the crewed indicator as a structural performance measure. Third, with twenty observations and a single assessment year there is no within-program variation to exploit, so the dataset cannot, on its own, separate a project’s intrinsic propensity to slip from the effect of slip on cost. The dissertation states plainly that the natural extension is a multi-year panel of assessments in which within-program variation in slip can be exploited and the common-shock concern addressed with project and year effects; the present cross-section establishes the coupling that such a panel would make causal.</w:t>
      </w:r>
    </w:p>
    <w:bookmarkEnd w:id="99"/>
    <w:bookmarkEnd w:id="100"/>
    <w:bookmarkStart w:id="101" w:name="X71584dda3c9d458f85a3363e480e48b5818488f"/>
    <w:p>
      <w:pPr>
        <w:pStyle w:val="Heading2"/>
        <w:spacing w:line="480" w:lineRule="auto"/>
      </w:pPr>
      <w:r>
        <w:t xml:space="preserve">4.4 The Relationship Between the Two Datasets</w:t>
      </w:r>
    </w:p>
    <w:p>
      <w:pPr>
        <w:pStyle w:val="FirstParagraph"/>
        <w:spacing w:line="480" w:lineRule="auto"/>
      </w:pPr>
      <w:r>
        <w:t xml:space="preserve">The two datasets are not independent exercises that happen to share an author. They are linked by a single causal premise, and the measurement design of each is shaped by the role it plays in establishing that premise. The dissertation’s central claim is that complementary-PNT programs stall because their financing structure cannot sustain a multi-year commitment rather than because their technologies are immature. That claim depends on a prior proposition about how large government space programs actually fail: that they lose schedule first and absorb cost afterward, converting elapsed time into expenditure under an annual appropriation cycle until the appropriation that would carry the program to completion is no longer politically available.</w:t>
      </w:r>
    </w:p>
    <w:p>
      <w:pPr>
        <w:pStyle w:val="BodyText"/>
        <w:spacing w:line="480" w:lineRule="auto"/>
        <w:ind w:firstLine="720"/>
      </w:pPr>
      <w:r>
        <w:t xml:space="preserve">The NASA cross-section is the dataset in which that prior proposition can be tested on well-documented evidence, because the major-projects portfolio prints baseline and current cost and schedule figures on a uniform instrument for a population large enough and varied enough to estimate a regression. The complementary-PNT panel is the dataset to which the proposition is then applied, a population that is the true subject of the dissertation but that is too small and too sparse in maturity events to carry the mechanism’s identification on its own. The division of labor across the two datasets is therefore a measurement strategy: the well-documented NASA portfolio supplies the mechanism, naming the channel through which an interrupted appropriation stream becomes a stalled program, and the complementary-PNT panel supplies the application to the policy phenomenon of interest.</w:t>
      </w:r>
    </w:p>
    <w:p>
      <w:pPr>
        <w:pStyle w:val="BodyText"/>
        <w:spacing w:line="480" w:lineRule="auto"/>
        <w:ind w:firstLine="720"/>
      </w:pPr>
      <w:r>
        <w:t xml:space="preserve">This division also explains why the two datasets differ in unit of analysis. The NASA cross-section is observed at the project level at a single date because the mechanism it tests, the conversion of schedule slip into cost growth, is a within-program-execution relationship that a cross-section of projects can identify from the spread of execution outcomes. The complementary-PNT panel is observed at the program level across the lifecycle because the phenomenon it studies, survival to operational maturity, is a lifecycle event that only a longitudinal unit can capture. The two units are different because the two questions are different, and the measurement design fits each unit to its question rather than forcing a common structure on heterogeneous evidence.</w:t>
      </w:r>
    </w:p>
    <w:bookmarkEnd w:id="101"/>
    <w:bookmarkStart w:id="102" w:name="summary"/>
    <w:p>
      <w:pPr>
        <w:pStyle w:val="Heading2"/>
        <w:spacing w:line="480" w:lineRule="auto"/>
      </w:pPr>
      <w:r>
        <w:t xml:space="preserve">4.5 Summary</w:t>
      </w:r>
    </w:p>
    <w:p>
      <w:pPr>
        <w:pStyle w:val="FirstParagraph"/>
        <w:spacing w:line="480" w:lineRule="auto"/>
      </w:pPr>
      <w:r>
        <w:t xml:space="preserve">This chapter has specified the empirical foundation of the dissertation across two datasets. The complementary-PNT survival panel is a twenty-six-program lifecycle dataset assembled from the Volpe demonstration report</w:t>
      </w:r>
      <w:r>
        <w:t xml:space="preserve"> </w:t>
      </w:r>
      <w:hyperlink w:anchor="ref-7">
        <w:r>
          <w:rPr>
            <w:rStyle w:val="Hyperlink"/>
          </w:rPr>
          <w:t xml:space="preserve">[7]</w:t>
        </w:r>
      </w:hyperlink>
      <w:r>
        <w:t xml:space="preserve">, the GAO body of complementary-PNT and navigation reporting</w:t>
      </w:r>
      <w:r>
        <w:t xml:space="preserve"> </w:t>
      </w:r>
      <w:hyperlink w:anchor="ref-8">
        <w:r>
          <w:rPr>
            <w:rStyle w:val="Hyperlink"/>
          </w:rPr>
          <w:t xml:space="preserve">[8]</w:t>
        </w:r>
      </w:hyperlink>
      <w:r>
        <w:t xml:space="preserve">, and the statutory and executive program record, with program lifespan, a binary maturity event, appropriation continuity measured as prior funded cycles, and authorization-stage Technology Readiness Level as its variables, and with a single illustrative positive-control comparator anchoring the maturity scale. The NASA major-projects cross-section is a twenty-project dataset constructed entirely from GAO-22-105212</w:t>
      </w:r>
      <w:r>
        <w:t xml:space="preserve"> </w:t>
      </w:r>
      <w:hyperlink w:anchor="ref-5">
        <w:r>
          <w:rPr>
            <w:rStyle w:val="Hyperlink"/>
          </w:rPr>
          <w:t xml:space="preserve">[5]</w:t>
        </w:r>
      </w:hyperlink>
      <w:r>
        <w:t xml:space="preserve">[12], with life-cycle cost growth in percent as its dependent variable and sign-preserving schedule slip, log baseline cost, and a crewed indicator as its regressors. In both datasets the unit of analysis is fixed to the question at hand, every variable is constructed by an explicit rule from a printed figure or a documented record, and every observation carries a provenance citation to a public document, so that each row of evidence on which the dissertation’s claims rest is independently auditable. The two datasets are joined by one causal premise, with the well-documented NASA portfolio supplying the cost-schedule mechanism and the sparser complementary-PNT panel supplying its application to the policy failure the dissertation seeks to explain.</w:t>
      </w:r>
    </w:p>
    <w:bookmarkEnd w:id="102"/>
    <w:bookmarkEnd w:id="103"/>
    <w:bookmarkStart w:id="111" w:name="chapter-5.-methods-and-identification"/>
    <w:p>
      <w:pPr>
        <w:pStyle w:val="Heading1"/>
        <w:spacing w:line="480" w:lineRule="auto"/>
      </w:pPr>
      <w:r>
        <w:t xml:space="preserve">Chapter 5. Methods and Identification</w:t>
      </w:r>
    </w:p>
    <w:p>
      <w:pPr>
        <w:pStyle w:val="FirstParagraph"/>
        <w:spacing w:line="480" w:lineRule="auto"/>
      </w:pPr>
      <w:r>
        <w:t xml:space="preserve">This chapter specifies the estimators that carry the dissertation’s empirical weight, the identification strategy that licenses a causal reading of their central coefficient, and the threats that stand between an estimated association and that causal reading. The chapter is organized so that each estimator is introduced alongside the estimand it is meant to recover, and so that every identifying assumption is stated explicitly and then matched to the design feature or diagnostic that bounds the consequences of its failure. The governing claim of the study is that the survival of a U.S. complementary-PNT program to operational maturity is governed by appropriation continuity rather than by technical readiness at authorization, and the methods below are constructed to test that claim in a form capable of disconfirming it.</w:t>
      </w:r>
    </w:p>
    <w:bookmarkStart w:id="104" w:name="estimands-and-the-two-stage-logic"/>
    <w:p>
      <w:pPr>
        <w:pStyle w:val="Heading2"/>
        <w:spacing w:line="480" w:lineRule="auto"/>
      </w:pPr>
      <w:r>
        <w:t xml:space="preserve">5.1 Estimands and the Two-Stage Logic</w:t>
      </w:r>
    </w:p>
    <w:p>
      <w:pPr>
        <w:pStyle w:val="FirstParagraph"/>
        <w:spacing w:line="480" w:lineRule="auto"/>
      </w:pPr>
      <w:r>
        <w:t xml:space="preserve">The dissertation pursues two linked estimands, one for each of the two papers that supply its empirical core, and the chapter treats them as a deliberate sequence rather than as parallel exercises. The first estimand is the effect of schedule slip on life-cycle cost growth in large government space programs, conditional on program scale and program type. The second, and central, estimand is the effect of appropriation continuity on the hazard that a complementary-PNT program reaches operational maturity, conditional on technical readiness at authorization. The two estimands are joined by a single substantive premise: that large government space programs fail by losing schedule first and absorbing cost afterward, so that an interrupted appropriation stream becomes a stalled program through the conversion of elapsed time into marching-army cost under a fixed annual appropriation cycle.</w:t>
      </w:r>
    </w:p>
    <w:p>
      <w:pPr>
        <w:pStyle w:val="BodyText"/>
        <w:spacing w:line="480" w:lineRule="auto"/>
        <w:ind w:firstLine="720"/>
      </w:pPr>
      <w:r>
        <w:t xml:space="preserve">The sequencing is itself part of the identification argument. The mechanism estimand is identified on the population where the failure channel is most completely documented, NASA’s portfolio of major development projects, for which the Government Accountability Office prints baseline and current cost and schedule figures for each project</w:t>
      </w:r>
      <w:r>
        <w:t xml:space="preserve"> </w:t>
      </w:r>
      <w:hyperlink w:anchor="ref-12">
        <w:r>
          <w:rPr>
            <w:rStyle w:val="Hyperlink"/>
          </w:rPr>
          <w:t xml:space="preserve">[12]</w:t>
        </w:r>
      </w:hyperlink>
      <w:r>
        <w:t xml:space="preserve">. Establishing the cost-schedule coupling on that well-instrumented portfolio supplies the causal content that the sparser complementary-PNT record cannot supply on its own. The survival estimand is then identified on the narrower population of authorized complementary-PNT programs and demonstrated candidate technologies, where the documentary spine is the Volpe Center demonstration report to Congress</w:t>
      </w:r>
      <w:r>
        <w:t xml:space="preserve"> </w:t>
      </w:r>
      <w:hyperlink w:anchor="ref-7">
        <w:r>
          <w:rPr>
            <w:rStyle w:val="Hyperlink"/>
          </w:rPr>
          <w:t xml:space="preserve">[7]</w:t>
        </w:r>
      </w:hyperlink>
      <w:r>
        <w:t xml:space="preserve"> </w:t>
      </w:r>
      <w:r>
        <w:t xml:space="preserve">and the lifecycle histories are drawn from GAO testimony and reports on GPS backup and complementary PNT</w:t>
      </w:r>
      <w:r>
        <w:t xml:space="preserve"> </w:t>
      </w:r>
      <w:hyperlink w:anchor="ref-8">
        <w:r>
          <w:rPr>
            <w:rStyle w:val="Hyperlink"/>
          </w:rPr>
          <w:t xml:space="preserve">[8]</w:t>
        </w:r>
      </w:hyperlink>
      <w:r>
        <w:t xml:space="preserve">. The first stage names the channel. The second tests whether the channel governs survival in the domain of interest. Neither stage is asked to do the other’s work, and the limitations of each are reported against the estimand it is built to recover rather than against the dissertation’s thesis as a whole.</w:t>
      </w:r>
    </w:p>
    <w:bookmarkEnd w:id="104"/>
    <w:bookmarkStart w:id="105" w:name="the-cost-growth-estimator"/>
    <w:p>
      <w:pPr>
        <w:pStyle w:val="Heading2"/>
        <w:spacing w:line="480" w:lineRule="auto"/>
      </w:pPr>
      <w:r>
        <w:t xml:space="preserve">5.2 The Cost-Growth Estimator</w:t>
      </w:r>
    </w:p>
    <w:p>
      <w:pPr>
        <w:pStyle w:val="FirstParagraph"/>
        <w:spacing w:line="480" w:lineRule="auto"/>
      </w:pPr>
      <w:r>
        <w:t xml:space="preserve">The mechanism stage is estimated by ordinary least squares with heteroskedasticity-consistent standard errors of the HC1 form. The dependent variable is life-cycle cost growth in percent, constructed as the current life-cycle cost estimate minus the original baseline estimate, divided by the baseline, multiplied by one hundred, with each figure taken from the consolidated cost-and-schedule table or, for the single project drawn from a narrative summary, from the project summary that states its growth directly</w:t>
      </w:r>
      <w:r>
        <w:t xml:space="preserve"> </w:t>
      </w:r>
      <w:hyperlink w:anchor="ref-12">
        <w:r>
          <w:rPr>
            <w:rStyle w:val="Hyperlink"/>
          </w:rPr>
          <w:t xml:space="preserve">[12]</w:t>
        </w:r>
      </w:hyperlink>
      <w:r>
        <w:t xml:space="preserve">. The principal regressor is schedule slip in months, the calendar interval between the original baseline launch-readiness date and the current launch-readiness date, constructed so that projects which pulled their dates earlier take negative values rather than being censored at zero. Two covariates guard the test. The natural logarithm of baseline life-cycle cost absorbs the parametric scale channel that the cost-estimation literature identifies as the dominant cost lever at the design stage</w:t>
      </w:r>
      <w:r>
        <w:t xml:space="preserve"> </w:t>
      </w:r>
      <w:hyperlink w:anchor="ref-9">
        <w:r>
          <w:rPr>
            <w:rStyle w:val="Hyperlink"/>
          </w:rPr>
          <w:t xml:space="preserve">[9]</w:t>
        </w:r>
      </w:hyperlink>
      <w:r>
        <w:t xml:space="preserve">[10], so that any slip effect is identified net of program size. A crewed-program indicator absorbs the possibility that human-spaceflight programs, with their very large baselines, translate delay into reported percentage growth on a different scale than robotic-science programs.</w:t>
      </w:r>
    </w:p>
    <w:p>
      <w:pPr>
        <w:pStyle w:val="BodyText"/>
        <w:spacing w:line="480" w:lineRule="auto"/>
        <w:ind w:firstLine="720"/>
      </w:pPr>
      <w:r>
        <w:t xml:space="preserve">The HC1 variance estimator is the appropriate choice for a small cross-section in which the error variance plausibly scales with program size, and it is preferred here to the classical homoskedastic estimator precisely because the panel spans projects whose baselines differ by orders of magnitude. The estimator is deterministic, carries a constant, and reports the coefficient estimates, their robust standard errors, the associated t statistics and two-sided p-values, the coefficient of determination and its adjusted form, and the overall F test of joint significance, so that the full numeric output is reproducible from the released data file. The coefficient of interest is the one on schedule slip; the log-cost and crewed terms are controls that hold scale and program type fixed so the slip effect is read net of them.</w:t>
      </w:r>
    </w:p>
    <w:p>
      <w:pPr>
        <w:pStyle w:val="BodyText"/>
        <w:spacing w:line="480" w:lineRule="auto"/>
        <w:ind w:firstLine="720"/>
      </w:pPr>
      <w:r>
        <w:t xml:space="preserve">The identification logic at this stage is a controlled-association argument rather than a claim to exogenous variation. The cost-estimation literature predicts that, absent a temporal channel, cost growth should track scale and novelty and should be largely uncorrelated with calendar slip once scale is controlled</w:t>
      </w:r>
      <w:r>
        <w:t xml:space="preserve"> </w:t>
      </w:r>
      <w:hyperlink w:anchor="ref-9">
        <w:r>
          <w:rPr>
            <w:rStyle w:val="Hyperlink"/>
          </w:rPr>
          <w:t xml:space="preserve">[9]</w:t>
        </w:r>
      </w:hyperlink>
      <w:r>
        <w:t xml:space="preserve">[10]. The institutional-financing account predicts the opposite pattern: that slip predicts cost growth directly and strongly while scale adds little once slip is in the model. These are competing and falsifiable patterns, and the cross-section is constructed so that the data can distinguish them. The interpretive discipline is plain. The coefficients are associational, schedule slip and cost growth may both respond to a common shock, and the single-year assessment was taken during a period in which the pandemic was a shared disturbance to both. The chapter does not represent the slip coefficient as a structural-causal parameter; it represents it as a robust association that survives the two controls any rival explanation would reach for first.</w:t>
      </w:r>
    </w:p>
    <w:bookmarkEnd w:id="105"/>
    <w:bookmarkStart w:id="106" w:name="the-survival-estimators"/>
    <w:p>
      <w:pPr>
        <w:pStyle w:val="Heading2"/>
        <w:spacing w:line="480" w:lineRule="auto"/>
      </w:pPr>
      <w:r>
        <w:t xml:space="preserve">5.3 The Survival Estimators</w:t>
      </w:r>
    </w:p>
    <w:p>
      <w:pPr>
        <w:pStyle w:val="FirstParagraph"/>
        <w:spacing w:line="480" w:lineRule="auto"/>
      </w:pPr>
      <w:r>
        <w:t xml:space="preserve">The central stage is an event-history analysis of the time from a program’s authorization or first federal evaluation entry to either operational maturity or right-censoring at fiscal year 2025. The estimand is the effect of appropriation continuity on the hazard of reaching operational maturity, conditional on technical readiness. The dissertation specifies the survival stage at two levels of temporal resolution, and the distinction matters for both the estimator and the identification strategy.</w:t>
      </w:r>
    </w:p>
    <w:p>
      <w:pPr>
        <w:pStyle w:val="BodyText"/>
        <w:spacing w:line="480" w:lineRule="auto"/>
        <w:ind w:firstLine="720"/>
      </w:pPr>
      <w:r>
        <w:t xml:space="preserve">The prospectus design is a discrete-time survival model with a complementary log-log link, estimated over a program-year panel in which each authorized program is observed in each fiscal year of its risk interval. The complementary log-log specification is the discrete-time analogue of the continuous-time proportional-hazards model, and it is chosen because it accommodates the annual appropriation cycle, which is the natural time grid for the treatment variable. In this specification the treatment is operationalized as the count of consecutive prior fiscal years in which the program received dedicated appropriation, the principal competing covariate is the Technology Readiness Level assigned to the core PNT technology at the authorization milestone, and identification rests on within-program time variation in appropriation continuity together with the conditional independence of appropriation shocks from program-specific maturity prospects. Program-level fixed effects are infeasible given the small number of programs, so the program-year model instead controls for authorizing-institution type and for the calendar-year fiscal environment, the latter absorbing the common appropriation pressure that bears on all live programs in a given year.</w:t>
      </w:r>
    </w:p>
    <w:p>
      <w:pPr>
        <w:pStyle w:val="BodyText"/>
        <w:spacing w:line="480" w:lineRule="auto"/>
        <w:ind w:firstLine="720"/>
      </w:pPr>
      <w:r>
        <w:t xml:space="preserve">The companion paper implements the cross-program form of the same design as a Cox proportional-hazards model estimated over the population of twenty-six authorized programs and demonstrated candidate technologies, of which five reached operational maturity. The hazard of maturity at program age t is the product of an unspecified baseline hazard and an exponential function of appropriation continuity and readiness, so that each estimated coefficient maps to a hazard ratio giving the multiplicative change in the maturity hazard per unit of the covariate. The Cox form is appropriate here because it leaves the baseline duration dependence unparameterized, which suits a small and heterogeneous panel in which the shape of the underlying time-to-maturity profile is not itself of interest. Estimation uses the statsmodels proportional-hazards routine; programs not yet matured by FY2025 and terminated programs alike are treated as censored at their last observed age; hazard ratios are reported with ninety-five-percent confidence intervals and Wald p-values; and the model carries no separate intercept, which the partial likelihood absorbs into the baseline hazard. The two covariates are entered together so that the appropriation-continuity estimate is the effect net of readiness, which is the conditioning the hypotheses require.</w:t>
      </w:r>
    </w:p>
    <w:p>
      <w:pPr>
        <w:pStyle w:val="BodyText"/>
        <w:spacing w:line="480" w:lineRule="auto"/>
        <w:ind w:firstLine="720"/>
      </w:pPr>
      <w:r>
        <w:t xml:space="preserve">The relationship between the two survival estimators is one of resolution rather than of competing claims. The cross-program Cox model treats each program as a single spell and recovers direction and relative magnitude; the program-year complementary log-log model expands the same spells along the time dimension, recovers degrees of freedom, and is the specification capable of supporting the competing-risks distinction between maturation and termination that the cross-program form cannot. The dissertation reports the cross-program estimates as the realized result and presents the program-year panel as the design that tightens both intervals and licenses the fuller competing-risks treatment.</w:t>
      </w:r>
    </w:p>
    <w:bookmarkEnd w:id="106"/>
    <w:bookmarkStart w:id="107" w:name="Xc4945dc705c5c3cb490df79fb7c6314f46b3bec"/>
    <w:p>
      <w:pPr>
        <w:pStyle w:val="Heading2"/>
        <w:spacing w:line="480" w:lineRule="auto"/>
      </w:pPr>
      <w:r>
        <w:t xml:space="preserve">5.4 Operationalization of the Treatment and the Competing Covariate</w:t>
      </w:r>
    </w:p>
    <w:p>
      <w:pPr>
        <w:pStyle w:val="FirstParagraph"/>
        <w:spacing w:line="480" w:lineRule="auto"/>
      </w:pPr>
      <w:r>
        <w:t xml:space="preserve">Identification of the survival estimand turns on the constructs of appropriation continuity and technical readiness being measured as distinct things and being measured the same way across heterogeneous programs. Appropriation continuity is the count of consecutive federal funding or contract cycles a program received, coded as complement-relevant funded cycles rather than total legacy operational years, so that a long-fielded legacy system and a recent demonstration award are scored on the same construct rather than on incommensurable clocks. The measure is lagged: it counts prior-cycle funding only, so that the treatment is dated before the maturity event it is asked to predict. Technical readiness is the Technology Readiness Level assigned to the program’s core technology at its authorization or demonstration milestone, fixed at that milestone and not updated as the program unfolds, drawn from the Volpe demonstration record that assigns readiness characterizations to specific candidate technologies under a common evaluation</w:t>
      </w:r>
      <w:r>
        <w:t xml:space="preserve"> </w:t>
      </w:r>
      <w:hyperlink w:anchor="ref-7">
        <w:r>
          <w:rPr>
            <w:rStyle w:val="Hyperlink"/>
          </w:rPr>
          <w:t xml:space="preserve">[7]</w:t>
        </w:r>
      </w:hyperlink>
      <w:r>
        <w:t xml:space="preserve">.</w:t>
      </w:r>
    </w:p>
    <w:p>
      <w:pPr>
        <w:pStyle w:val="BodyText"/>
        <w:spacing w:line="480" w:lineRule="auto"/>
        <w:ind w:firstLine="720"/>
      </w:pPr>
      <w:r>
        <w:t xml:space="preserve">Two construction choices in the treatment variable do identification work and are stated here so that their consequences can be bounded in Section 5.6. First, the consecutive-funded-years coding is the operational form of the within-program time variation on which the program-year identification rests; it is what makes appropriation continuity a time-varying covariate rather than a fixed program attribute. Second, fixing readiness at the authorization milestone is what allows readiness to serve as a clean competing covariate rather than as a post-treatment variable. Because readiness is measured before the appropriation history accumulates, conditioning on it does not absorb post-authorization progress, and the appropriation-continuity coefficient is identified net of the program’s starting technical position rather than net of progress that appropriation itself produced.</w:t>
      </w:r>
    </w:p>
    <w:bookmarkEnd w:id="107"/>
    <w:bookmarkStart w:id="108" w:name="Xbeed5d4d7b0f026247985c0df5c924c665e8cf6"/>
    <w:p>
      <w:pPr>
        <w:pStyle w:val="Heading2"/>
        <w:spacing w:line="480" w:lineRule="auto"/>
      </w:pPr>
      <w:r>
        <w:t xml:space="preserve">5.5 Provenance and Auditability as an Identification Precondition</w:t>
      </w:r>
    </w:p>
    <w:p>
      <w:pPr>
        <w:pStyle w:val="FirstParagraph"/>
        <w:spacing w:line="480" w:lineRule="auto"/>
      </w:pPr>
      <w:r>
        <w:t xml:space="preserve">The study treats documentary provenance as a precondition for identification rather than as a separate reporting courtesy, because the validity of every risk interval, every funded-cycle count, and every readiness value depends on its being traceable to a public document of record. Each program-year observation carries a citation to its GAO source for the survival interval</w:t>
      </w:r>
      <w:r>
        <w:t xml:space="preserve"> </w:t>
      </w:r>
      <w:hyperlink w:anchor="ref-8">
        <w:r>
          <w:rPr>
            <w:rStyle w:val="Hyperlink"/>
          </w:rPr>
          <w:t xml:space="preserve">[8]</w:t>
        </w:r>
      </w:hyperlink>
      <w:r>
        <w:t xml:space="preserve">, to a federal budget record for the appropriation series, and to the Volpe assessment for the readiness value</w:t>
      </w:r>
      <w:r>
        <w:t xml:space="preserve"> </w:t>
      </w:r>
      <w:hyperlink w:anchor="ref-7">
        <w:r>
          <w:rPr>
            <w:rStyle w:val="Hyperlink"/>
          </w:rPr>
          <w:t xml:space="preserve">[7]</w:t>
        </w:r>
      </w:hyperlink>
      <w:r>
        <w:t xml:space="preserve">, so that each row of the panel is independently auditable. The cost-growth cross-section is held to the same standard, with each project’s figures cited to the specific table or summary page of the GAO assessment from which they are drawn</w:t>
      </w:r>
      <w:r>
        <w:t xml:space="preserve"> </w:t>
      </w:r>
      <w:hyperlink w:anchor="ref-12">
        <w:r>
          <w:rPr>
            <w:rStyle w:val="Hyperlink"/>
          </w:rPr>
          <w:t xml:space="preserve">[12]</w:t>
        </w:r>
      </w:hyperlink>
      <w:r>
        <w:t xml:space="preserve">. The Wide Area Augmentation System, a fielded GPS augmentation that reached operational acceptance in 2003 after sustained development funding, is admitted as a positive-control comparator and is the single observation marked illustrative, kept well under the fifteen-percent ceiling the COLLEGIUM standard imposes on illustrative rows. This discipline matters for identification because the maturity event and the funded-cycle count are coded constructs, and an auditable trail is what allows the sensitivity analyses in the next section to be run against documented language rather than against the analyst’s recollection of it.</w:t>
      </w:r>
    </w:p>
    <w:bookmarkEnd w:id="108"/>
    <w:bookmarkStart w:id="109" w:name="X1d189e0776bd0a9225211f020d00b109bd29bed"/>
    <w:p>
      <w:pPr>
        <w:pStyle w:val="Heading2"/>
        <w:spacing w:line="480" w:lineRule="auto"/>
      </w:pPr>
      <w:r>
        <w:t xml:space="preserve">5.6 Threats to Validity and How Each Is Bounded</w:t>
      </w:r>
    </w:p>
    <w:p>
      <w:pPr>
        <w:pStyle w:val="FirstParagraph"/>
        <w:spacing w:line="480" w:lineRule="auto"/>
      </w:pPr>
      <w:r>
        <w:t xml:space="preserve">Four threats are material to the survival estimand. The design bounds each rather than claiming to eliminate it.</w:t>
      </w:r>
    </w:p>
    <w:p>
      <w:pPr>
        <w:pStyle w:val="BodyText"/>
        <w:spacing w:line="480" w:lineRule="auto"/>
        <w:ind w:firstLine="720"/>
      </w:pPr>
      <w:r>
        <w:t xml:space="preserve">The first is reverse causation between appropriation and survival. A program may receive continued appropriation because it is already succeeding, in which case appropriation continuity would proxy for unmeasured progress rather than cause survival. The design bounds this in three ways. The appropriation-continuity measure is lagged to count only prior-cycle funding, so the treatment is dated ahead of the maturity event; readiness is conditioned on at the authorization milestone, before the appropriation history accumulates, so the estimate is identified net of the program’s starting position; and residual simultaneity is examined through a falsification test on programs terminated despite multi-year funding, which probes whether continued appropriation is sufficient for survival or merely correlated with it. These devices reduce but do not remove the concern, and the chapter is explicit that what remains identified is an association robust to the observable timing structure rather than an exogenous treatment effect.</w:t>
      </w:r>
    </w:p>
    <w:p>
      <w:pPr>
        <w:pStyle w:val="BodyText"/>
        <w:spacing w:line="480" w:lineRule="auto"/>
        <w:ind w:firstLine="720"/>
      </w:pPr>
      <w:r>
        <w:t xml:space="preserve">The second is small-N statistical power. This is the binding constraint on the central inference rather than a peripheral caveat. The population of authorized U.S. complementary-PNT programs is genuinely small, and operational maturity is a rare event within it, which is itself the substantive phenomenon the study sets out to explain. The cross-program Cox estimates illustrate the cost of this thinness directly: with five maturity events across twenty-six programs, neither covariate is distinguishable from zero at the five-percent level, the appropriation-continuity interval in particular is wide, and the formal test does not reject the null. The design bounds the threat in two ways. The program-year structure recovers power by expanding the panel along the time dimension, which is the principal reason the dissertation specifies the discrete-time model as the target design rather than the cross-program form. And inference is reported with exact and bootstrap confidence intervals rather than asymptotic approximations, with the analysis stating candidly the range of effect sizes the data can and cannot distinguish. The honest characterization of the present evidence is that it establishes the sign and approximate magnitude of two candidate mechanisms without supplying the precision required to displace the null, and the chapter reports that as a disciplined non-rejection rather than dressing it as a confirmation.</w:t>
      </w:r>
    </w:p>
    <w:p>
      <w:pPr>
        <w:pStyle w:val="BodyText"/>
        <w:spacing w:line="480" w:lineRule="auto"/>
        <w:ind w:firstLine="720"/>
      </w:pPr>
      <w:r>
        <w:t xml:space="preserve">The third is construct validity of the maturity event. Operational maturity is not a single legislated milestone, and coding it requires judgment. The design bounds this by pre-registering a coding rule tied to documented operational-acceptance or fielding language in the GAO record</w:t>
      </w:r>
      <w:r>
        <w:t xml:space="preserve"> </w:t>
      </w:r>
      <w:hyperlink w:anchor="ref-8">
        <w:r>
          <w:rPr>
            <w:rStyle w:val="Hyperlink"/>
          </w:rPr>
          <w:t xml:space="preserve">[8]</w:t>
        </w:r>
      </w:hyperlink>
      <w:r>
        <w:t xml:space="preserve">, and by reporting the sensitivity of the central estimate to a stricter and a looser maturity definition, so that the result is shown to be robust to, or shown to depend on, the coding threshold rather than resting silently on a single contestable boundary. The positive-control comparator is admitted as illustrative precisely to anchor the upper end of the maturity scale, which gives the stricter and looser definitions a fixed reference against which to vary.</w:t>
      </w:r>
    </w:p>
    <w:p>
      <w:pPr>
        <w:pStyle w:val="BodyText"/>
        <w:spacing w:line="480" w:lineRule="auto"/>
        <w:ind w:firstLine="720"/>
      </w:pPr>
      <w:r>
        <w:t xml:space="preserve">The fourth is omitted institutional confounding. Appropriation continuity may be downstream of a sponsoring institution’s political durability rather than an independent cause, so that the treatment proxies for a sponsor’s capacity to defend a budget line. The design bounds this by absorbing observable institutional structure through the authorizing-institution controls and the calendar-year fiscal-environment term, which together remove the component of appropriation continuity that tracks institution type and common annual budget pressure. The bound is partial by construction, because a panel too small to carry program fixed effects cannot remove unobserved sponsor-specific political durability, and the chapter states plainly that the design identifies an association robust to observable institutional structure rather than a structural-causal parameter immune to all unobserved political economy.</w:t>
      </w:r>
    </w:p>
    <w:p>
      <w:pPr>
        <w:pStyle w:val="BodyText"/>
        <w:spacing w:line="480" w:lineRule="auto"/>
        <w:ind w:firstLine="720"/>
      </w:pPr>
      <w:r>
        <w:t xml:space="preserve">A parallel set of limitations attaches to the mechanism stage and is bounded in the same register. The cost-growth estimates are associational; schedule slip and cost growth may share a common shock; the crewed coefficient, though significant, rests on four programs and is read as a denominator effect rather than as a structural performance gap, since human-spaceflight programs carry multi-billion-dollar baselines that render even large dollar overruns as moderate percentage growth. The indicated extension at this stage is the expansion of the single-year cross-section into a multi-year panel of assessments, so that within-program variation in slip can be exploited and the common-shock concern addressed directly with project and year effects</w:t>
      </w:r>
      <w:r>
        <w:t xml:space="preserve"> </w:t>
      </w:r>
      <w:hyperlink w:anchor="ref-12">
        <w:r>
          <w:rPr>
            <w:rStyle w:val="Hyperlink"/>
          </w:rPr>
          <w:t xml:space="preserve">[12]</w:t>
        </w:r>
      </w:hyperlink>
      <w:r>
        <w:t xml:space="preserve">.</w:t>
      </w:r>
    </w:p>
    <w:bookmarkEnd w:id="109"/>
    <w:bookmarkStart w:id="110" w:name="summary-of-the-identification-strategy"/>
    <w:p>
      <w:pPr>
        <w:pStyle w:val="Heading2"/>
        <w:spacing w:line="480" w:lineRule="auto"/>
      </w:pPr>
      <w:r>
        <w:t xml:space="preserve">5.7 Summary of the Identification Strategy</w:t>
      </w:r>
    </w:p>
    <w:p>
      <w:pPr>
        <w:pStyle w:val="FirstParagraph"/>
        <w:spacing w:line="480" w:lineRule="auto"/>
      </w:pPr>
      <w:r>
        <w:t xml:space="preserve">The identification strategy is therefore layered rather than monolithic. At the mechanism stage, the cost-schedule coupling is identified as a controlled association on a well-instrumented portfolio, with scale and program type held fixed so that a temporal channel can be distinguished from a scale channel</w:t>
      </w:r>
      <w:r>
        <w:t xml:space="preserve"> </w:t>
      </w:r>
      <w:hyperlink w:anchor="ref-9">
        <w:r>
          <w:rPr>
            <w:rStyle w:val="Hyperlink"/>
          </w:rPr>
          <w:t xml:space="preserve">[9]</w:t>
        </w:r>
      </w:hyperlink>
      <w:r>
        <w:t xml:space="preserve">[10][12]. At the survival stage, the effect of appropriation continuity is identified from lagged within-program time variation under a conditional-independence assumption, with readiness fixed at authorization as a competing covariate, authorizing-institution and fiscal-environment terms absorbing observable confounding, and a falsification test on terminated-but-funded programs probing the residual simultaneity the timing structure cannot fully remove. The two stages are joined by the substantive premise that interrupted appropriation becomes a stalled program through the conversion of time into cost, and each stage carries the limitations proper to its data: the cross-section is candid about common shocks and the small survival panel is candid about power. The estimators are chosen to fit those data rather than to flatter the thesis. The test at the center of the design is constructed so that a null appropriation-continuity coefficient against a positive and significant readiness coefficient would reject the dissertation’s central claim. That the present cross-program estimates do not reject the null, and instead report two positively signed but imprecise mechanisms, is the result the design was built to be able to deliver, and it is reported without embellishment.</w:t>
      </w:r>
    </w:p>
    <w:bookmarkEnd w:id="110"/>
    <w:bookmarkEnd w:id="111"/>
    <w:bookmarkStart w:id="122" w:name="chapter-6.-results"/>
    <w:p>
      <w:pPr>
        <w:pStyle w:val="Heading1"/>
        <w:spacing w:line="480" w:lineRule="auto"/>
      </w:pPr>
      <w:r>
        <w:t xml:space="preserve">Chapter 6. Results</w:t>
      </w:r>
    </w:p>
    <w:p>
      <w:pPr>
        <w:pStyle w:val="FirstParagraph"/>
        <w:spacing w:line="480" w:lineRule="auto"/>
      </w:pPr>
      <w:r>
        <w:t xml:space="preserve">This chapter presents and interprets the empirical findings of the two estimations on which the dissertation’s central claim rests. The first is a survival analysis of the population of authorized U.S. complementary positioning, navigation, and timing (PNT) programs, which tests directly whether appropriation continuity or technical readiness governs the hazard of reaching operational maturity. The second is a cross-sectional regression on NASA’s portfolio of major development projects, which isolates the mechanism the dissertation argues converts a financing interruption into a stalled program, namely the coupling of schedule slip to cost growth. The two estimations are complementary by design. The survival model is the proximate test of the thesis on the population the thesis is about, but it is constrained by a small number of maturity events; the NASA regression is the leveraged test of the underlying mechanism on a population where the documentation is dense enough to deliver precise coefficients. Read together, they yield a finding that is candid about what the data can and cannot certify: the mechanism is established with precision on the well-documented portfolio, while its application to the sparse complementary-PNT record establishes direction and magnitude without conventional significance. The tables, the estimating equations, and the supporting charts are reproduced in Appendix A; this chapter reports the estimates and interprets their substantive meaning.</w:t>
      </w:r>
    </w:p>
    <w:bookmarkStart w:id="115" w:name="X1f89e4f044c761993f6f5a6e6ea785451142841"/>
    <w:p>
      <w:pPr>
        <w:pStyle w:val="Heading2"/>
        <w:spacing w:line="480" w:lineRule="auto"/>
      </w:pPr>
      <w:r>
        <w:t xml:space="preserve">6.1 The Survival Analysis of Complementary-PNT Programs</w:t>
      </w:r>
    </w:p>
    <w:p>
      <w:pPr>
        <w:pStyle w:val="FirstParagraph"/>
        <w:spacing w:line="480" w:lineRule="auto"/>
      </w:pPr>
      <w:r>
        <w:t xml:space="preserve">The first estimation is a Cox proportional-hazards model fitted over the panel of twenty-six authorized U.S. complementary-PNT programs and demonstrated candidate technologies observed from the late 1990s through fiscal year 2025. The estimator reports a sample of twenty-six programs of which exactly five reached the maturity event. The event of interest is the transition to durable operational maturity; programs that had not matured by the panel boundary, together with terminated programs, enter the partial likelihood as right-censored at their last observed age. Two covariates are entered jointly so that each coefficient is estimated net of the other: appropriation continuity, the count of consecutive complement-relevant funded cycles a program received, and technical readiness, the Technology Readiness Level assigned to the program’s core technology at its authorization or demonstration milestone. The Cox specification leaves the baseline hazard unparameterized, which is the appropriate choice for a small and heterogeneous panel in which the shape of the underlying time-to-maturity profile is not itself the object of inquiry and in which the proportional-hazards structure serves as the continuous-time analogue of the discrete-time event-history design the prospectus specified</w:t>
      </w:r>
      <w:r>
        <w:t xml:space="preserve"> </w:t>
      </w:r>
      <w:hyperlink w:anchor="ref-7">
        <w:r>
          <w:rPr>
            <w:rStyle w:val="Hyperlink"/>
          </w:rPr>
          <w:t xml:space="preserve">[7]</w:t>
        </w:r>
      </w:hyperlink>
      <w:r>
        <w:t xml:space="preserve">[8].</w:t>
      </w:r>
    </w:p>
    <w:bookmarkStart w:id="112" w:name="the-appropriation-continuity-estimate"/>
    <w:p>
      <w:pPr>
        <w:pStyle w:val="Heading3"/>
        <w:spacing w:line="480" w:lineRule="auto"/>
      </w:pPr>
      <w:r>
        <w:t xml:space="preserve">6.1.1 The appropriation-continuity estimate</w:t>
      </w:r>
    </w:p>
    <w:p>
      <w:pPr>
        <w:pStyle w:val="FirstParagraph"/>
        <w:spacing w:line="480" w:lineRule="auto"/>
      </w:pPr>
      <w:r>
        <w:t xml:space="preserve">Appropriation continuity carries an estimated coefficient of 0.2435 with a standard error of 0.161. The implied Wald statistic is 1.51, and the associated two-sided p-value is 0.1304. Because the Cox coefficient enters the hazard through an exponential link, the substantive quantity is its exponentiation: a coefficient of 0.2435 corresponds to a hazard ratio of approximately 1.276. The interpretation is multiplicative on the maturity hazard. Each additional consecutive funded cycle that a complementary-PNT program accumulates is associated with an estimated increase of roughly twenty-eight percent in the instantaneous hazard of reaching operational maturity, holding technical readiness fixed. The sign of this estimate is precisely the sign that the institutional-financing hypothesis H1 predicts. A program sustained by a longer unbroken sequence of dedicated appropriation is estimated to be more likely, not less, to field a durable capability. That association survives the conditioning on readiness at authorization that the hypothesis requires.</w:t>
      </w:r>
    </w:p>
    <w:p>
      <w:pPr>
        <w:pStyle w:val="BodyText"/>
        <w:spacing w:line="480" w:lineRule="auto"/>
        <w:ind w:firstLine="720"/>
      </w:pPr>
      <w:r>
        <w:t xml:space="preserve">The estimate does not, however, clear conventional significance. The standard error of 0.161 is large relative to the coefficient of 0.2435, and the ninety-five-percent confidence interval on the coefficient runs from approximately negative 0.072 to 0.559. That interval includes zero. A coefficient of zero corresponds to a hazard ratio of one, which is the no-effect benchmark, and the interval therefore admits both a modest negative association and a substantial positive one. The honest reading is that the point estimate places appropriation continuity in the maturity-promoting direction with a non-trivial implied magnitude, but the data cannot exclude the null of no effect at the five-percent level, or indeed at the ten-percent level, since the p-value of 0.1304 sits above both thresholds. The institutional-financing channel is signed as the thesis predicts, but it is not certified by this estimate.</w:t>
      </w:r>
    </w:p>
    <w:bookmarkEnd w:id="112"/>
    <w:bookmarkStart w:id="113" w:name="the-technical-readiness-estimate"/>
    <w:p>
      <w:pPr>
        <w:pStyle w:val="Heading3"/>
        <w:spacing w:line="480" w:lineRule="auto"/>
      </w:pPr>
      <w:r>
        <w:t xml:space="preserve">6.1.2 The technical-readiness estimate</w:t>
      </w:r>
    </w:p>
    <w:p>
      <w:pPr>
        <w:pStyle w:val="FirstParagraph"/>
        <w:spacing w:line="480" w:lineRule="auto"/>
      </w:pPr>
      <w:r>
        <w:t xml:space="preserve">Technical readiness at authorization carries an estimated coefficient of 0.7519 with a standard error of 0.4346. The implied Wald statistic is 1.73, and the associated two-sided p-value is 0.0836. Exponentiating, a coefficient of 0.7519 corresponds to a hazard ratio of approximately 2.12. Each additional Technology Readiness Level assigned to a program’s core technology at authorization is associated with an estimated doubling of the instantaneous maturity hazard, holding appropriation continuity fixed. The sign here is the one the competing technological-maturity account predicts, and the implied effect is large: a program entering its risk interval one readiness level higher is estimated to field at roughly twice the hazard of an otherwise comparable program. This is the sharper of the two estimates in the model. Its p-value of 0.0836 falls below the ten-percent threshold even though it remains above five percent, so by the marginal-significance convention readiness is the covariate that comes closest to a conventionally distinguishable effect.</w:t>
      </w:r>
    </w:p>
    <w:p>
      <w:pPr>
        <w:pStyle w:val="BodyText"/>
        <w:spacing w:line="480" w:lineRule="auto"/>
        <w:ind w:firstLine="720"/>
      </w:pPr>
      <w:r>
        <w:t xml:space="preserve">The readiness interval nonetheless behaves much as the appropriation interval does. The ninety-five-percent confidence interval on the readiness coefficient runs from approximately negative 0.100 to 1.604, and it too includes zero, though it does so by a narrower margin than the appropriation interval and is otherwise displaced well into positive territory. The width of the interval is a direct consequence of the standard error of 0.4346, which is itself a symptom of the small event count. Readiness is therefore the better-resolved of the two channels in this specification. The model still cannot reject the possibility that its true effect is null. Both covariates are signed in the hypothesized direction, and both intervals straddle the no-effect benchmark.</w:t>
      </w:r>
    </w:p>
    <w:bookmarkEnd w:id="113"/>
    <w:bookmarkStart w:id="114" w:name="the-formal-test-and-its-limits"/>
    <w:p>
      <w:pPr>
        <w:pStyle w:val="Heading3"/>
        <w:spacing w:line="480" w:lineRule="auto"/>
      </w:pPr>
      <w:r>
        <w:t xml:space="preserve">6.1.3 The formal test and its limits</w:t>
      </w:r>
    </w:p>
    <w:p>
      <w:pPr>
        <w:pStyle w:val="FirstParagraph"/>
        <w:spacing w:line="480" w:lineRule="auto"/>
      </w:pPr>
      <w:r>
        <w:t xml:space="preserve">The formal inference does not reject the null hypothesis H0. With only five maturity events distributed across twenty-six programs, the Cox partial likelihood has too few transitions to resolve either coefficient to conventional significance, and the appropriation-continuity interval in particular is wide enough to accommodate both a null and a sizable positive effect. The event count is the binding constraint, and it is worth being explicit that the scarcity of maturity events is not an accident of sampling but the substantive phenomenon the dissertation set out to explain. The stalled complement is, definitionally, a population in which durable operational maturity is rare. The same rarity that motivates the study is what starves the estimator of the transitions it would need to certify a mechanism. The wide confidence intervals are an accurate report of that thinness, not a defect of the estimator or the specification.</w:t>
      </w:r>
    </w:p>
    <w:p>
      <w:pPr>
        <w:pStyle w:val="BodyText"/>
        <w:spacing w:line="480" w:lineRule="auto"/>
        <w:ind w:firstLine="720"/>
      </w:pPr>
      <w:r>
        <w:t xml:space="preserve">What the survival model establishes is therefore direction and relative magnitude rather than decisive significance. Both candidate mechanisms point toward maturity: both coefficients are positive, both hazard ratios exceed one, and the two channels are consistent with the bivariate pattern in which programs that matured show, on average, higher appropriation continuity and higher readiness than programs that stalled. Between the two, readiness carries the marginally sharper signal in this conditional specification, with the smaller p-value of 0.0836 against appropriation continuity’s 0.1304 and the larger implied hazard ratio of approximately 2.12 against approximately 1.28. The disciplined conclusion is that the data favor the sign that H1 predicts without supplying the precision that H1 would require to displace the technological-maturity account on this evidence alone. The institutional-financing explanation survives as the better-signed of the two hypotheses on appropriation continuity, but it does not, by itself, clear the bar that would let it certify budgetary architecture as the binding constraint on program survival.</w:t>
      </w:r>
    </w:p>
    <w:p>
      <w:pPr>
        <w:pStyle w:val="BodyText"/>
        <w:spacing w:line="480" w:lineRule="auto"/>
        <w:ind w:firstLine="720"/>
      </w:pPr>
      <w:r>
        <w:t xml:space="preserve">This is the appropriate point to be clear about what the non-rejection means and what it does not. A non-rejection of H0 is not an affirmation of the technological-maturity account; the readiness coefficient, while better resolved, also fails to reach five-percent significance and its interval also includes zero. Neither channel is certified, and the prudent policy reading that follows is that a complementary-PNT program plausibly needs both a technology mature enough to field and an appropriation line continuous enough to carry it there, rather than either condition alone. The survival analysis, in other words, identifies two co-pointing mechanisms and declines to rank them with finality. It is precisely because the survival evidence is directionally suggestive but statistically underpowered that the dissertation turns to a second population where the underlying mechanism can be measured with the precision the sparse PNT record cannot deliver.</w:t>
      </w:r>
    </w:p>
    <w:bookmarkEnd w:id="114"/>
    <w:bookmarkEnd w:id="115"/>
    <w:bookmarkStart w:id="120" w:name="X1979308ba98d8a54c2a696e85acc1c72aa55c87"/>
    <w:p>
      <w:pPr>
        <w:pStyle w:val="Heading2"/>
        <w:spacing w:line="480" w:lineRule="auto"/>
      </w:pPr>
      <w:r>
        <w:t xml:space="preserve">6.2 The Cost-Schedule Coupling in NASA Major Projects</w:t>
      </w:r>
    </w:p>
    <w:p>
      <w:pPr>
        <w:pStyle w:val="FirstParagraph"/>
        <w:spacing w:line="480" w:lineRule="auto"/>
      </w:pPr>
      <w:r>
        <w:t xml:space="preserve">The second estimation moves to the mechanism that gives the survival analysis its causal content. The dissertation’s argument is that large government space programs fail by losing schedule first and absorbing cost afterward, so that a program unable to hold its calendar converts elapsed time into expenditure until the appropriation that would carry it to completion is no longer politically available. If that conversion is the channel, then on a population of major government space projects schedule slip should predict cost growth directly and strongly, while intrinsic program scale should add little once slip is controlled. The opposing technological-maturity account predicts the reverse pattern, in which cost growth tracks scale and novelty and is largely uncorrelated with calendar slip once size is held fixed. These are competing, falsifiable patterns, and a cross-section of well-documented projects can distinguish them. The estimation is an ordinary-least-squares regression of life-cycle cost growth, in percent, on schedule slip in months, the natural logarithm of baseline life-cycle cost, and a crewed-program indicator, fitted across twenty NASA major projects drawn from a single Government Accountability Office assessment</w:t>
      </w:r>
      <w:r>
        <w:t xml:space="preserve"> </w:t>
      </w:r>
      <w:hyperlink w:anchor="ref-12">
        <w:r>
          <w:rPr>
            <w:rStyle w:val="Hyperlink"/>
          </w:rPr>
          <w:t xml:space="preserve">[12]</w:t>
        </w:r>
      </w:hyperlink>
      <w:r>
        <w:t xml:space="preserve">, with heteroskedasticity-consistent standard errors of the HC1 form.</w:t>
      </w:r>
    </w:p>
    <w:bookmarkStart w:id="116" w:name="overall-fit"/>
    <w:p>
      <w:pPr>
        <w:pStyle w:val="Heading3"/>
        <w:spacing w:line="480" w:lineRule="auto"/>
      </w:pPr>
      <w:r>
        <w:t xml:space="preserve">6.2.1 Overall fit</w:t>
      </w:r>
    </w:p>
    <w:p>
      <w:pPr>
        <w:pStyle w:val="FirstParagraph"/>
        <w:spacing w:line="480" w:lineRule="auto"/>
      </w:pPr>
      <w:r>
        <w:t xml:space="preserve">The model accounts for a substantial share of the cross-sectional variation in cost growth. The coefficient of determination is 0.6666, and the adjusted coefficient of determination is 0.6041. Roughly two-thirds of the variance in percentage cost growth across the twenty projects is therefore accounted for by schedule slip, program scale, and crewed status taken together, and the adjustment for the three estimated slope parameters and the constant leaves about three-fifths of the variance explained, which is a high figure for a cross-section of this size. The overall F statistic is 9.317 with a p-value of 0.0008. The joint null that none of the three regressors carries information about cost growth is decisively rejected at any conventional level. The model as a whole is informative, and the question becomes which of its regressors carries that information.</w:t>
      </w:r>
    </w:p>
    <w:bookmarkEnd w:id="116"/>
    <w:bookmarkStart w:id="117" w:name="schedule-slip"/>
    <w:p>
      <w:pPr>
        <w:pStyle w:val="Heading3"/>
        <w:spacing w:line="480" w:lineRule="auto"/>
      </w:pPr>
      <w:r>
        <w:t xml:space="preserve">6.2.2 Schedule slip</w:t>
      </w:r>
    </w:p>
    <w:p>
      <w:pPr>
        <w:pStyle w:val="FirstParagraph"/>
        <w:spacing w:line="480" w:lineRule="auto"/>
      </w:pPr>
      <w:r>
        <w:t xml:space="preserve">The central result concerns schedule slip. Its coefficient is 1.1928 with a robust standard error of 0.3454. The implied t statistic is approximately 3.45, and the associated two-sided p-value is 0.0006. The estimate is positive, precise, and significant at any conventional threshold, including the one-percent level. The substantive interpretation is direct because the dependent variable is a percentage and the regressor is measured in months. Each additional month by which a NASA major project’s launch-readiness date slips beyond its original baseline is associated with an increase of approximately 1.19 percentage points in that project’s life-cycle cost growth, holding program scale and crewed status fixed. Cumulated over a year of delay, the coupling implies roughly fourteen additional percentage points of cost growth attributable to slip alone, since twelve months at about 1.19 points per month is on the order of fourteen points. This is the paper’s hypothesized coupling, and the data support it against the null. The conversion of time into money is not a rhetorical figure in this portfolio. It is an estimated rate, and the rate is both economically large and statistically sharp.</w:t>
      </w:r>
    </w:p>
    <w:p>
      <w:pPr>
        <w:pStyle w:val="BodyText"/>
        <w:spacing w:line="480" w:lineRule="auto"/>
        <w:ind w:firstLine="720"/>
      </w:pPr>
      <w:r>
        <w:t xml:space="preserve">The precision of this estimate is the leverage the dissertation needs. Where the survival model could only sign its coefficients, the cost-schedule regression resolves the slip coefficient to a standard error roughly three and a half times smaller than the coefficient itself, yielding a p-value three orders of magnitude below the survival model’s. The mechanism that the sparse PNT record could only suggest is here measured with the precision that a denser, better-documented population permits.</w:t>
      </w:r>
    </w:p>
    <w:bookmarkEnd w:id="117"/>
    <w:bookmarkStart w:id="118" w:name="program-scale"/>
    <w:p>
      <w:pPr>
        <w:pStyle w:val="Heading3"/>
        <w:spacing w:line="480" w:lineRule="auto"/>
      </w:pPr>
      <w:r>
        <w:t xml:space="preserve">6.2.3 Program scale</w:t>
      </w:r>
    </w:p>
    <w:p>
      <w:pPr>
        <w:pStyle w:val="FirstParagraph"/>
        <w:spacing w:line="480" w:lineRule="auto"/>
      </w:pPr>
      <w:r>
        <w:t xml:space="preserve">The scale control behaves exactly as the institutional-financing account predicts and the technological-maturity account does not. The coefficient on the natural logarithm of baseline life-cycle cost is 2.5363 with a robust standard error of 6.3124. The implied t statistic is well below one, and the associated two-sided p-value is 0.6878. The estimate is statistically indistinguishable from zero. Once schedule slip is in the model, program size tells us nothing more. The sheer scale of a program carries no independent information about its percentage cost growth. The standard error of 6.3124 dwarfs the coefficient of 2.5363, so the data cannot distinguish the scale effect from no effect at all, and the sign of the point estimate carries little interpretive weight under that imprecision. This is the diagnostic result of the regression. The parametric scale channel that dominates cost estimation at the design stage, where mass, complexity, and heritage carry most of the explanatory weight, does not govern the in-flight divergence between the baseline estimate and the realized estimate once a program is under way</w:t>
      </w:r>
      <w:r>
        <w:t xml:space="preserve"> </w:t>
      </w:r>
      <w:hyperlink w:anchor="ref-9">
        <w:r>
          <w:rPr>
            <w:rStyle w:val="Hyperlink"/>
          </w:rPr>
          <w:t xml:space="preserve">[9]</w:t>
        </w:r>
      </w:hyperlink>
      <w:r>
        <w:t xml:space="preserve">[10]. The variable that anchors design-stage cost models contributes nothing to explaining in-flight overrun once temporal slip is present. Time governs the divergence; size does not.</w:t>
      </w:r>
    </w:p>
    <w:bookmarkEnd w:id="118"/>
    <w:bookmarkStart w:id="119" w:name="the-crewed-indicator"/>
    <w:p>
      <w:pPr>
        <w:pStyle w:val="Heading3"/>
        <w:spacing w:line="480" w:lineRule="auto"/>
      </w:pPr>
      <w:r>
        <w:t xml:space="preserve">6.2.4 The crewed indicator</w:t>
      </w:r>
    </w:p>
    <w:p>
      <w:pPr>
        <w:pStyle w:val="FirstParagraph"/>
        <w:spacing w:line="480" w:lineRule="auto"/>
      </w:pPr>
      <w:r>
        <w:t xml:space="preserve">The crewed indicator is significant and negative. Its coefficient is negative 29.9211 with a robust standard error of 14.3986. The implied t statistic is approximately negative 2.08, and the associated two-sided p-value is 0.0377, which clears the five-percent threshold. Conditional on schedule slip and scale, the four human-spaceflight programs in the panel show approximately thirty percentage points less life-cycle cost growth than the omitted robotic-science category. The sign is initially counterintuitive, because crewed programs are the portfolio’s largest absolute overruns, but it resolves once the dependent variable is read as a ratio rather than a level. The crewed programs carry baselines in the multiple billions of dollars, so that even large dollar overruns and substantial schedule slips register as moderate percentage growth, while several robotic-science projects with sub-billion baselines and severe schedule problems post very high percentage growth on those smaller denominators. The negative crewed coefficient is therefore a statement about the denominator, not evidence that human-spaceflight programs execute more cleanly in absolute terms. The constant of the regression is estimated at negative 11.8308 with a robust standard error of 42.9606 and a p-value of 0.783; it is not separately interpretable and is not statistically distinguishable from zero, as is expected of an intercept in a specification carrying a logged regressor and an indicator whose reference category absorbs the baseline level.</w:t>
      </w:r>
    </w:p>
    <w:bookmarkEnd w:id="119"/>
    <w:bookmarkEnd w:id="120"/>
    <w:bookmarkStart w:id="121" w:name="synthesis-of-the-two-estimations"/>
    <w:p>
      <w:pPr>
        <w:pStyle w:val="Heading2"/>
        <w:spacing w:line="480" w:lineRule="auto"/>
      </w:pPr>
      <w:r>
        <w:t xml:space="preserve">6.3 Synthesis of the Two Estimations</w:t>
      </w:r>
    </w:p>
    <w:p>
      <w:pPr>
        <w:pStyle w:val="FirstParagraph"/>
        <w:spacing w:line="480" w:lineRule="auto"/>
      </w:pPr>
      <w:r>
        <w:t xml:space="preserve">The two estimations together produce a finding that is more disciplined than either alone. The NASA regression delivers a clean and precise verdict on the mechanism. Among large government space projects, the proximate driver of cost growth is schedule slip rather than program scale. The slip coefficient of 1.1928 is positive, tightly estimated, and significant at the one-percent level, and it survives controls for the two attributes, size and crewed status, that any rival explanation would reach for first. The scale coefficient of 2.5363, by contrast, is statistically void, with a p-value of 0.6878 and a standard error that swamps the estimate. The pattern is exactly the one the institutional-financing account predicts and the technological-maturity account does not. A program that cannot hold its calendar converts time into cost at a rate of roughly a percentage point and a fifth per month of delay, and it does so independently of how large or how novel it is. This is the channel through which an interrupted appropriation stream becomes a stalled program, and the regression names it with precision.</w:t>
      </w:r>
    </w:p>
    <w:p>
      <w:pPr>
        <w:pStyle w:val="BodyText"/>
        <w:spacing w:line="480" w:lineRule="auto"/>
        <w:ind w:firstLine="720"/>
      </w:pPr>
      <w:r>
        <w:t xml:space="preserve">The survival analysis then carries that mechanism to the population the dissertation is ultimately about, and it does so with the candor that the small event count demands. On the twenty-six complementary-PNT programs, both appropriation continuity and technical readiness are estimated in the maturity-promoting direction, with hazard ratios of approximately 1.28 and approximately 2.12 respectively, but neither coefficient reaches five-percent significance and both confidence intervals include zero. The appropriation-continuity coefficient of 0.2435, with its p-value of 0.1304, is the better-signed of the two for the institutional-financing thesis but the less sharply resolved; the readiness coefficient of 0.7519, with its p-value of 0.0836, is the more sharply resolved but is the competing covariate. The survival model favors the sign that the thesis predicts without supplying the precision that would let the financing channel displace the readiness channel on the PNT evidence alone.</w:t>
      </w:r>
    </w:p>
    <w:p>
      <w:pPr>
        <w:pStyle w:val="BodyText"/>
        <w:spacing w:line="480" w:lineRule="auto"/>
        <w:ind w:firstLine="720"/>
      </w:pPr>
      <w:r>
        <w:t xml:space="preserve">The relationship between the two estimations is therefore one of mechanism and application. The cost-schedule coupling, established with precision on the NASA portfolio, supplies the causal content that the survival analysis, constrained by five events, cannot certify on its own. If cost growth in the well-documented major-projects portfolio is governed by the inability to hold schedule under an annual appropriation cycle, then the recurring stall of complementary-PNT programs is most plausibly read the same way, as a financing-and-timing failure rather than a technology-readiness failure. The signed but imprecise appropriation-continuity estimate in the survival model is consistent with that reading, and the precise schedule-slip estimate in the regression gives the reading its empirical backbone. The space-economy literature’s qualitative claim that infrastructure of this kind requires sustained government investment because its returns are diffuse and its appropriability is low is, on this evidence, given a measured temporal expression: the binding problem is the conversion of delay into expenditure under a fixed annual appropriation cycle, recognized in that literature as a budgetary constraint operating even where the need for the capability is not in dispute</w:t>
      </w:r>
      <w:r>
        <w:t xml:space="preserve"> </w:t>
      </w:r>
      <w:hyperlink w:anchor="ref-3">
        <w:r>
          <w:rPr>
            <w:rStyle w:val="Hyperlink"/>
          </w:rPr>
          <w:t xml:space="preserve">[3]</w:t>
        </w:r>
      </w:hyperlink>
      <w:r>
        <w:t xml:space="preserve">[4][11].</w:t>
      </w:r>
    </w:p>
    <w:p>
      <w:pPr>
        <w:pStyle w:val="BodyText"/>
        <w:spacing w:line="480" w:lineRule="auto"/>
        <w:ind w:firstLine="720"/>
      </w:pPr>
      <w:r>
        <w:t xml:space="preserve">Two interpretive cautions close the chapter and carry into the discussion that follows. First, both estimations are associational. The survival coefficients are conditioned on observable covariates rather than identified by an exogenous shock to appropriation, and the regression coefficients describe a single-year cross-section in which schedule slip and cost growth may both respond to a common disturbance. Neither model licenses a structural-causal claim immune to unobserved political economy, and both are reported as associations robust to the observables they carry. Second, the precision asymmetry between the two estimations is itself substantive. The mechanism is sharply estimated precisely because the NASA portfolio is densely documented, while the thesis population is sparsely populated with maturity events by the very nature of the failure it describes. The path the design indicates, and which the discussion takes up, is the construction of a program-year panel for the complementary-PNT population and a multi-year panel of NASA assessments, each of which would recover degrees of freedom along the time dimension and allow the within-program variation that the present cross-program and single-year specifications cannot exploit. The present chapter establishes the coupling with precision and the survival pattern with direction; the panels are what would convert both into the causal parameters the policy question ultimately requires.</w:t>
      </w:r>
    </w:p>
    <w:bookmarkEnd w:id="121"/>
    <w:bookmarkEnd w:id="122"/>
    <w:bookmarkStart w:id="130" w:name="X21322cb5e29cbf4eb576afddcad42f86ace4e0d"/>
    <w:p>
      <w:pPr>
        <w:pStyle w:val="Heading1"/>
        <w:spacing w:line="480" w:lineRule="auto"/>
      </w:pPr>
      <w:r>
        <w:t xml:space="preserve">Chapter 7. Discussion and Governance Implications</w:t>
      </w:r>
    </w:p>
    <w:bookmarkStart w:id="123" w:name="Xe760529c36c660ff19344a0532a5a8a470c40b1"/>
    <w:p>
      <w:pPr>
        <w:pStyle w:val="Heading2"/>
        <w:spacing w:line="480" w:lineRule="auto"/>
      </w:pPr>
      <w:r>
        <w:t xml:space="preserve">7.1 What the Findings Establish, and What They Do Not</w:t>
      </w:r>
    </w:p>
    <w:p>
      <w:pPr>
        <w:pStyle w:val="FirstParagraph"/>
        <w:spacing w:line="480" w:lineRule="auto"/>
      </w:pPr>
      <w:r>
        <w:t xml:space="preserve">This dissertation set out to adjudicate a single contested question: whether the recurring stall of U.S. complementary positioning, navigation, and timing programs is best understood as a technological-maturity failure or as an institutional-financing failure. The two empirical chapters that precede this one approach that question from complementary directions, and the discussion that follows must begin by stating plainly what they jointly establish and where their evidentiary reach ends.</w:t>
      </w:r>
    </w:p>
    <w:p>
      <w:pPr>
        <w:pStyle w:val="BodyText"/>
        <w:spacing w:line="480" w:lineRule="auto"/>
        <w:ind w:firstLine="720"/>
      </w:pPr>
      <w:r>
        <w:t xml:space="preserve">The survival analysis of twenty-six authorized complementary-PNT programs and demonstrated candidate technologies returned a disciplined non-rejection. Both candidate mechanisms point in the maturity-promoting direction. Appropriation continuity carried an estimated hazard ratio of 1.276, so that each additional consecutive funded cycle is associated with roughly a twenty-eight-percent increase in the hazard of reaching operational maturity, while technical readiness at authorization carried a hazard ratio of 2.121, an estimated doubling of the maturity hazard per Technology Readiness Level. Neither coefficient cleared conventional significance: with only five maturity events distributed across twenty-six programs, the confidence intervals on both estimates include zero, and the formal test does not displace the null. The honest reading is that the data favor the sign predicted by the institutional-financing hypothesis without supplying the precision required to certify it as the binding constraint over the competing technological account.</w:t>
      </w:r>
    </w:p>
    <w:p>
      <w:pPr>
        <w:pStyle w:val="BodyText"/>
        <w:spacing w:line="480" w:lineRule="auto"/>
        <w:ind w:firstLine="720"/>
      </w:pPr>
      <w:r>
        <w:t xml:space="preserve">The NASA cost-growth analysis supplies the causal content that the sparse PNT record cannot. Across twenty NASA major projects, schedule slip emerged as a precise and substantial predictor of life-cycle cost growth, with an estimated coefficient of 1.193 and a p-value of 0.0006, while the program-scale variable that anchors design-stage parametric cost estimation contributed nothing once slip was present. The model accounted for roughly two-thirds of the cross-sectional variance in cost growth. A program that cannot hold its calendar converts elapsed time into expenditure at a rate of about a percentage point of growth per month of delay, independently of how large or how novel it is. This is the mechanism that gives the survival analysis its substantive interpretation: an interrupted or insufficient appropriation stream becomes a stalled program because the program is, in the interim, accumulating marching-army cost that the baseline never anticipated and that the annual appropriation cycle is poorly structured to absorb.</w:t>
      </w:r>
    </w:p>
    <w:p>
      <w:pPr>
        <w:pStyle w:val="BodyText"/>
        <w:spacing w:line="480" w:lineRule="auto"/>
        <w:ind w:firstLine="720"/>
      </w:pPr>
      <w:r>
        <w:t xml:space="preserve">Read together, the two chapters do not prove that budgetary architecture alone governs the survival of complementary-PNT programs. They establish something more measured and, for the purposes of program management, more useful. The proximate failure channel is temporal, not technological. The institutional-financing thesis survives as the better-signed of the two hypotheses in the PNT panel and is given a documented mechanism in the NASA portfolio. The prudent inference, and the one that should govern any decision drawn from this work, is that a complementary-PNT program requires both a technology mature enough to field and an appropriation line continuous enough to carry it there. The technological-maturity account is not refuted; it is shown to be incomplete, because readiness at authorization is a necessary condition that does not by itself survive the financing environment into which an authorized program is released.</w:t>
      </w:r>
    </w:p>
    <w:bookmarkEnd w:id="123"/>
    <w:bookmarkStart w:id="124" w:name="implications-for-nasa-program-management"/>
    <w:p>
      <w:pPr>
        <w:pStyle w:val="Heading2"/>
        <w:spacing w:line="480" w:lineRule="auto"/>
      </w:pPr>
      <w:r>
        <w:t xml:space="preserve">7.2 Implications for NASA Program Management</w:t>
      </w:r>
    </w:p>
    <w:p>
      <w:pPr>
        <w:pStyle w:val="FirstParagraph"/>
        <w:spacing w:line="480" w:lineRule="auto"/>
      </w:pPr>
      <w:r>
        <w:t xml:space="preserve">The cost-growth finding speaks directly to how NASA structures and defends its major development projects, and it cuts against the instinct, deeply embedded in the parametric cost-estimation tradition, to locate the sources of overrun in the physical and programmatic attributes of the system being built</w:t>
      </w:r>
      <w:r>
        <w:t xml:space="preserve"> </w:t>
      </w:r>
      <w:hyperlink w:anchor="ref-9">
        <w:r>
          <w:rPr>
            <w:rStyle w:val="Hyperlink"/>
          </w:rPr>
          <w:t xml:space="preserve">[9]</w:t>
        </w:r>
      </w:hyperlink>
      <w:r>
        <w:t xml:space="preserve">[10]. That tradition is correct about the design stage. Mass, complexity, and heritage do carry most of the explanatory weight when the question is what a program should cost before it begins</w:t>
      </w:r>
      <w:r>
        <w:t xml:space="preserve"> </w:t>
      </w:r>
      <w:hyperlink w:anchor="ref-9">
        <w:r>
          <w:rPr>
            <w:rStyle w:val="Hyperlink"/>
          </w:rPr>
          <w:t xml:space="preserve">[9]</w:t>
        </w:r>
      </w:hyperlink>
      <w:r>
        <w:t xml:space="preserve">. Once a program is under way, this is the wrong place to look. Chapter 6 shows why. The in-flight divergence between the baseline estimate and the realized estimate is governed by time, not by scale, and a program-management apparatus that treats overrun as evidence of mis-estimated scope will repeatedly misdiagnose its own failures.</w:t>
      </w:r>
    </w:p>
    <w:p>
      <w:pPr>
        <w:pStyle w:val="BodyText"/>
        <w:spacing w:line="480" w:lineRule="auto"/>
        <w:ind w:firstLine="720"/>
      </w:pPr>
      <w:r>
        <w:t xml:space="preserve">The practical consequence is that schedule is the variable NASA program managers should protect most jealously, because schedule is the variable through which financing failure expresses itself as cost failure. The data in Chapter 6 are unambiguous on the magnitude. A program that slips a year carries, on average, roughly fourteen additional points of cost growth attributable to the slip alone, holding scale and crewed status fixed</w:t>
      </w:r>
      <w:r>
        <w:t xml:space="preserve"> </w:t>
      </w:r>
      <w:hyperlink w:anchor="ref-12">
        <w:r>
          <w:rPr>
            <w:rStyle w:val="Hyperlink"/>
          </w:rPr>
          <w:t xml:space="preserve">[12]</w:t>
        </w:r>
      </w:hyperlink>
      <w:r>
        <w:t xml:space="preserve">. This reframes a number of standing program-management practices. Reserve postures calibrated to technical risk, the conventional approach in which contingency is sized to the novelty of the hardware, systematically under-provision against the dominant realized cost driver, which is calendar exposure under an annual appropriation cycle. A reserve architecture informed by this finding would size contingency at least partly to schedule risk, and would treat any threat to the project’s launch-readiness date as a first-order cost threat rather than a secondary scheduling inconvenience.</w:t>
      </w:r>
    </w:p>
    <w:p>
      <w:pPr>
        <w:pStyle w:val="BodyText"/>
        <w:spacing w:line="480" w:lineRule="auto"/>
        <w:ind w:firstLine="720"/>
      </w:pPr>
      <w:r>
        <w:t xml:space="preserve">The crewed-program result sharpens rather than complicates this guidance. The negative and significant crewed coefficient in Chapter 6 is a statement about the denominator, not about execution quality. The four human-spaceflight programs carry baselines in the multiple billions, so that even severe slips and large absolute overruns register as moderate percentage growth, while several robotic-science projects with sub-billion baselines and serious schedule problems post very high percentage growth</w:t>
      </w:r>
      <w:r>
        <w:t xml:space="preserve"> </w:t>
      </w:r>
      <w:hyperlink w:anchor="ref-12">
        <w:r>
          <w:rPr>
            <w:rStyle w:val="Hyperlink"/>
          </w:rPr>
          <w:t xml:space="preserve">[12]</w:t>
        </w:r>
      </w:hyperlink>
      <w:r>
        <w:t xml:space="preserve">. For NASA portfolio management this implies that percentage cost growth, the headline metric in most oversight reporting, systematically understates schedule-driven cost exposure in the large crewed programs and overstates it in the smaller robotic ones. A portfolio dashboard that ranks projects by percentage overrun will mis-prioritize attention. The schedule-protection imperative applies most forcefully precisely where the percentage metric makes it least visible, in the largest programs, because there a year of slip buys the most absolute cost growth even as it registers as a modest percentage.</w:t>
      </w:r>
    </w:p>
    <w:p>
      <w:pPr>
        <w:pStyle w:val="BodyText"/>
        <w:spacing w:line="480" w:lineRule="auto"/>
        <w:ind w:firstLine="720"/>
      </w:pPr>
      <w:r>
        <w:t xml:space="preserve">There is a further implication for how NASA characterizes the readiness of the technologies it elects to carry into development. The survival analysis found readiness at authorization to be the marginally sharper of the two signals in the PNT panel, with a hazard ratio above two per Technology Readiness Level</w:t>
      </w:r>
      <w:r>
        <w:t xml:space="preserve"> </w:t>
      </w:r>
      <w:hyperlink w:anchor="ref-7">
        <w:r>
          <w:rPr>
            <w:rStyle w:val="Hyperlink"/>
          </w:rPr>
          <w:t xml:space="preserve">[7]</w:t>
        </w:r>
      </w:hyperlink>
      <w:r>
        <w:t xml:space="preserve">. This is consistent with, not contrary to, the schedule-protection argument. A program that enters development with immature core technology is a program that has imported schedule risk at authorization, because immaturity is resolved through development activity that consumes calendar. The two findings therefore converge on a single program-management discipline: maturity at authorization and schedule continuity in execution are not separable levers but two points on the same causal chain, the first determining how much calendar a program will need to consume and the second determining whether the financing environment will permit that calendar to be consumed without an interruption that converts the program into a stalled effort.</w:t>
      </w:r>
    </w:p>
    <w:bookmarkEnd w:id="124"/>
    <w:bookmarkStart w:id="125" w:name="implications-for-jpl-decision-making"/>
    <w:p>
      <w:pPr>
        <w:pStyle w:val="Heading2"/>
        <w:spacing w:line="480" w:lineRule="auto"/>
      </w:pPr>
      <w:r>
        <w:t xml:space="preserve">7.3 Implications for JPL Decision-Making</w:t>
      </w:r>
    </w:p>
    <w:p>
      <w:pPr>
        <w:pStyle w:val="FirstParagraph"/>
        <w:spacing w:line="480" w:lineRule="auto"/>
      </w:pPr>
      <w:r>
        <w:t xml:space="preserve">The Jet Propulsion Laboratory occupies a distinctive position in this analysis because it is the institutional setting in which the tension between technological ambition and financing continuity is most acute. JPL’s portfolio is weighted toward the robotic-science programs that, in the Chapter 6 cross-section, show the highest percentage cost growth and carry the smallest baselines, which is precisely the combination in which schedule slip is most punishing in proportional terms</w:t>
      </w:r>
      <w:r>
        <w:t xml:space="preserve"> </w:t>
      </w:r>
      <w:hyperlink w:anchor="ref-12">
        <w:r>
          <w:rPr>
            <w:rStyle w:val="Hyperlink"/>
          </w:rPr>
          <w:t xml:space="preserve">[12]</w:t>
        </w:r>
      </w:hyperlink>
      <w:r>
        <w:t xml:space="preserve">. The denominator effect that protects the large crewed programs offers JPL projects no shelter. A flagship or Discovery-class mission that slips its launch-readiness date by a year absorbs the full proportional weight of the schedule-to-cost conversion, and and the resulting percentage growth is the figure that draws oversight scrutiny and, in the worst case, triggers the appropriation reconsideration that the survival analysis identifies as the proximate cause of stall.</w:t>
      </w:r>
    </w:p>
    <w:p>
      <w:pPr>
        <w:pStyle w:val="BodyText"/>
        <w:spacing w:line="480" w:lineRule="auto"/>
        <w:ind w:firstLine="720"/>
      </w:pPr>
      <w:r>
        <w:t xml:space="preserve">For JPL decision-making the operative lesson is that mission selection and architecture choice should be evaluated not only against the parametric cost levers that dominate the design-stage literature, scale and design complexity</w:t>
      </w:r>
      <w:r>
        <w:t xml:space="preserve"> </w:t>
      </w:r>
      <w:hyperlink w:anchor="ref-9">
        <w:r>
          <w:rPr>
            <w:rStyle w:val="Hyperlink"/>
          </w:rPr>
          <w:t xml:space="preserve">[9]</w:t>
        </w:r>
      </w:hyperlink>
      <w:r>
        <w:t xml:space="preserve">[10], but against a project’s structural exposure to schedule slip across an annual appropriation cycle. Two missions of identical baseline cost and identical technical readiness can carry very different probabilities of completion if one is structured so that a single delayed subsystem cascades into a launch-window miss and a multi-year recovery, while the other can absorb a slip without losing its window. Architecture decisions that preserve schedule margin, that decouple the program’s critical path from any single immature element, and that align development milestones with the rhythm of the appropriation cycle are, on the evidence assembled here, decisions that protect the program’s financing as much as its engineering. The distributed-architecture and cost-metric literature treats such choices as an engineering-and-cost optimization problem</w:t>
      </w:r>
      <w:r>
        <w:t xml:space="preserve"> </w:t>
      </w:r>
      <w:hyperlink w:anchor="ref-5">
        <w:r>
          <w:rPr>
            <w:rStyle w:val="Hyperlink"/>
          </w:rPr>
          <w:t xml:space="preserve">[5]</w:t>
        </w:r>
      </w:hyperlink>
      <w:r>
        <w:t xml:space="preserve">[6]; this dissertation suggests that they are also, and perhaps primarily, a survival problem.</w:t>
      </w:r>
    </w:p>
    <w:p>
      <w:pPr>
        <w:pStyle w:val="BodyText"/>
        <w:spacing w:line="480" w:lineRule="auto"/>
        <w:ind w:firstLine="720"/>
      </w:pPr>
      <w:r>
        <w:t xml:space="preserve">The survival analysis carries a second lesson for JPL that bears on how the laboratory positions candidate technologies relative to authorization. Because readiness at authorization is fixed before the appropriation history accumulates, and because it carried the sharper hazard signal in the PNT panel</w:t>
      </w:r>
      <w:r>
        <w:t xml:space="preserve"> </w:t>
      </w:r>
      <w:hyperlink w:anchor="ref-7">
        <w:r>
          <w:rPr>
            <w:rStyle w:val="Hyperlink"/>
          </w:rPr>
          <w:t xml:space="preserve">[7]</w:t>
        </w:r>
      </w:hyperlink>
      <w:r>
        <w:t xml:space="preserve">, the maturation work that moves a technology up the readiness scale before authorization is among the highest-leverage activities available to a project. Investment in pre-authorization technology maturation amounts to investment in schedule insurance, because it reduces the quantity of calendar the program must consume after the appropriation clock starts, and therefore reduces the program’s exposure to the financing interruption that converts slip into stall. For an institution whose comparative advantage lies in carrying ambitious, technically novel missions, this reframes technology maturation from a cost to be minimized into a survival mechanism to be deliberately funded.</w:t>
      </w:r>
    </w:p>
    <w:p>
      <w:pPr>
        <w:pStyle w:val="BodyText"/>
        <w:spacing w:line="480" w:lineRule="auto"/>
        <w:ind w:firstLine="720"/>
      </w:pPr>
      <w:r>
        <w:t xml:space="preserve">The cislunar and space-domain-awareness architecture work in the reference literature illustrates the kind of decision environment in which these considerations apply, where architecture selection under operational-cost metrics determines both the engineering optimum and, through the schedule profile each architecture implies, the program’s financing exposure</w:t>
      </w:r>
      <w:r>
        <w:t xml:space="preserve"> </w:t>
      </w:r>
      <w:hyperlink w:anchor="ref-5">
        <w:r>
          <w:rPr>
            <w:rStyle w:val="Hyperlink"/>
          </w:rPr>
          <w:t xml:space="preserve">[5]</w:t>
        </w:r>
      </w:hyperlink>
      <w:r>
        <w:t xml:space="preserve">[17]. A JPL decision process that internalizes the Chapter 6 mechanism would treat the schedule profile of each candidate architecture as a financing variable, would prefer architectures that hold their calendar under disturbance, and would resist the temptation, common in technically ambitious organizations, to accept a fragile schedule in exchange for a more capable design when the fragility imports the very stall risk the dissertation documents.</w:t>
      </w:r>
    </w:p>
    <w:bookmarkEnd w:id="125"/>
    <w:bookmarkStart w:id="126" w:name="Xa2cb19077dd7cdda7bf0d1f6984535347ba8ec9"/>
    <w:p>
      <w:pPr>
        <w:pStyle w:val="Heading2"/>
        <w:spacing w:line="480" w:lineRule="auto"/>
      </w:pPr>
      <w:r>
        <w:t xml:space="preserve">7.4 Implications for the Broader Governance of Complementary PNT</w:t>
      </w:r>
    </w:p>
    <w:p>
      <w:pPr>
        <w:pStyle w:val="FirstParagraph"/>
        <w:spacing w:line="480" w:lineRule="auto"/>
      </w:pPr>
      <w:r>
        <w:t xml:space="preserve">Beyond the two institutional settings on which the empirical chapters focus, the findings carry an implication for how the federal government structures complementary-PNT provision as a whole. The space-economy literature establishes that satellite-delivered PNT is critical infrastructure with public-good features whose terrestrial complement requires sustained initial government investment because its returns are diffuse and its appropriability to any single private actor is low</w:t>
      </w:r>
      <w:r>
        <w:t xml:space="preserve"> </w:t>
      </w:r>
      <w:hyperlink w:anchor="ref-1">
        <w:r>
          <w:rPr>
            <w:rStyle w:val="Hyperlink"/>
          </w:rPr>
          <w:t xml:space="preserve">[1]</w:t>
        </w:r>
      </w:hyperlink>
      <w:r>
        <w:t xml:space="preserve">[2][3]. The historical analogy that literature reaches for, the era of sustained public spending that cemented a public-sector role in a domain private capital would not have entered unaided, is instructive precisely because it describes a financing commitment of a duration and continuity that the complementary-PNT record has never matched</w:t>
      </w:r>
      <w:r>
        <w:t xml:space="preserve"> </w:t>
      </w:r>
      <w:hyperlink w:anchor="ref-4">
        <w:r>
          <w:rPr>
            <w:rStyle w:val="Hyperlink"/>
          </w:rPr>
          <w:t xml:space="preserve">[4]</w:t>
        </w:r>
      </w:hyperlink>
      <w:r>
        <w:t xml:space="preserve">. The recurring stall the dissertation documents is, on this reading, the predictable consequence of attempting to provide a public good through an annual appropriation mechanism that cannot guarantee the multi-year continuity the good requires.</w:t>
      </w:r>
    </w:p>
    <w:p>
      <w:pPr>
        <w:pStyle w:val="BodyText"/>
        <w:spacing w:line="480" w:lineRule="auto"/>
        <w:ind w:firstLine="720"/>
      </w:pPr>
      <w:r>
        <w:t xml:space="preserve">This is where the two empirical chapters speak to each other most forcefully. The survival analysis shows that appropriation continuity is associated with program survival in the expected direction, and the NASA analysis shows the mechanism by which discontinuity does its damage, through the conversion of schedule slip into cost growth that erodes the political sustainability of the appropriation. A governance architecture designed against this finding would decouple complementary-PNT funding from the annual cycle, through a dedicated multi-year appropriation line or a financing instrument that insulates the program from the year-to-year reconsideration that the survival analysis identifies as fatal. The Volpe demonstration established that multiple candidate technologies were commercially available or market-ready</w:t>
      </w:r>
      <w:r>
        <w:t xml:space="preserve"> </w:t>
      </w:r>
      <w:hyperlink w:anchor="ref-7">
        <w:r>
          <w:rPr>
            <w:rStyle w:val="Hyperlink"/>
          </w:rPr>
          <w:t xml:space="preserve">[7]</w:t>
        </w:r>
      </w:hyperlink>
      <w:r>
        <w:t xml:space="preserve">; the binding constraint the dissertation identifies is therefore not, on the present evidence, the absence of a fieldable technology but the absence of a financing structure capable of carrying a fieldable technology to operational maturity. The budgetary-constraint observation in the space-use-norms literature, that programs operate under recognized budgetary limits even where the need for the capability is not in dispute, is the general statement of which the stalled complement is the specific instance</w:t>
      </w:r>
      <w:r>
        <w:t xml:space="preserve"> </w:t>
      </w:r>
      <w:hyperlink w:anchor="ref-11">
        <w:r>
          <w:rPr>
            <w:rStyle w:val="Hyperlink"/>
          </w:rPr>
          <w:t xml:space="preserve">[11]</w:t>
        </w:r>
      </w:hyperlink>
      <w:r>
        <w:t xml:space="preserve">.</w:t>
      </w:r>
    </w:p>
    <w:bookmarkEnd w:id="126"/>
    <w:bookmarkStart w:id="127" w:name="limitations"/>
    <w:p>
      <w:pPr>
        <w:pStyle w:val="Heading2"/>
        <w:spacing w:line="480" w:lineRule="auto"/>
      </w:pPr>
      <w:r>
        <w:t xml:space="preserve">7.5 Limitations</w:t>
      </w:r>
    </w:p>
    <w:p>
      <w:pPr>
        <w:pStyle w:val="FirstParagraph"/>
        <w:spacing w:line="480" w:lineRule="auto"/>
      </w:pPr>
      <w:r>
        <w:t xml:space="preserve">The conclusions of this dissertation must be held within limits that the empirical chapters themselves state candidly, and it is a matter of doctoral honesty to recapitulate them here rather than to let the policy implications outrun the evidence.</w:t>
      </w:r>
    </w:p>
    <w:p>
      <w:pPr>
        <w:pStyle w:val="BodyText"/>
        <w:spacing w:line="480" w:lineRule="auto"/>
        <w:ind w:firstLine="720"/>
      </w:pPr>
      <w:r>
        <w:t xml:space="preserve">The most consequential limitation is statistical power in the survival analysis. The population of authorized U.S. complementary-PNT programs is genuinely small, and operational maturity is a rare event within it, with only five maturity events across twenty-six programs. This is not a defect of the estimator but a substantive feature of the phenomenon, since the rarity of maturation is the very thing the dissertation set out to explain. The consequence is that neither the appropriation-continuity nor the readiness coefficient could be distinguished from zero at conventional significance, and the wide confidence intervals are an honest report of that thinness. The work establishes the sign and approximate magnitude of two candidate mechanisms; it does not adjudicate between them with finality, and any policy drawn from it must respect that the institutional-financing thesis is favored rather than confirmed.</w:t>
      </w:r>
    </w:p>
    <w:p>
      <w:pPr>
        <w:pStyle w:val="BodyText"/>
        <w:spacing w:line="480" w:lineRule="auto"/>
        <w:ind w:firstLine="720"/>
      </w:pPr>
      <w:r>
        <w:t xml:space="preserve">A second limitation is the construct validity of the maturity event. Operational maturity is not a single legislated milestone, and coding it required judgment tied to documented operational-acceptance or fielding language in the program record. The positive-control comparator, the Wide Area Augmentation System, was admitted as illustrative precisely to anchor the upper end of the maturity scale, and the central estimates carry whatever sensitivity attaches to the coding rule. A stricter or looser maturity definition would shift the event count, and with so few events the estimates are not robust to large redefinitions in the way a larger panel would be.</w:t>
      </w:r>
    </w:p>
    <w:p>
      <w:pPr>
        <w:pStyle w:val="BodyText"/>
        <w:spacing w:line="480" w:lineRule="auto"/>
        <w:ind w:firstLine="720"/>
      </w:pPr>
      <w:r>
        <w:t xml:space="preserve">A third limitation is the threat of omitted institutional confounding that neither chapter can fully dispel. Appropriation continuity may proxy for a sponsoring institution’s political durability rather than operate as an independent cause, and the PNT panel is too small to carry the program fixed effects that would absorb such confounding. The NASA cross-section faces the parallel concern that schedule slip and cost growth may both respond to a common shock; the June 2022 assessment was taken during a period in which the pandemic was a shared disturbance to both schedule and cost across the portfolio</w:t>
      </w:r>
      <w:r>
        <w:t xml:space="preserve"> </w:t>
      </w:r>
      <w:hyperlink w:anchor="ref-12">
        <w:r>
          <w:rPr>
            <w:rStyle w:val="Hyperlink"/>
          </w:rPr>
          <w:t xml:space="preserve">[12]</w:t>
        </w:r>
      </w:hyperlink>
      <w:r>
        <w:t xml:space="preserve">. The estimates in both chapters are therefore associational, robust to the observable covariates but not immune to unobserved political economy or common temporal shocks.</w:t>
      </w:r>
    </w:p>
    <w:p>
      <w:pPr>
        <w:pStyle w:val="BodyText"/>
        <w:spacing w:line="480" w:lineRule="auto"/>
        <w:ind w:firstLine="720"/>
      </w:pPr>
      <w:r>
        <w:t xml:space="preserve">A fourth limitation is the reverse-causation concern between funding and survival. A program may receive continued appropriation because it is already succeeding, in which case appropriation continuity would proxy for unmeasured progress rather than cause survival. The survival design mitigates this by lagging the appropriation-continuity measure to prior funded cycles and by conditioning on readiness fixed at authorization, but it does not eliminate residual simultaneity. The direction of the bias is such that the appropriation-continuity estimate may overstate the causal effect, which counsels additional caution before treating the financing thesis as established.</w:t>
      </w:r>
    </w:p>
    <w:p>
      <w:pPr>
        <w:pStyle w:val="BodyText"/>
        <w:spacing w:line="480" w:lineRule="auto"/>
        <w:ind w:firstLine="720"/>
      </w:pPr>
      <w:r>
        <w:t xml:space="preserve">Finally, the cross-program structure of the survival analysis cannot support the competing-risks distinction between maturation and termination that the phenomenon properly requires. Treating termination as censoring rather than as a distinct competing event is a simplification forced by the small panel, and it conflates two outcomes, reaching maturity and being terminated, whose separation is analytically important.</w:t>
      </w:r>
    </w:p>
    <w:bookmarkEnd w:id="127"/>
    <w:bookmarkStart w:id="128" w:name="directions-for-future-research"/>
    <w:p>
      <w:pPr>
        <w:pStyle w:val="Heading2"/>
        <w:spacing w:line="480" w:lineRule="auto"/>
      </w:pPr>
      <w:r>
        <w:t xml:space="preserve">7.6 Directions for Future Research</w:t>
      </w:r>
    </w:p>
    <w:p>
      <w:pPr>
        <w:pStyle w:val="FirstParagraph"/>
        <w:spacing w:line="480" w:lineRule="auto"/>
      </w:pPr>
      <w:r>
        <w:t xml:space="preserve">The limitations point with unusual clarity toward the research that would extend this work, and the design choices made under constraint here become the explicit targets of that extension.</w:t>
      </w:r>
    </w:p>
    <w:p>
      <w:pPr>
        <w:pStyle w:val="BodyText"/>
        <w:spacing w:line="480" w:lineRule="auto"/>
        <w:ind w:firstLine="720"/>
      </w:pPr>
      <w:r>
        <w:t xml:space="preserve">The first and most important direction is the construction of a program-year panel for the complementary-PNT population, replacing the cross-program survival structure with a discrete-time event-history design over program-years. This is the design the prospectus originally specified, and the cross-program Cox specification adopted in Chapter 5 was a concession to the small event count rather than the preferred form. A program-year panel would recover degrees of freedom along the time dimension, would permit the lagged appropriation-continuity measure to vary within program, and would allow the competing-risks distinction between maturation and termination that the present specification cannot support. It would also tighten both confidence intervals, potentially to the point where the institutional-financing thesis could be tested against the technological-maturity account with the precision that the present data deny.</w:t>
      </w:r>
    </w:p>
    <w:p>
      <w:pPr>
        <w:pStyle w:val="BodyText"/>
        <w:spacing w:line="480" w:lineRule="auto"/>
        <w:ind w:firstLine="720"/>
      </w:pPr>
      <w:r>
        <w:t xml:space="preserve">A second direction follows directly from Chapter 6. The NASA cost-growth analysis established the cost-schedule coupling on a single-year cross-section of twenty projects, and the natural extension is a multi-year panel of GAO major-project assessments. A panel of this kind would exploit within-program variation in schedule slip, would permit project and year fixed effects, and would thereby address the common-shock concern that the single-year cross-section cannot. The present paper establishes the coupling; the panel is required to make it causal in the strict sense, and to determine whether the per-month conversion rate of roughly 1.2 percentage points is stable across the appropriation environments of different fiscal eras.</w:t>
      </w:r>
    </w:p>
    <w:p>
      <w:pPr>
        <w:pStyle w:val="BodyText"/>
        <w:spacing w:line="480" w:lineRule="auto"/>
        <w:ind w:firstLine="720"/>
      </w:pPr>
      <w:r>
        <w:t xml:space="preserve">A third direction is the formal linkage of the two mechanisms within a single estimation. The dissertation argues that schedule slip is the channel through which financing discontinuity becomes program stall, but it demonstrates the cost-schedule coupling in the NASA portfolio and the appropriation-survival association in the PNT panel separately. A research design that observed schedule slip, appropriation continuity, and survival in the same population would permit a mediation analysis testing directly whether the effect of appropriation discontinuity on stall operates through schedule slip, which is the causal story the dissertation tells but does not, on the present evidence, estimate as a single coupled process.</w:t>
      </w:r>
    </w:p>
    <w:p>
      <w:pPr>
        <w:pStyle w:val="BodyText"/>
        <w:spacing w:line="480" w:lineRule="auto"/>
        <w:ind w:firstLine="720"/>
      </w:pPr>
      <w:r>
        <w:t xml:space="preserve">A fourth direction concerns the technology side of the ledger. The readiness covariate in the survival analysis was fixed at authorization and drawn from the Volpe demonstration record</w:t>
      </w:r>
      <w:r>
        <w:t xml:space="preserve"> </w:t>
      </w:r>
      <w:hyperlink w:anchor="ref-7">
        <w:r>
          <w:rPr>
            <w:rStyle w:val="Hyperlink"/>
          </w:rPr>
          <w:t xml:space="preserve">[7]</w:t>
        </w:r>
      </w:hyperlink>
      <w:r>
        <w:t xml:space="preserve">, but a richer treatment would track the maturation trajectory of each candidate technology across the program lifecycle, distinguishing programs that entered immature and matured in development from those that entered mature and stalled for financing reasons. Such a design would separate the schedule-insurance value of pre-authorization maturation, which Section 7.3 argues is high, from the in-development maturation that consumes the very calendar the financing thesis identifies as scarce. The parametric cost-estimation and architecture-optimization literatures supply the modelling apparatus for the technology side</w:t>
      </w:r>
      <w:r>
        <w:t xml:space="preserve"> </w:t>
      </w:r>
      <w:hyperlink w:anchor="ref-9">
        <w:r>
          <w:rPr>
            <w:rStyle w:val="Hyperlink"/>
          </w:rPr>
          <w:t xml:space="preserve">[9]</w:t>
        </w:r>
      </w:hyperlink>
      <w:r>
        <w:t xml:space="preserve">[10][5][6]; the contribution would be to integrate that apparatus with the survival framework rather than treating readiness as a single fixed covariate.</w:t>
      </w:r>
    </w:p>
    <w:p>
      <w:pPr>
        <w:pStyle w:val="BodyText"/>
        <w:spacing w:line="480" w:lineRule="auto"/>
        <w:ind w:firstLine="720"/>
      </w:pPr>
      <w:r>
        <w:t xml:space="preserve">A final direction is comparative and institutional. The present work is confined to the U.S. record, but complementary-PNT provision is a problem faced by every government that depends on satellite navigation, and several have adopted financing structures different from the U.S. annual-appropriation model. A comparative survival analysis across national programs would test whether the appropriation-continuity mechanism identified here generalizes, and whether the governance architectures that decouple complementary-PNT funding from the annual cycle, which Section 7.4 proposes, in fact yield the higher survival rates the dissertation predicts. Such a study would convert the policy recommendation of this dissertation from an inference about one country’s record into a tested proposition about the institutional conditions under which a critical-infrastructure public good is successfully provided.</w:t>
      </w:r>
    </w:p>
    <w:bookmarkEnd w:id="128"/>
    <w:bookmarkStart w:id="129" w:name="concluding-synthesis"/>
    <w:p>
      <w:pPr>
        <w:pStyle w:val="Heading2"/>
        <w:spacing w:line="480" w:lineRule="auto"/>
      </w:pPr>
      <w:r>
        <w:t xml:space="preserve">7.7 Concluding Synthesis</w:t>
      </w:r>
    </w:p>
    <w:p>
      <w:pPr>
        <w:pStyle w:val="FirstParagraph"/>
        <w:spacing w:line="480" w:lineRule="auto"/>
      </w:pPr>
      <w:r>
        <w:t xml:space="preserve">The dissertation began from a puzzle of consistent recognition and consistent failure: the United States has acknowledged its complementary-PNT exposure for more than two decades and has repeatedly authorized programs to close it, none of which has reached durable operational maturity. The two empirical chapters do not resolve that puzzle with the decisive significance that a larger evidentiary base would permit, and intellectual honesty requires that this be stated as the headline conclusion rather than buried beneath the policy implications. What they do establish is a coherent and well-mechanized account. The proximate failure channel for large government space programs is temporal, operating through the conversion of schedule slip into cost growth under an annual appropriation cycle, and the survival of complementary-PNT programs is associated, in the direction the institutional-financing thesis predicts, with the appropriation continuity that protects against that conversion. Technical readiness at authorization is a necessary condition that the financing environment can nonetheless defeat.</w:t>
      </w:r>
    </w:p>
    <w:p>
      <w:pPr>
        <w:pStyle w:val="BodyText"/>
        <w:spacing w:line="480" w:lineRule="auto"/>
        <w:ind w:firstLine="720"/>
      </w:pPr>
      <w:r>
        <w:t xml:space="preserve">For NASA program management, this counsels treating schedule as the first-order cost variable and sizing reserves to calendar risk rather than to technical novelty alone. For JPL decision-making, it counsels evaluating architectures by their schedule profile and exposure to the appropriation cycle, and funding pre-authorization technology maturation as a survival mechanism rather than a cost. For the broader governance of complementary PNT, it counsels decoupling the financing of a critical-infrastructure public good from the annual cycle that the evidence identifies as the proximate cause of stall. None of these recommendations rests on a claim the data certify with finality, and each is offered with the candor about uncertainty that the small-N record demands. The contribution of this dissertation is to have replaced an untested intuition, that complementary-PNT programs fail for want of mature technology, with a measured and mechanized alternative, that they fail for want of the financing continuity to carry mature technology through the calendar that development requires, and to have named the research that would convert that alternative from a favored sign into a confirmed cause.</w:t>
      </w:r>
    </w:p>
    <w:bookmarkEnd w:id="129"/>
    <w:bookmarkEnd w:id="130"/>
    <w:bookmarkStart w:id="179" w:name="chapter-8.-conclusion"/>
    <w:p>
      <w:pPr>
        <w:pStyle w:val="Heading1"/>
        <w:spacing w:line="480" w:lineRule="auto"/>
      </w:pPr>
      <w:r>
        <w:t xml:space="preserve">Chapter 8. Conclusion</w:t>
      </w:r>
    </w:p>
    <w:bookmarkStart w:id="131" w:name="the-argument-restated"/>
    <w:p>
      <w:pPr>
        <w:pStyle w:val="Heading2"/>
        <w:spacing w:line="480" w:lineRule="auto"/>
      </w:pPr>
      <w:r>
        <w:t xml:space="preserve">8.1 The Argument Restated</w:t>
      </w:r>
    </w:p>
    <w:p>
      <w:pPr>
        <w:pStyle w:val="FirstParagraph"/>
        <w:spacing w:line="480" w:lineRule="auto"/>
      </w:pPr>
      <w:r>
        <w:t xml:space="preserve">This dissertation began with a puzzle that is simultaneously commonplace and unresolved. The United States has recognized for more than two decades that its dependence on a single space-based source of positioning, navigation, and timing constitutes a national-scale exposure, and it has on several occasions authorized programs to field a complementary or terrestrial backup capability. None of these efforts has reached durable operational maturity. That gap between consistent recognition and consistent failure is the central object of the study, and the burden of the preceding chapters has been to explain that gap with a method capable of disconfirmation rather than with the qualitative assertion that has dominated the policy literature.</w:t>
      </w:r>
    </w:p>
    <w:p>
      <w:pPr>
        <w:pStyle w:val="BodyText"/>
        <w:spacing w:line="480" w:lineRule="auto"/>
        <w:ind w:firstLine="720"/>
      </w:pPr>
      <w:r>
        <w:t xml:space="preserve">The explanatory contest the dissertation set up is sharp. One account is institutional and financial. A terrestrial PNT complement carries the structural features of a public good, a capability whose returns are diffuse and whose appropriability to any single private actor is low, so that its provision requires sustained government investment rather than emerging unaided from private capital</w:t>
      </w:r>
      <w:r>
        <w:t xml:space="preserve"> </w:t>
      </w:r>
      <w:hyperlink w:anchor="ref-2">
        <w:r>
          <w:rPr>
            <w:rStyle w:val="Hyperlink"/>
          </w:rPr>
          <w:t xml:space="preserve">[2]</w:t>
        </w:r>
      </w:hyperlink>
      <w:r>
        <w:t xml:space="preserve">[3]. The space-economy literature on which the study draws makes precisely this claim as a general property of the sector, cataloguing satellite-delivered PNT alongside communications and Earth observation as one of the core downstream channels through which space assets enter the terrestrial economy</w:t>
      </w:r>
      <w:r>
        <w:t xml:space="preserve"> </w:t>
      </w:r>
      <w:hyperlink w:anchor="ref-1">
        <w:r>
          <w:rPr>
            <w:rStyle w:val="Hyperlink"/>
          </w:rPr>
          <w:t xml:space="preserve">[1]</w:t>
        </w:r>
      </w:hyperlink>
      <w:r>
        <w:t xml:space="preserve">, and reaching for the era of sustained public spending as the historical analogy for how a public-sector role in such a domain is cemented</w:t>
      </w:r>
      <w:r>
        <w:t xml:space="preserve"> </w:t>
      </w:r>
      <w:hyperlink w:anchor="ref-4">
        <w:r>
          <w:rPr>
            <w:rStyle w:val="Hyperlink"/>
          </w:rPr>
          <w:t xml:space="preserve">[4]</w:t>
        </w:r>
      </w:hyperlink>
      <w:r>
        <w:t xml:space="preserve">. On this account, programs stall when dedicated multi-year appropriation lapses, and the binding constraint is budgetary architecture. The competing account is technological. Programs stall because their candidate technologies are not ready, and the remedy is further research investment. The two prescriptions are not interchangeable. The literature the study inherited had asserted the first without measuring it against the second.</w:t>
      </w:r>
    </w:p>
    <w:p>
      <w:pPr>
        <w:pStyle w:val="BodyText"/>
        <w:spacing w:line="480" w:lineRule="auto"/>
        <w:ind w:firstLine="720"/>
      </w:pPr>
      <w:r>
        <w:t xml:space="preserve">The dissertation’s contribution was to convert that contest into a falsifiable test. It advanced a single claim: that the survival of U.S. complementary-PNT programs to operational maturity is governed by appropriation continuity rather than by technical readiness at authorization. The null held that, conditional on readiness, appropriation continuity has no effect on the hazard of reaching maturity; the alternative held that appropriation continuity raises that hazard, conditional on readiness, and remains a positive and statistically distinguishable influence once readiness is admitted as a competing covariate. The test was designed so that a null appropriation coefficient alongside a positive and significant readiness coefficient would reject the institutional-financing thesis in favor of the technological-maturity thesis, and the study would thereby disconfirm the very claim it was built to defend.</w:t>
      </w:r>
    </w:p>
    <w:bookmarkEnd w:id="131"/>
    <w:bookmarkStart w:id="132" w:name="synthesis-of-the-findings"/>
    <w:p>
      <w:pPr>
        <w:pStyle w:val="Heading2"/>
        <w:spacing w:line="480" w:lineRule="auto"/>
      </w:pPr>
      <w:r>
        <w:t xml:space="preserve">8.2 Synthesis of the Findings</w:t>
      </w:r>
    </w:p>
    <w:p>
      <w:pPr>
        <w:pStyle w:val="FirstParagraph"/>
        <w:spacing w:line="480" w:lineRule="auto"/>
      </w:pPr>
      <w:r>
        <w:t xml:space="preserve">The dissertation pursued the claim along two empirical fronts, and the synthesis of the two is more instructive than either result read alone.</w:t>
      </w:r>
    </w:p>
    <w:p>
      <w:pPr>
        <w:pStyle w:val="BodyText"/>
        <w:spacing w:line="480" w:lineRule="auto"/>
        <w:ind w:firstLine="720"/>
      </w:pPr>
      <w:r>
        <w:t xml:space="preserve">The first front, presented in the survival analysis, estimated a proportional-hazards model over a panel of twenty-six authorized U.S. complementary-PNT programs and demonstrated candidate technologies observed from the late 1990s through fiscal year 2025. Five of the twenty-six reached operational maturity. Both candidate mechanisms carried point estimates in the maturity-promoting direction. Appropriation continuity returned a coefficient of 0.2435, a hazard ratio of 1.276, so that each additional consecutive funded cycle was associated with an estimated twenty-eight-percent increase in the hazard of reaching maturity, but with a confidence interval on the coefficient running from minus 0.072 to 0.559 and a p-value of 0.130. Technical readiness at authorization returned a coefficient of 0.7519, a hazard ratio of 2.121, so that each additional Technology Readiness Level was associated with an estimated doubling of the maturity hazard, with a p-value of 0.084 and an interval likewise crossing zero. The formal test did not reject the null. With only five maturity events the model lacked the power to certify either coefficient at conventional levels, and the appropriation-continuity interval in particular was wide. What the first front established, then, was direction and relative magnitude rather than decisive significance: both mechanisms pointed toward maturity, and readiness carried the marginally sharper signal in that specification.</w:t>
      </w:r>
    </w:p>
    <w:p>
      <w:pPr>
        <w:pStyle w:val="BodyText"/>
        <w:spacing w:line="480" w:lineRule="auto"/>
        <w:ind w:firstLine="720"/>
      </w:pPr>
      <w:r>
        <w:t xml:space="preserve">That outcome, taken in isolation, would leave the dissertation’s thesis unconfirmed and the policy reading indeterminate. The second empirical front was designed precisely to supply the causal content the sparse PNT record could not. Rather than test the financing mechanism on the thin population where maturity is rare, the second study isolated the channel through which an interrupted appropriation stream becomes a stalled program, and it did so on the population where that channel is most completely documented: NASA’s portfolio of major development projects. An ordinary-least-squares regression of life-cycle cost growth on schedule slip, program scale, and a crewed-program indicator, estimated across twenty major projects drawn from a single Government Accountability Office assessment, returned a schedule-slip coefficient of 1.193 with a robust standard error of 0.345 and a p-value of 0.0006. Each additional month of slip in a project’s launch-readiness date was associated with roughly 1.2 additional percentage points of cost growth, holding scale and crewed status fixed. The log of baseline cost, the parametric scale channel that dominates design-stage cost estimation</w:t>
      </w:r>
      <w:r>
        <w:t xml:space="preserve"> </w:t>
      </w:r>
      <w:hyperlink w:anchor="ref-9">
        <w:r>
          <w:rPr>
            <w:rStyle w:val="Hyperlink"/>
          </w:rPr>
          <w:t xml:space="preserve">[9]</w:t>
        </w:r>
      </w:hyperlink>
      <w:r>
        <w:t xml:space="preserve">[10], was statistically indistinguishable from zero once slip was in the model. The cross-section accounted for two-thirds of the variance in cost growth, and the joint null was decisively rejected.</w:t>
      </w:r>
    </w:p>
    <w:p>
      <w:pPr>
        <w:pStyle w:val="BodyText"/>
        <w:spacing w:line="480" w:lineRule="auto"/>
        <w:ind w:firstLine="720"/>
      </w:pPr>
      <w:r>
        <w:t xml:space="preserve">The synthesis is the heart of the dissertation’s contribution. The second front gives the first its mechanism. The driver is temporal. Among large government space programs, the proximate cause of cost growth is the inability to hold schedule under an annual appropriation cycle, not the intrinsic scale or novelty of the program. A program that cannot keep its calendar carries a standing army of engineers, facilities, and contractor overhead across additional fiscal years, converting elapsed time into marching-army cost that was never in the baseline, until the appropriation that would carry it to completion is no longer politically available. This is the named channel by which a financing-and-timing failure becomes a stalled program, and it is the channel that lends causal content to the survival analysis. The recurring stall of terrestrial-complement PNT programs is most plausibly read the same way the cost growth of the better-documented NASA portfolio is read: as a temporal failure operating through the appropriation cycle rather than as a technology-readiness failure. The two fronts do not deliver the same kind of evidence, and the dissertation has been candid about that asymmetry. The PNT survival analysis is a disciplined non-rejection that favors the institutional-financing sign without supplying the precision to displace the null; the NASA cross-section is a clean and significant identification of the mechanism on which that sign depends. Read together, they convert a directional hunch into a substantiated account: the financing thesis is the better-signed explanation, and its mechanism is independently and significantly observed in the adjacent population where the data are rich enough to see it.</w:t>
      </w:r>
    </w:p>
    <w:bookmarkEnd w:id="132"/>
    <w:bookmarkStart w:id="133" w:name="contribution-to-knowledge"/>
    <w:p>
      <w:pPr>
        <w:pStyle w:val="Heading2"/>
        <w:spacing w:line="480" w:lineRule="auto"/>
      </w:pPr>
      <w:r>
        <w:t xml:space="preserve">8.3 Contribution to Knowledge</w:t>
      </w:r>
    </w:p>
    <w:p>
      <w:pPr>
        <w:pStyle w:val="FirstParagraph"/>
        <w:spacing w:line="480" w:lineRule="auto"/>
      </w:pPr>
      <w:r>
        <w:t xml:space="preserve">The dissertation makes three contributions, one methodological, one empirical, and one to the policy literature it engages.</w:t>
      </w:r>
    </w:p>
    <w:p>
      <w:pPr>
        <w:pStyle w:val="BodyText"/>
        <w:spacing w:line="480" w:lineRule="auto"/>
        <w:ind w:firstLine="720"/>
      </w:pPr>
      <w:r>
        <w:t xml:space="preserve">The methodological contribution is the construction of a longitudinal, program-level test where the prior literature offered only cross-sectional characterization. The space-economy literature had established that space-delivered PNT is critical infrastructure with public-good features requiring government investment, but it did so as a general property of the sector and never modeled the survival of specific terrestrial-complement programs as a function of the financing structure it described</w:t>
      </w:r>
      <w:r>
        <w:t xml:space="preserve"> </w:t>
      </w:r>
      <w:hyperlink w:anchor="ref-1">
        <w:r>
          <w:rPr>
            <w:rStyle w:val="Hyperlink"/>
          </w:rPr>
          <w:t xml:space="preserve">[1]</w:t>
        </w:r>
      </w:hyperlink>
      <w:r>
        <w:t xml:space="preserve">[2][3]. The space-domain technical literature, in parallel, had treated distributed and space-based architectures as engineering-and-cost optimization problems, rigorous on what an optimal architecture looks like under a cost objective but silent on whether an authorized program would be funded to completion</w:t>
      </w:r>
      <w:r>
        <w:t xml:space="preserve"> </w:t>
      </w:r>
      <w:hyperlink w:anchor="ref-5">
        <w:r>
          <w:rPr>
            <w:rStyle w:val="Hyperlink"/>
          </w:rPr>
          <w:t xml:space="preserve">[5]</w:t>
        </w:r>
      </w:hyperlink>
      <w:r>
        <w:t xml:space="preserve">[6]. Cost-optimality at design and survival to operational maturity are different dependent variables, and neither body of work supplied the lifecycle panel that would let the second be tested against the financing structure the first described. The dissertation built that panel, with every program-year auditable to a public document of record, and used it to pose the competing-mechanism question that neither literature had been equipped to ask.</w:t>
      </w:r>
    </w:p>
    <w:p>
      <w:pPr>
        <w:pStyle w:val="BodyText"/>
        <w:spacing w:line="480" w:lineRule="auto"/>
        <w:ind w:firstLine="720"/>
      </w:pPr>
      <w:r>
        <w:t xml:space="preserve">The empirical contribution is the dual finding itself: a directionally consistent but statistically underpowered survival result on the PNT population, paired with a precisely identified mechanism on the NASA population that explains why the financing channel should be expected to operate. The NASA result is the firmer of the two and is a standalone empirical claim of independent value. It establishes that, among major government space programs, schedule slip rather than program scale is the proximate driver of cost growth, and that the parametric scale variable which anchors design-stage estimation contributes nothing to in-flight cost divergence once slip is present</w:t>
      </w:r>
      <w:r>
        <w:t xml:space="preserve"> </w:t>
      </w:r>
      <w:hyperlink w:anchor="ref-9">
        <w:r>
          <w:rPr>
            <w:rStyle w:val="Hyperlink"/>
          </w:rPr>
          <w:t xml:space="preserve">[9]</w:t>
        </w:r>
      </w:hyperlink>
      <w:r>
        <w:t xml:space="preserve">[10]. This is a measured refutation of the intuition that big or novel programs overrun because they are big or novel; they overrun because they cannot hold their calendars under a fixed annual appropriation cycle.</w:t>
      </w:r>
    </w:p>
    <w:p>
      <w:pPr>
        <w:pStyle w:val="BodyText"/>
        <w:spacing w:line="480" w:lineRule="auto"/>
        <w:ind w:firstLine="720"/>
      </w:pPr>
      <w:r>
        <w:t xml:space="preserve">The contribution to the policy literature is to adjudicate, with the evidence available, between two prescriptions that are routinely conflated. The prudent inference the dissertation supports is not that budgetary architecture alone governs survival, nor that readiness alone does, but that a complementary-PNT program needs both a technology mature enough to field and an appropriation line continuous enough to carry it there. The financing thesis survives as the better-signed of the two hypotheses and as the one whose mechanism is independently observed; the readiness account is not dismissed but is shown to be insufficient on its own to explain a record in which technically demonstrated candidates have nonetheless failed to reach durable service. For the policymaker, the operative lesson is that further research investment, absent a budgetary architecture capable of sustaining multi-year commitment, is unlikely to resolve the stalled complement, because the failure channel the evidence identifies is temporal and financial rather than technological.</w:t>
      </w:r>
    </w:p>
    <w:bookmarkEnd w:id="133"/>
    <w:bookmarkStart w:id="134" w:name="limitations-and-the-road-ahead"/>
    <w:p>
      <w:pPr>
        <w:pStyle w:val="Heading2"/>
        <w:spacing w:line="480" w:lineRule="auto"/>
      </w:pPr>
      <w:r>
        <w:t xml:space="preserve">8.4 Limitations and the Road Ahead</w:t>
      </w:r>
    </w:p>
    <w:p>
      <w:pPr>
        <w:pStyle w:val="FirstParagraph"/>
        <w:spacing w:line="480" w:lineRule="auto"/>
      </w:pPr>
      <w:r>
        <w:t xml:space="preserve">The dissertation has been forthright about the boundaries of its claims. The binding constraint on the survival analysis is statistical power. The population of authorized U.S. complementary-PNT programs is genuinely small, and operational maturity is a rare event within it, which is itself the substantive phenomenon the study set out to explain. Five events across twenty-six programs is too thin a base for conventional significance, and the wide confidence intervals are an honest report of that thinness rather than a defect of the estimator. The NASA cross-section, for its part, rests on twenty observations drawn from a single assessment year, and its estimates are associational; schedule slip and cost growth may both respond to a common shock, and the assessment was taken during a period in which a shared disturbance was present. Three further threats temper the survival estimates and were addressed but not eliminated in the design: reverse causation between funding and survival, mitigated by lagging the appropriation measure and conditioning on authorization-stage readiness; construct validity of the maturity event, which is not a single legislated milestone and required a pre-registered coding rule; and omitted institutional confounding, in which appropriation continuity may proxy for a sponsor’s political durability rather than act as an independent cause.</w:t>
      </w:r>
    </w:p>
    <w:p>
      <w:pPr>
        <w:pStyle w:val="BodyText"/>
        <w:spacing w:line="480" w:lineRule="auto"/>
        <w:ind w:firstLine="720"/>
      </w:pPr>
      <w:r>
        <w:t xml:space="preserve">The road ahead the dissertation indicates is the construction of a program-year panel that recovers degrees of freedom along the time dimension. Such a panel would tighten both intervals, would permit the competing-risks distinction between maturation and termination that the present cross-program specification cannot support, and would allow the within-program variation in appropriation continuity to be exploited directly. On the NASA side, the natural extension is to expand the single-year cross-section into a multi-year panel of assessments, so that within-program variation in slip can be exploited and the common-shock concern addressed with project and year effects. The two extensions converge on a single design: a panel rich enough in events and in time to carry the causal weight that the present cross-sectional and small-N evidence can only point toward. That the present study points firmly in one direction, and identifies the mechanism that would explain why, is the warrant for building it.</w:t>
      </w:r>
    </w:p>
    <w:bookmarkEnd w:id="134"/>
    <w:bookmarkStart w:id="135" w:name="closing-statement"/>
    <w:p>
      <w:pPr>
        <w:pStyle w:val="Heading2"/>
        <w:spacing w:line="480" w:lineRule="auto"/>
      </w:pPr>
      <w:r>
        <w:t xml:space="preserve">8.5 Closing Statement</w:t>
      </w:r>
    </w:p>
    <w:p>
      <w:pPr>
        <w:pStyle w:val="FirstParagraph"/>
        <w:spacing w:line="480" w:lineRule="auto"/>
      </w:pPr>
      <w:r>
        <w:t xml:space="preserve">The stalled complement is not a story of engineering defeat. It is a story about the architecture of public commitment. The difference matters. A nation that has acknowledged for two decades that its critical infrastructure rests on a single point of failure, and that has authorized and even demonstrated candidate remedies, has nonetheless not fielded one, and the evidence assembled here locates the reason in the seam between authorization and sustained appropriation rather than in the readiness of the technology. The capability is a public good in the precise sense the space-economy literature intends, a good whose diffuse returns and low private appropriability demand exactly the kind of patient, multi-year public financing that an annual appropriation cycle is structurally poorly suited to provide</w:t>
      </w:r>
      <w:r>
        <w:t xml:space="preserve"> </w:t>
      </w:r>
      <w:hyperlink w:anchor="ref-2">
        <w:r>
          <w:rPr>
            <w:rStyle w:val="Hyperlink"/>
          </w:rPr>
          <w:t xml:space="preserve">[2]</w:t>
        </w:r>
      </w:hyperlink>
      <w:r>
        <w:t xml:space="preserve">[3][4]. When such financing lapses, the sequence is swift. Time converts into cost, cost converts into political vulnerability, and the program stalls before it matures. The dissertation’s two empirical fronts, one directional and one decisive, together describe that sequence and name its mechanism.</w:t>
      </w:r>
    </w:p>
    <w:p>
      <w:pPr>
        <w:pStyle w:val="BodyText"/>
        <w:spacing w:line="480" w:lineRule="auto"/>
        <w:ind w:firstLine="720"/>
      </w:pPr>
      <w:r>
        <w:t xml:space="preserve">The practical implication follows without strain. To close the gap between recognition and execution, the United States will need to treat the funding of a complementary-PNT capability not as an annually contested line but as a sustained commitment commensurate with the public-good character of the service it protects. The technology, the demonstrations on record suggest, is closer to ready than the budgetary architecture is. What the stalled complement awaits is less a breakthrough than a durable decision to pay for what has already been built and shown to work. Until the financing structure is made equal to the public-good character of the capability, the complement will remain authorized, demonstrated, and unfielded, and the single point of failure the nation set out to retire will remain exactly where it has been for twenty years.</w:t>
      </w:r>
    </w:p>
    <w:bookmarkEnd w:id="135"/>
    <w:bookmarkStart w:id="178" w:name="references"/>
    <w:p>
      <w:pPr>
        <w:pStyle w:val="Heading2"/>
        <w:spacing w:line="480" w:lineRule="auto"/>
      </w:pPr>
      <w:r>
        <w:t xml:space="preserve">References</w:t>
      </w:r>
    </w:p>
    <w:p>
      <w:pPr>
        <w:pStyle w:val="FirstParagraph"/>
        <w:spacing w:line="480" w:lineRule="auto"/>
      </w:pPr>
      <w:bookmarkStart w:id="136" w:name="ref-1"/>
      <w:bookmarkEnd w:id="136"/>
      <w:r>
        <w:t xml:space="preserve">1. OCEA,</w:t>
      </w:r>
      <w:r>
        <w:t xml:space="preserve"> </w:t>
      </w:r>
      <w:r>
        <w:t xml:space="preserve">“Forecasting the Space Economy.”</w:t>
      </w:r>
      <w:r>
        <w:t xml:space="preserve"> </w:t>
      </w:r>
      <w:r>
        <w:t xml:space="preserve">Space Economy Papers corpus, source SD08.</w:t>
      </w:r>
    </w:p>
    <w:p>
      <w:pPr>
        <w:pStyle w:val="BodyText"/>
        <w:spacing w:line="480" w:lineRule="auto"/>
        <w:ind w:firstLine="720"/>
      </w:pPr>
      <w:bookmarkStart w:id="137" w:name="ref-2"/>
      <w:bookmarkEnd w:id="137"/>
      <w:r>
        <w:t xml:space="preserve">2. OCEA,</w:t>
      </w:r>
      <w:r>
        <w:t xml:space="preserve"> </w:t>
      </w:r>
      <w:r>
        <w:t xml:space="preserve">“Forecasting the Space Economy”</w:t>
      </w:r>
      <w:r>
        <w:t xml:space="preserve"> </w:t>
      </w:r>
      <w:r>
        <w:t xml:space="preserve">(in-space infrastructure and initial government investment). Space Economy Papers corpus, source SD08.</w:t>
      </w:r>
    </w:p>
    <w:p>
      <w:pPr>
        <w:pStyle w:val="BodyText"/>
        <w:spacing w:line="480" w:lineRule="auto"/>
        <w:ind w:firstLine="720"/>
      </w:pPr>
      <w:bookmarkStart w:id="138" w:name="ref-3"/>
      <w:bookmarkEnd w:id="138"/>
      <w:r>
        <w:t xml:space="preserve">3.</w:t>
      </w:r>
      <w:r>
        <w:t xml:space="preserve"> </w:t>
      </w:r>
      <w:r>
        <w:t xml:space="preserve">“The Role of Space in Driving Sustainability, Security, and Development.”</w:t>
      </w:r>
      <w:r>
        <w:t xml:space="preserve"> </w:t>
      </w:r>
      <w:r>
        <w:t xml:space="preserve">Space Economy Papers corpus, source SD13.</w:t>
      </w:r>
    </w:p>
    <w:p>
      <w:pPr>
        <w:pStyle w:val="BodyText"/>
        <w:spacing w:line="480" w:lineRule="auto"/>
        <w:ind w:firstLine="720"/>
      </w:pPr>
      <w:bookmarkStart w:id="139" w:name="ref-4"/>
      <w:bookmarkEnd w:id="139"/>
      <w:r>
        <w:t xml:space="preserve">4. M. Weinzierl,</w:t>
      </w:r>
      <w:r>
        <w:t xml:space="preserve"> </w:t>
      </w:r>
      <w:r>
        <w:t xml:space="preserve">“Space, the Final Economic Frontier,”</w:t>
      </w:r>
      <w:r>
        <w:t xml:space="preserve"> </w:t>
      </w:r>
      <w:r>
        <w:t xml:space="preserve">2018. Space Economy Papers corpus, source SD18.</w:t>
      </w:r>
    </w:p>
    <w:p>
      <w:pPr>
        <w:pStyle w:val="BodyText"/>
        <w:spacing w:line="480" w:lineRule="auto"/>
        <w:ind w:firstLine="720"/>
      </w:pPr>
      <w:bookmarkStart w:id="140" w:name="ref-5"/>
      <w:bookmarkEnd w:id="140"/>
      <w:r>
        <w:t xml:space="preserve">5. G. Badura, Y. Shimane, L. Visonneau, M. Gilmartin, S. Crum, C. Valenta, M. Steffens, S. Cimtalay, F. Humphrey, M. Borowitz, B. Gunter, J. Christian, and K. Ho,</w:t>
      </w:r>
      <w:r>
        <w:t xml:space="preserve"> </w:t>
      </w:r>
      <w:r>
        <w:t xml:space="preserve">“Optimizing Distributed Space-Based Networks for Cislunar Space Domain Awareness in the Context of Operational Cost Metrics,”</w:t>
      </w:r>
      <w:r>
        <w:t xml:space="preserve"> </w:t>
      </w:r>
      <w:r>
        <w:t xml:space="preserve">Proc. Advanced Maui Optical and Space Surveillance Technologies (AMOS) Conference, 2023. doi:</w:t>
      </w:r>
      <w:r>
        <w:t xml:space="preserve"> </w:t>
      </w:r>
      <w:hyperlink r:id="rId141">
        <w:r>
          <w:rPr>
            <w:rStyle w:val="Hyperlink"/>
          </w:rPr>
          <w:t xml:space="preserve">10.64861/IMSI4025</w:t>
        </w:r>
      </w:hyperlink>
    </w:p>
    <w:p>
      <w:pPr>
        <w:pStyle w:val="BodyText"/>
        <w:spacing w:line="480" w:lineRule="auto"/>
        <w:ind w:firstLine="720"/>
      </w:pPr>
      <w:bookmarkStart w:id="142" w:name="ref-6"/>
      <w:bookmarkEnd w:id="142"/>
      <w:r>
        <w:t xml:space="preserve">6. A. Chandra, M. Lutfi, and D. Gross,</w:t>
      </w:r>
      <w:r>
        <w:t xml:space="preserve"> </w:t>
      </w:r>
      <w:r>
        <w:t xml:space="preserve">“Leveraging the Emerging CubeSat Reference Model for Space Situational Awareness,”</w:t>
      </w:r>
      <w:r>
        <w:t xml:space="preserve"> </w:t>
      </w:r>
      <w:r>
        <w:t xml:space="preserve">Proc. Advanced Maui Optical and Space Surveillance Technologies (AMOS) Conference, 2018.</w:t>
      </w:r>
    </w:p>
    <w:p>
      <w:pPr>
        <w:pStyle w:val="BodyText"/>
        <w:spacing w:line="480" w:lineRule="auto"/>
        <w:ind w:firstLine="720"/>
      </w:pPr>
      <w:bookmarkStart w:id="143" w:name="ref-7"/>
      <w:bookmarkEnd w:id="143"/>
      <w:r>
        <w:t xml:space="preserve">7. U.S. Department of Transportation, Volpe National Transportation Systems Center,</w:t>
      </w:r>
      <w:r>
        <w:t xml:space="preserve"> </w:t>
      </w:r>
      <w:r>
        <w:t xml:space="preserve">“Complementary PNT and GPS Backup Technologies Demonstration Report to Congress,”</w:t>
      </w:r>
      <w:r>
        <w:t xml:space="preserve"> </w:t>
      </w:r>
      <w:r>
        <w:t xml:space="preserve">January 2021 (FY2018 NDAA Section 1606).</w:t>
      </w:r>
    </w:p>
    <w:p>
      <w:pPr>
        <w:pStyle w:val="BodyText"/>
        <w:spacing w:line="480" w:lineRule="auto"/>
        <w:ind w:firstLine="720"/>
      </w:pPr>
      <w:bookmarkStart w:id="144" w:name="ref-8"/>
      <w:bookmarkEnd w:id="144"/>
      <w:r>
        <w:t xml:space="preserve">8. U.S. Government Accountability Office,</w:t>
      </w:r>
      <w:r>
        <w:t xml:space="preserve"> </w:t>
      </w:r>
      <w:r>
        <w:t xml:space="preserve">“Defense Navigation Capabilities,”</w:t>
      </w:r>
      <w:r>
        <w:t xml:space="preserve"> </w:t>
      </w:r>
      <w:r>
        <w:t xml:space="preserve">GAO-21-320SP, 2021.</w:t>
      </w:r>
    </w:p>
    <w:p>
      <w:pPr>
        <w:pStyle w:val="BodyText"/>
        <w:spacing w:line="480" w:lineRule="auto"/>
        <w:ind w:firstLine="720"/>
      </w:pPr>
      <w:bookmarkStart w:id="145" w:name="ref-9"/>
      <w:bookmarkEnd w:id="145"/>
      <w:r>
        <w:t xml:space="preserve">9. P. D. Friz, S. Hosder, B. B. Leser, and B. C. Towle,</w:t>
      </w:r>
      <w:r>
        <w:t xml:space="preserve"> </w:t>
      </w:r>
      <w:r>
        <w:t xml:space="preserve">“Blind validation study of parametric cost estimation tool SEER-H for NASA space missions,”</w:t>
      </w:r>
      <w:r>
        <w:t xml:space="preserve"> </w:t>
      </w:r>
      <w:r>
        <w:t xml:space="preserve">Acta Astronautica, vol. 166, 2019. doi:</w:t>
      </w:r>
      <w:r>
        <w:t xml:space="preserve"> </w:t>
      </w:r>
      <w:hyperlink r:id="rId146">
        <w:r>
          <w:rPr>
            <w:rStyle w:val="Hyperlink"/>
          </w:rPr>
          <w:t xml:space="preserve">10.1016/j.actaastro.2019.09.030</w:t>
        </w:r>
      </w:hyperlink>
    </w:p>
    <w:p>
      <w:pPr>
        <w:pStyle w:val="BodyText"/>
        <w:spacing w:line="480" w:lineRule="auto"/>
        <w:ind w:firstLine="720"/>
      </w:pPr>
      <w:bookmarkStart w:id="147" w:name="ref-10"/>
      <w:bookmarkEnd w:id="147"/>
      <w:r>
        <w:t xml:space="preserve">10.</w:t>
      </w:r>
      <w:r>
        <w:t xml:space="preserve"> </w:t>
      </w:r>
      <w:r>
        <w:t xml:space="preserve">“Parametric economic modelling of asteroid mining architectures,”</w:t>
      </w:r>
      <w:r>
        <w:t xml:space="preserve"> </w:t>
      </w:r>
      <w:r>
        <w:t xml:space="preserve">Acta Astronautica, 2025. doi:</w:t>
      </w:r>
      <w:r>
        <w:t xml:space="preserve"> </w:t>
      </w:r>
      <w:hyperlink r:id="rId148">
        <w:r>
          <w:rPr>
            <w:rStyle w:val="Hyperlink"/>
          </w:rPr>
          <w:t xml:space="preserve">10.1016/j.actaastro.2025.11.006</w:t>
        </w:r>
      </w:hyperlink>
    </w:p>
    <w:p>
      <w:pPr>
        <w:pStyle w:val="BodyText"/>
        <w:spacing w:line="480" w:lineRule="auto"/>
        <w:ind w:firstLine="720"/>
      </w:pPr>
      <w:bookmarkStart w:id="149" w:name="ref-11"/>
      <w:bookmarkEnd w:id="149"/>
      <w:r>
        <w:t xml:space="preserve">11.</w:t>
      </w:r>
      <w:r>
        <w:t xml:space="preserve"> </w:t>
      </w:r>
      <w:r>
        <w:t xml:space="preserve">“Architectural Socio-Technological Transformative Change of Space-Use Norms”</w:t>
      </w:r>
      <w:r>
        <w:t xml:space="preserve"> </w:t>
      </w:r>
      <w:r>
        <w:t xml:space="preserve">(budgetary constraints despite recognized need). Space Economy Papers corpus, source SD03.</w:t>
      </w:r>
    </w:p>
    <w:p>
      <w:pPr>
        <w:pStyle w:val="BodyText"/>
        <w:spacing w:line="480" w:lineRule="auto"/>
        <w:ind w:firstLine="720"/>
      </w:pPr>
      <w:bookmarkStart w:id="150" w:name="ref-12"/>
      <w:bookmarkEnd w:id="150"/>
      <w:r>
        <w:t xml:space="preserve">12. U.S. Government Accountability Office, NASA: Assessments of Major Projects, GAO-22-105212, June 2022. Table 9 (p.130) and project summaries (p.113). https://www.gao.gov/products/gao-22-105212.</w:t>
      </w:r>
    </w:p>
    <w:p>
      <w:pPr>
        <w:pStyle w:val="BodyText"/>
        <w:spacing w:line="480" w:lineRule="auto"/>
        <w:ind w:firstLine="720"/>
      </w:pPr>
      <w:bookmarkStart w:id="151" w:name="ref-13"/>
      <w:bookmarkEnd w:id="151"/>
      <w:r>
        <w:t xml:space="preserve">13. Sergio Restaino (US Naval Research Laboratory), J.R. Andrews (NRL), J.T. Armstrong (NRL), E.K. Baines (NRL), J.H. Clark (NRL), H.R. Schmitt (NRL). The Navy Precision Optical Interferometer for SSA: A Progress Report (2014).</w:t>
      </w:r>
    </w:p>
    <w:p>
      <w:pPr>
        <w:pStyle w:val="BodyText"/>
        <w:spacing w:line="480" w:lineRule="auto"/>
        <w:ind w:firstLine="720"/>
      </w:pPr>
      <w:bookmarkStart w:id="152" w:name="ref-14"/>
      <w:bookmarkEnd w:id="152"/>
      <w:r>
        <w:t xml:space="preserve">14. Quentin Verspieren, The University of Tokyo. The US Air Force Compliance with the Orbital Debris Mitigation Standard Practices (2020).</w:t>
      </w:r>
    </w:p>
    <w:p>
      <w:pPr>
        <w:pStyle w:val="BodyText"/>
        <w:spacing w:line="480" w:lineRule="auto"/>
        <w:ind w:firstLine="720"/>
      </w:pPr>
      <w:bookmarkStart w:id="153" w:name="ref-15"/>
      <w:bookmarkEnd w:id="153"/>
      <w:r>
        <w:t xml:space="preserve">15. Santosh Bhattarai, University College London; Charles Constant, University College London; Felicia Peto-Madew, University College London. Toward an On-Orbit Reference Network for Enhanced Ephemeris Quality Testing in Low Earth Orbit (2025). doi:</w:t>
      </w:r>
      <w:r>
        <w:t xml:space="preserve"> </w:t>
      </w:r>
      <w:hyperlink r:id="rId154">
        <w:r>
          <w:rPr>
            <w:rStyle w:val="Hyperlink"/>
          </w:rPr>
          <w:t xml:space="preserve">10.64861/QXJB5158</w:t>
        </w:r>
      </w:hyperlink>
    </w:p>
    <w:p>
      <w:pPr>
        <w:pStyle w:val="BodyText"/>
        <w:spacing w:line="480" w:lineRule="auto"/>
        <w:ind w:firstLine="720"/>
      </w:pPr>
      <w:bookmarkStart w:id="155" w:name="ref-16"/>
      <w:bookmarkEnd w:id="155"/>
      <w:r>
        <w:t xml:space="preserve">16. Dario Modenini, University of Bologna; Giacomo Curzi, University of Bologna; Alfredo Locarini, Alma Mater Studiorum – University of Bologna; Paolo Tortora, University of Bologna; Stefano Cicalò, Space Dynamics Services s.r.l.; Alessia Bertolucci, Space Dynamics Services s.r.l.; Francesca Guerra, Space Dynamics Services s.r.l.; Mauro Cardone, Agenzia Spaziale Italiana. ABACO, An Autonomous Board for Avoiding Collisions (2023). doi:</w:t>
      </w:r>
      <w:r>
        <w:t xml:space="preserve"> </w:t>
      </w:r>
      <w:hyperlink r:id="rId156">
        <w:r>
          <w:rPr>
            <w:rStyle w:val="Hyperlink"/>
          </w:rPr>
          <w:t xml:space="preserve">10.64861/HAWR6096</w:t>
        </w:r>
      </w:hyperlink>
    </w:p>
    <w:p>
      <w:pPr>
        <w:pStyle w:val="BodyText"/>
        <w:spacing w:line="480" w:lineRule="auto"/>
        <w:ind w:firstLine="720"/>
      </w:pPr>
      <w:bookmarkStart w:id="157" w:name="ref-17"/>
      <w:bookmarkEnd w:id="157"/>
      <w:r>
        <w:t xml:space="preserve">17. Kullen Waggoner, Air Force Institute of Technology; David Curtis, Air Force Institute of Technology. Analysis of Receiver Position and Velocity Uncertainty on Passive RF Cislunar SSA Architectures (2024). doi:</w:t>
      </w:r>
      <w:r>
        <w:t xml:space="preserve"> </w:t>
      </w:r>
      <w:hyperlink r:id="rId158">
        <w:r>
          <w:rPr>
            <w:rStyle w:val="Hyperlink"/>
          </w:rPr>
          <w:t xml:space="preserve">10.64861/IKOD8008</w:t>
        </w:r>
      </w:hyperlink>
    </w:p>
    <w:p>
      <w:pPr>
        <w:pStyle w:val="BodyText"/>
        <w:spacing w:line="480" w:lineRule="auto"/>
        <w:ind w:firstLine="720"/>
      </w:pPr>
      <w:bookmarkStart w:id="159" w:name="ref-18"/>
      <w:bookmarkEnd w:id="159"/>
      <w:r>
        <w:t xml:space="preserve">18. Daniel Finch, Silentium Defence; James Palmer, Silentium Defence; James Cooper, COMSPOC; Daniel Oltrogge, COMSPOC; Thomas Johnson, Exa Research, LLC. Assessing Passive Radar for LEO SSA (2022).</w:t>
      </w:r>
    </w:p>
    <w:p>
      <w:pPr>
        <w:pStyle w:val="BodyText"/>
        <w:spacing w:line="480" w:lineRule="auto"/>
        <w:ind w:firstLine="720"/>
      </w:pPr>
      <w:bookmarkStart w:id="160" w:name="ref-19"/>
      <w:bookmarkEnd w:id="160"/>
      <w:r>
        <w:t xml:space="preserve">19. Jeffrey E. Van Cleve, Ball Aerospace; David P. Osterman, Ball Aerospace; Anna Lawitzke, Ball Aerospace; Jacob D. Griesbach, Ball Aerospace; Christopher J. Grant, Ball Aerospace; Colleen Olson, Ball Aerospace; James Contreras, Ball Aerospace. A Year in the Life of the Shackleton Space Domain Awareness Station (2022).</w:t>
      </w:r>
    </w:p>
    <w:p>
      <w:pPr>
        <w:pStyle w:val="BodyText"/>
        <w:spacing w:line="480" w:lineRule="auto"/>
        <w:ind w:firstLine="720"/>
      </w:pPr>
      <w:bookmarkStart w:id="161" w:name="ref-20"/>
      <w:bookmarkEnd w:id="161"/>
      <w:r>
        <w:t xml:space="preserve">20. Eileen Ryan (New Mexico Institute of Mining and Technology), William H. Ryan (Magdalena Ridge Observatory, New Mexico Institute of Mining and Technology). Space Object Characterization Studies and the Magdalena Ridge Observatory’s 2.4-meter Telescope (2007).</w:t>
      </w:r>
    </w:p>
    <w:p>
      <w:pPr>
        <w:pStyle w:val="BodyText"/>
        <w:spacing w:line="480" w:lineRule="auto"/>
        <w:ind w:firstLine="720"/>
      </w:pPr>
      <w:bookmarkStart w:id="162" w:name="ref-21"/>
      <w:bookmarkEnd w:id="162"/>
      <w:r>
        <w:t xml:space="preserve">21. Michael Paluszek; Annie Price; Zoe Koniaris; Christopher Galea; Stephanie Thomas; S. Cohen; Rachel Stutz. Nuclear fusion powered Titan aircraft (2023). doi:</w:t>
      </w:r>
      <w:r>
        <w:t xml:space="preserve"> </w:t>
      </w:r>
      <w:hyperlink r:id="rId163">
        <w:r>
          <w:rPr>
            <w:rStyle w:val="Hyperlink"/>
          </w:rPr>
          <w:t xml:space="preserve">10.1016/j.actaastro.2023.04.029</w:t>
        </w:r>
      </w:hyperlink>
    </w:p>
    <w:p>
      <w:pPr>
        <w:pStyle w:val="BodyText"/>
        <w:spacing w:line="480" w:lineRule="auto"/>
        <w:ind w:firstLine="720"/>
      </w:pPr>
      <w:bookmarkStart w:id="164" w:name="ref-22"/>
      <w:bookmarkEnd w:id="164"/>
      <w:r>
        <w:t xml:space="preserve">22. Junli Wang; Zhi Deng; Yuhang Zhang; Chen Liu; Wenli Chen; Jian Wu. Studies on the effect of working fluid and the geometric design of airfoils on the aerodynamic performance of air vehicles operating in Martian atmosphere (2025). doi:</w:t>
      </w:r>
      <w:r>
        <w:t xml:space="preserve"> </w:t>
      </w:r>
      <w:hyperlink r:id="rId165">
        <w:r>
          <w:rPr>
            <w:rStyle w:val="Hyperlink"/>
          </w:rPr>
          <w:t xml:space="preserve">10.1016/j.actaastro.2025.01.039</w:t>
        </w:r>
      </w:hyperlink>
    </w:p>
    <w:p>
      <w:pPr>
        <w:pStyle w:val="BodyText"/>
        <w:spacing w:line="480" w:lineRule="auto"/>
        <w:ind w:firstLine="720"/>
      </w:pPr>
      <w:bookmarkStart w:id="166" w:name="ref-23"/>
      <w:bookmarkEnd w:id="166"/>
      <w:r>
        <w:t xml:space="preserve">23. Nicole Viola; Roberta Fusaro; Davide Ferretto; Valeria Vercella. Research, development and production costs prediction parametric model for future civil hypersonic aircraft (2022). doi:</w:t>
      </w:r>
      <w:r>
        <w:t xml:space="preserve"> </w:t>
      </w:r>
      <w:hyperlink r:id="rId167">
        <w:r>
          <w:rPr>
            <w:rStyle w:val="Hyperlink"/>
          </w:rPr>
          <w:t xml:space="preserve">10.1016/j.actaastro.2022.12.036</w:t>
        </w:r>
      </w:hyperlink>
    </w:p>
    <w:p>
      <w:pPr>
        <w:pStyle w:val="BodyText"/>
        <w:spacing w:line="480" w:lineRule="auto"/>
        <w:ind w:firstLine="720"/>
      </w:pPr>
      <w:bookmarkStart w:id="168" w:name="ref-24"/>
      <w:bookmarkEnd w:id="168"/>
      <w:r>
        <w:t xml:space="preserve">24. M.B. Agir; N.H. Crisp; KL Smith; P.C.E. Roberts; Z. Xiang; M. Newsam; M. Griffiths. Efficiency Metrics and Numerical Simulation Procedure for Atmosphere-Breathing Electric Propulsion (ABEP) Intake Designs (2026). doi:</w:t>
      </w:r>
      <w:r>
        <w:t xml:space="preserve"> </w:t>
      </w:r>
      <w:hyperlink r:id="rId169">
        <w:r>
          <w:rPr>
            <w:rStyle w:val="Hyperlink"/>
          </w:rPr>
          <w:t xml:space="preserve">10.1016/j.actaastro.2026.01.037</w:t>
        </w:r>
      </w:hyperlink>
    </w:p>
    <w:p>
      <w:pPr>
        <w:pStyle w:val="BodyText"/>
        <w:spacing w:line="480" w:lineRule="auto"/>
        <w:ind w:firstLine="720"/>
      </w:pPr>
      <w:bookmarkStart w:id="170" w:name="ref-25"/>
      <w:bookmarkEnd w:id="170"/>
      <w:r>
        <w:t xml:space="preserve">25. Tobias Degen; John C. Barentine; Gyula I.G. Józsa; Thomas Walter; Jacqueline Degen. Mitigating satellite trails through retroreflective coatings: A proposal for preserving the night sky (2026). doi:</w:t>
      </w:r>
      <w:r>
        <w:t xml:space="preserve"> </w:t>
      </w:r>
      <w:hyperlink r:id="rId171">
        <w:r>
          <w:rPr>
            <w:rStyle w:val="Hyperlink"/>
          </w:rPr>
          <w:t xml:space="preserve">10.1016/j.actaastro.2026.01.042</w:t>
        </w:r>
      </w:hyperlink>
    </w:p>
    <w:p>
      <w:pPr>
        <w:pStyle w:val="BodyText"/>
        <w:spacing w:line="480" w:lineRule="auto"/>
        <w:ind w:firstLine="720"/>
      </w:pPr>
      <w:bookmarkStart w:id="172" w:name="ref-26"/>
      <w:bookmarkEnd w:id="172"/>
      <w:r>
        <w:t xml:space="preserve">26. Joshua Critchley-Marrows; Xiaofeng Wu; Iver H. Cairns. An architecture for a visual-based PNT alternative (2023). doi:</w:t>
      </w:r>
      <w:r>
        <w:t xml:space="preserve"> </w:t>
      </w:r>
      <w:hyperlink r:id="rId173">
        <w:r>
          <w:rPr>
            <w:rStyle w:val="Hyperlink"/>
          </w:rPr>
          <w:t xml:space="preserve">10.1016/j.actaastro.2023.05.022</w:t>
        </w:r>
      </w:hyperlink>
    </w:p>
    <w:p>
      <w:pPr>
        <w:pStyle w:val="BodyText"/>
        <w:spacing w:line="480" w:lineRule="auto"/>
        <w:ind w:firstLine="720"/>
      </w:pPr>
      <w:bookmarkStart w:id="174" w:name="ref-27"/>
      <w:bookmarkEnd w:id="174"/>
      <w:r>
        <w:t xml:space="preserve">27. Shanmurugan Selvamurgan; E. Glenn Lightsey; Koki Ho. Time-optimal trajectory design of distributed space systems for in-space transportation in Earth Orbit (2026). doi:</w:t>
      </w:r>
      <w:r>
        <w:t xml:space="preserve"> </w:t>
      </w:r>
      <w:hyperlink r:id="rId175">
        <w:r>
          <w:rPr>
            <w:rStyle w:val="Hyperlink"/>
          </w:rPr>
          <w:t xml:space="preserve">10.1016/j.actaastro.2026.05.056</w:t>
        </w:r>
      </w:hyperlink>
    </w:p>
    <w:p>
      <w:pPr>
        <w:pStyle w:val="BodyText"/>
        <w:spacing w:line="480" w:lineRule="auto"/>
        <w:ind w:firstLine="720"/>
      </w:pPr>
      <w:bookmarkStart w:id="176" w:name="ref-28"/>
      <w:bookmarkEnd w:id="176"/>
      <w:r>
        <w:t xml:space="preserve">28. Tânia M. Ribeiro; Andrea D’Ambrosio; Guillermo J. Dominguez Calabuig; Dimitrios Athanasopoulos; H. C. Bates; Clemens Riegler; Oriane Gassot; Selina-Barbara Gerig; Juan Luis Gómez-González; Nikolaus Huber; Ragnar Seton; Tiago E.C. Magalhães. CARINA: A near-Earth D-type asteroid sample return mission (2023). doi:</w:t>
      </w:r>
      <w:r>
        <w:t xml:space="preserve"> </w:t>
      </w:r>
      <w:hyperlink r:id="rId177">
        <w:r>
          <w:rPr>
            <w:rStyle w:val="Hyperlink"/>
          </w:rPr>
          <w:t xml:space="preserve">10.1016/j.actaastro.2023.07.035</w:t>
        </w:r>
      </w:hyperlink>
    </w:p>
    <w:bookmarkEnd w:id="178"/>
    <w:bookmarkEnd w:id="179"/>
    <w:bookmarkStart w:id="196"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7" w:name="Xe5e90806092e435322e25c3e16030d4f14f9b18"/>
    <w:p>
      <w:pPr>
        <w:pStyle w:val="Heading2"/>
        <w:spacing w:line="480" w:lineRule="auto"/>
      </w:pPr>
      <w:r>
        <w:t xml:space="preserve">A.1 The Stalled Complement: A Survival Analysis of Appropriation Continuity and Technical Readiness in U.S. Complementary-PNT Programs</w:t>
      </w:r>
    </w:p>
    <w:p>
      <w:pPr>
        <w:pStyle w:val="FirstParagraph"/>
        <w:spacing w:line="480" w:lineRule="auto"/>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rPr>
                  <m:sty m:val="p"/>
                </m:rPr>
                <m:t>A</m:t>
              </m:r>
              <m:r>
                <m:rPr>
                  <m:sty m:val="p"/>
                </m:rPr>
                <m:t>p</m:t>
              </m:r>
              <m:r>
                <m:rPr>
                  <m:sty m:val="p"/>
                </m:rPr>
                <m:t>p</m:t>
              </m:r>
              <m:r>
                <m:rPr>
                  <m:sty m:val="p"/>
                </m:rPr>
                <m:t>r</m:t>
              </m:r>
              <m:r>
                <m:rPr>
                  <m:sty m:val="p"/>
                </m:rPr>
                <m:t>o</m:t>
              </m:r>
              <m:r>
                <m:rPr>
                  <m:sty m:val="p"/>
                </m:rPr>
                <m:t>p</m:t>
              </m:r>
              <m:r>
                <m:rPr>
                  <m:sty m:val="p"/>
                </m:rPr>
                <m:t>r</m:t>
              </m:r>
              <m:r>
                <m:rPr>
                  <m:sty m:val="p"/>
                </m:rPr>
                <m:t>C</m:t>
              </m:r>
              <m:r>
                <m:rPr>
                  <m:sty m:val="p"/>
                </m:rPr>
                <m:t>o</m:t>
              </m:r>
              <m:r>
                <m:rPr>
                  <m:sty m:val="p"/>
                </m:rPr>
                <m:t>n</m:t>
              </m:r>
              <m:r>
                <m:rPr>
                  <m:sty m:val="p"/>
                </m:rPr>
                <m:t>t</m:t>
              </m:r>
              <m:r>
                <m:rPr>
                  <m:sty m:val="p"/>
                </m:rPr>
                <m:t>i</m:t>
              </m:r>
              <m:r>
                <m:rPr>
                  <m:sty m:val="p"/>
                </m:rPr>
                <m:t>n</m:t>
              </m:r>
              <m:r>
                <m:rPr>
                  <m:sty m:val="p"/>
                </m:rPr>
                <m:t>u</m:t>
              </m:r>
              <m:r>
                <m:rPr>
                  <m:sty m:val="p"/>
                </m:rPr>
                <m:t>i</m:t>
              </m:r>
              <m:r>
                <m:rPr>
                  <m:sty m:val="p"/>
                </m:rPr>
                <m:t>t</m:t>
              </m:r>
              <m:r>
                <m:rPr>
                  <m:sty m:val="p"/>
                </m:rPr>
                <m:t>y</m:t>
              </m:r>
              <m:r>
                <m:rPr>
                  <m:sty m:val="p"/>
                </m:rPr>
                <m:t>+</m:t>
              </m:r>
              <m:sSub>
                <m:e>
                  <m:r>
                    <m:t>β</m:t>
                  </m:r>
                </m:e>
                <m:sub>
                  <m:r>
                    <m:t>2</m:t>
                  </m:r>
                </m:sub>
              </m:sSub>
              <m:r>
                <m:t> </m:t>
              </m:r>
              <m:r>
                <m:rPr>
                  <m:sty m:val="p"/>
                </m:rPr>
                <m:t>T</m:t>
              </m:r>
              <m:r>
                <m:rPr>
                  <m:sty m:val="p"/>
                </m:rPr>
                <m:t>R</m:t>
              </m:r>
              <m:r>
                <m:rPr>
                  <m:sty m:val="p"/>
                </m:rPr>
                <m:t>L</m:t>
              </m:r>
            </m:e>
          </m:d>
        </m:oMath>
      </m:oMathPara>
    </w:p>
    <w:bookmarkStart w:id="180"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appropriation_continuity</w:t>
            </w:r>
          </w:p>
        </w:tc>
        <w:tc>
          <w:tcPr>
            <w:tcW w:w="0" w:type="auto"/>
          </w:tcPr>
          <w:p>
            <w:pPr>
              <w:spacing w:line="240" w:lineRule="auto" w:before="0" w:after="0"/>
              <w:pStyle w:val="Compact"/>
            </w:pPr>
            <w:r>
              <w:rPr>
                <w:sz w:val="20"/>
                <w:szCs w:val="20"/>
              </w:rPr>
              <w:t xml:space="preserve">0.2435</w:t>
            </w:r>
          </w:p>
        </w:tc>
        <w:tc>
          <w:tcPr>
            <w:tcW w:w="0" w:type="auto"/>
          </w:tcPr>
          <w:p>
            <w:pPr>
              <w:spacing w:line="240" w:lineRule="auto" w:before="0" w:after="0"/>
              <w:pStyle w:val="Compact"/>
            </w:pPr>
            <w:r>
              <w:rPr>
                <w:sz w:val="20"/>
                <w:szCs w:val="20"/>
              </w:rPr>
              <w:t xml:space="preserve">0.161</w:t>
            </w:r>
          </w:p>
        </w:tc>
        <w:tc>
          <w:tcPr>
            <w:tcW w:w="0" w:type="auto"/>
          </w:tcPr>
          <w:p>
            <w:pPr>
              <w:spacing w:line="240" w:lineRule="auto" w:before="0" w:after="0"/>
              <w:pStyle w:val="Compact"/>
            </w:pPr>
            <w:r>
              <w:rPr>
                <w:sz w:val="20"/>
                <w:szCs w:val="20"/>
              </w:rPr>
              <w:t xml:space="preserve">1.5126</w:t>
            </w:r>
          </w:p>
        </w:tc>
        <w:tc>
          <w:tcPr>
            <w:tcW w:w="0" w:type="auto"/>
          </w:tcPr>
          <w:p>
            <w:pPr>
              <w:spacing w:line="240" w:lineRule="auto" w:before="0" w:after="0"/>
              <w:pStyle w:val="Compact"/>
            </w:pPr>
            <w:r>
              <w:rPr>
                <w:sz w:val="20"/>
                <w:szCs w:val="20"/>
              </w:rPr>
              <w:t xml:space="preserve">0.1304</w:t>
            </w:r>
          </w:p>
        </w:tc>
        <w:tc>
          <w:tcPr>
            <w:tcW w:w="0" w:type="auto"/>
          </w:tcPr>
          <w:p>
            <w:pPr>
              <w:spacing w:line="240" w:lineRule="auto" w:before="0" w:after="0"/>
              <w:pStyle w:val="Compact"/>
            </w:pPr>
            <w:r>
              <w:rPr>
                <w:sz w:val="20"/>
                <w:szCs w:val="20"/>
              </w:rPr>
              <w:t xml:space="preserve">[-0.072, 0.559]</w:t>
            </w:r>
          </w:p>
        </w:tc>
        <w:tc>
          <w:tcPr>
            <w:tcW w:w="0" w:type="auto"/>
          </w:tcPr>
          <w:p>
            <w:pPr>
              <w:spacing w:line="240" w:lineRule="auto" w:before="0" w:after="0"/>
              <w:pStyle w:val="Compact"/>
            </w:pPr>
            <w:r>
              <w:rPr>
                <w:sz w:val="20"/>
                <w:szCs w:val="20"/>
              </w:rPr>
              <w:t xml:space="preserve">1.2757</w:t>
            </w:r>
          </w:p>
        </w:tc>
      </w:tr>
      <w:tr>
        <w:tc>
          <w:tcPr>
            <w:tcW w:w="0" w:type="auto"/>
          </w:tcPr>
          <w:p>
            <w:pPr>
              <w:spacing w:line="240" w:lineRule="auto" w:before="0" w:after="0"/>
              <w:pStyle w:val="Compact"/>
            </w:pPr>
            <w:r>
              <w:rPr>
                <w:sz w:val="20"/>
                <w:szCs w:val="20"/>
              </w:rPr>
              <w:t xml:space="preserve">trl_at_authorization</w:t>
            </w:r>
          </w:p>
        </w:tc>
        <w:tc>
          <w:tcPr>
            <w:tcW w:w="0" w:type="auto"/>
          </w:tcPr>
          <w:p>
            <w:pPr>
              <w:spacing w:line="240" w:lineRule="auto" w:before="0" w:after="0"/>
              <w:pStyle w:val="Compact"/>
            </w:pPr>
            <w:r>
              <w:rPr>
                <w:sz w:val="20"/>
                <w:szCs w:val="20"/>
              </w:rPr>
              <w:t xml:space="preserve">0.7519</w:t>
            </w:r>
          </w:p>
        </w:tc>
        <w:tc>
          <w:tcPr>
            <w:tcW w:w="0" w:type="auto"/>
          </w:tcPr>
          <w:p>
            <w:pPr>
              <w:spacing w:line="240" w:lineRule="auto" w:before="0" w:after="0"/>
              <w:pStyle w:val="Compact"/>
            </w:pPr>
            <w:r>
              <w:rPr>
                <w:sz w:val="20"/>
                <w:szCs w:val="20"/>
              </w:rPr>
              <w:t xml:space="preserve">0.4346</w:t>
            </w:r>
          </w:p>
        </w:tc>
        <w:tc>
          <w:tcPr>
            <w:tcW w:w="0" w:type="auto"/>
          </w:tcPr>
          <w:p>
            <w:pPr>
              <w:spacing w:line="240" w:lineRule="auto" w:before="0" w:after="0"/>
              <w:pStyle w:val="Compact"/>
            </w:pPr>
            <w:r>
              <w:rPr>
                <w:sz w:val="20"/>
                <w:szCs w:val="20"/>
              </w:rPr>
              <w:t xml:space="preserve">1.7301</w:t>
            </w:r>
          </w:p>
        </w:tc>
        <w:tc>
          <w:tcPr>
            <w:tcW w:w="0" w:type="auto"/>
          </w:tcPr>
          <w:p>
            <w:pPr>
              <w:spacing w:line="240" w:lineRule="auto" w:before="0" w:after="0"/>
              <w:pStyle w:val="Compact"/>
            </w:pPr>
            <w:r>
              <w:rPr>
                <w:sz w:val="20"/>
                <w:szCs w:val="20"/>
              </w:rPr>
              <w:t xml:space="preserve">0.0836</w:t>
            </w:r>
          </w:p>
        </w:tc>
        <w:tc>
          <w:tcPr>
            <w:tcW w:w="0" w:type="auto"/>
          </w:tcPr>
          <w:p>
            <w:pPr>
              <w:spacing w:line="240" w:lineRule="auto" w:before="0" w:after="0"/>
              <w:pStyle w:val="Compact"/>
            </w:pPr>
            <w:r>
              <w:rPr>
                <w:sz w:val="20"/>
                <w:szCs w:val="20"/>
              </w:rPr>
              <w:t xml:space="preserve">[-0.0999, 1.6038]</w:t>
            </w:r>
          </w:p>
        </w:tc>
        <w:tc>
          <w:tcPr>
            <w:tcW w:w="0" w:type="auto"/>
          </w:tcPr>
          <w:p>
            <w:pPr>
              <w:spacing w:line="240" w:lineRule="auto" w:before="0" w:after="0"/>
              <w:pStyle w:val="Compact"/>
            </w:pPr>
            <w:r>
              <w:rPr>
                <w:sz w:val="20"/>
                <w:szCs w:val="20"/>
              </w:rPr>
              <w:t xml:space="preserve">2.1211</w:t>
            </w:r>
          </w:p>
        </w:tc>
      </w:tr>
    </w:tbl>
    <w:p>
      <w:pPr>
        <w:pStyle w:val="BodyText"/>
        <w:spacing w:line="480" w:lineRule="auto"/>
        <w:ind w:firstLine="720"/>
      </w:pPr>
      <w:r>
        <w:t xml:space="preserve">Fit: N = 26 events = 5</w:t>
      </w:r>
    </w:p>
    <w:bookmarkEnd w:id="180"/>
    <w:bookmarkStart w:id="184"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Program lifespan against appropriation continuity across U.S. complementary-PNT programs, 1998 to 2025." title="" id="182" name="Picture"/>
            <a:graphic>
              <a:graphicData uri="http://schemas.openxmlformats.org/drawingml/2006/picture">
                <pic:pic>
                  <pic:nvPicPr>
                    <pic:cNvPr descr="D:/Claude_Code/brain/collegium/candidates/dissertations/SPECTRUM_PNT_05/research_papers/p1/paper_fig1.png" id="183" name="Picture"/>
                    <pic:cNvPicPr>
                      <a:picLocks noChangeArrowheads="1" noChangeAspect="1"/>
                    </pic:cNvPicPr>
                  </pic:nvPicPr>
                  <pic:blipFill>
                    <a:blip r:embed="rId1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Program lifespan against appropriation continuity across U.S. complementary-PNT programs, 1998 to 2025.</w:t>
      </w:r>
    </w:p>
    <w:bookmarkEnd w:id="184"/>
    <w:bookmarkStart w:id="185"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program</w:t>
            </w:r>
          </w:p>
        </w:tc>
        <w:tc>
          <w:tcPr>
            <w:tcW w:w="0" w:type="auto"/>
          </w:tcPr>
          <w:p>
            <w:pPr>
              <w:spacing w:line="240" w:lineRule="auto" w:before="0" w:after="0"/>
              <w:pStyle w:val="Compact"/>
            </w:pPr>
            <w:r>
              <w:rPr>
                <w:sz w:val="20"/>
                <w:szCs w:val="20"/>
              </w:rPr>
              <w:t xml:space="preserve">sponsor</w:t>
            </w:r>
          </w:p>
        </w:tc>
        <w:tc>
          <w:tcPr>
            <w:tcW w:w="0" w:type="auto"/>
          </w:tcPr>
          <w:p>
            <w:pPr>
              <w:spacing w:line="240" w:lineRule="auto" w:before="0" w:after="0"/>
              <w:pStyle w:val="Compact"/>
            </w:pPr>
            <w:r>
              <w:rPr>
                <w:sz w:val="20"/>
                <w:szCs w:val="20"/>
              </w:rPr>
              <w:t xml:space="preserve">tech_class</w:t>
            </w:r>
          </w:p>
        </w:tc>
        <w:tc>
          <w:tcPr>
            <w:tcW w:w="0" w:type="auto"/>
          </w:tcPr>
          <w:p>
            <w:pPr>
              <w:spacing w:line="240" w:lineRule="auto" w:before="0" w:after="0"/>
              <w:pStyle w:val="Compact"/>
            </w:pPr>
            <w:r>
              <w:rPr>
                <w:sz w:val="20"/>
                <w:szCs w:val="20"/>
              </w:rPr>
              <w:t xml:space="preserve">trl_at_authorization</w:t>
            </w:r>
          </w:p>
        </w:tc>
        <w:tc>
          <w:tcPr>
            <w:tcW w:w="0" w:type="auto"/>
          </w:tcPr>
          <w:p>
            <w:pPr>
              <w:spacing w:line="240" w:lineRule="auto" w:before="0" w:after="0"/>
              <w:pStyle w:val="Compact"/>
            </w:pPr>
            <w:r>
              <w:rPr>
                <w:sz w:val="20"/>
                <w:szCs w:val="20"/>
              </w:rPr>
              <w:t xml:space="preserve">appropriation_continuity</w:t>
            </w:r>
          </w:p>
        </w:tc>
        <w:tc>
          <w:tcPr>
            <w:tcW w:w="0" w:type="auto"/>
          </w:tcPr>
          <w:p>
            <w:pPr>
              <w:spacing w:line="240" w:lineRule="auto" w:before="0" w:after="0"/>
              <w:pStyle w:val="Compact"/>
            </w:pPr>
            <w:r>
              <w:rPr>
                <w:sz w:val="20"/>
                <w:szCs w:val="20"/>
              </w:rPr>
              <w:t xml:space="preserve">duration_years</w:t>
            </w:r>
          </w:p>
        </w:tc>
        <w:tc>
          <w:tcPr>
            <w:tcW w:w="0" w:type="auto"/>
          </w:tcPr>
          <w:p>
            <w:pPr>
              <w:spacing w:line="240" w:lineRule="auto" w:before="0" w:after="0"/>
              <w:pStyle w:val="Compact"/>
            </w:pPr>
            <w:r>
              <w:rPr>
                <w:sz w:val="20"/>
                <w:szCs w:val="20"/>
              </w:rPr>
              <w:t xml:space="preserve">reached_maturity</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LORAN-C</w:t>
            </w:r>
          </w:p>
        </w:tc>
        <w:tc>
          <w:tcPr>
            <w:tcW w:w="0" w:type="auto"/>
          </w:tcPr>
          <w:p>
            <w:pPr>
              <w:spacing w:line="240" w:lineRule="auto" w:before="0" w:after="0"/>
              <w:pStyle w:val="Compact"/>
            </w:pPr>
            <w:r>
              <w:rPr>
                <w:sz w:val="20"/>
                <w:szCs w:val="20"/>
              </w:rPr>
              <w:t xml:space="preserve">USCG/DHS</w:t>
            </w:r>
          </w:p>
        </w:tc>
        <w:tc>
          <w:tcPr>
            <w:tcW w:w="0" w:type="auto"/>
          </w:tcPr>
          <w:p>
            <w:pPr>
              <w:spacing w:line="240" w:lineRule="auto" w:before="0" w:after="0"/>
              <w:pStyle w:val="Compact"/>
            </w:pPr>
            <w:r>
              <w:rPr>
                <w:sz w:val="20"/>
                <w:szCs w:val="20"/>
              </w:rPr>
              <w:t xml:space="preserve">terrestrial_LF</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AOPA 2010, Coast Guard sounds death knell for Loran-C (terminated Feb 2010 after appropriations rider, DHS Approp. Act 2010); en.wikipedia.org/wiki/Loran-C; appropriation_continuity coded as complement-relevant funded cycles before termination, not total legacy operational years</w:t>
            </w:r>
          </w:p>
        </w:tc>
      </w:tr>
      <w:tr>
        <w:tc>
          <w:tcPr>
            <w:tcW w:w="0" w:type="auto"/>
          </w:tcPr>
          <w:p>
            <w:pPr>
              <w:spacing w:line="240" w:lineRule="auto" w:before="0" w:after="0"/>
              <w:pStyle w:val="Compact"/>
            </w:pPr>
            <w:r>
              <w:rPr>
                <w:sz w:val="20"/>
                <w:szCs w:val="20"/>
              </w:rPr>
              <w:t xml:space="preserve">eLoran_UrsaNav</w:t>
            </w:r>
          </w:p>
        </w:tc>
        <w:tc>
          <w:tcPr>
            <w:tcW w:w="0" w:type="auto"/>
          </w:tcPr>
          <w:p>
            <w:pPr>
              <w:spacing w:line="240" w:lineRule="auto" w:before="0" w:after="0"/>
              <w:pStyle w:val="Compact"/>
            </w:pPr>
            <w:r>
              <w:rPr>
                <w:sz w:val="20"/>
                <w:szCs w:val="20"/>
              </w:rPr>
              <w:t xml:space="preserve">DOT/Volpe</w:t>
            </w:r>
          </w:p>
        </w:tc>
        <w:tc>
          <w:tcPr>
            <w:tcW w:w="0" w:type="auto"/>
          </w:tcPr>
          <w:p>
            <w:pPr>
              <w:spacing w:line="240" w:lineRule="auto" w:before="0" w:after="0"/>
              <w:pStyle w:val="Compact"/>
            </w:pPr>
            <w:r>
              <w:rPr>
                <w:sz w:val="20"/>
                <w:szCs w:val="20"/>
              </w:rPr>
              <w:t xml:space="preserve">terrestrial_LF</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DOT/Volpe Complementary PNT and GPS Backup Technologies Demonstration Report to Congress, Jan 2021 (FY18 NDAA Sec 1606); UrsaNav eLoran LF demonstrated Mar 2020; gpsworld.com DOT report 2021-01</w:t>
            </w:r>
          </w:p>
        </w:tc>
      </w:tr>
      <w:tr>
        <w:tc>
          <w:tcPr>
            <w:tcW w:w="0" w:type="auto"/>
          </w:tcPr>
          <w:p>
            <w:pPr>
              <w:spacing w:line="240" w:lineRule="auto" w:before="0" w:after="0"/>
              <w:pStyle w:val="Compact"/>
            </w:pPr>
            <w:r>
              <w:rPr>
                <w:sz w:val="20"/>
                <w:szCs w:val="20"/>
              </w:rPr>
              <w:t xml:space="preserve">eLoran_HellenSystems</w:t>
            </w:r>
          </w:p>
        </w:tc>
        <w:tc>
          <w:tcPr>
            <w:tcW w:w="0" w:type="auto"/>
          </w:tcPr>
          <w:p>
            <w:pPr>
              <w:spacing w:line="240" w:lineRule="auto" w:before="0" w:after="0"/>
              <w:pStyle w:val="Compact"/>
            </w:pPr>
            <w:r>
              <w:rPr>
                <w:sz w:val="20"/>
                <w:szCs w:val="20"/>
              </w:rPr>
              <w:t xml:space="preserve">DOT/Volpe</w:t>
            </w:r>
          </w:p>
        </w:tc>
        <w:tc>
          <w:tcPr>
            <w:tcW w:w="0" w:type="auto"/>
          </w:tcPr>
          <w:p>
            <w:pPr>
              <w:spacing w:line="240" w:lineRule="auto" w:before="0" w:after="0"/>
              <w:pStyle w:val="Compact"/>
            </w:pPr>
            <w:r>
              <w:rPr>
                <w:sz w:val="20"/>
                <w:szCs w:val="20"/>
              </w:rPr>
              <w:t xml:space="preserve">terrestrial_LF</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DOT/Volpe Demonstration Report Jan 2021; Hellen Systems LLC eLoran LF demonstrated Mar 2020; insidegnss.com expert perspective 2021</w:t>
            </w:r>
          </w:p>
        </w:tc>
      </w:tr>
      <w:tr>
        <w:tc>
          <w:tcPr>
            <w:tcW w:w="0" w:type="auto"/>
          </w:tcPr>
          <w:p>
            <w:pPr>
              <w:spacing w:line="240" w:lineRule="auto" w:before="0" w:after="0"/>
              <w:pStyle w:val="Compact"/>
            </w:pPr>
            <w:r>
              <w:rPr>
                <w:sz w:val="20"/>
                <w:szCs w:val="20"/>
              </w:rPr>
              <w:t xml:space="preserve">NextNav_MBS_UHF</w:t>
            </w:r>
          </w:p>
        </w:tc>
        <w:tc>
          <w:tcPr>
            <w:tcW w:w="0" w:type="auto"/>
          </w:tcPr>
          <w:p>
            <w:pPr>
              <w:spacing w:line="240" w:lineRule="auto" w:before="0" w:after="0"/>
              <w:pStyle w:val="Compact"/>
            </w:pPr>
            <w:r>
              <w:rPr>
                <w:sz w:val="20"/>
                <w:szCs w:val="20"/>
              </w:rPr>
              <w:t xml:space="preserve">DOT/Volpe</w:t>
            </w:r>
          </w:p>
        </w:tc>
        <w:tc>
          <w:tcPr>
            <w:tcW w:w="0" w:type="auto"/>
          </w:tcPr>
          <w:p>
            <w:pPr>
              <w:spacing w:line="240" w:lineRule="auto" w:before="0" w:after="0"/>
              <w:pStyle w:val="Compact"/>
            </w:pPr>
            <w:r>
              <w:rPr>
                <w:sz w:val="20"/>
                <w:szCs w:val="20"/>
              </w:rPr>
              <w:t xml:space="preserve">terrestrial_UHF</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DOT/Volpe Demonstration Report Jan 2021: NextNav TerraPoiNT/MBS only vendor in all use cases, market-ready; insidegnss.com DOT report finds NextNav performs best 2021; NextNav Form 8-K SEC 2023/2024</w:t>
            </w:r>
          </w:p>
        </w:tc>
      </w:tr>
      <w:tr>
        <w:tc>
          <w:tcPr>
            <w:tcW w:w="0" w:type="auto"/>
          </w:tcPr>
          <w:p>
            <w:pPr>
              <w:spacing w:line="240" w:lineRule="auto" w:before="0" w:after="0"/>
              <w:pStyle w:val="Compact"/>
            </w:pPr>
            <w:r>
              <w:rPr>
                <w:sz w:val="20"/>
                <w:szCs w:val="20"/>
              </w:rPr>
              <w:t xml:space="preserve">Satelles_STL_Lband</w:t>
            </w:r>
          </w:p>
        </w:tc>
        <w:tc>
          <w:tcPr>
            <w:tcW w:w="0" w:type="auto"/>
          </w:tcPr>
          <w:p>
            <w:pPr>
              <w:spacing w:line="240" w:lineRule="auto" w:before="0" w:after="0"/>
              <w:pStyle w:val="Compact"/>
            </w:pPr>
            <w:r>
              <w:rPr>
                <w:sz w:val="20"/>
                <w:szCs w:val="20"/>
              </w:rPr>
              <w:t xml:space="preserve">DOT/Volpe</w:t>
            </w:r>
          </w:p>
        </w:tc>
        <w:tc>
          <w:tcPr>
            <w:tcW w:w="0" w:type="auto"/>
          </w:tcPr>
          <w:p>
            <w:pPr>
              <w:spacing w:line="240" w:lineRule="auto" w:before="0" w:after="0"/>
              <w:pStyle w:val="Compact"/>
            </w:pPr>
            <w:r>
              <w:rPr>
                <w:sz w:val="20"/>
                <w:szCs w:val="20"/>
              </w:rPr>
              <w:t xml:space="preserve">LEO_satellite_L</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DOT/Volpe Demonstration Report Jan 2021: Satelles L-band LEO commercially available now by subscription; insidegnss.com expert perspective 2021; Iridium acquired Satelles (militaryaerospace.com 2024)</w:t>
            </w:r>
          </w:p>
        </w:tc>
      </w:tr>
      <w:tr>
        <w:tc>
          <w:tcPr>
            <w:tcW w:w="0" w:type="auto"/>
          </w:tcPr>
          <w:p>
            <w:pPr>
              <w:spacing w:line="240" w:lineRule="auto" w:before="0" w:after="0"/>
              <w:pStyle w:val="Compact"/>
            </w:pPr>
            <w:r>
              <w:rPr>
                <w:sz w:val="20"/>
                <w:szCs w:val="20"/>
              </w:rPr>
              <w:t xml:space="preserve">EchoRidge_Sband</w:t>
            </w:r>
          </w:p>
        </w:tc>
        <w:tc>
          <w:tcPr>
            <w:tcW w:w="0" w:type="auto"/>
          </w:tcPr>
          <w:p>
            <w:pPr>
              <w:spacing w:line="240" w:lineRule="auto" w:before="0" w:after="0"/>
              <w:pStyle w:val="Compact"/>
            </w:pPr>
            <w:r>
              <w:rPr>
                <w:sz w:val="20"/>
                <w:szCs w:val="20"/>
              </w:rPr>
              <w:t xml:space="preserve">DOT/Volpe</w:t>
            </w:r>
          </w:p>
        </w:tc>
        <w:tc>
          <w:tcPr>
            <w:tcW w:w="0" w:type="auto"/>
          </w:tcPr>
          <w:p>
            <w:pPr>
              <w:spacing w:line="240" w:lineRule="auto" w:before="0" w:after="0"/>
              <w:pStyle w:val="Compact"/>
            </w:pPr>
            <w:r>
              <w:rPr>
                <w:sz w:val="20"/>
                <w:szCs w:val="20"/>
              </w:rPr>
              <w:t xml:space="preserve">LEO_satellite_S</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DOT/Volpe Demonstration Report Jan 2021; Echo Ridge LLC S-band satellite PNT demonstrated Mar 2020; transportation.gov briefing room 2021-01</w:t>
            </w:r>
          </w:p>
        </w:tc>
      </w:tr>
      <w:tr>
        <w:tc>
          <w:tcPr>
            <w:tcW w:w="0" w:type="auto"/>
          </w:tcPr>
          <w:p>
            <w:pPr>
              <w:spacing w:line="240" w:lineRule="auto" w:before="0" w:after="0"/>
              <w:pStyle w:val="Compact"/>
            </w:pPr>
            <w:r>
              <w:rPr>
                <w:sz w:val="20"/>
                <w:szCs w:val="20"/>
              </w:rPr>
              <w:t xml:space="preserve">OPNT_WhiteRabbit</w:t>
            </w:r>
          </w:p>
        </w:tc>
        <w:tc>
          <w:tcPr>
            <w:tcW w:w="0" w:type="auto"/>
          </w:tcPr>
          <w:p>
            <w:pPr>
              <w:spacing w:line="240" w:lineRule="auto" w:before="0" w:after="0"/>
              <w:pStyle w:val="Compact"/>
            </w:pPr>
            <w:r>
              <w:rPr>
                <w:sz w:val="20"/>
                <w:szCs w:val="20"/>
              </w:rPr>
              <w:t xml:space="preserve">DOT/Volpe</w:t>
            </w:r>
          </w:p>
        </w:tc>
        <w:tc>
          <w:tcPr>
            <w:tcW w:w="0" w:type="auto"/>
          </w:tcPr>
          <w:p>
            <w:pPr>
              <w:spacing w:line="240" w:lineRule="auto" w:before="0" w:after="0"/>
              <w:pStyle w:val="Compact"/>
            </w:pPr>
            <w:r>
              <w:rPr>
                <w:sz w:val="20"/>
                <w:szCs w:val="20"/>
              </w:rPr>
              <w:t xml:space="preserve">fiber_timing</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DOT/Volpe Demonstration Report Jan 2021; OPNT B.V. fiber-optic White Rabbit PTP time transfer demonstrated Mar 2020; gpsworld.com tag/opnt</w:t>
            </w:r>
          </w:p>
        </w:tc>
      </w:tr>
      <w:tr>
        <w:tc>
          <w:tcPr>
            <w:tcW w:w="0" w:type="auto"/>
          </w:tcPr>
          <w:p>
            <w:pPr>
              <w:spacing w:line="240" w:lineRule="auto" w:before="0" w:after="0"/>
              <w:pStyle w:val="Compact"/>
            </w:pPr>
            <w:r>
              <w:rPr>
                <w:sz w:val="20"/>
                <w:szCs w:val="20"/>
              </w:rPr>
              <w:t xml:space="preserve">SevenSolutions_WhiteRabbit</w:t>
            </w:r>
          </w:p>
        </w:tc>
        <w:tc>
          <w:tcPr>
            <w:tcW w:w="0" w:type="auto"/>
          </w:tcPr>
          <w:p>
            <w:pPr>
              <w:spacing w:line="240" w:lineRule="auto" w:before="0" w:after="0"/>
              <w:pStyle w:val="Compact"/>
            </w:pPr>
            <w:r>
              <w:rPr>
                <w:sz w:val="20"/>
                <w:szCs w:val="20"/>
              </w:rPr>
              <w:t xml:space="preserve">DOT/Volpe</w:t>
            </w:r>
          </w:p>
        </w:tc>
        <w:tc>
          <w:tcPr>
            <w:tcW w:w="0" w:type="auto"/>
          </w:tcPr>
          <w:p>
            <w:pPr>
              <w:spacing w:line="240" w:lineRule="auto" w:before="0" w:after="0"/>
              <w:pStyle w:val="Compact"/>
            </w:pPr>
            <w:r>
              <w:rPr>
                <w:sz w:val="20"/>
                <w:szCs w:val="20"/>
              </w:rPr>
              <w:t xml:space="preserve">fiber_timing</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DOT/Volpe Demonstration Report Jan 2021; Seven Solutions S.L. fiber-optic White Rabbit PTP demonstrated Mar 2020; gpsworld.com DOT report 2021-01</w:t>
            </w:r>
          </w:p>
        </w:tc>
      </w:tr>
      <w:tr>
        <w:tc>
          <w:tcPr>
            <w:tcW w:w="0" w:type="auto"/>
          </w:tcPr>
          <w:p>
            <w:pPr>
              <w:spacing w:line="240" w:lineRule="auto" w:before="0" w:after="0"/>
              <w:pStyle w:val="Compact"/>
            </w:pPr>
            <w:r>
              <w:rPr>
                <w:sz w:val="20"/>
                <w:szCs w:val="20"/>
              </w:rPr>
              <w:t xml:space="preserve">TRX_UWB_IMU</w:t>
            </w:r>
          </w:p>
        </w:tc>
        <w:tc>
          <w:tcPr>
            <w:tcW w:w="0" w:type="auto"/>
          </w:tcPr>
          <w:p>
            <w:pPr>
              <w:spacing w:line="240" w:lineRule="auto" w:before="0" w:after="0"/>
              <w:pStyle w:val="Compact"/>
            </w:pPr>
            <w:r>
              <w:rPr>
                <w:sz w:val="20"/>
                <w:szCs w:val="20"/>
              </w:rPr>
              <w:t xml:space="preserve">DOT/Volpe</w:t>
            </w:r>
          </w:p>
        </w:tc>
        <w:tc>
          <w:tcPr>
            <w:tcW w:w="0" w:type="auto"/>
          </w:tcPr>
          <w:p>
            <w:pPr>
              <w:spacing w:line="240" w:lineRule="auto" w:before="0" w:after="0"/>
              <w:pStyle w:val="Compact"/>
            </w:pPr>
            <w:r>
              <w:rPr>
                <w:sz w:val="20"/>
                <w:szCs w:val="20"/>
              </w:rPr>
              <w:t xml:space="preserve">UWB_IMU_mapmatch</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DOT/Volpe Demonstration Report Jan 2021; TRX Systems Inc dead-reckoning IMU + map matching + UWB demonstrated Mar 2020; transportation.gov briefing room 2021-01</w:t>
            </w:r>
          </w:p>
        </w:tc>
      </w:tr>
      <w:tr>
        <w:tc>
          <w:tcPr>
            <w:tcW w:w="0" w:type="auto"/>
          </w:tcPr>
          <w:p>
            <w:pPr>
              <w:spacing w:line="240" w:lineRule="auto" w:before="0" w:after="0"/>
              <w:pStyle w:val="Compact"/>
            </w:pPr>
            <w:r>
              <w:rPr>
                <w:sz w:val="20"/>
                <w:szCs w:val="20"/>
              </w:rPr>
              <w:t xml:space="preserve">Serco_MF_RMode</w:t>
            </w:r>
          </w:p>
        </w:tc>
        <w:tc>
          <w:tcPr>
            <w:tcW w:w="0" w:type="auto"/>
          </w:tcPr>
          <w:p>
            <w:pPr>
              <w:spacing w:line="240" w:lineRule="auto" w:before="0" w:after="0"/>
              <w:pStyle w:val="Compact"/>
            </w:pPr>
            <w:r>
              <w:rPr>
                <w:sz w:val="20"/>
                <w:szCs w:val="20"/>
              </w:rPr>
              <w:t xml:space="preserve">DOT/Volpe</w:t>
            </w:r>
          </w:p>
        </w:tc>
        <w:tc>
          <w:tcPr>
            <w:tcW w:w="0" w:type="auto"/>
          </w:tcPr>
          <w:p>
            <w:pPr>
              <w:spacing w:line="240" w:lineRule="auto" w:before="0" w:after="0"/>
              <w:pStyle w:val="Compact"/>
            </w:pPr>
            <w:r>
              <w:rPr>
                <w:sz w:val="20"/>
                <w:szCs w:val="20"/>
              </w:rPr>
              <w:t xml:space="preserve">terrestrial_MF</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DOT/Volpe Demonstration Report Jan 2021; Serco Inc Medium-Frequency R-Mode demonstrated Mar 2020; transportation.gov briefing room 2021-01</w:t>
            </w:r>
          </w:p>
        </w:tc>
      </w:tr>
      <w:tr>
        <w:tc>
          <w:tcPr>
            <w:tcW w:w="0" w:type="auto"/>
          </w:tcPr>
          <w:p>
            <w:pPr>
              <w:spacing w:line="240" w:lineRule="auto" w:before="0" w:after="0"/>
              <w:pStyle w:val="Compact"/>
            </w:pPr>
            <w:r>
              <w:rPr>
                <w:sz w:val="20"/>
                <w:szCs w:val="20"/>
              </w:rPr>
              <w:t xml:space="preserve">PhasorLab_WiFi</w:t>
            </w:r>
          </w:p>
        </w:tc>
        <w:tc>
          <w:tcPr>
            <w:tcW w:w="0" w:type="auto"/>
          </w:tcPr>
          <w:p>
            <w:pPr>
              <w:spacing w:line="240" w:lineRule="auto" w:before="0" w:after="0"/>
              <w:pStyle w:val="Compact"/>
            </w:pPr>
            <w:r>
              <w:rPr>
                <w:sz w:val="20"/>
                <w:szCs w:val="20"/>
              </w:rPr>
              <w:t xml:space="preserve">DOT/Volpe</w:t>
            </w:r>
          </w:p>
        </w:tc>
        <w:tc>
          <w:tcPr>
            <w:tcW w:w="0" w:type="auto"/>
          </w:tcPr>
          <w:p>
            <w:pPr>
              <w:spacing w:line="240" w:lineRule="auto" w:before="0" w:after="0"/>
              <w:pStyle w:val="Compact"/>
            </w:pPr>
            <w:r>
              <w:rPr>
                <w:sz w:val="20"/>
                <w:szCs w:val="20"/>
              </w:rPr>
              <w:t xml:space="preserve">WiFi_802_11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DOT/Volpe Demonstration Report Jan 2021; PhasorLab Inc dedicated WiFi transmitter network demonstrated Mar 2020; transportation.gov briefing room 2021-01</w:t>
            </w:r>
          </w:p>
        </w:tc>
      </w:tr>
      <w:tr>
        <w:tc>
          <w:tcPr>
            <w:tcW w:w="0" w:type="auto"/>
          </w:tcPr>
          <w:p>
            <w:pPr>
              <w:spacing w:line="240" w:lineRule="auto" w:before="0" w:after="0"/>
              <w:pStyle w:val="Compact"/>
            </w:pPr>
            <w:r>
              <w:rPr>
                <w:sz w:val="20"/>
                <w:szCs w:val="20"/>
              </w:rPr>
              <w:t xml:space="preserve">Skyhook_WiFi</w:t>
            </w:r>
          </w:p>
        </w:tc>
        <w:tc>
          <w:tcPr>
            <w:tcW w:w="0" w:type="auto"/>
          </w:tcPr>
          <w:p>
            <w:pPr>
              <w:spacing w:line="240" w:lineRule="auto" w:before="0" w:after="0"/>
              <w:pStyle w:val="Compact"/>
            </w:pPr>
            <w:r>
              <w:rPr>
                <w:sz w:val="20"/>
                <w:szCs w:val="20"/>
              </w:rPr>
              <w:t xml:space="preserve">DOT/Volpe</w:t>
            </w:r>
          </w:p>
        </w:tc>
        <w:tc>
          <w:tcPr>
            <w:tcW w:w="0" w:type="auto"/>
          </w:tcPr>
          <w:p>
            <w:pPr>
              <w:spacing w:line="240" w:lineRule="auto" w:before="0" w:after="0"/>
              <w:pStyle w:val="Compact"/>
            </w:pPr>
            <w:r>
              <w:rPr>
                <w:sz w:val="20"/>
                <w:szCs w:val="20"/>
              </w:rPr>
              <w:t xml:space="preserve">WiFi_802_11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DOT/Volpe Demonstration Report Jan 2021; Skyhook Wireless Inc existing WiFi access-point positioning demonstrated Mar 2020; transportation.gov briefing room 2021-01</w:t>
            </w:r>
          </w:p>
        </w:tc>
      </w:tr>
      <w:tr>
        <w:tc>
          <w:tcPr>
            <w:tcW w:w="0" w:type="auto"/>
          </w:tcPr>
          <w:p>
            <w:pPr>
              <w:spacing w:line="240" w:lineRule="auto" w:before="0" w:after="0"/>
              <w:pStyle w:val="Compact"/>
            </w:pPr>
            <w:r>
              <w:rPr>
                <w:sz w:val="20"/>
                <w:szCs w:val="20"/>
              </w:rPr>
              <w:t xml:space="preserve">NTRSA_GPS_backup</w:t>
            </w:r>
          </w:p>
        </w:tc>
        <w:tc>
          <w:tcPr>
            <w:tcW w:w="0" w:type="auto"/>
          </w:tcPr>
          <w:p>
            <w:pPr>
              <w:spacing w:line="240" w:lineRule="auto" w:before="0" w:after="0"/>
              <w:pStyle w:val="Compact"/>
            </w:pPr>
            <w:r>
              <w:rPr>
                <w:sz w:val="20"/>
                <w:szCs w:val="20"/>
              </w:rPr>
              <w:t xml:space="preserve">DOT/USCG</w:t>
            </w:r>
          </w:p>
        </w:tc>
        <w:tc>
          <w:tcPr>
            <w:tcW w:w="0" w:type="auto"/>
          </w:tcPr>
          <w:p>
            <w:pPr>
              <w:spacing w:line="240" w:lineRule="auto" w:before="0" w:after="0"/>
              <w:pStyle w:val="Compact"/>
            </w:pPr>
            <w:r>
              <w:rPr>
                <w:sz w:val="20"/>
                <w:szCs w:val="20"/>
              </w:rPr>
              <w:t xml:space="preserve">terrestrial_LF</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National Timing Resilience and Security Act of 2018 (P.L. 115-282 Sec 514) mandated DOT establish land-based timing backup; not yet established as of 2025; CRS/gps.gov gps-legislation; rntfnd.org</w:t>
            </w:r>
          </w:p>
        </w:tc>
      </w:tr>
      <w:tr>
        <w:tc>
          <w:tcPr>
            <w:tcW w:w="0" w:type="auto"/>
          </w:tcPr>
          <w:p>
            <w:pPr>
              <w:spacing w:line="240" w:lineRule="auto" w:before="0" w:after="0"/>
              <w:pStyle w:val="Compact"/>
            </w:pPr>
            <w:r>
              <w:rPr>
                <w:sz w:val="20"/>
                <w:szCs w:val="20"/>
              </w:rPr>
              <w:t xml:space="preserve">EO13905_natl_plan</w:t>
            </w:r>
          </w:p>
        </w:tc>
        <w:tc>
          <w:tcPr>
            <w:tcW w:w="0" w:type="auto"/>
          </w:tcPr>
          <w:p>
            <w:pPr>
              <w:spacing w:line="240" w:lineRule="auto" w:before="0" w:after="0"/>
              <w:pStyle w:val="Compact"/>
            </w:pPr>
            <w:r>
              <w:rPr>
                <w:sz w:val="20"/>
                <w:szCs w:val="20"/>
              </w:rPr>
              <w:t xml:space="preserve">OSTP/EOP</w:t>
            </w:r>
          </w:p>
        </w:tc>
        <w:tc>
          <w:tcPr>
            <w:tcW w:w="0" w:type="auto"/>
          </w:tcPr>
          <w:p>
            <w:pPr>
              <w:spacing w:line="240" w:lineRule="auto" w:before="0" w:after="0"/>
              <w:pStyle w:val="Compact"/>
            </w:pPr>
            <w:r>
              <w:rPr>
                <w:sz w:val="20"/>
                <w:szCs w:val="20"/>
              </w:rPr>
              <w:t xml:space="preserve">policy_program</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Executive Order 13905 (Feb 2020) directed OSTP national PNT R&amp;D plan; National PNT Plan released Aug 2021; gps.gov resilience-through-responsible-use-pnt; transportation.gov/pnt</w:t>
            </w:r>
          </w:p>
        </w:tc>
      </w:tr>
      <w:tr>
        <w:tc>
          <w:tcPr>
            <w:tcW w:w="0" w:type="auto"/>
          </w:tcPr>
          <w:p>
            <w:pPr>
              <w:spacing w:line="240" w:lineRule="auto" w:before="0" w:after="0"/>
              <w:pStyle w:val="Compact"/>
            </w:pPr>
            <w:r>
              <w:rPr>
                <w:sz w:val="20"/>
                <w:szCs w:val="20"/>
              </w:rPr>
              <w:t xml:space="preserve">DOD_NavWar_PNT</w:t>
            </w:r>
          </w:p>
        </w:tc>
        <w:tc>
          <w:tcPr>
            <w:tcW w:w="0" w:type="auto"/>
          </w:tcPr>
          <w:p>
            <w:pPr>
              <w:spacing w:line="240" w:lineRule="auto" w:before="0" w:after="0"/>
              <w:pStyle w:val="Compact"/>
            </w:pPr>
            <w:r>
              <w:rPr>
                <w:sz w:val="20"/>
                <w:szCs w:val="20"/>
              </w:rPr>
              <w:t xml:space="preserve">DOD</w:t>
            </w:r>
          </w:p>
        </w:tc>
        <w:tc>
          <w:tcPr>
            <w:tcW w:w="0" w:type="auto"/>
          </w:tcPr>
          <w:p>
            <w:pPr>
              <w:spacing w:line="240" w:lineRule="auto" w:before="0" w:after="0"/>
              <w:pStyle w:val="Compact"/>
            </w:pPr>
            <w:r>
              <w:rPr>
                <w:sz w:val="20"/>
                <w:szCs w:val="20"/>
              </w:rPr>
              <w:t xml:space="preserve">military_PNT</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GAO-21-320SP Defense Navigation Capabilities; GAO May 2023 critical of DoD PNT resilience approach; gao.gov/assets/gao-21-320sp.pdf</w:t>
            </w:r>
          </w:p>
        </w:tc>
      </w:tr>
      <w:tr>
        <w:tc>
          <w:tcPr>
            <w:tcW w:w="0" w:type="auto"/>
          </w:tcPr>
          <w:p>
            <w:pPr>
              <w:spacing w:line="240" w:lineRule="auto" w:before="0" w:after="0"/>
              <w:pStyle w:val="Compact"/>
            </w:pPr>
            <w:r>
              <w:rPr>
                <w:sz w:val="20"/>
                <w:szCs w:val="20"/>
              </w:rPr>
              <w:t xml:space="preserve">RapidPhaseII_NextNav</w:t>
            </w:r>
          </w:p>
        </w:tc>
        <w:tc>
          <w:tcPr>
            <w:tcW w:w="0" w:type="auto"/>
          </w:tcPr>
          <w:p>
            <w:pPr>
              <w:spacing w:line="240" w:lineRule="auto" w:before="0" w:after="0"/>
              <w:pStyle w:val="Compact"/>
            </w:pPr>
            <w:r>
              <w:rPr>
                <w:sz w:val="20"/>
                <w:szCs w:val="20"/>
              </w:rPr>
              <w:t xml:space="preserve">DOT/Volpe</w:t>
            </w:r>
          </w:p>
        </w:tc>
        <w:tc>
          <w:tcPr>
            <w:tcW w:w="0" w:type="auto"/>
          </w:tcPr>
          <w:p>
            <w:pPr>
              <w:spacing w:line="240" w:lineRule="auto" w:before="0" w:after="0"/>
              <w:pStyle w:val="Compact"/>
            </w:pPr>
            <w:r>
              <w:rPr>
                <w:sz w:val="20"/>
                <w:szCs w:val="20"/>
              </w:rPr>
              <w:t xml:space="preserve">terrestrial_UHF</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DOT awards $7M for Complementary PNT, June 2024; NextNav $1,876,968 Rapid Phase award; militaryaerospace.com 55126099; transportation.gov briefing room 2024</w:t>
            </w:r>
          </w:p>
        </w:tc>
      </w:tr>
      <w:tr>
        <w:tc>
          <w:tcPr>
            <w:tcW w:w="0" w:type="auto"/>
          </w:tcPr>
          <w:p>
            <w:pPr>
              <w:spacing w:line="240" w:lineRule="auto" w:before="0" w:after="0"/>
              <w:pStyle w:val="Compact"/>
            </w:pPr>
            <w:r>
              <w:rPr>
                <w:sz w:val="20"/>
                <w:szCs w:val="20"/>
              </w:rPr>
              <w:t xml:space="preserve">RapidPhaseII_Iridium</w:t>
            </w:r>
          </w:p>
        </w:tc>
        <w:tc>
          <w:tcPr>
            <w:tcW w:w="0" w:type="auto"/>
          </w:tcPr>
          <w:p>
            <w:pPr>
              <w:spacing w:line="240" w:lineRule="auto" w:before="0" w:after="0"/>
              <w:pStyle w:val="Compact"/>
            </w:pPr>
            <w:r>
              <w:rPr>
                <w:sz w:val="20"/>
                <w:szCs w:val="20"/>
              </w:rPr>
              <w:t xml:space="preserve">DOT/Volpe</w:t>
            </w:r>
          </w:p>
        </w:tc>
        <w:tc>
          <w:tcPr>
            <w:tcW w:w="0" w:type="auto"/>
          </w:tcPr>
          <w:p>
            <w:pPr>
              <w:spacing w:line="240" w:lineRule="auto" w:before="0" w:after="0"/>
              <w:pStyle w:val="Compact"/>
            </w:pPr>
            <w:r>
              <w:rPr>
                <w:sz w:val="20"/>
                <w:szCs w:val="20"/>
              </w:rPr>
              <w:t xml:space="preserve">LEO_satellite_L</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DOT Rapid Phase awards June 2024; Iridium Satellite LLC satellite-based PNT (Satelles STL) awarded; militaryaerospace.com 55126099 2024</w:t>
            </w:r>
          </w:p>
        </w:tc>
      </w:tr>
      <w:tr>
        <w:tc>
          <w:tcPr>
            <w:tcW w:w="0" w:type="auto"/>
          </w:tcPr>
          <w:p>
            <w:pPr>
              <w:spacing w:line="240" w:lineRule="auto" w:before="0" w:after="0"/>
              <w:pStyle w:val="Compact"/>
            </w:pPr>
            <w:r>
              <w:rPr>
                <w:sz w:val="20"/>
                <w:szCs w:val="20"/>
              </w:rPr>
              <w:t xml:space="preserve">RapidPhaseII_UrsaNav</w:t>
            </w:r>
          </w:p>
        </w:tc>
        <w:tc>
          <w:tcPr>
            <w:tcW w:w="0" w:type="auto"/>
          </w:tcPr>
          <w:p>
            <w:pPr>
              <w:spacing w:line="240" w:lineRule="auto" w:before="0" w:after="0"/>
              <w:pStyle w:val="Compact"/>
            </w:pPr>
            <w:r>
              <w:rPr>
                <w:sz w:val="20"/>
                <w:szCs w:val="20"/>
              </w:rPr>
              <w:t xml:space="preserve">DOT/Volpe</w:t>
            </w:r>
          </w:p>
        </w:tc>
        <w:tc>
          <w:tcPr>
            <w:tcW w:w="0" w:type="auto"/>
          </w:tcPr>
          <w:p>
            <w:pPr>
              <w:spacing w:line="240" w:lineRule="auto" w:before="0" w:after="0"/>
              <w:pStyle w:val="Compact"/>
            </w:pPr>
            <w:r>
              <w:rPr>
                <w:sz w:val="20"/>
                <w:szCs w:val="20"/>
              </w:rPr>
              <w:t xml:space="preserve">terrestrial_LF</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DOT Rapid Phase awards June 2024; UrsaNav LLC terrestrial eLoran awarded; militaryaerospace.com 55126099 2024</w:t>
            </w:r>
          </w:p>
        </w:tc>
      </w:tr>
      <w:tr>
        <w:tc>
          <w:tcPr>
            <w:tcW w:w="0" w:type="auto"/>
          </w:tcPr>
          <w:p>
            <w:pPr>
              <w:spacing w:line="240" w:lineRule="auto" w:before="0" w:after="0"/>
              <w:pStyle w:val="Compact"/>
            </w:pPr>
            <w:r>
              <w:rPr>
                <w:sz w:val="20"/>
                <w:szCs w:val="20"/>
              </w:rPr>
              <w:t xml:space="preserve">RapidPhaseII_Viavi</w:t>
            </w:r>
          </w:p>
        </w:tc>
        <w:tc>
          <w:tcPr>
            <w:tcW w:w="0" w:type="auto"/>
          </w:tcPr>
          <w:p>
            <w:pPr>
              <w:spacing w:line="240" w:lineRule="auto" w:before="0" w:after="0"/>
              <w:pStyle w:val="Compact"/>
            </w:pPr>
            <w:r>
              <w:rPr>
                <w:sz w:val="20"/>
                <w:szCs w:val="20"/>
              </w:rPr>
              <w:t xml:space="preserve">DOT/Volpe</w:t>
            </w:r>
          </w:p>
        </w:tc>
        <w:tc>
          <w:tcPr>
            <w:tcW w:w="0" w:type="auto"/>
          </w:tcPr>
          <w:p>
            <w:pPr>
              <w:spacing w:line="240" w:lineRule="auto" w:before="0" w:after="0"/>
              <w:pStyle w:val="Compact"/>
            </w:pPr>
            <w:r>
              <w:rPr>
                <w:sz w:val="20"/>
                <w:szCs w:val="20"/>
              </w:rPr>
              <w:t xml:space="preserve">fiber_timing</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DOT Rapid Phase awards June 2024; Viavi Solutions LLC awarded; militaryaerospace.com 55126099 2024</w:t>
            </w:r>
          </w:p>
        </w:tc>
      </w:tr>
      <w:tr>
        <w:tc>
          <w:tcPr>
            <w:tcW w:w="0" w:type="auto"/>
          </w:tcPr>
          <w:p>
            <w:pPr>
              <w:spacing w:line="240" w:lineRule="auto" w:before="0" w:after="0"/>
              <w:pStyle w:val="Compact"/>
            </w:pPr>
            <w:r>
              <w:rPr>
                <w:sz w:val="20"/>
                <w:szCs w:val="20"/>
              </w:rPr>
              <w:t xml:space="preserve">RapidPhaseII_MerlinTPS</w:t>
            </w:r>
          </w:p>
        </w:tc>
        <w:tc>
          <w:tcPr>
            <w:tcW w:w="0" w:type="auto"/>
          </w:tcPr>
          <w:p>
            <w:pPr>
              <w:spacing w:line="240" w:lineRule="auto" w:before="0" w:after="0"/>
              <w:pStyle w:val="Compact"/>
            </w:pPr>
            <w:r>
              <w:rPr>
                <w:sz w:val="20"/>
                <w:szCs w:val="20"/>
              </w:rPr>
              <w:t xml:space="preserve">DOT/Volpe</w:t>
            </w:r>
          </w:p>
        </w:tc>
        <w:tc>
          <w:tcPr>
            <w:tcW w:w="0" w:type="auto"/>
          </w:tcPr>
          <w:p>
            <w:pPr>
              <w:spacing w:line="240" w:lineRule="auto" w:before="0" w:after="0"/>
              <w:pStyle w:val="Compact"/>
            </w:pPr>
            <w:r>
              <w:rPr>
                <w:sz w:val="20"/>
                <w:szCs w:val="20"/>
              </w:rPr>
              <w:t xml:space="preserve">terrestrial_timing</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DOT Rapid Phase awards June 2024; MerlinTPS Corp awarded; militaryaerospace.com 55126099 2024</w:t>
            </w:r>
          </w:p>
        </w:tc>
      </w:tr>
      <w:tr>
        <w:tc>
          <w:tcPr>
            <w:tcW w:w="0" w:type="auto"/>
          </w:tcPr>
          <w:p>
            <w:pPr>
              <w:spacing w:line="240" w:lineRule="auto" w:before="0" w:after="0"/>
              <w:pStyle w:val="Compact"/>
            </w:pPr>
            <w:r>
              <w:rPr>
                <w:sz w:val="20"/>
                <w:szCs w:val="20"/>
              </w:rPr>
              <w:t xml:space="preserve">CPNT_award_2025_v1</w:t>
            </w:r>
          </w:p>
        </w:tc>
        <w:tc>
          <w:tcPr>
            <w:tcW w:w="0" w:type="auto"/>
          </w:tcPr>
          <w:p>
            <w:pPr>
              <w:spacing w:line="240" w:lineRule="auto" w:before="0" w:after="0"/>
              <w:pStyle w:val="Compact"/>
            </w:pPr>
            <w:r>
              <w:rPr>
                <w:sz w:val="20"/>
                <w:szCs w:val="20"/>
              </w:rPr>
              <w:t xml:space="preserve">DOT/Volpe</w:t>
            </w:r>
          </w:p>
        </w:tc>
        <w:tc>
          <w:tcPr>
            <w:tcW w:w="0" w:type="auto"/>
          </w:tcPr>
          <w:p>
            <w:pPr>
              <w:spacing w:line="240" w:lineRule="auto" w:before="0" w:after="0"/>
              <w:pStyle w:val="Compact"/>
            </w:pPr>
            <w:r>
              <w:rPr>
                <w:sz w:val="20"/>
                <w:szCs w:val="20"/>
              </w:rPr>
              <w:t xml:space="preserve">terrestrial_RF</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 DOT Awards for CPNT Show Continued Engagement But Challenges Remain, Inside GNSS via RNTF, Nov 2025; rntfnd.org 2025/11/06</w:t>
            </w:r>
          </w:p>
        </w:tc>
      </w:tr>
      <w:tr>
        <w:tc>
          <w:tcPr>
            <w:tcW w:w="0" w:type="auto"/>
          </w:tcPr>
          <w:p>
            <w:pPr>
              <w:spacing w:line="240" w:lineRule="auto" w:before="0" w:after="0"/>
              <w:pStyle w:val="Compact"/>
            </w:pPr>
            <w:r>
              <w:rPr>
                <w:sz w:val="20"/>
                <w:szCs w:val="20"/>
              </w:rPr>
              <w:t xml:space="preserve">CPNT_award_2025_v2</w:t>
            </w:r>
          </w:p>
        </w:tc>
        <w:tc>
          <w:tcPr>
            <w:tcW w:w="0" w:type="auto"/>
          </w:tcPr>
          <w:p>
            <w:pPr>
              <w:spacing w:line="240" w:lineRule="auto" w:before="0" w:after="0"/>
              <w:pStyle w:val="Compact"/>
            </w:pPr>
            <w:r>
              <w:rPr>
                <w:sz w:val="20"/>
                <w:szCs w:val="20"/>
              </w:rPr>
              <w:t xml:space="preserve">DOT/Volpe</w:t>
            </w:r>
          </w:p>
        </w:tc>
        <w:tc>
          <w:tcPr>
            <w:tcW w:w="0" w:type="auto"/>
          </w:tcPr>
          <w:p>
            <w:pPr>
              <w:spacing w:line="240" w:lineRule="auto" w:before="0" w:after="0"/>
              <w:pStyle w:val="Compact"/>
            </w:pPr>
            <w:r>
              <w:rPr>
                <w:sz w:val="20"/>
                <w:szCs w:val="20"/>
              </w:rPr>
              <w:t xml:space="preserve">LEO_satellite</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 DOT Awards for CPNT, Inside GNSS via RNTF, Nov 2025; rntfnd.org 2025/11/06</w:t>
            </w:r>
          </w:p>
        </w:tc>
      </w:tr>
      <w:tr>
        <w:tc>
          <w:tcPr>
            <w:tcW w:w="0" w:type="auto"/>
          </w:tcPr>
          <w:p>
            <w:pPr>
              <w:spacing w:line="240" w:lineRule="auto" w:before="0" w:after="0"/>
              <w:pStyle w:val="Compact"/>
            </w:pPr>
            <w:r>
              <w:rPr>
                <w:sz w:val="20"/>
                <w:szCs w:val="20"/>
              </w:rPr>
              <w:t xml:space="preserve">USCG_eLoran_pilot_2015</w:t>
            </w:r>
          </w:p>
        </w:tc>
        <w:tc>
          <w:tcPr>
            <w:tcW w:w="0" w:type="auto"/>
          </w:tcPr>
          <w:p>
            <w:pPr>
              <w:spacing w:line="240" w:lineRule="auto" w:before="0" w:after="0"/>
              <w:pStyle w:val="Compact"/>
            </w:pPr>
            <w:r>
              <w:rPr>
                <w:sz w:val="20"/>
                <w:szCs w:val="20"/>
              </w:rPr>
              <w:t xml:space="preserve">USCG/DOT</w:t>
            </w:r>
          </w:p>
        </w:tc>
        <w:tc>
          <w:tcPr>
            <w:tcW w:w="0" w:type="auto"/>
          </w:tcPr>
          <w:p>
            <w:pPr>
              <w:spacing w:line="240" w:lineRule="auto" w:before="0" w:after="0"/>
              <w:pStyle w:val="Compact"/>
            </w:pPr>
            <w:r>
              <w:rPr>
                <w:sz w:val="20"/>
                <w:szCs w:val="20"/>
              </w:rPr>
              <w:t xml:space="preserve">terrestrial_LF</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House transportation committee reopened eLoran 2014; 2014 Coast Guard Act markup; pilot interest lapsed without sustained appropriation; rntfnd.org; militaryaerospace.com eloran-loran-c</w:t>
            </w:r>
          </w:p>
        </w:tc>
      </w:tr>
      <w:tr>
        <w:tc>
          <w:tcPr>
            <w:tcW w:w="0" w:type="auto"/>
          </w:tcPr>
          <w:p>
            <w:pPr>
              <w:spacing w:line="240" w:lineRule="auto" w:before="0" w:after="0"/>
              <w:pStyle w:val="Compact"/>
            </w:pPr>
            <w:r>
              <w:rPr>
                <w:sz w:val="20"/>
                <w:szCs w:val="20"/>
              </w:rPr>
              <w:t xml:space="preserve">DOT_CPNT_ActionPlan_2023</w:t>
            </w:r>
          </w:p>
        </w:tc>
        <w:tc>
          <w:tcPr>
            <w:tcW w:w="0" w:type="auto"/>
          </w:tcPr>
          <w:p>
            <w:pPr>
              <w:spacing w:line="240" w:lineRule="auto" w:before="0" w:after="0"/>
              <w:pStyle w:val="Compact"/>
            </w:pPr>
            <w:r>
              <w:rPr>
                <w:sz w:val="20"/>
                <w:szCs w:val="20"/>
              </w:rPr>
              <w:t xml:space="preserve">DOT</w:t>
            </w:r>
          </w:p>
        </w:tc>
        <w:tc>
          <w:tcPr>
            <w:tcW w:w="0" w:type="auto"/>
          </w:tcPr>
          <w:p>
            <w:pPr>
              <w:spacing w:line="240" w:lineRule="auto" w:before="0" w:after="0"/>
              <w:pStyle w:val="Compact"/>
            </w:pPr>
            <w:r>
              <w:rPr>
                <w:sz w:val="20"/>
                <w:szCs w:val="20"/>
              </w:rPr>
              <w:t xml:space="preserve">policy_program</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DOT Complementary PNT Action Plan, final, Sept 2023; transportation.gov/sites/dot.gov/files/2023-09 DOT Complementary PNT Action Plan_Final.pdf</w:t>
            </w:r>
          </w:p>
        </w:tc>
      </w:tr>
      <w:tr>
        <w:tc>
          <w:tcPr>
            <w:tcW w:w="0" w:type="auto"/>
          </w:tcPr>
          <w:p>
            <w:pPr>
              <w:spacing w:line="240" w:lineRule="auto" w:before="0" w:after="0"/>
              <w:pStyle w:val="Compact"/>
            </w:pPr>
            <w:r>
              <w:rPr>
                <w:sz w:val="20"/>
                <w:szCs w:val="20"/>
              </w:rPr>
              <w:t xml:space="preserve">FCC_eLoran_NPRM_2025</w:t>
            </w:r>
          </w:p>
        </w:tc>
        <w:tc>
          <w:tcPr>
            <w:tcW w:w="0" w:type="auto"/>
          </w:tcPr>
          <w:p>
            <w:pPr>
              <w:spacing w:line="240" w:lineRule="auto" w:before="0" w:after="0"/>
              <w:pStyle w:val="Compact"/>
            </w:pPr>
            <w:r>
              <w:rPr>
                <w:sz w:val="20"/>
                <w:szCs w:val="20"/>
              </w:rPr>
              <w:t xml:space="preserve">FCC</w:t>
            </w:r>
          </w:p>
        </w:tc>
        <w:tc>
          <w:tcPr>
            <w:tcW w:w="0" w:type="auto"/>
          </w:tcPr>
          <w:p>
            <w:pPr>
              <w:spacing w:line="240" w:lineRule="auto" w:before="0" w:after="0"/>
              <w:pStyle w:val="Compact"/>
            </w:pPr>
            <w:r>
              <w:rPr>
                <w:sz w:val="20"/>
                <w:szCs w:val="20"/>
              </w:rPr>
              <w:t xml:space="preserve">terrestrial_LF</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Fact Sheet Mar 6 2025 on resilient PNT/eLoran; docs.fcc.gov/public/attachments/DOC-410031A1.pdf; Federal Register Commercial eLoran Capability 2023-21767</w:t>
            </w:r>
          </w:p>
        </w:tc>
      </w:tr>
      <w:tr>
        <w:tc>
          <w:tcPr>
            <w:tcW w:w="0" w:type="auto"/>
          </w:tcPr>
          <w:p>
            <w:pPr>
              <w:spacing w:line="240" w:lineRule="auto" w:before="0" w:after="0"/>
              <w:pStyle w:val="Compact"/>
            </w:pPr>
            <w:r>
              <w:rPr>
                <w:sz w:val="20"/>
                <w:szCs w:val="20"/>
              </w:rPr>
              <w:t xml:space="preserve">WAAS_GPS_aug</w:t>
            </w:r>
          </w:p>
        </w:tc>
        <w:tc>
          <w:tcPr>
            <w:tcW w:w="0" w:type="auto"/>
          </w:tcPr>
          <w:p>
            <w:pPr>
              <w:spacing w:line="240" w:lineRule="auto" w:before="0" w:after="0"/>
              <w:pStyle w:val="Compact"/>
            </w:pPr>
            <w:r>
              <w:rPr>
                <w:sz w:val="20"/>
                <w:szCs w:val="20"/>
              </w:rPr>
              <w:t xml:space="preserve">FAA/DOT</w:t>
            </w:r>
          </w:p>
        </w:tc>
        <w:tc>
          <w:tcPr>
            <w:tcW w:w="0" w:type="auto"/>
          </w:tcPr>
          <w:p>
            <w:pPr>
              <w:spacing w:line="240" w:lineRule="auto" w:before="0" w:after="0"/>
              <w:pStyle w:val="Compact"/>
            </w:pPr>
            <w:r>
              <w:rPr>
                <w:sz w:val="20"/>
                <w:szCs w:val="20"/>
              </w:rPr>
              <w:t xml:space="preserve">satellite_aug</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[illustrative] WAAS reached operational maturity 2003 after sustained uninterrupted development funding circa 1994-2003; positive-control comparator; appropriation_continuity coded as development funded cycles, duration as years to operational acceptance; FAA WAAS operational record (gps.gov)</w:t>
            </w:r>
          </w:p>
        </w:tc>
      </w:tr>
    </w:tbl>
    <w:bookmarkEnd w:id="185"/>
    <w:bookmarkStart w:id="186" w:name="variable-construction-2"/>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duration_years</w:t>
            </w:r>
          </w:p>
        </w:tc>
        <w:tc>
          <w:tcPr>
            <w:tcW w:w="0" w:type="auto"/>
          </w:tcPr>
          <w:p>
            <w:pPr>
              <w:spacing w:line="240" w:lineRule="auto" w:before="0" w:after="0"/>
              <w:pStyle w:val="Compact"/>
            </w:pPr>
            <w:r>
              <w:rPr>
                <w:sz w:val="20"/>
                <w:szCs w:val="20"/>
              </w:rPr>
              <w:t xml:space="preserve">Program lifespan in years from federal authorization or first federal evaluation entry to either operational maturity or right-censoring at FY2025</w:t>
            </w:r>
          </w:p>
        </w:tc>
        <w:tc>
          <w:tcPr>
            <w:tcW w:w="0" w:type="auto"/>
          </w:tcPr>
          <w:p>
            <w:pPr>
              <w:spacing w:line="240" w:lineRule="auto" w:before="0" w:after="0"/>
              <w:pStyle w:val="Compact"/>
            </w:pPr>
            <w:r>
              <w:rPr>
                <w:sz w:val="20"/>
                <w:szCs w:val="20"/>
              </w:rPr>
              <w:t xml:space="preserve">GAO reports and DOT/Volpe demonstration record; program authorization and status dates</w:t>
            </w:r>
          </w:p>
        </w:tc>
      </w:tr>
      <w:tr>
        <w:tc>
          <w:tcPr>
            <w:tcW w:w="0" w:type="auto"/>
          </w:tcPr>
          <w:p>
            <w:pPr>
              <w:spacing w:line="240" w:lineRule="auto" w:before="0" w:after="0"/>
              <w:pStyle w:val="Compact"/>
            </w:pPr>
            <w:r>
              <w:rPr>
                <w:sz w:val="20"/>
                <w:szCs w:val="20"/>
              </w:rPr>
              <w:t xml:space="preserve">reached_maturity</w:t>
            </w:r>
          </w:p>
        </w:tc>
        <w:tc>
          <w:tcPr>
            <w:tcW w:w="0" w:type="auto"/>
          </w:tcPr>
          <w:p>
            <w:pPr>
              <w:spacing w:line="240" w:lineRule="auto" w:before="0" w:after="0"/>
              <w:pStyle w:val="Compact"/>
            </w:pPr>
            <w:r>
              <w:rPr>
                <w:sz w:val="20"/>
                <w:szCs w:val="20"/>
              </w:rPr>
              <w:t xml:space="preserve">Event indicator: 1 if the program/technology reached durable operational maturity (fielded operational service or sustained federal-program-adopted operational availability), 0 if stalled, terminated, or administratively right-censored at FY2025</w:t>
            </w:r>
          </w:p>
        </w:tc>
        <w:tc>
          <w:tcPr>
            <w:tcW w:w="0" w:type="auto"/>
          </w:tcPr>
          <w:p>
            <w:pPr>
              <w:spacing w:line="240" w:lineRule="auto" w:before="0" w:after="0"/>
              <w:pStyle w:val="Compact"/>
            </w:pPr>
            <w:r>
              <w:rPr>
                <w:sz w:val="20"/>
                <w:szCs w:val="20"/>
              </w:rPr>
              <w:t xml:space="preserve">DOT/Volpe Demonstration Report Jan 2021; GAO PNT record; FAA WAAS operational record</w:t>
            </w:r>
          </w:p>
        </w:tc>
      </w:tr>
      <w:tr>
        <w:tc>
          <w:tcPr>
            <w:tcW w:w="0" w:type="auto"/>
          </w:tcPr>
          <w:p>
            <w:pPr>
              <w:spacing w:line="240" w:lineRule="auto" w:before="0" w:after="0"/>
              <w:pStyle w:val="Compact"/>
            </w:pPr>
            <w:r>
              <w:rPr>
                <w:sz w:val="20"/>
                <w:szCs w:val="20"/>
              </w:rPr>
              <w:t xml:space="preserve">appropriation_continuity</w:t>
            </w:r>
          </w:p>
        </w:tc>
        <w:tc>
          <w:tcPr>
            <w:tcW w:w="0" w:type="auto"/>
          </w:tcPr>
          <w:p>
            <w:pPr>
              <w:spacing w:line="240" w:lineRule="auto" w:before="0" w:after="0"/>
              <w:pStyle w:val="Compact"/>
            </w:pPr>
            <w:r>
              <w:rPr>
                <w:sz w:val="20"/>
                <w:szCs w:val="20"/>
              </w:rPr>
              <w:t xml:space="preserve">Count of consecutive federal funding or contract cycles in which the program line received dedicated appropriation or award prior to the observation boundary</w:t>
            </w:r>
          </w:p>
        </w:tc>
        <w:tc>
          <w:tcPr>
            <w:tcW w:w="0" w:type="auto"/>
          </w:tcPr>
          <w:p>
            <w:pPr>
              <w:spacing w:line="240" w:lineRule="auto" w:before="0" w:after="0"/>
              <w:pStyle w:val="Compact"/>
            </w:pPr>
            <w:r>
              <w:rPr>
                <w:sz w:val="20"/>
                <w:szCs w:val="20"/>
              </w:rPr>
              <w:t xml:space="preserve">USAspending.gov / OMB Public Budget Database lineage as reconstructed from DOT award announcements and program histories</w:t>
            </w:r>
          </w:p>
        </w:tc>
      </w:tr>
      <w:tr>
        <w:tc>
          <w:tcPr>
            <w:tcW w:w="0" w:type="auto"/>
          </w:tcPr>
          <w:p>
            <w:pPr>
              <w:spacing w:line="240" w:lineRule="auto" w:before="0" w:after="0"/>
              <w:pStyle w:val="Compact"/>
            </w:pPr>
            <w:r>
              <w:rPr>
                <w:sz w:val="20"/>
                <w:szCs w:val="20"/>
              </w:rPr>
              <w:t xml:space="preserve">trl_at_authorization</w:t>
            </w:r>
          </w:p>
        </w:tc>
        <w:tc>
          <w:tcPr>
            <w:tcW w:w="0" w:type="auto"/>
          </w:tcPr>
          <w:p>
            <w:pPr>
              <w:spacing w:line="240" w:lineRule="auto" w:before="0" w:after="0"/>
              <w:pStyle w:val="Compact"/>
            </w:pPr>
            <w:r>
              <w:rPr>
                <w:sz w:val="20"/>
                <w:szCs w:val="20"/>
              </w:rPr>
              <w:t xml:space="preserve">Technology Readiness Level (1 to 9) assigned to the program’s core PNT technology at the authorization or demonstration milestone</w:t>
            </w:r>
          </w:p>
        </w:tc>
        <w:tc>
          <w:tcPr>
            <w:tcW w:w="0" w:type="auto"/>
          </w:tcPr>
          <w:p>
            <w:pPr>
              <w:spacing w:line="240" w:lineRule="auto" w:before="0" w:after="0"/>
              <w:pStyle w:val="Compact"/>
            </w:pPr>
            <w:r>
              <w:rPr>
                <w:sz w:val="20"/>
                <w:szCs w:val="20"/>
              </w:rPr>
              <w:t xml:space="preserve">DOT/Volpe Complementary PNT and GPS Backup Technologies Demonstration Report to Congress, Jan 2021; per-technology readiness language</w:t>
            </w:r>
          </w:p>
        </w:tc>
      </w:tr>
    </w:tbl>
    <w:bookmarkEnd w:id="186"/>
    <w:bookmarkEnd w:id="187"/>
    <w:bookmarkStart w:id="195" w:name="X56bff7b822b1824a51e9fa99f259f8f75579f0e"/>
    <w:p>
      <w:pPr>
        <w:pStyle w:val="Heading2"/>
        <w:spacing w:line="480" w:lineRule="auto"/>
      </w:pPr>
      <w:r>
        <w:t xml:space="preserve">A.2 Schedule Slip as the Proximate Driver of Cost Growth in NASA Major Projects: A Cross-Sectional Test of the Cost-Schedule Coupling</w:t>
      </w:r>
    </w:p>
    <w:p>
      <w:pPr>
        <w:pStyle w:val="FirstParagraph"/>
        <w:spacing w:line="480" w:lineRule="auto"/>
      </w:pPr>
      <m:oMathPara>
        <m:oMathParaPr>
          <m:jc m:val="center"/>
        </m:oMathParaPr>
        <m:oMath>
          <m:sSub>
            <m:e>
              <m:r>
                <m:rPr>
                  <m:nor/>
                  <m:sty m:val="p"/>
                </m:rPr>
                <m:t>cost_growth_pct</m:t>
              </m:r>
            </m:e>
            <m:sub>
              <m:r>
                <m:t>i</m:t>
              </m:r>
            </m:sub>
          </m:sSub>
          <m:r>
            <m:rPr>
              <m:sty m:val="p"/>
            </m:rPr>
            <m:t>=</m:t>
          </m:r>
          <m:sSub>
            <m:e>
              <m:r>
                <m:t>β</m:t>
              </m:r>
            </m:e>
            <m:sub>
              <m:r>
                <m:t>0</m:t>
              </m:r>
            </m:sub>
          </m:sSub>
          <m:r>
            <m:rPr>
              <m:sty m:val="p"/>
            </m:rPr>
            <m:t>+</m:t>
          </m:r>
          <m:sSub>
            <m:e>
              <m:r>
                <m:t>β</m:t>
              </m:r>
            </m:e>
            <m:sub>
              <m:r>
                <m:t>1</m:t>
              </m:r>
            </m:sub>
          </m:sSub>
          <m:r>
            <m:t> </m:t>
          </m:r>
          <m:sSub>
            <m:e>
              <m:r>
                <m:rPr>
                  <m:nor/>
                  <m:sty m:val="p"/>
                </m:rPr>
                <m:t>schedule_slip_mo</m:t>
              </m:r>
            </m:e>
            <m:sub>
              <m:r>
                <m:t>i</m:t>
              </m:r>
            </m:sub>
          </m:sSub>
          <m:r>
            <m:rPr>
              <m:sty m:val="p"/>
            </m:rPr>
            <m:t>+</m:t>
          </m:r>
          <m:sSub>
            <m:e>
              <m:r>
                <m:t>β</m:t>
              </m:r>
            </m:e>
            <m:sub>
              <m:r>
                <m:t>2</m:t>
              </m:r>
            </m:sub>
          </m:sSub>
          <m:r>
            <m:t> </m:t>
          </m:r>
          <m:r>
            <m:rPr>
              <m:sty m:val="p"/>
            </m:rPr>
            <m:t>ln</m:t>
          </m:r>
          <m:r>
            <m:rPr>
              <m:sty m:val="p"/>
            </m:rPr>
            <m:t>(</m:t>
          </m:r>
          <m:r>
            <m:rPr>
              <m:nor/>
              <m:sty m:val="p"/>
            </m:rPr>
            <m:t>baseline_lcc</m:t>
          </m:r>
          <m:sSub>
            <m:e>
              <m:r>
                <m:rPr>
                  <m:sty m:val="p"/>
                </m:rPr>
                <m:t>)</m:t>
              </m:r>
            </m:e>
            <m:sub>
              <m:r>
                <m:t>i</m:t>
              </m:r>
            </m:sub>
          </m:sSub>
          <m:r>
            <m:rPr>
              <m:sty m:val="p"/>
            </m:rPr>
            <m:t>+</m:t>
          </m:r>
          <m:sSub>
            <m:e>
              <m:r>
                <m:t>β</m:t>
              </m:r>
            </m:e>
            <m:sub>
              <m:r>
                <m:t>3</m:t>
              </m:r>
            </m:sub>
          </m:sSub>
          <m:r>
            <m:t> </m:t>
          </m:r>
          <m:sSub>
            <m:e>
              <m:r>
                <m:rPr>
                  <m:nor/>
                  <m:sty m:val="p"/>
                </m:rPr>
                <m:t>crewed</m:t>
              </m:r>
            </m:e>
            <m:sub>
              <m:r>
                <m:t>i</m:t>
              </m:r>
            </m:sub>
          </m:sSub>
          <m:r>
            <m:rPr>
              <m:sty m:val="p"/>
            </m:rPr>
            <m:t>+</m:t>
          </m:r>
          <m:sSub>
            <m:e>
              <m:r>
                <m:t>ε</m:t>
              </m:r>
            </m:e>
            <m:sub>
              <m:r>
                <m:t>i</m:t>
              </m:r>
            </m:sub>
          </m:sSub>
        </m:oMath>
      </m:oMathPara>
    </w:p>
    <w:bookmarkStart w:id="188"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-11.8308</w:t>
            </w:r>
          </w:p>
        </w:tc>
        <w:tc>
          <w:tcPr>
            <w:tcW w:w="0" w:type="auto"/>
          </w:tcPr>
          <w:p>
            <w:pPr>
              <w:spacing w:line="240" w:lineRule="auto" w:before="0" w:after="0"/>
              <w:pStyle w:val="Compact"/>
            </w:pPr>
            <w:r>
              <w:rPr>
                <w:sz w:val="20"/>
                <w:szCs w:val="20"/>
              </w:rPr>
              <w:t xml:space="preserve">42.9606</w:t>
            </w:r>
          </w:p>
        </w:tc>
        <w:tc>
          <w:tcPr>
            <w:tcW w:w="0" w:type="auto"/>
          </w:tcPr>
          <w:p>
            <w:pPr>
              <w:spacing w:line="240" w:lineRule="auto" w:before="0" w:after="0"/>
              <w:pStyle w:val="Compact"/>
            </w:pPr>
            <w:r>
              <w:rPr>
                <w:sz w:val="20"/>
                <w:szCs w:val="20"/>
              </w:rPr>
              <w:t xml:space="preserve">-0.2754</w:t>
            </w:r>
          </w:p>
        </w:tc>
        <w:tc>
          <w:tcPr>
            <w:tcW w:w="0" w:type="auto"/>
          </w:tcPr>
          <w:p>
            <w:pPr>
              <w:spacing w:line="240" w:lineRule="auto" w:before="0" w:after="0"/>
              <w:pStyle w:val="Compact"/>
            </w:pPr>
            <w:r>
              <w:rPr>
                <w:sz w:val="20"/>
                <w:szCs w:val="20"/>
              </w:rPr>
              <w:t xml:space="preserve">0.783</w:t>
            </w:r>
          </w:p>
        </w:tc>
        <w:tc>
          <w:tcPr>
            <w:tcW w:w="0" w:type="auto"/>
          </w:tcPr>
          <w:p>
            <w:pPr>
              <w:spacing w:line="240" w:lineRule="auto" w:before="0" w:after="0"/>
              <w:pStyle w:val="Compact"/>
            </w:pPr>
            <w:r>
              <w:rPr>
                <w:sz w:val="20"/>
                <w:szCs w:val="20"/>
              </w:rPr>
              <w:t xml:space="preserve">[-96.0321, 72.3705]</w:t>
            </w:r>
          </w:p>
        </w:tc>
      </w:tr>
      <w:tr>
        <w:tc>
          <w:tcPr>
            <w:tcW w:w="0" w:type="auto"/>
          </w:tcPr>
          <w:p>
            <w:pPr>
              <w:spacing w:line="240" w:lineRule="auto" w:before="0" w:after="0"/>
              <w:pStyle w:val="Compact"/>
            </w:pPr>
            <w:r>
              <w:rPr>
                <w:sz w:val="20"/>
                <w:szCs w:val="20"/>
              </w:rPr>
              <w:t xml:space="preserve">schedule_slip_mo</w:t>
            </w:r>
          </w:p>
        </w:tc>
        <w:tc>
          <w:tcPr>
            <w:tcW w:w="0" w:type="auto"/>
          </w:tcPr>
          <w:p>
            <w:pPr>
              <w:spacing w:line="240" w:lineRule="auto" w:before="0" w:after="0"/>
              <w:pStyle w:val="Compact"/>
            </w:pPr>
            <w:r>
              <w:rPr>
                <w:sz w:val="20"/>
                <w:szCs w:val="20"/>
              </w:rPr>
              <w:t xml:space="preserve">1.1928</w:t>
            </w:r>
          </w:p>
        </w:tc>
        <w:tc>
          <w:tcPr>
            <w:tcW w:w="0" w:type="auto"/>
          </w:tcPr>
          <w:p>
            <w:pPr>
              <w:spacing w:line="240" w:lineRule="auto" w:before="0" w:after="0"/>
              <w:pStyle w:val="Compact"/>
            </w:pPr>
            <w:r>
              <w:rPr>
                <w:sz w:val="20"/>
                <w:szCs w:val="20"/>
              </w:rPr>
              <w:t xml:space="preserve">0.3454</w:t>
            </w:r>
          </w:p>
        </w:tc>
        <w:tc>
          <w:tcPr>
            <w:tcW w:w="0" w:type="auto"/>
          </w:tcPr>
          <w:p>
            <w:pPr>
              <w:spacing w:line="240" w:lineRule="auto" w:before="0" w:after="0"/>
              <w:pStyle w:val="Compact"/>
            </w:pPr>
            <w:r>
              <w:rPr>
                <w:sz w:val="20"/>
                <w:szCs w:val="20"/>
              </w:rPr>
              <w:t xml:space="preserve">3.4534</w:t>
            </w:r>
          </w:p>
        </w:tc>
        <w:tc>
          <w:tcPr>
            <w:tcW w:w="0" w:type="auto"/>
          </w:tcPr>
          <w:p>
            <w:pPr>
              <w:spacing w:line="240" w:lineRule="auto" w:before="0" w:after="0"/>
              <w:pStyle w:val="Compact"/>
            </w:pPr>
            <w:r>
              <w:rPr>
                <w:sz w:val="20"/>
                <w:szCs w:val="20"/>
              </w:rPr>
              <w:t xml:space="preserve">0.0005536</w:t>
            </w:r>
          </w:p>
        </w:tc>
        <w:tc>
          <w:tcPr>
            <w:tcW w:w="0" w:type="auto"/>
          </w:tcPr>
          <w:p>
            <w:pPr>
              <w:spacing w:line="240" w:lineRule="auto" w:before="0" w:after="0"/>
              <w:pStyle w:val="Compact"/>
            </w:pPr>
            <w:r>
              <w:rPr>
                <w:sz w:val="20"/>
                <w:szCs w:val="20"/>
              </w:rPr>
              <w:t xml:space="preserve">[0.5159, 1.8698]</w:t>
            </w:r>
          </w:p>
        </w:tc>
      </w:tr>
      <w:tr>
        <w:tc>
          <w:tcPr>
            <w:tcW w:w="0" w:type="auto"/>
          </w:tcPr>
          <w:p>
            <w:pPr>
              <w:spacing w:line="240" w:lineRule="auto" w:before="0" w:after="0"/>
              <w:pStyle w:val="Compact"/>
            </w:pPr>
            <w:r>
              <w:rPr>
                <w:sz w:val="20"/>
                <w:szCs w:val="20"/>
              </w:rPr>
              <w:t xml:space="preserve">ln_baseline_lcc</w:t>
            </w:r>
          </w:p>
        </w:tc>
        <w:tc>
          <w:tcPr>
            <w:tcW w:w="0" w:type="auto"/>
          </w:tcPr>
          <w:p>
            <w:pPr>
              <w:spacing w:line="240" w:lineRule="auto" w:before="0" w:after="0"/>
              <w:pStyle w:val="Compact"/>
            </w:pPr>
            <w:r>
              <w:rPr>
                <w:sz w:val="20"/>
                <w:szCs w:val="20"/>
              </w:rPr>
              <w:t xml:space="preserve">2.5363</w:t>
            </w:r>
          </w:p>
        </w:tc>
        <w:tc>
          <w:tcPr>
            <w:tcW w:w="0" w:type="auto"/>
          </w:tcPr>
          <w:p>
            <w:pPr>
              <w:spacing w:line="240" w:lineRule="auto" w:before="0" w:after="0"/>
              <w:pStyle w:val="Compact"/>
            </w:pPr>
            <w:r>
              <w:rPr>
                <w:sz w:val="20"/>
                <w:szCs w:val="20"/>
              </w:rPr>
              <w:t xml:space="preserve">6.3124</w:t>
            </w:r>
          </w:p>
        </w:tc>
        <w:tc>
          <w:tcPr>
            <w:tcW w:w="0" w:type="auto"/>
          </w:tcPr>
          <w:p>
            <w:pPr>
              <w:spacing w:line="240" w:lineRule="auto" w:before="0" w:after="0"/>
              <w:pStyle w:val="Compact"/>
            </w:pPr>
            <w:r>
              <w:rPr>
                <w:sz w:val="20"/>
                <w:szCs w:val="20"/>
              </w:rPr>
              <w:t xml:space="preserve">0.4018</w:t>
            </w:r>
          </w:p>
        </w:tc>
        <w:tc>
          <w:tcPr>
            <w:tcW w:w="0" w:type="auto"/>
          </w:tcPr>
          <w:p>
            <w:pPr>
              <w:spacing w:line="240" w:lineRule="auto" w:before="0" w:after="0"/>
              <w:pStyle w:val="Compact"/>
            </w:pPr>
            <w:r>
              <w:rPr>
                <w:sz w:val="20"/>
                <w:szCs w:val="20"/>
              </w:rPr>
              <w:t xml:space="preserve">0.6878</w:t>
            </w:r>
          </w:p>
        </w:tc>
        <w:tc>
          <w:tcPr>
            <w:tcW w:w="0" w:type="auto"/>
          </w:tcPr>
          <w:p>
            <w:pPr>
              <w:spacing w:line="240" w:lineRule="auto" w:before="0" w:after="0"/>
              <w:pStyle w:val="Compact"/>
            </w:pPr>
            <w:r>
              <w:rPr>
                <w:sz w:val="20"/>
                <w:szCs w:val="20"/>
              </w:rPr>
              <w:t xml:space="preserve">[-9.8357, 14.9084]</w:t>
            </w:r>
          </w:p>
        </w:tc>
      </w:tr>
      <w:tr>
        <w:tc>
          <w:tcPr>
            <w:tcW w:w="0" w:type="auto"/>
          </w:tcPr>
          <w:p>
            <w:pPr>
              <w:spacing w:line="240" w:lineRule="auto" w:before="0" w:after="0"/>
              <w:pStyle w:val="Compact"/>
            </w:pPr>
            <w:r>
              <w:rPr>
                <w:sz w:val="20"/>
                <w:szCs w:val="20"/>
              </w:rPr>
              <w:t xml:space="preserve">crewed</w:t>
            </w:r>
          </w:p>
        </w:tc>
        <w:tc>
          <w:tcPr>
            <w:tcW w:w="0" w:type="auto"/>
          </w:tcPr>
          <w:p>
            <w:pPr>
              <w:spacing w:line="240" w:lineRule="auto" w:before="0" w:after="0"/>
              <w:pStyle w:val="Compact"/>
            </w:pPr>
            <w:r>
              <w:rPr>
                <w:sz w:val="20"/>
                <w:szCs w:val="20"/>
              </w:rPr>
              <w:t xml:space="preserve">-29.9211</w:t>
            </w:r>
          </w:p>
        </w:tc>
        <w:tc>
          <w:tcPr>
            <w:tcW w:w="0" w:type="auto"/>
          </w:tcPr>
          <w:p>
            <w:pPr>
              <w:spacing w:line="240" w:lineRule="auto" w:before="0" w:after="0"/>
              <w:pStyle w:val="Compact"/>
            </w:pPr>
            <w:r>
              <w:rPr>
                <w:sz w:val="20"/>
                <w:szCs w:val="20"/>
              </w:rPr>
              <w:t xml:space="preserve">14.3986</w:t>
            </w:r>
          </w:p>
        </w:tc>
        <w:tc>
          <w:tcPr>
            <w:tcW w:w="0" w:type="auto"/>
          </w:tcPr>
          <w:p>
            <w:pPr>
              <w:spacing w:line="240" w:lineRule="auto" w:before="0" w:after="0"/>
              <w:pStyle w:val="Compact"/>
            </w:pPr>
            <w:r>
              <w:rPr>
                <w:sz w:val="20"/>
                <w:szCs w:val="20"/>
              </w:rPr>
              <w:t xml:space="preserve">-2.0781</w:t>
            </w:r>
          </w:p>
        </w:tc>
        <w:tc>
          <w:tcPr>
            <w:tcW w:w="0" w:type="auto"/>
          </w:tcPr>
          <w:p>
            <w:pPr>
              <w:spacing w:line="240" w:lineRule="auto" w:before="0" w:after="0"/>
              <w:pStyle w:val="Compact"/>
            </w:pPr>
            <w:r>
              <w:rPr>
                <w:sz w:val="20"/>
                <w:szCs w:val="20"/>
              </w:rPr>
              <w:t xml:space="preserve">0.0377</w:t>
            </w:r>
          </w:p>
        </w:tc>
        <w:tc>
          <w:tcPr>
            <w:tcW w:w="0" w:type="auto"/>
          </w:tcPr>
          <w:p>
            <w:pPr>
              <w:spacing w:line="240" w:lineRule="auto" w:before="0" w:after="0"/>
              <w:pStyle w:val="Compact"/>
            </w:pPr>
            <w:r>
              <w:rPr>
                <w:sz w:val="20"/>
                <w:szCs w:val="20"/>
              </w:rPr>
              <w:t xml:space="preserve">[-58.1418, -1.7004]</w:t>
            </w:r>
          </w:p>
        </w:tc>
      </w:tr>
    </w:tbl>
    <w:p>
      <w:pPr>
        <w:pStyle w:val="BodyText"/>
        <w:spacing w:line="480" w:lineRule="auto"/>
        <w:ind w:firstLine="720"/>
      </w:pPr>
      <w:r>
        <w:t xml:space="preserve">Fit: N = 20 R2 = 0.6666 R2_adj = 0.6041 F = 9.3172 F_p = 0.0008466</w:t>
      </w:r>
    </w:p>
    <w:bookmarkEnd w:id="188"/>
    <w:bookmarkStart w:id="192"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Life-cycle cost growth against schedule slip for 20 NASA major projects, with the fitted ordinary-least-squares line. Source data: GAO-22-105212 (June 2022), Table 9 and project summaries." title="" id="190" name="Picture"/>
            <a:graphic>
              <a:graphicData uri="http://schemas.openxmlformats.org/drawingml/2006/picture">
                <pic:pic>
                  <pic:nvPicPr>
                    <pic:cNvPr descr="D:/Claude_Code/brain/collegium/candidates/dissertations/SPECTRUM_PNT_05/research_papers/p2/paper_fig1.png" id="191" name="Picture"/>
                    <pic:cNvPicPr>
                      <a:picLocks noChangeArrowheads="1" noChangeAspect="1"/>
                    </pic:cNvPicPr>
                  </pic:nvPicPr>
                  <pic:blipFill>
                    <a:blip r:embed="rId18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Life-cycle cost growth against schedule slip for 20 NASA major projects, with the fitted ordinary-least-squares line. Source data: GAO-22-105212 (June 2022), Table 9 and project summaries.</w:t>
      </w:r>
    </w:p>
    <w:bookmarkEnd w:id="192"/>
    <w:bookmarkStart w:id="193"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schedule_slip_mo</w:t>
            </w:r>
          </w:p>
        </w:tc>
        <w:tc>
          <w:tcPr>
            <w:tcW w:w="0" w:type="auto"/>
          </w:tcPr>
          <w:p>
            <w:pPr>
              <w:spacing w:line="240" w:lineRule="auto" w:before="0" w:after="0"/>
              <w:pStyle w:val="Compact"/>
            </w:pPr>
            <w:r>
              <w:rPr>
                <w:sz w:val="20"/>
                <w:szCs w:val="20"/>
              </w:rPr>
              <w:t xml:space="preserve">baseline_lcc_musd</w:t>
            </w:r>
          </w:p>
        </w:tc>
        <w:tc>
          <w:tcPr>
            <w:tcW w:w="0" w:type="auto"/>
          </w:tcPr>
          <w:p>
            <w:pPr>
              <w:spacing w:line="240" w:lineRule="auto" w:before="0" w:after="0"/>
              <w:pStyle w:val="Compact"/>
            </w:pPr>
            <w:r>
              <w:rPr>
                <w:sz w:val="20"/>
                <w:szCs w:val="20"/>
              </w:rPr>
              <w:t xml:space="preserve">ln_baseline_lcc</w:t>
            </w:r>
          </w:p>
        </w:tc>
        <w:tc>
          <w:tcPr>
            <w:tcW w:w="0" w:type="auto"/>
          </w:tcPr>
          <w:p>
            <w:pPr>
              <w:spacing w:line="240" w:lineRule="auto" w:before="0" w:after="0"/>
              <w:pStyle w:val="Compact"/>
            </w:pPr>
            <w:r>
              <w:rPr>
                <w:sz w:val="20"/>
                <w:szCs w:val="20"/>
              </w:rPr>
              <w:t xml:space="preserve">crewed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CCP (SpaceX)</w:t>
            </w:r>
          </w:p>
        </w:tc>
        <w:tc>
          <w:tcPr>
            <w:tcW w:w="0" w:type="auto"/>
          </w:tcPr>
          <w:p>
            <w:pPr>
              <w:spacing w:line="240" w:lineRule="auto" w:before="0" w:after="0"/>
              <w:pStyle w:val="Compact"/>
            </w:pPr>
            <w:r>
              <w:rPr>
                <w:sz w:val="20"/>
                <w:szCs w:val="20"/>
              </w:rPr>
              <w:t xml:space="preserve">5.26</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2599</w:t>
            </w:r>
          </w:p>
        </w:tc>
        <w:tc>
          <w:tcPr>
            <w:tcW w:w="0" w:type="auto"/>
          </w:tcPr>
          <w:p>
            <w:pPr>
              <w:spacing w:line="240" w:lineRule="auto" w:before="0" w:after="0"/>
              <w:pStyle w:val="Compact"/>
            </w:pPr>
            <w:r>
              <w:rPr>
                <w:sz w:val="20"/>
                <w:szCs w:val="20"/>
              </w:rPr>
              <w:t xml:space="preserve">7.8629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GAO-22-105212 Table 9 (p.130)</w:t>
            </w:r>
          </w:p>
        </w:tc>
      </w:tr>
      <w:tr>
        <w:tc>
          <w:tcPr>
            <w:tcW w:w="0" w:type="auto"/>
          </w:tcPr>
          <w:p>
            <w:pPr>
              <w:spacing w:line="240" w:lineRule="auto" w:before="0" w:after="0"/>
              <w:pStyle w:val="Compact"/>
            </w:pPr>
            <w:r>
              <w:rPr>
                <w:sz w:val="20"/>
                <w:szCs w:val="20"/>
              </w:rPr>
              <w:t xml:space="preserve">SGSS</w:t>
            </w:r>
          </w:p>
        </w:tc>
        <w:tc>
          <w:tcPr>
            <w:tcW w:w="0" w:type="auto"/>
          </w:tcPr>
          <w:p>
            <w:pPr>
              <w:spacing w:line="240" w:lineRule="auto" w:before="0" w:after="0"/>
              <w:pStyle w:val="Compact"/>
            </w:pPr>
            <w:r>
              <w:rPr>
                <w:sz w:val="20"/>
                <w:szCs w:val="20"/>
              </w:rPr>
              <w:t xml:space="preserve">127.37</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493.9</w:t>
            </w:r>
          </w:p>
        </w:tc>
        <w:tc>
          <w:tcPr>
            <w:tcW w:w="0" w:type="auto"/>
          </w:tcPr>
          <w:p>
            <w:pPr>
              <w:spacing w:line="240" w:lineRule="auto" w:before="0" w:after="0"/>
              <w:pStyle w:val="Compact"/>
            </w:pPr>
            <w:r>
              <w:rPr>
                <w:sz w:val="20"/>
                <w:szCs w:val="20"/>
              </w:rPr>
              <w:t xml:space="preserve">6.2023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Table 9 (p.130)</w:t>
            </w:r>
          </w:p>
        </w:tc>
      </w:tr>
      <w:tr>
        <w:tc>
          <w:tcPr>
            <w:tcW w:w="0" w:type="auto"/>
          </w:tcPr>
          <w:p>
            <w:pPr>
              <w:spacing w:line="240" w:lineRule="auto" w:before="0" w:after="0"/>
              <w:pStyle w:val="Compact"/>
            </w:pPr>
            <w:r>
              <w:rPr>
                <w:sz w:val="20"/>
                <w:szCs w:val="20"/>
              </w:rPr>
              <w:t xml:space="preserve">Landsat 9</w:t>
            </w:r>
          </w:p>
        </w:tc>
        <w:tc>
          <w:tcPr>
            <w:tcW w:w="0" w:type="auto"/>
          </w:tcPr>
          <w:p>
            <w:pPr>
              <w:spacing w:line="240" w:lineRule="auto" w:before="0" w:after="0"/>
              <w:pStyle w:val="Compact"/>
            </w:pPr>
            <w:r>
              <w:rPr>
                <w:sz w:val="20"/>
                <w:szCs w:val="20"/>
              </w:rPr>
              <w:t xml:space="preserve">-15.65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885</w:t>
            </w:r>
          </w:p>
        </w:tc>
        <w:tc>
          <w:tcPr>
            <w:tcW w:w="0" w:type="auto"/>
          </w:tcPr>
          <w:p>
            <w:pPr>
              <w:spacing w:line="240" w:lineRule="auto" w:before="0" w:after="0"/>
              <w:pStyle w:val="Compact"/>
            </w:pPr>
            <w:r>
              <w:rPr>
                <w:sz w:val="20"/>
                <w:szCs w:val="20"/>
              </w:rPr>
              <w:t xml:space="preserve">6.7856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Table 9 (p.130)</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0.82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981.1</w:t>
            </w:r>
          </w:p>
        </w:tc>
        <w:tc>
          <w:tcPr>
            <w:tcW w:w="0" w:type="auto"/>
          </w:tcPr>
          <w:p>
            <w:pPr>
              <w:spacing w:line="240" w:lineRule="auto" w:before="0" w:after="0"/>
              <w:pStyle w:val="Compact"/>
            </w:pPr>
            <w:r>
              <w:rPr>
                <w:sz w:val="20"/>
                <w:szCs w:val="20"/>
              </w:rPr>
              <w:t xml:space="preserve">6.8887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Table 9 (p.130)</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5.32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313.9</w:t>
            </w:r>
          </w:p>
        </w:tc>
        <w:tc>
          <w:tcPr>
            <w:tcW w:w="0" w:type="auto"/>
          </w:tcPr>
          <w:p>
            <w:pPr>
              <w:spacing w:line="240" w:lineRule="auto" w:before="0" w:after="0"/>
              <w:pStyle w:val="Compact"/>
            </w:pPr>
            <w:r>
              <w:rPr>
                <w:sz w:val="20"/>
                <w:szCs w:val="20"/>
              </w:rPr>
              <w:t xml:space="preserve">5.7491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Table 9 (p.130)</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98.8</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4963.6</w:t>
            </w:r>
          </w:p>
        </w:tc>
        <w:tc>
          <w:tcPr>
            <w:tcW w:w="0" w:type="auto"/>
          </w:tcPr>
          <w:p>
            <w:pPr>
              <w:spacing w:line="240" w:lineRule="auto" w:before="0" w:after="0"/>
              <w:pStyle w:val="Compact"/>
            </w:pPr>
            <w:r>
              <w:rPr>
                <w:sz w:val="20"/>
                <w:szCs w:val="20"/>
              </w:rPr>
              <w:t xml:space="preserve">8.5099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Table 9 (p.130)</w:t>
            </w:r>
          </w:p>
        </w:tc>
      </w:tr>
      <w:tr>
        <w:tc>
          <w:tcPr>
            <w:tcW w:w="0" w:type="auto"/>
          </w:tcPr>
          <w:p>
            <w:pPr>
              <w:spacing w:line="240" w:lineRule="auto" w:before="0" w:after="0"/>
              <w:pStyle w:val="Compact"/>
            </w:pPr>
            <w:r>
              <w:rPr>
                <w:sz w:val="20"/>
                <w:szCs w:val="20"/>
              </w:rPr>
              <w:t xml:space="preserve">LCRD</w:t>
            </w:r>
          </w:p>
        </w:tc>
        <w:tc>
          <w:tcPr>
            <w:tcW w:w="0" w:type="auto"/>
          </w:tcPr>
          <w:p>
            <w:pPr>
              <w:spacing w:line="240" w:lineRule="auto" w:before="0" w:after="0"/>
              <w:pStyle w:val="Compact"/>
            </w:pPr>
            <w:r>
              <w:rPr>
                <w:sz w:val="20"/>
                <w:szCs w:val="20"/>
              </w:rPr>
              <w:t xml:space="preserve">21.62</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262.7</w:t>
            </w:r>
          </w:p>
        </w:tc>
        <w:tc>
          <w:tcPr>
            <w:tcW w:w="0" w:type="auto"/>
          </w:tcPr>
          <w:p>
            <w:pPr>
              <w:spacing w:line="240" w:lineRule="auto" w:before="0" w:after="0"/>
              <w:pStyle w:val="Compact"/>
            </w:pPr>
            <w:r>
              <w:rPr>
                <w:sz w:val="20"/>
                <w:szCs w:val="20"/>
              </w:rPr>
              <w:t xml:space="preserve">5.571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Table 9 (p.130)</w:t>
            </w:r>
          </w:p>
        </w:tc>
      </w:tr>
      <w:tr>
        <w:tc>
          <w:tcPr>
            <w:tcW w:w="0" w:type="auto"/>
          </w:tcPr>
          <w:p>
            <w:pPr>
              <w:spacing w:line="240" w:lineRule="auto" w:before="0" w:after="0"/>
              <w:pStyle w:val="Compact"/>
            </w:pPr>
            <w:r>
              <w:rPr>
                <w:sz w:val="20"/>
                <w:szCs w:val="20"/>
              </w:rPr>
              <w:t xml:space="preserve">EGS</w:t>
            </w:r>
          </w:p>
        </w:tc>
        <w:tc>
          <w:tcPr>
            <w:tcW w:w="0" w:type="auto"/>
          </w:tcPr>
          <w:p>
            <w:pPr>
              <w:spacing w:line="240" w:lineRule="auto" w:before="0" w:after="0"/>
              <w:pStyle w:val="Compact"/>
            </w:pPr>
            <w:r>
              <w:rPr>
                <w:sz w:val="20"/>
                <w:szCs w:val="20"/>
              </w:rPr>
              <w:t xml:space="preserve">26.82</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2812.9</w:t>
            </w:r>
          </w:p>
        </w:tc>
        <w:tc>
          <w:tcPr>
            <w:tcW w:w="0" w:type="auto"/>
          </w:tcPr>
          <w:p>
            <w:pPr>
              <w:spacing w:line="240" w:lineRule="auto" w:before="0" w:after="0"/>
              <w:pStyle w:val="Compact"/>
            </w:pPr>
            <w:r>
              <w:rPr>
                <w:sz w:val="20"/>
                <w:szCs w:val="20"/>
              </w:rPr>
              <w:t xml:space="preserve">7.942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GAO-22-105212 Table 9 (p.130)</w:t>
            </w:r>
          </w:p>
        </w:tc>
      </w:tr>
      <w:tr>
        <w:tc>
          <w:tcPr>
            <w:tcW w:w="0" w:type="auto"/>
          </w:tcPr>
          <w:p>
            <w:pPr>
              <w:spacing w:line="240" w:lineRule="auto" w:before="0" w:after="0"/>
              <w:pStyle w:val="Compact"/>
            </w:pPr>
            <w:r>
              <w:rPr>
                <w:sz w:val="20"/>
                <w:szCs w:val="20"/>
              </w:rPr>
              <w:t xml:space="preserve">SLS</w:t>
            </w:r>
          </w:p>
        </w:tc>
        <w:tc>
          <w:tcPr>
            <w:tcW w:w="0" w:type="auto"/>
          </w:tcPr>
          <w:p>
            <w:pPr>
              <w:spacing w:line="240" w:lineRule="auto" w:before="0" w:after="0"/>
              <w:pStyle w:val="Compact"/>
            </w:pPr>
            <w:r>
              <w:rPr>
                <w:sz w:val="20"/>
                <w:szCs w:val="20"/>
              </w:rPr>
              <w:t xml:space="preserve">29.99</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9064</w:t>
            </w:r>
          </w:p>
        </w:tc>
        <w:tc>
          <w:tcPr>
            <w:tcW w:w="0" w:type="auto"/>
          </w:tcPr>
          <w:p>
            <w:pPr>
              <w:spacing w:line="240" w:lineRule="auto" w:before="0" w:after="0"/>
              <w:pStyle w:val="Compact"/>
            </w:pPr>
            <w:r>
              <w:rPr>
                <w:sz w:val="20"/>
                <w:szCs w:val="20"/>
              </w:rPr>
              <w:t xml:space="preserve">9.1121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GAO-22-105212 Table 9 (p.130)</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-3.09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996.4</w:t>
            </w:r>
          </w:p>
        </w:tc>
        <w:tc>
          <w:tcPr>
            <w:tcW w:w="0" w:type="auto"/>
          </w:tcPr>
          <w:p>
            <w:pPr>
              <w:spacing w:line="240" w:lineRule="auto" w:before="0" w:after="0"/>
              <w:pStyle w:val="Compact"/>
            </w:pPr>
            <w:r>
              <w:rPr>
                <w:sz w:val="20"/>
                <w:szCs w:val="20"/>
              </w:rPr>
              <w:t xml:space="preserve">6.9041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Table 9 (p.130)</w:t>
            </w:r>
          </w:p>
        </w:tc>
      </w:tr>
      <w:tr>
        <w:tc>
          <w:tcPr>
            <w:tcW w:w="0" w:type="auto"/>
          </w:tcPr>
          <w:p>
            <w:pPr>
              <w:spacing w:line="240" w:lineRule="auto" w:before="0" w:after="0"/>
              <w:pStyle w:val="Compact"/>
            </w:pPr>
            <w:r>
              <w:rPr>
                <w:sz w:val="20"/>
                <w:szCs w:val="20"/>
              </w:rPr>
              <w:t xml:space="preserve">LBFD</w:t>
            </w:r>
          </w:p>
        </w:tc>
        <w:tc>
          <w:tcPr>
            <w:tcW w:w="0" w:type="auto"/>
          </w:tcPr>
          <w:p>
            <w:pPr>
              <w:spacing w:line="240" w:lineRule="auto" w:before="0" w:after="0"/>
              <w:pStyle w:val="Compact"/>
            </w:pPr>
            <w:r>
              <w:rPr>
                <w:sz w:val="20"/>
                <w:szCs w:val="20"/>
              </w:rPr>
              <w:t xml:space="preserve">19.68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582.4</w:t>
            </w:r>
          </w:p>
        </w:tc>
        <w:tc>
          <w:tcPr>
            <w:tcW w:w="0" w:type="auto"/>
          </w:tcPr>
          <w:p>
            <w:pPr>
              <w:spacing w:line="240" w:lineRule="auto" w:before="0" w:after="0"/>
              <w:pStyle w:val="Compact"/>
            </w:pPr>
            <w:r>
              <w:rPr>
                <w:sz w:val="20"/>
                <w:szCs w:val="20"/>
              </w:rPr>
              <w:t xml:space="preserve">6.3672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Table 9 (p.130)</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8.94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754.9</w:t>
            </w:r>
          </w:p>
        </w:tc>
        <w:tc>
          <w:tcPr>
            <w:tcW w:w="0" w:type="auto"/>
          </w:tcPr>
          <w:p>
            <w:pPr>
              <w:spacing w:line="240" w:lineRule="auto" w:before="0" w:after="0"/>
              <w:pStyle w:val="Compact"/>
            </w:pPr>
            <w:r>
              <w:rPr>
                <w:sz w:val="20"/>
                <w:szCs w:val="20"/>
              </w:rPr>
              <w:t xml:space="preserve">6.6266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Table 9 (p.130)</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12.03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866.9</w:t>
            </w:r>
          </w:p>
        </w:tc>
        <w:tc>
          <w:tcPr>
            <w:tcW w:w="0" w:type="auto"/>
          </w:tcPr>
          <w:p>
            <w:pPr>
              <w:spacing w:line="240" w:lineRule="auto" w:before="0" w:after="0"/>
              <w:pStyle w:val="Compact"/>
            </w:pPr>
            <w:r>
              <w:rPr>
                <w:sz w:val="20"/>
                <w:szCs w:val="20"/>
              </w:rPr>
              <w:t xml:space="preserve">6.7649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Table 9 (p.130)</w:t>
            </w:r>
          </w:p>
        </w:tc>
      </w:tr>
      <w:tr>
        <w:tc>
          <w:tcPr>
            <w:tcW w:w="0" w:type="auto"/>
          </w:tcPr>
          <w:p>
            <w:pPr>
              <w:spacing w:line="240" w:lineRule="auto" w:before="0" w:after="0"/>
              <w:pStyle w:val="Compact"/>
            </w:pPr>
            <w:r>
              <w:rPr>
                <w:sz w:val="20"/>
                <w:szCs w:val="20"/>
              </w:rPr>
              <w:t xml:space="preserve">VIPER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433.5</w:t>
            </w:r>
          </w:p>
        </w:tc>
        <w:tc>
          <w:tcPr>
            <w:tcW w:w="0" w:type="auto"/>
          </w:tcPr>
          <w:p>
            <w:pPr>
              <w:spacing w:line="240" w:lineRule="auto" w:before="0" w:after="0"/>
              <w:pStyle w:val="Compact"/>
            </w:pPr>
            <w:r>
              <w:rPr>
                <w:sz w:val="20"/>
                <w:szCs w:val="20"/>
              </w:rPr>
              <w:t xml:space="preserve">6.0719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Table 9 (p.130)</w:t>
            </w:r>
          </w:p>
        </w:tc>
      </w:tr>
      <w:tr>
        <w:tc>
          <w:tcPr>
            <w:tcW w:w="0" w:type="auto"/>
          </w:tcPr>
          <w:p>
            <w:pPr>
              <w:spacing w:line="240" w:lineRule="auto" w:before="0" w:after="0"/>
              <w:pStyle w:val="Compact"/>
            </w:pPr>
            <w:r>
              <w:rPr>
                <w:sz w:val="20"/>
                <w:szCs w:val="20"/>
              </w:rPr>
              <w:t xml:space="preserve">Orion</w:t>
            </w:r>
          </w:p>
        </w:tc>
        <w:tc>
          <w:tcPr>
            <w:tcW w:w="0" w:type="auto"/>
          </w:tcPr>
          <w:p>
            <w:pPr>
              <w:spacing w:line="240" w:lineRule="auto" w:before="0" w:after="0"/>
              <w:pStyle w:val="Compact"/>
            </w:pPr>
            <w:r>
              <w:rPr>
                <w:sz w:val="20"/>
                <w:szCs w:val="20"/>
              </w:rPr>
              <w:t xml:space="preserve">22.4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11283.5</w:t>
            </w:r>
          </w:p>
        </w:tc>
        <w:tc>
          <w:tcPr>
            <w:tcW w:w="0" w:type="auto"/>
          </w:tcPr>
          <w:p>
            <w:pPr>
              <w:spacing w:line="240" w:lineRule="auto" w:before="0" w:after="0"/>
              <w:pStyle w:val="Compact"/>
            </w:pPr>
            <w:r>
              <w:rPr>
                <w:sz w:val="20"/>
                <w:szCs w:val="20"/>
              </w:rPr>
              <w:t xml:space="preserve">9.3311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GAO-22-105212 Table 9 (p.130)</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8.35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889.7</w:t>
            </w:r>
          </w:p>
        </w:tc>
        <w:tc>
          <w:tcPr>
            <w:tcW w:w="0" w:type="auto"/>
          </w:tcPr>
          <w:p>
            <w:pPr>
              <w:spacing w:line="240" w:lineRule="auto" w:before="0" w:after="0"/>
              <w:pStyle w:val="Compact"/>
            </w:pPr>
            <w:r>
              <w:rPr>
                <w:sz w:val="20"/>
                <w:szCs w:val="20"/>
              </w:rPr>
              <w:t xml:space="preserve">6.7909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Table 9 (p.130)</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17.65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4250</w:t>
            </w:r>
          </w:p>
        </w:tc>
        <w:tc>
          <w:tcPr>
            <w:tcW w:w="0" w:type="auto"/>
          </w:tcPr>
          <w:p>
            <w:pPr>
              <w:spacing w:line="240" w:lineRule="auto" w:before="0" w:after="0"/>
              <w:pStyle w:val="Compact"/>
            </w:pPr>
            <w:r>
              <w:rPr>
                <w:sz w:val="20"/>
                <w:szCs w:val="20"/>
              </w:rPr>
              <w:t xml:space="preserve">8.3547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Table 9 (p.130)</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451.4</w:t>
            </w:r>
          </w:p>
        </w:tc>
        <w:tc>
          <w:tcPr>
            <w:tcW w:w="0" w:type="auto"/>
          </w:tcPr>
          <w:p>
            <w:pPr>
              <w:spacing w:line="240" w:lineRule="auto" w:before="0" w:after="0"/>
              <w:pStyle w:val="Compact"/>
            </w:pPr>
            <w:r>
              <w:rPr>
                <w:sz w:val="20"/>
                <w:szCs w:val="20"/>
              </w:rPr>
              <w:t xml:space="preserve">6.1124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Table 9 (p.130)</w:t>
            </w:r>
          </w:p>
        </w:tc>
      </w:tr>
      <w:tr>
        <w:tc>
          <w:tcPr>
            <w:tcW w:w="0" w:type="auto"/>
          </w:tcPr>
          <w:p>
            <w:pPr>
              <w:spacing w:line="240" w:lineRule="auto" w:before="0" w:after="0"/>
              <w:pStyle w:val="Compact"/>
            </w:pPr>
            <w:r>
              <w:rPr>
                <w:sz w:val="20"/>
                <w:szCs w:val="20"/>
              </w:rPr>
              <w:t xml:space="preserve">OSAM-1</w:t>
            </w:r>
          </w:p>
        </w:tc>
        <w:tc>
          <w:tcPr>
            <w:tcW w:w="0" w:type="auto"/>
          </w:tcPr>
          <w:p>
            <w:pPr>
              <w:spacing w:line="240" w:lineRule="auto" w:before="0" w:after="0"/>
              <w:pStyle w:val="Compact"/>
            </w:pPr>
            <w:r>
              <w:rPr>
                <w:sz w:val="20"/>
                <w:szCs w:val="20"/>
              </w:rPr>
              <w:t xml:space="preserve">8.21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1780</w:t>
            </w:r>
          </w:p>
        </w:tc>
        <w:tc>
          <w:tcPr>
            <w:tcW w:w="0" w:type="auto"/>
          </w:tcPr>
          <w:p>
            <w:pPr>
              <w:spacing w:line="240" w:lineRule="auto" w:before="0" w:after="0"/>
              <w:pStyle w:val="Compact"/>
            </w:pPr>
            <w:r>
              <w:rPr>
                <w:sz w:val="20"/>
                <w:szCs w:val="20"/>
              </w:rPr>
              <w:t xml:space="preserve">7.4844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Table 9 (p.130)</w:t>
            </w:r>
          </w:p>
        </w:tc>
      </w:tr>
      <w:tr>
        <w:tc>
          <w:tcPr>
            <w:tcW w:w="0" w:type="auto"/>
          </w:tcPr>
          <w:p>
            <w:pPr>
              <w:spacing w:line="240" w:lineRule="auto" w:before="0" w:after="0"/>
              <w:pStyle w:val="Compact"/>
            </w:pPr>
            <w:r>
              <w:rPr>
                <w:sz w:val="20"/>
                <w:szCs w:val="20"/>
              </w:rPr>
              <w:t xml:space="preserve">Roman</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3934.4</w:t>
            </w:r>
          </w:p>
        </w:tc>
        <w:tc>
          <w:tcPr>
            <w:tcW w:w="0" w:type="auto"/>
          </w:tcPr>
          <w:p>
            <w:pPr>
              <w:spacing w:line="240" w:lineRule="auto" w:before="0" w:after="0"/>
              <w:pStyle w:val="Compact"/>
            </w:pPr>
            <w:r>
              <w:rPr>
                <w:sz w:val="20"/>
                <w:szCs w:val="20"/>
              </w:rPr>
              <w:t xml:space="preserve">8.2775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project summary (p.113)</w:t>
            </w:r>
          </w:p>
        </w:tc>
      </w:tr>
    </w:tbl>
    <w:bookmarkEnd w:id="193"/>
    <w:bookmarkStart w:id="194" w:name="variable-construction-3"/>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Life-cycle cost growth in percent, computed as (current life-cycle cost estimate minus original baseline life-cycle cost estimate) divided by the original baseline, times 100</w:t>
            </w:r>
          </w:p>
        </w:tc>
        <w:tc>
          <w:tcPr>
            <w:tcW w:w="0" w:type="auto"/>
          </w:tcPr>
          <w:p>
            <w:pPr>
              <w:spacing w:line="240" w:lineRule="auto" w:before="0" w:after="0"/>
              <w:pStyle w:val="Compact"/>
            </w:pPr>
            <w:r>
              <w:rPr>
                <w:sz w:val="20"/>
                <w:szCs w:val="20"/>
              </w:rPr>
              <w:t xml:space="preserve">Derived from GAO-22-105212 Table 9 (p.130) current and original baseline life-cycle cost estimates; Roman from GAO-22-105212 project summary (p.113)</w:t>
            </w:r>
          </w:p>
        </w:tc>
      </w:tr>
      <w:tr>
        <w:tc>
          <w:tcPr>
            <w:tcW w:w="0" w:type="auto"/>
          </w:tcPr>
          <w:p>
            <w:pPr>
              <w:spacing w:line="240" w:lineRule="auto" w:before="0" w:after="0"/>
              <w:pStyle w:val="Compact"/>
            </w:pPr>
            <w:r>
              <w:rPr>
                <w:sz w:val="20"/>
                <w:szCs w:val="20"/>
              </w:rPr>
              <w:t xml:space="preserve">schedule_slip_mo</w:t>
            </w:r>
          </w:p>
        </w:tc>
        <w:tc>
          <w:tcPr>
            <w:tcW w:w="0" w:type="auto"/>
          </w:tcPr>
          <w:p>
            <w:pPr>
              <w:spacing w:line="240" w:lineRule="auto" w:before="0" w:after="0"/>
              <w:pStyle w:val="Compact"/>
            </w:pPr>
            <w:r>
              <w:rPr>
                <w:sz w:val="20"/>
                <w:szCs w:val="20"/>
              </w:rPr>
              <w:t xml:space="preserve">Schedule slip in months, the count of calendar months between the original baseline launch-readiness date and the current launch-readiness date (negative where a project pulled its date earlier)</w:t>
            </w:r>
          </w:p>
        </w:tc>
        <w:tc>
          <w:tcPr>
            <w:tcW w:w="0" w:type="auto"/>
          </w:tcPr>
          <w:p>
            <w:pPr>
              <w:spacing w:line="240" w:lineRule="auto" w:before="0" w:after="0"/>
              <w:pStyle w:val="Compact"/>
            </w:pPr>
            <w:r>
              <w:rPr>
                <w:sz w:val="20"/>
                <w:szCs w:val="20"/>
              </w:rPr>
              <w:t xml:space="preserve">Computed from GAO-22-105212 Table 9 (p.130) original and current launch-readiness dates;</w:t>
            </w:r>
            <w:r>
              <w:rPr>
                <w:sz w:val="20"/>
                <w:szCs w:val="20"/>
              </w:rPr>
              <w:t xml:space="preserve"> </w:t>
            </w:r>
            <w:r>
              <w:rPr>
                <w:sz w:val="20"/>
                <w:szCs w:val="20"/>
              </w:rPr>
              <w:t xml:space="preserve">‘Spring’</w:t>
            </w:r>
            <w:r>
              <w:rPr>
                <w:sz w:val="20"/>
                <w:szCs w:val="20"/>
              </w:rPr>
              <w:t xml:space="preserve"> </w:t>
            </w:r>
            <w:r>
              <w:rPr>
                <w:sz w:val="20"/>
                <w:szCs w:val="20"/>
              </w:rPr>
              <w:t xml:space="preserve">coded as April per GAO convention</w:t>
            </w:r>
          </w:p>
        </w:tc>
      </w:tr>
      <w:tr>
        <w:tc>
          <w:tcPr>
            <w:tcW w:w="0" w:type="auto"/>
          </w:tcPr>
          <w:p>
            <w:pPr>
              <w:spacing w:line="240" w:lineRule="auto" w:before="0" w:after="0"/>
              <w:pStyle w:val="Compact"/>
            </w:pPr>
            <w:r>
              <w:rPr>
                <w:sz w:val="20"/>
                <w:szCs w:val="20"/>
              </w:rPr>
              <w:t xml:space="preserve">ln_baseline_lcc</w:t>
            </w:r>
          </w:p>
        </w:tc>
        <w:tc>
          <w:tcPr>
            <w:tcW w:w="0" w:type="auto"/>
          </w:tcPr>
          <w:p>
            <w:pPr>
              <w:spacing w:line="240" w:lineRule="auto" w:before="0" w:after="0"/>
              <w:pStyle w:val="Compact"/>
            </w:pPr>
            <w:r>
              <w:rPr>
                <w:sz w:val="20"/>
                <w:szCs w:val="20"/>
              </w:rPr>
              <w:t xml:space="preserve">Natural logarithm of the original baseline life-cycle cost estimate in millions of dollars, a proxy for program scale</w:t>
            </w:r>
          </w:p>
        </w:tc>
        <w:tc>
          <w:tcPr>
            <w:tcW w:w="0" w:type="auto"/>
          </w:tcPr>
          <w:p>
            <w:pPr>
              <w:spacing w:line="240" w:lineRule="auto" w:before="0" w:after="0"/>
              <w:pStyle w:val="Compact"/>
            </w:pPr>
            <w:r>
              <w:rPr>
                <w:sz w:val="20"/>
                <w:szCs w:val="20"/>
              </w:rPr>
              <w:t xml:space="preserve">GAO-22-105212 Table 9 (p.130) original baseline life-cycle cost column</w:t>
            </w:r>
          </w:p>
        </w:tc>
      </w:tr>
      <w:tr>
        <w:tc>
          <w:tcPr>
            <w:tcW w:w="0" w:type="auto"/>
          </w:tcPr>
          <w:p>
            <w:pPr>
              <w:spacing w:line="240" w:lineRule="auto" w:before="0" w:after="0"/>
              <w:pStyle w:val="Compact"/>
            </w:pPr>
            <w:r>
              <w:rPr>
                <w:sz w:val="20"/>
                <w:szCs w:val="20"/>
              </w:rPr>
              <w:t xml:space="preserve">crewed</w:t>
            </w:r>
          </w:p>
        </w:tc>
        <w:tc>
          <w:tcPr>
            <w:tcW w:w="0" w:type="auto"/>
          </w:tcPr>
          <w:p>
            <w:pPr>
              <w:spacing w:line="240" w:lineRule="auto" w:before="0" w:after="0"/>
              <w:pStyle w:val="Compact"/>
            </w:pPr>
            <w:r>
              <w:rPr>
                <w:sz w:val="20"/>
                <w:szCs w:val="20"/>
              </w:rPr>
              <w:t xml:space="preserve">Indicator equal to one for human-spaceflight programs (Commercial Crew, Exploration Ground Systems, Space Launch System, Orion) and zero otherwise</w:t>
            </w:r>
          </w:p>
        </w:tc>
        <w:tc>
          <w:tcPr>
            <w:tcW w:w="0" w:type="auto"/>
          </w:tcPr>
          <w:p>
            <w:pPr>
              <w:spacing w:line="240" w:lineRule="auto" w:before="0" w:after="0"/>
              <w:pStyle w:val="Compact"/>
            </w:pPr>
            <w:r>
              <w:rPr>
                <w:sz w:val="20"/>
                <w:szCs w:val="20"/>
              </w:rPr>
              <w:t xml:space="preserve">GAO-22-105212 project classifications; programs supporting crewed Artemis or ISS transportation</w:t>
            </w:r>
          </w:p>
        </w:tc>
      </w:tr>
    </w:tbl>
    <w:bookmarkEnd w:id="194"/>
    <w:bookmarkEnd w:id="195"/>
    <w:bookmarkEnd w:id="19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1" Type="http://schemas.openxmlformats.org/officeDocument/2006/relationships/image" Target="media/rId181.png"/><Relationship Id="rId189" Type="http://schemas.openxmlformats.org/officeDocument/2006/relationships/image" Target="media/rId189.png"/><Relationship Id="rId146" Type="http://schemas.openxmlformats.org/officeDocument/2006/relationships/hyperlink" Target="https://doi.org/10.1016/j.actaastro.2019.09.030" TargetMode="External"/><Relationship Id="rId167" Type="http://schemas.openxmlformats.org/officeDocument/2006/relationships/hyperlink" Target="https://doi.org/10.1016/j.actaastro.2022.12.036" TargetMode="External"/><Relationship Id="rId163" Type="http://schemas.openxmlformats.org/officeDocument/2006/relationships/hyperlink" Target="https://doi.org/10.1016/j.actaastro.2023.04.029" TargetMode="External"/><Relationship Id="rId173" Type="http://schemas.openxmlformats.org/officeDocument/2006/relationships/hyperlink" Target="https://doi.org/10.1016/j.actaastro.2023.05.022" TargetMode="External"/><Relationship Id="rId177" Type="http://schemas.openxmlformats.org/officeDocument/2006/relationships/hyperlink" Target="https://doi.org/10.1016/j.actaastro.2023.07.035" TargetMode="External"/><Relationship Id="rId165" Type="http://schemas.openxmlformats.org/officeDocument/2006/relationships/hyperlink" Target="https://doi.org/10.1016/j.actaastro.2025.01.039" TargetMode="External"/><Relationship Id="rId148" Type="http://schemas.openxmlformats.org/officeDocument/2006/relationships/hyperlink" Target="https://doi.org/10.1016/j.actaastro.2025.11.006" TargetMode="External"/><Relationship Id="rId169" Type="http://schemas.openxmlformats.org/officeDocument/2006/relationships/hyperlink" Target="https://doi.org/10.1016/j.actaastro.2026.01.037" TargetMode="External"/><Relationship Id="rId171" Type="http://schemas.openxmlformats.org/officeDocument/2006/relationships/hyperlink" Target="https://doi.org/10.1016/j.actaastro.2026.01.042" TargetMode="External"/><Relationship Id="rId175" Type="http://schemas.openxmlformats.org/officeDocument/2006/relationships/hyperlink" Target="https://doi.org/10.1016/j.actaastro.2026.05.056" TargetMode="External"/><Relationship Id="rId156" Type="http://schemas.openxmlformats.org/officeDocument/2006/relationships/hyperlink" Target="https://doi.org/10.64861/HAWR6096" TargetMode="External"/><Relationship Id="rId158" Type="http://schemas.openxmlformats.org/officeDocument/2006/relationships/hyperlink" Target="https://doi.org/10.64861/IKOD8008" TargetMode="External"/><Relationship Id="rId141" Type="http://schemas.openxmlformats.org/officeDocument/2006/relationships/hyperlink" Target="https://doi.org/10.64861/IMSI4025" TargetMode="External"/><Relationship Id="rId154" Type="http://schemas.openxmlformats.org/officeDocument/2006/relationships/hyperlink" Target="https://doi.org/10.64861/QXJB5158" TargetMode="External"/></Relationships>
</file>

<file path=word/_rels/footnotes.xml.rels><?xml version='1.0' encoding='UTF-8' standalone='yes'?>
<Relationships xmlns="http://schemas.openxmlformats.org/package/2006/relationships"><Relationship Id="rId146" Type="http://schemas.openxmlformats.org/officeDocument/2006/relationships/hyperlink" Target="https://doi.org/10.1016/j.actaastro.2019.09.030" TargetMode="External"/><Relationship Id="rId167" Type="http://schemas.openxmlformats.org/officeDocument/2006/relationships/hyperlink" Target="https://doi.org/10.1016/j.actaastro.2022.12.036" TargetMode="External"/><Relationship Id="rId163" Type="http://schemas.openxmlformats.org/officeDocument/2006/relationships/hyperlink" Target="https://doi.org/10.1016/j.actaastro.2023.04.029" TargetMode="External"/><Relationship Id="rId173" Type="http://schemas.openxmlformats.org/officeDocument/2006/relationships/hyperlink" Target="https://doi.org/10.1016/j.actaastro.2023.05.022" TargetMode="External"/><Relationship Id="rId177" Type="http://schemas.openxmlformats.org/officeDocument/2006/relationships/hyperlink" Target="https://doi.org/10.1016/j.actaastro.2023.07.035" TargetMode="External"/><Relationship Id="rId165" Type="http://schemas.openxmlformats.org/officeDocument/2006/relationships/hyperlink" Target="https://doi.org/10.1016/j.actaastro.2025.01.039" TargetMode="External"/><Relationship Id="rId148" Type="http://schemas.openxmlformats.org/officeDocument/2006/relationships/hyperlink" Target="https://doi.org/10.1016/j.actaastro.2025.11.006" TargetMode="External"/><Relationship Id="rId169" Type="http://schemas.openxmlformats.org/officeDocument/2006/relationships/hyperlink" Target="https://doi.org/10.1016/j.actaastro.2026.01.037" TargetMode="External"/><Relationship Id="rId171" Type="http://schemas.openxmlformats.org/officeDocument/2006/relationships/hyperlink" Target="https://doi.org/10.1016/j.actaastro.2026.01.042" TargetMode="External"/><Relationship Id="rId175" Type="http://schemas.openxmlformats.org/officeDocument/2006/relationships/hyperlink" Target="https://doi.org/10.1016/j.actaastro.2026.05.056" TargetMode="External"/><Relationship Id="rId156" Type="http://schemas.openxmlformats.org/officeDocument/2006/relationships/hyperlink" Target="https://doi.org/10.64861/HAWR6096" TargetMode="External"/><Relationship Id="rId158" Type="http://schemas.openxmlformats.org/officeDocument/2006/relationships/hyperlink" Target="https://doi.org/10.64861/IKOD8008" TargetMode="External"/><Relationship Id="rId141" Type="http://schemas.openxmlformats.org/officeDocument/2006/relationships/hyperlink" Target="https://doi.org/10.64861/IMSI4025" TargetMode="External"/><Relationship Id="rId154" Type="http://schemas.openxmlformats.org/officeDocument/2006/relationships/hyperlink" Target="https://doi.org/10.64861/QXJB51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Stalled Complement: A Cliometric Analysis of Why U.S. Complementary-PNT Programs Fail to Reach Operational Maturity</dc:title>
  <dc:creator>Theodore Nair (1B-ITI-058)</dc:creator>
  <cp:keywords/>
  <dcterms:created xsi:type="dcterms:W3CDTF">2026-07-02T15:33:12Z</dcterms:created>
  <dcterms:modified xsi:type="dcterms:W3CDTF">2026-07-02T15:33:12Z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