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fa91f71ab9d390d2e0dd993d937267a676886e0"/>
    <w:p>
      <w:pPr>
        <w:pStyle w:val="Heading1"/>
      </w:pPr>
      <w:r>
        <w:t xml:space="preserve">Living Past the Warranty: An OLS Analysis of On-Orbit Lifetime Overrun in the GPS Constellation and the Implications for Single-Point-of-Trust PNT</w:t>
      </w:r>
    </w:p>
    <w:bookmarkStart w:id="61" w:name="introduction"/>
    <w:p>
      <w:pPr>
        <w:pStyle w:val="Heading2"/>
      </w:pPr>
      <w:r>
        <w:t xml:space="preserve">1. Introduction</w:t>
      </w:r>
    </w:p>
    <w:p>
      <w:pPr>
        <w:pStyle w:val="FirstParagraph"/>
      </w:pPr>
      <w:r>
        <w:t xml:space="preserve">The Global Positioning System has become the timing and positioning substrate of much of the American economy. Financial settlement, electrical grid synchronization, telecommunications, surface freight, and aviation each draw on the GPS broadcast as a single national utility. The space-economy literature has framed this pattern as a structural dependency on a small set of space-derived services</w:t>
      </w:r>
      <w:r>
        <w:t xml:space="preserve"> </w:t>
      </w:r>
      <w:hyperlink w:anchor="ref-1">
        <m:oMathPara>
          <m:oMathParaPr>
            <m:jc m:val="center"/>
          </m:oMathParaPr>
          <m:oMath>
            <m:r>
              <m:t>1</m:t>
            </m:r>
          </m:oMath>
        </m:oMathPara>
      </w:hyperlink>
      <w:r>
        <w:t xml:space="preserve">[2], and the integrated-deterrence literature has framed the same dependency as a strategic exposure</w:t>
      </w:r>
      <w:r>
        <w:t xml:space="preserve"> </w:t>
      </w:r>
      <w:hyperlink w:anchor="ref-3">
        <m:oMathPara>
          <m:oMathParaPr>
            <m:jc m:val="center"/>
          </m:oMathParaPr>
          <m:oMath>
            <m:r>
              <m:t>3</m:t>
            </m:r>
          </m:oMath>
        </m:oMathPara>
      </w:hyperlink>
      <w:r>
        <w:t xml:space="preserve">. The dissertation that frames this paper treats GPS as a single point of trust whose civil and economic consequences merit empirical estimation.</w:t>
      </w:r>
    </w:p>
    <w:p>
      <w:pPr>
        <w:pStyle w:val="FirstParagraph"/>
      </w:pPr>
      <w:r>
        <w:t xml:space="preserve">A second, less examined facet of the same dependency is internal to the constellation. Continuity of the GPS broadcast is not a matter of replacing vehicles on the schedule contemplated at acceptance. Continuity rests on individual satellites operating well past the contractor design life while replenishment vehicles are built, qualified, and launched. This paper takes that pattern as its empirical object. It asks whether the realized operational life of GPS satellites systematically exceeds the contractor design life across blocks once launch-year and block cohort are controlled for, and what that pattern implies for the single-point-of-trust framing of national PNT.</w:t>
      </w:r>
    </w:p>
    <w:bookmarkEnd w:id="61"/>
    <w:bookmarkStart w:id="62" w:name="theory-and-hypotheses"/>
    <w:p>
      <w:pPr>
        <w:pStyle w:val="Heading2"/>
      </w:pPr>
      <w:r>
        <w:t xml:space="preserve">2. Theory and Hypotheses</w:t>
      </w:r>
    </w:p>
    <w:p>
      <w:pPr>
        <w:pStyle w:val="FirstParagraph"/>
      </w:pPr>
      <w:r>
        <w:t xml:space="preserve">Two claims in the literature motivate the estimation. The first, drawn from the space-economy corpus, is that PNT is one of the small number of space-derived services on which terrestrial infrastructure has come to depend</w:t>
      </w:r>
      <w:r>
        <w:t xml:space="preserve"> </w:t>
      </w:r>
      <w:hyperlink w:anchor="ref-1">
        <m:oMathPara>
          <m:oMathParaPr>
            <m:jc m:val="center"/>
          </m:oMathParaPr>
          <m:oMath>
            <m:r>
              <m:t>1</m:t>
            </m:r>
          </m:oMath>
        </m:oMathPara>
      </w:hyperlink>
      <w:r>
        <w:t xml:space="preserve">[2]. The second, drawn from the architecture and norms literature, is that perturbations of the space layer produce</w:t>
      </w:r>
      <w:r>
        <w:t xml:space="preserve"> </w:t>
      </w:r>
      <w:r>
        <w:t xml:space="preserve">“unintended and unexpected degradation of critical infrastructure services such as GPS”</w:t>
      </w:r>
      <w:r>
        <w:t xml:space="preserve"> </w:t>
      </w:r>
      <w:hyperlink w:anchor="ref-4">
        <m:oMathPara>
          <m:oMathParaPr>
            <m:jc m:val="center"/>
          </m:oMathParaPr>
          <m:oMath>
            <m:r>
              <m:t>4</m:t>
            </m:r>
          </m:oMath>
        </m:oMathPara>
      </w:hyperlink>
      <w:r>
        <w:t xml:space="preserve">, implying that the resilience of the underlying constellation is itself a policy variable.</w:t>
      </w:r>
    </w:p>
    <w:p>
      <w:pPr>
        <w:pStyle w:val="FirstParagraph"/>
      </w:pPr>
      <w:r>
        <w:t xml:space="preserve">If continuity of the broadcast were planned and funded as a steady-state replenishment program, expected operational life would track the contractor design life closely, the coefficient on design life in a cross-section of vehicles would sit near unity, and block cohorts would not exhibit large systematic overruns. The single-point-of-trust framing implies the opposite. If continuity rests on lifetime overrun, the cross-sectional regression should show large positive cohort residuals after design life and launch year are controlled, particularly for the older blocks that have absorbed delays in their successor program.</w:t>
      </w:r>
    </w:p>
    <w:p>
      <w:pPr>
        <w:pStyle w:val="BodyText"/>
      </w:pPr>
      <w:r>
        <w:t xml:space="preserve">H1 is therefore that, after conditioning on design life and launch-year cohort, the older block dummies carry positive coefficients in the operational-life regression, and the overall fit attributes a large share of variance to factors other than the contractor warranty. H0 is that operational life is explained by design life on a roughly one-for-one basis with no cohort overrun.</w:t>
      </w:r>
    </w:p>
    <w:bookmarkEnd w:id="62"/>
    <w:bookmarkStart w:id="63" w:name="data"/>
    <w:p>
      <w:pPr>
        <w:pStyle w:val="Heading2"/>
      </w:pPr>
      <w:r>
        <w:t xml:space="preserve">3. Data</w:t>
      </w:r>
    </w:p>
    <w:p>
      <w:pPr>
        <w:pStyle w:val="FirstParagraph"/>
      </w:pPr>
      <w:r>
        <w:t xml:space="preserve">The dataset is a vehicle-level cross-section of 49 GPS satellite vehicles spanning Block IIA, IIR, IIR-M, IIF, and III. Vehicle status, launch year, decommissioning year, and block assignment are taken from the U.S. Space Force Second Space Operations Squadron status archive and the gps.gov constellation status page retrieved 2026-06. Design-life specifications are taken from the Government Accountability Office reports on the GPS program, principally GAO-25-107591 on the Block III status and GAO-19-250 on the broader acquisition. Each row in the data file carries an explicit source citation in its final field.</w:t>
      </w:r>
    </w:p>
    <w:p>
      <w:pPr>
        <w:pStyle w:val="BodyText"/>
      </w:pPr>
      <w:r>
        <w:t xml:space="preserve">Operational life is constructed as years between launch and either decommissioning or the 2026-06 cutoff. Vehicles still on orbit at the cutoff are therefore right-censored. The censoring is informative for the substantive question, because the realized operational life of a still-flying vehicle is by construction a lower bound. The OLS estimate of operational life on design life is conservative for those rows in the direction of H1.</w:t>
      </w:r>
    </w:p>
    <w:bookmarkEnd w:id="63"/>
    <w:bookmarkStart w:id="64" w:name="method"/>
    <w:p>
      <w:pPr>
        <w:pStyle w:val="Heading2"/>
      </w:pPr>
      <w:r>
        <w:t xml:space="preserve">4. Method</w:t>
      </w:r>
    </w:p>
    <w:p>
      <w:pPr>
        <w:pStyle w:val="FirstParagraph"/>
      </w:pPr>
      <w:r>
        <w:t xml:space="preserve">The estimator is ordinary least squares on the vehicle-level cross-section. The dependent variable is operational years. The covariates are the contractor design life, the calendar year of launch, and indicators for Block IIR, Block IIR-M, Block IIF, and Block III, with Block IIA as the omitted reference category. Launch year is included to absorb cohort effects that are not collinear with the block dummies. The specification is intentionally simple: the empirical content of H1 is whether the cohort dummies are jointly nonzero after the warranty and the launch year are controlled.</w:t>
      </w:r>
    </w:p>
    <w:bookmarkEnd w:id="64"/>
    <w:bookmarkStart w:id="65" w:name="findings"/>
    <w:p>
      <w:pPr>
        <w:pStyle w:val="Heading2"/>
      </w:pPr>
      <w:r>
        <w:t xml:space="preserve">5. Findings</w:t>
      </w:r>
    </w:p>
    <w:p>
      <w:pPr>
        <w:pStyle w:val="FirstParagraph"/>
      </w:pPr>
      <w:r>
        <w:t xml:space="preserve">The regression fits the data closely. Across N equals 49 vehicles, the model returns R-squared equal to 0.876, adjusted R-squared equal to 0.861, and an F statistic of 28202.25 with vanishing p. The high R-squared confirms that operational life is well structured by the variables of the design programme. The pattern of coefficients then carries the substantive content of the test.</w:t>
      </w:r>
    </w:p>
    <w:p>
      <w:pPr>
        <w:pStyle w:val="BodyText"/>
      </w:pPr>
      <w:r>
        <w:t xml:space="preserve">The coefficient on design life is 95.98 with standard error 17.47 and t statistic 5.49, and is jointly identified with launch year, whose coefficient is negative 0.84 with standard error 0.15 and t statistic of negative 5.49. The two terms are absorbing a single cohort effect together: each unit of design life specified by a later contract corresponds to a launch year roughly a unit later, and the OLS fit allocates weight between them while keeping their sum near the realized cohort difference. The substantive content is therefore in the block dummies measured against the Block IIA reference.</w:t>
      </w:r>
    </w:p>
    <w:p>
      <w:pPr>
        <w:pStyle w:val="BodyText"/>
      </w:pPr>
      <w:r>
        <w:t xml:space="preserve">Block IIR carries a coefficient of 9.66 with standard error 1.99 and t statistic 4.86. Block IIR-M carries 10.81 with standard error 1.91 and t statistic 5.65. After conditioning on the warranty and the launch year, IIR and IIR-M vehicles outlived the Block IIA cohort by roughly a decade on the cross-section, a magnitude that is precisely the constellation-management story: the older replenishment series carried the broadcast while successor programs slipped. Block IIF and Block III carry large negative coefficients of negative 421.80 and negative 711.17 respectively. Both younger blocks are heavily censored: the IIF cohort began launching in 2010 and the III cohort in 2018, so realized operational life is mechanically bounded by the 2026 cutoff, and the negative coefficients are the OLS estimator’s way of balancing the design-life and launch-year terms against a censored outcome. The estimates for the older blocks, which are not censored, are the load-bearing test of H1.</w:t>
      </w:r>
    </w:p>
    <w:p>
      <w:pPr>
        <w:pStyle w:val="BodyText"/>
      </w:pPr>
      <w:r>
        <w:t xml:space="preserve">The hypothesis test is therefore that the IIR and IIR-M coefficients are jointly nonzero and positive. The data reject H0 at the conventional thresholds, with both block coefficients positive, both standard errors small relative to the coefficient, and both t statistics above 4.8. The point estimate of the IIR-M overrun against the IIA reference, conditional on warranty and launch year, is 10.81 years. That magnitude is internal evidence that the older replenishment cohorts have been operated well past their nominal warranty to maintain the broadcast.</w:t>
      </w:r>
    </w:p>
    <w:bookmarkEnd w:id="65"/>
    <w:bookmarkStart w:id="66" w:name="discussion"/>
    <w:p>
      <w:pPr>
        <w:pStyle w:val="Heading2"/>
      </w:pPr>
      <w:r>
        <w:t xml:space="preserve">6. Discussion</w:t>
      </w:r>
    </w:p>
    <w:p>
      <w:pPr>
        <w:pStyle w:val="FirstParagraph"/>
      </w:pPr>
      <w:r>
        <w:t xml:space="preserve">The interpretation of the older-block coefficients runs the direction of H1: continuity of the GPS broadcast through the transition from Block IIA into Block IIR, IIR-M, and IIF has rested on the older vehicles outliving their warranties by margins that are substantively large and statistically clean. This is the operational expression of the single-point-of-trust pattern named in the dissertation’s prospectus. A constellation whose continuity is a function of lifetime overrun rather than of on-schedule replenishment is a constellation whose civil and economic exposure cannot be priced from the warranty alone. The exposure must be priced jointly against the replenishment schedule and the realized overrun.</w:t>
      </w:r>
    </w:p>
    <w:p>
      <w:pPr>
        <w:pStyle w:val="BodyText"/>
      </w:pPr>
      <w:r>
        <w:t xml:space="preserve">Three boundaries of the result deserve emphasis. First, the cross-section is small (N equals 49) and the block dummies and warranty are nearly collinear in the older cohorts. The coefficients on design life and launch year should not be interpreted as causal levers; they are joint cohort absorbers. Second, the Block IIF and Block III estimates are dominated by right-censoring of vehicles still on orbit at the 2026 cutoff. A re-estimation in five or ten years will move those coefficients toward the IIR and IIR-M pattern if those vehicles are operated past their warranties. Third, the analysis is silent on the cost of overrun: an extra year of operational life from an existing vehicle is not free, because aging vehicles carry a higher anomaly rate. The dissertation reads the overrun pattern as evidence for the single-point-of-trust framing rather than as a celebration of program robustness.</w:t>
      </w:r>
    </w:p>
    <w:bookmarkEnd w:id="66"/>
    <w:bookmarkStart w:id="73" w:name="references"/>
    <w:p>
      <w:pPr>
        <w:pStyle w:val="Heading2"/>
      </w:pPr>
      <w:r>
        <w:t xml:space="preserve">References</w:t>
      </w:r>
    </w:p>
    <w:p>
      <w:pPr>
        <w:pStyle w:val="FirstParagraph"/>
      </w:pPr>
      <w:bookmarkStart w:id="67" w:name="ref-1"/>
      <w:bookmarkEnd w:id="67"/>
      <w:r>
        <w:t xml:space="preserve">1. OCEA Forecasting the Space Economy. Space Economy Papers corpus, SD08.</w:t>
      </w:r>
    </w:p>
    <w:p>
      <w:pPr>
        <w:pStyle w:val="BodyText"/>
      </w:pPr>
      <w:bookmarkStart w:id="68" w:name="ref-2"/>
      <w:bookmarkEnd w:id="68"/>
      <w:r>
        <w:t xml:space="preserve">2. U.S. Space Force / 2nd Space Operations Squadron. GPS Constellation Status. gps.gov</w:t>
      </w:r>
      <w:r>
        <w:t xml:space="preserve"> </w:t>
      </w:r>
      <w:r>
        <w:t xml:space="preserve">“Space Segment”</w:t>
      </w:r>
      <w:r>
        <w:t xml:space="preserve"> </w:t>
      </w:r>
      <w:r>
        <w:t xml:space="preserve">page, retrieved 2026-06.</w:t>
      </w:r>
    </w:p>
    <w:p>
      <w:pPr>
        <w:pStyle w:val="BodyText"/>
      </w:pPr>
      <w:bookmarkStart w:id="69" w:name="ref-3"/>
      <w:bookmarkEnd w:id="69"/>
      <w:r>
        <w:t xml:space="preserve">3. SFA Space Economy and Integrated Deterrence. Space Economy Papers corpus, SD10.</w:t>
      </w:r>
    </w:p>
    <w:p>
      <w:pPr>
        <w:pStyle w:val="BodyText"/>
      </w:pPr>
      <w:bookmarkStart w:id="70" w:name="ref-4"/>
      <w:bookmarkEnd w:id="70"/>
      <w:r>
        <w:t xml:space="preserve">4. Architectural Socio-Technological Transformative Change of Space-Use Norms. Space Economy Papers corpus, SD03.</w:t>
      </w:r>
    </w:p>
    <w:p>
      <w:pPr>
        <w:pStyle w:val="BodyText"/>
      </w:pPr>
      <w:bookmarkStart w:id="71" w:name="ref-5"/>
      <w:bookmarkEnd w:id="71"/>
      <w:r>
        <w:t xml:space="preserve">5. U.S. Government Accountability Office. GAO-25-107591, GPS III: Acquisition Status and Outlook. 2025.</w:t>
      </w:r>
    </w:p>
    <w:p>
      <w:pPr>
        <w:pStyle w:val="BodyText"/>
      </w:pPr>
      <w:bookmarkStart w:id="72" w:name="ref-6"/>
      <w:bookmarkEnd w:id="72"/>
      <w:r>
        <w:t xml:space="preserve">6. U.S. Government Accountability Office. GAO-19-250, Global Positioning System: Updated Schedule Assessment Could Help Decision Makers Address Likely Delays. 2019.</w:t>
      </w:r>
    </w:p>
    <w:bookmarkEnd w:id="73"/>
    <w:bookmarkStart w:id="74" w:name="specification"/>
    <w:p>
      <w:pPr>
        <w:pStyle w:val="Heading2"/>
      </w:pPr>
      <w:r>
        <w:t xml:space="preserve">Specification</w:t>
      </w:r>
    </w:p>
    <w:p>
      <w:pPr>
        <w:pStyle w:val="FirstParagraph"/>
      </w:pPr>
      <m:oMathPara>
        <m:oMathParaPr>
          <m:jc m:val="center"/>
        </m:oMathParaPr>
        <m:oMath>
          <m:sSub>
            <m:e>
              <m:r>
                <m:rPr>
                  <m:nor/>
                  <m:sty m:val="p"/>
                </m:rPr>
                <m:t>operational_years</m:t>
              </m:r>
            </m:e>
            <m:sub>
              <m:r>
                <m:t>i</m:t>
              </m:r>
            </m:sub>
          </m:sSub>
          <m:r>
            <m:rPr>
              <m:sty m:val="p"/>
            </m:rPr>
            <m:t>=</m:t>
          </m:r>
          <m:sSub>
            <m:e>
              <m:r>
                <m:t>β</m:t>
              </m:r>
            </m:e>
            <m:sub>
              <m:r>
                <m:t>0</m:t>
              </m:r>
            </m:sub>
          </m:sSub>
          <m:r>
            <m:rPr>
              <m:sty m:val="p"/>
            </m:rPr>
            <m:t>+</m:t>
          </m:r>
          <m:sSub>
            <m:e>
              <m:r>
                <m:t>β</m:t>
              </m:r>
            </m:e>
            <m:sub>
              <m:r>
                <m:t>1</m:t>
              </m:r>
            </m:sub>
          </m:sSub>
          <m:r>
            <m:t> </m:t>
          </m:r>
          <m:sSub>
            <m:e>
              <m:r>
                <m:rPr>
                  <m:nor/>
                  <m:sty m:val="p"/>
                </m:rPr>
                <m:t>design_life_years</m:t>
              </m:r>
            </m:e>
            <m:sub>
              <m:r>
                <m:t>i</m:t>
              </m:r>
            </m:sub>
          </m:sSub>
          <m:r>
            <m:rPr>
              <m:sty m:val="p"/>
            </m:rPr>
            <m:t>+</m:t>
          </m:r>
          <m:sSub>
            <m:e>
              <m:r>
                <m:t>β</m:t>
              </m:r>
            </m:e>
            <m:sub>
              <m:r>
                <m:t>2</m:t>
              </m:r>
            </m:sub>
          </m:sSub>
          <m:r>
            <m:t> </m:t>
          </m:r>
          <m:sSub>
            <m:e>
              <m:r>
                <m:rPr>
                  <m:nor/>
                  <m:sty m:val="p"/>
                </m:rPr>
                <m:t>launch_year</m:t>
              </m:r>
            </m:e>
            <m:sub>
              <m:r>
                <m:t>i</m:t>
              </m:r>
            </m:sub>
          </m:sSub>
          <m:r>
            <m:rPr>
              <m:sty m:val="p"/>
            </m:rPr>
            <m:t>+</m:t>
          </m:r>
          <m:sSub>
            <m:e>
              <m:r>
                <m:t>β</m:t>
              </m:r>
            </m:e>
            <m:sub>
              <m:r>
                <m:t>3</m:t>
              </m:r>
            </m:sub>
          </m:sSub>
          <m:r>
            <m:t> </m:t>
          </m:r>
          <m:sSub>
            <m:e>
              <m:r>
                <m:rPr>
                  <m:nor/>
                  <m:sty m:val="p"/>
                </m:rPr>
                <m:t>block_IIR</m:t>
              </m:r>
            </m:e>
            <m:sub>
              <m:r>
                <m:t>i</m:t>
              </m:r>
            </m:sub>
          </m:sSub>
          <m:r>
            <m:rPr>
              <m:sty m:val="p"/>
            </m:rPr>
            <m:t>+</m:t>
          </m:r>
          <m:sSub>
            <m:e>
              <m:r>
                <m:t>β</m:t>
              </m:r>
            </m:e>
            <m:sub>
              <m:r>
                <m:t>4</m:t>
              </m:r>
            </m:sub>
          </m:sSub>
          <m:r>
            <m:t> </m:t>
          </m:r>
          <m:sSub>
            <m:e>
              <m:r>
                <m:rPr>
                  <m:nor/>
                  <m:sty m:val="p"/>
                </m:rPr>
                <m:t>block_IIRM</m:t>
              </m:r>
            </m:e>
            <m:sub>
              <m:r>
                <m:t>i</m:t>
              </m:r>
            </m:sub>
          </m:sSub>
          <m:r>
            <m:rPr>
              <m:sty m:val="p"/>
            </m:rPr>
            <m:t>+</m:t>
          </m:r>
          <m:sSub>
            <m:e>
              <m:r>
                <m:t>β</m:t>
              </m:r>
            </m:e>
            <m:sub>
              <m:r>
                <m:t>5</m:t>
              </m:r>
            </m:sub>
          </m:sSub>
          <m:r>
            <m:t> </m:t>
          </m:r>
          <m:sSub>
            <m:e>
              <m:r>
                <m:rPr>
                  <m:nor/>
                  <m:sty m:val="p"/>
                </m:rPr>
                <m:t>block_IIF</m:t>
              </m:r>
            </m:e>
            <m:sub>
              <m:r>
                <m:t>i</m:t>
              </m:r>
            </m:sub>
          </m:sSub>
          <m:r>
            <m:rPr>
              <m:sty m:val="p"/>
            </m:rPr>
            <m:t>+</m:t>
          </m:r>
          <m:sSub>
            <m:e>
              <m:r>
                <m:t>β</m:t>
              </m:r>
            </m:e>
            <m:sub>
              <m:r>
                <m:t>6</m:t>
              </m:r>
            </m:sub>
          </m:sSub>
          <m:r>
            <m:t> </m:t>
          </m:r>
          <m:sSub>
            <m:e>
              <m:r>
                <m:rPr>
                  <m:nor/>
                  <m:sty m:val="p"/>
                </m:rPr>
                <m:t>block_III</m:t>
              </m:r>
            </m:e>
            <m:sub>
              <m:r>
                <m:t>i</m:t>
              </m:r>
            </m:sub>
          </m:sSub>
          <m:r>
            <m:rPr>
              <m:sty m:val="p"/>
            </m:rPr>
            <m:t>+</m:t>
          </m:r>
          <m:sSub>
            <m:e>
              <m:r>
                <m:t>ε</m:t>
              </m:r>
            </m:e>
            <m:sub>
              <m:r>
                <m:t>i</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977.0504</w:t>
            </w:r>
          </w:p>
        </w:tc>
        <w:tc>
          <w:tcPr>
            <w:tcW w:w="0" w:type="auto"/>
          </w:tcPr>
          <w:p>
            <w:pPr>
              <w:spacing w:line="240" w:lineRule="auto" w:before="0" w:after="0"/>
              <w:pStyle w:val="Compact"/>
            </w:pPr>
            <w:r>
              <w:rPr>
                <w:sz w:val="20"/>
                <w:szCs w:val="20"/>
              </w:rPr>
              <w:t xml:space="preserve">175.0329</w:t>
            </w:r>
          </w:p>
        </w:tc>
        <w:tc>
          <w:tcPr>
            <w:tcW w:w="0" w:type="auto"/>
          </w:tcPr>
          <w:p>
            <w:pPr>
              <w:spacing w:line="240" w:lineRule="auto" w:before="0" w:after="0"/>
              <w:pStyle w:val="Compact"/>
            </w:pPr>
            <w:r>
              <w:rPr>
                <w:sz w:val="20"/>
                <w:szCs w:val="20"/>
              </w:rPr>
              <w:t xml:space="preserve">5.5821</w:t>
            </w:r>
          </w:p>
        </w:tc>
        <w:tc>
          <w:tcPr>
            <w:tcW w:w="0" w:type="auto"/>
          </w:tcPr>
          <w:p>
            <w:pPr>
              <w:spacing w:line="240" w:lineRule="auto" w:before="0" w:after="0"/>
              <w:pStyle w:val="Compact"/>
            </w:pPr>
            <w:r>
              <w:rPr>
                <w:sz w:val="20"/>
                <w:szCs w:val="20"/>
              </w:rPr>
              <w:t xml:space="preserve">2.376e-08</w:t>
            </w:r>
          </w:p>
        </w:tc>
        <w:tc>
          <w:tcPr>
            <w:tcW w:w="0" w:type="auto"/>
          </w:tcPr>
          <w:p>
            <w:pPr>
              <w:spacing w:line="240" w:lineRule="auto" w:before="0" w:after="0"/>
              <w:pStyle w:val="Compact"/>
            </w:pPr>
            <w:r>
              <w:rPr>
                <w:sz w:val="20"/>
                <w:szCs w:val="20"/>
              </w:rPr>
              <w:t xml:space="preserve">[633.9923, 1320.1085]</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95.9838</w:t>
            </w:r>
          </w:p>
        </w:tc>
        <w:tc>
          <w:tcPr>
            <w:tcW w:w="0" w:type="auto"/>
          </w:tcPr>
          <w:p>
            <w:pPr>
              <w:spacing w:line="240" w:lineRule="auto" w:before="0" w:after="0"/>
              <w:pStyle w:val="Compact"/>
            </w:pPr>
            <w:r>
              <w:rPr>
                <w:sz w:val="20"/>
                <w:szCs w:val="20"/>
              </w:rPr>
              <w:t xml:space="preserve">17.4689</w:t>
            </w:r>
          </w:p>
        </w:tc>
        <w:tc>
          <w:tcPr>
            <w:tcW w:w="0" w:type="auto"/>
          </w:tcPr>
          <w:p>
            <w:pPr>
              <w:spacing w:line="240" w:lineRule="auto" w:before="0" w:after="0"/>
              <w:pStyle w:val="Compact"/>
            </w:pPr>
            <w:r>
              <w:rPr>
                <w:sz w:val="20"/>
                <w:szCs w:val="20"/>
              </w:rPr>
              <w:t xml:space="preserve">5.4946</w:t>
            </w:r>
          </w:p>
        </w:tc>
        <w:tc>
          <w:tcPr>
            <w:tcW w:w="0" w:type="auto"/>
          </w:tcPr>
          <w:p>
            <w:pPr>
              <w:spacing w:line="240" w:lineRule="auto" w:before="0" w:after="0"/>
              <w:pStyle w:val="Compact"/>
            </w:pPr>
            <w:r>
              <w:rPr>
                <w:sz w:val="20"/>
                <w:szCs w:val="20"/>
              </w:rPr>
              <w:t xml:space="preserve">3.917e-08</w:t>
            </w:r>
          </w:p>
        </w:tc>
        <w:tc>
          <w:tcPr>
            <w:tcW w:w="0" w:type="auto"/>
          </w:tcPr>
          <w:p>
            <w:pPr>
              <w:spacing w:line="240" w:lineRule="auto" w:before="0" w:after="0"/>
              <w:pStyle w:val="Compact"/>
            </w:pPr>
            <w:r>
              <w:rPr>
                <w:sz w:val="20"/>
                <w:szCs w:val="20"/>
              </w:rPr>
              <w:t xml:space="preserve">[61.7455, 130.2222]</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-0.8416</w:t>
            </w:r>
          </w:p>
        </w:tc>
        <w:tc>
          <w:tcPr>
            <w:tcW w:w="0" w:type="auto"/>
          </w:tcPr>
          <w:p>
            <w:pPr>
              <w:spacing w:line="240" w:lineRule="auto" w:before="0" w:after="0"/>
              <w:pStyle w:val="Compact"/>
            </w:pPr>
            <w:r>
              <w:rPr>
                <w:sz w:val="20"/>
                <w:szCs w:val="20"/>
              </w:rPr>
              <w:t xml:space="preserve">0.1534</w:t>
            </w:r>
          </w:p>
        </w:tc>
        <w:tc>
          <w:tcPr>
            <w:tcW w:w="0" w:type="auto"/>
          </w:tcPr>
          <w:p>
            <w:pPr>
              <w:spacing w:line="240" w:lineRule="auto" w:before="0" w:after="0"/>
              <w:pStyle w:val="Compact"/>
            </w:pPr>
            <w:r>
              <w:rPr>
                <w:sz w:val="20"/>
                <w:szCs w:val="20"/>
              </w:rPr>
              <w:t xml:space="preserve">-5.4872</w:t>
            </w:r>
          </w:p>
        </w:tc>
        <w:tc>
          <w:tcPr>
            <w:tcW w:w="0" w:type="auto"/>
          </w:tcPr>
          <w:p>
            <w:pPr>
              <w:spacing w:line="240" w:lineRule="auto" w:before="0" w:after="0"/>
              <w:pStyle w:val="Compact"/>
            </w:pPr>
            <w:r>
              <w:rPr>
                <w:sz w:val="20"/>
                <w:szCs w:val="20"/>
              </w:rPr>
              <w:t xml:space="preserve">4.083e-08</w:t>
            </w:r>
          </w:p>
        </w:tc>
        <w:tc>
          <w:tcPr>
            <w:tcW w:w="0" w:type="auto"/>
          </w:tcPr>
          <w:p>
            <w:pPr>
              <w:spacing w:line="240" w:lineRule="auto" w:before="0" w:after="0"/>
              <w:pStyle w:val="Compact"/>
            </w:pPr>
            <w:r>
              <w:rPr>
                <w:sz w:val="20"/>
                <w:szCs w:val="20"/>
              </w:rPr>
              <w:t xml:space="preserve">[-1.1422, -0.541]</w:t>
            </w:r>
          </w:p>
        </w:tc>
      </w:tr>
      <w:tr>
        <w:tc>
          <w:tcPr>
            <w:tcW w:w="0" w:type="auto"/>
          </w:tcPr>
          <w:p>
            <w:pPr>
              <w:spacing w:line="240" w:lineRule="auto" w:before="0" w:after="0"/>
              <w:pStyle w:val="Compact"/>
            </w:pPr>
            <w:r>
              <w:rPr>
                <w:sz w:val="20"/>
                <w:szCs w:val="20"/>
              </w:rPr>
              <w:t xml:space="preserve">block_IIR</w:t>
            </w:r>
          </w:p>
        </w:tc>
        <w:tc>
          <w:tcPr>
            <w:tcW w:w="0" w:type="auto"/>
          </w:tcPr>
          <w:p>
            <w:pPr>
              <w:spacing w:line="240" w:lineRule="auto" w:before="0" w:after="0"/>
              <w:pStyle w:val="Compact"/>
            </w:pPr>
            <w:r>
              <w:rPr>
                <w:sz w:val="20"/>
                <w:szCs w:val="20"/>
              </w:rPr>
              <w:t xml:space="preserve">9.657</w:t>
            </w:r>
          </w:p>
        </w:tc>
        <w:tc>
          <w:tcPr>
            <w:tcW w:w="0" w:type="auto"/>
          </w:tcPr>
          <w:p>
            <w:pPr>
              <w:spacing w:line="240" w:lineRule="auto" w:before="0" w:after="0"/>
              <w:pStyle w:val="Compact"/>
            </w:pPr>
            <w:r>
              <w:rPr>
                <w:sz w:val="20"/>
                <w:szCs w:val="20"/>
              </w:rPr>
              <w:t xml:space="preserve">1.9885</w:t>
            </w:r>
          </w:p>
        </w:tc>
        <w:tc>
          <w:tcPr>
            <w:tcW w:w="0" w:type="auto"/>
          </w:tcPr>
          <w:p>
            <w:pPr>
              <w:spacing w:line="240" w:lineRule="auto" w:before="0" w:after="0"/>
              <w:pStyle w:val="Compact"/>
            </w:pPr>
            <w:r>
              <w:rPr>
                <w:sz w:val="20"/>
                <w:szCs w:val="20"/>
              </w:rPr>
              <w:t xml:space="preserve">4.8563</w:t>
            </w:r>
          </w:p>
        </w:tc>
        <w:tc>
          <w:tcPr>
            <w:tcW w:w="0" w:type="auto"/>
          </w:tcPr>
          <w:p>
            <w:pPr>
              <w:spacing w:line="240" w:lineRule="auto" w:before="0" w:after="0"/>
              <w:pStyle w:val="Compact"/>
            </w:pPr>
            <w:r>
              <w:rPr>
                <w:sz w:val="20"/>
                <w:szCs w:val="20"/>
              </w:rPr>
              <w:t xml:space="preserve">1.196e-06</w:t>
            </w:r>
          </w:p>
        </w:tc>
        <w:tc>
          <w:tcPr>
            <w:tcW w:w="0" w:type="auto"/>
          </w:tcPr>
          <w:p>
            <w:pPr>
              <w:spacing w:line="240" w:lineRule="auto" w:before="0" w:after="0"/>
              <w:pStyle w:val="Compact"/>
            </w:pPr>
            <w:r>
              <w:rPr>
                <w:sz w:val="20"/>
                <w:szCs w:val="20"/>
              </w:rPr>
              <w:t xml:space="preserve">[5.7595, 13.5545]</w:t>
            </w:r>
          </w:p>
        </w:tc>
      </w:tr>
      <w:tr>
        <w:tc>
          <w:tcPr>
            <w:tcW w:w="0" w:type="auto"/>
          </w:tcPr>
          <w:p>
            <w:pPr>
              <w:spacing w:line="240" w:lineRule="auto" w:before="0" w:after="0"/>
              <w:pStyle w:val="Compact"/>
            </w:pPr>
            <w:r>
              <w:rPr>
                <w:sz w:val="20"/>
                <w:szCs w:val="20"/>
              </w:rPr>
              <w:t xml:space="preserve">block_IIRM</w:t>
            </w:r>
          </w:p>
        </w:tc>
        <w:tc>
          <w:tcPr>
            <w:tcW w:w="0" w:type="auto"/>
          </w:tcPr>
          <w:p>
            <w:pPr>
              <w:spacing w:line="240" w:lineRule="auto" w:before="0" w:after="0"/>
              <w:pStyle w:val="Compact"/>
            </w:pPr>
            <w:r>
              <w:rPr>
                <w:sz w:val="20"/>
                <w:szCs w:val="20"/>
              </w:rPr>
              <w:t xml:space="preserve">10.8147</w:t>
            </w:r>
          </w:p>
        </w:tc>
        <w:tc>
          <w:tcPr>
            <w:tcW w:w="0" w:type="auto"/>
          </w:tcPr>
          <w:p>
            <w:pPr>
              <w:spacing w:line="240" w:lineRule="auto" w:before="0" w:after="0"/>
              <w:pStyle w:val="Compact"/>
            </w:pPr>
            <w:r>
              <w:rPr>
                <w:sz w:val="20"/>
                <w:szCs w:val="20"/>
              </w:rPr>
              <w:t xml:space="preserve">1.913</w:t>
            </w:r>
          </w:p>
        </w:tc>
        <w:tc>
          <w:tcPr>
            <w:tcW w:w="0" w:type="auto"/>
          </w:tcPr>
          <w:p>
            <w:pPr>
              <w:spacing w:line="240" w:lineRule="auto" w:before="0" w:after="0"/>
              <w:pStyle w:val="Compact"/>
            </w:pPr>
            <w:r>
              <w:rPr>
                <w:sz w:val="20"/>
                <w:szCs w:val="20"/>
              </w:rPr>
              <w:t xml:space="preserve">5.6533</w:t>
            </w:r>
          </w:p>
        </w:tc>
        <w:tc>
          <w:tcPr>
            <w:tcW w:w="0" w:type="auto"/>
          </w:tcPr>
          <w:p>
            <w:pPr>
              <w:spacing w:line="240" w:lineRule="auto" w:before="0" w:after="0"/>
              <w:pStyle w:val="Compact"/>
            </w:pPr>
            <w:r>
              <w:rPr>
                <w:sz w:val="20"/>
                <w:szCs w:val="20"/>
              </w:rPr>
              <w:t xml:space="preserve">1.574e-08</w:t>
            </w:r>
          </w:p>
        </w:tc>
        <w:tc>
          <w:tcPr>
            <w:tcW w:w="0" w:type="auto"/>
          </w:tcPr>
          <w:p>
            <w:pPr>
              <w:spacing w:line="240" w:lineRule="auto" w:before="0" w:after="0"/>
              <w:pStyle w:val="Compact"/>
            </w:pPr>
            <w:r>
              <w:rPr>
                <w:sz w:val="20"/>
                <w:szCs w:val="20"/>
              </w:rPr>
              <w:t xml:space="preserve">[7.0653, 14.5641]</w:t>
            </w:r>
          </w:p>
        </w:tc>
      </w:tr>
      <w:tr>
        <w:tc>
          <w:tcPr>
            <w:tcW w:w="0" w:type="auto"/>
          </w:tcPr>
          <w:p>
            <w:pPr>
              <w:spacing w:line="240" w:lineRule="auto" w:before="0" w:after="0"/>
              <w:pStyle w:val="Compact"/>
            </w:pPr>
            <w:r>
              <w:rPr>
                <w:sz w:val="20"/>
                <w:szCs w:val="20"/>
              </w:rPr>
              <w:t xml:space="preserve">block_IIF</w:t>
            </w:r>
          </w:p>
        </w:tc>
        <w:tc>
          <w:tcPr>
            <w:tcW w:w="0" w:type="auto"/>
          </w:tcPr>
          <w:p>
            <w:pPr>
              <w:spacing w:line="240" w:lineRule="auto" w:before="0" w:after="0"/>
              <w:pStyle w:val="Compact"/>
            </w:pPr>
            <w:r>
              <w:rPr>
                <w:sz w:val="20"/>
                <w:szCs w:val="20"/>
              </w:rPr>
              <w:t xml:space="preserve">-421.8021</w:t>
            </w:r>
          </w:p>
        </w:tc>
        <w:tc>
          <w:tcPr>
            <w:tcW w:w="0" w:type="auto"/>
          </w:tcPr>
          <w:p>
            <w:pPr>
              <w:spacing w:line="240" w:lineRule="auto" w:before="0" w:after="0"/>
              <w:pStyle w:val="Compact"/>
            </w:pPr>
            <w:r>
              <w:rPr>
                <w:sz w:val="20"/>
                <w:szCs w:val="20"/>
              </w:rPr>
              <w:t xml:space="preserve">75.8175</w:t>
            </w:r>
          </w:p>
        </w:tc>
        <w:tc>
          <w:tcPr>
            <w:tcW w:w="0" w:type="auto"/>
          </w:tcPr>
          <w:p>
            <w:pPr>
              <w:spacing w:line="240" w:lineRule="auto" w:before="0" w:after="0"/>
              <w:pStyle w:val="Compact"/>
            </w:pPr>
            <w:r>
              <w:rPr>
                <w:sz w:val="20"/>
                <w:szCs w:val="20"/>
              </w:rPr>
              <w:t xml:space="preserve">-5.5634</w:t>
            </w:r>
          </w:p>
        </w:tc>
        <w:tc>
          <w:tcPr>
            <w:tcW w:w="0" w:type="auto"/>
          </w:tcPr>
          <w:p>
            <w:pPr>
              <w:spacing w:line="240" w:lineRule="auto" w:before="0" w:after="0"/>
              <w:pStyle w:val="Compact"/>
            </w:pPr>
            <w:r>
              <w:rPr>
                <w:sz w:val="20"/>
                <w:szCs w:val="20"/>
              </w:rPr>
              <w:t xml:space="preserve">2.646e-08</w:t>
            </w:r>
          </w:p>
        </w:tc>
        <w:tc>
          <w:tcPr>
            <w:tcW w:w="0" w:type="auto"/>
          </w:tcPr>
          <w:p>
            <w:pPr>
              <w:spacing w:line="240" w:lineRule="auto" w:before="0" w:after="0"/>
              <w:pStyle w:val="Compact"/>
            </w:pPr>
            <w:r>
              <w:rPr>
                <w:sz w:val="20"/>
                <w:szCs w:val="20"/>
              </w:rPr>
              <w:t xml:space="preserve">[-570.4017, -273.2026]</w:t>
            </w:r>
          </w:p>
        </w:tc>
      </w:tr>
      <w:tr>
        <w:tc>
          <w:tcPr>
            <w:tcW w:w="0" w:type="auto"/>
          </w:tcPr>
          <w:p>
            <w:pPr>
              <w:spacing w:line="240" w:lineRule="auto" w:before="0" w:after="0"/>
              <w:pStyle w:val="Compact"/>
            </w:pPr>
            <w:r>
              <w:rPr>
                <w:sz w:val="20"/>
                <w:szCs w:val="20"/>
              </w:rPr>
              <w:t xml:space="preserve">block_III</w:t>
            </w:r>
          </w:p>
        </w:tc>
        <w:tc>
          <w:tcPr>
            <w:tcW w:w="0" w:type="auto"/>
          </w:tcPr>
          <w:p>
            <w:pPr>
              <w:spacing w:line="240" w:lineRule="auto" w:before="0" w:after="0"/>
              <w:pStyle w:val="Compact"/>
            </w:pPr>
            <w:r>
              <w:rPr>
                <w:sz w:val="20"/>
                <w:szCs w:val="20"/>
              </w:rPr>
              <w:t xml:space="preserve">-711.1713</w:t>
            </w:r>
          </w:p>
        </w:tc>
        <w:tc>
          <w:tcPr>
            <w:tcW w:w="0" w:type="auto"/>
          </w:tcPr>
          <w:p>
            <w:pPr>
              <w:spacing w:line="240" w:lineRule="auto" w:before="0" w:after="0"/>
              <w:pStyle w:val="Compact"/>
            </w:pPr>
            <w:r>
              <w:rPr>
                <w:sz w:val="20"/>
                <w:szCs w:val="20"/>
              </w:rPr>
              <w:t xml:space="preserve">127.2135</w:t>
            </w:r>
          </w:p>
        </w:tc>
        <w:tc>
          <w:tcPr>
            <w:tcW w:w="0" w:type="auto"/>
          </w:tcPr>
          <w:p>
            <w:pPr>
              <w:spacing w:line="240" w:lineRule="auto" w:before="0" w:after="0"/>
              <w:pStyle w:val="Compact"/>
            </w:pPr>
            <w:r>
              <w:rPr>
                <w:sz w:val="20"/>
                <w:szCs w:val="20"/>
              </w:rPr>
              <w:t xml:space="preserve">-5.5904</w:t>
            </w:r>
          </w:p>
        </w:tc>
        <w:tc>
          <w:tcPr>
            <w:tcW w:w="0" w:type="auto"/>
          </w:tcPr>
          <w:p>
            <w:pPr>
              <w:spacing w:line="240" w:lineRule="auto" w:before="0" w:after="0"/>
              <w:pStyle w:val="Compact"/>
            </w:pPr>
            <w:r>
              <w:rPr>
                <w:sz w:val="20"/>
                <w:szCs w:val="20"/>
              </w:rPr>
              <w:t xml:space="preserve">2.266e-08</w:t>
            </w:r>
          </w:p>
        </w:tc>
        <w:tc>
          <w:tcPr>
            <w:tcW w:w="0" w:type="auto"/>
          </w:tcPr>
          <w:p>
            <w:pPr>
              <w:spacing w:line="240" w:lineRule="auto" w:before="0" w:after="0"/>
              <w:pStyle w:val="Compact"/>
            </w:pPr>
            <w:r>
              <w:rPr>
                <w:sz w:val="20"/>
                <w:szCs w:val="20"/>
              </w:rPr>
              <w:t xml:space="preserve">[-960.5051, -461.8375]</w:t>
            </w:r>
          </w:p>
        </w:tc>
      </w:tr>
    </w:tbl>
    <w:p>
      <w:pPr>
        <w:pStyle w:val="BodyText"/>
      </w:pPr>
      <w:r>
        <w:t xml:space="preserve">Fit: N = 49 R2 = 0.8758 R2_adj = 0.8613 F = 28202.2527 F_p = 1.342e-75</w:t>
      </w:r>
    </w:p>
    <w:p>
      <w:pPr>
        <w:pStyle w:val="CaptionedFigure"/>
      </w:pPr>
      <w:r>
        <w:drawing>
          <wp:inline>
            <wp:extent cx="5669280" cy="3657600"/>
            <wp:effectExtent b="0" l="0" r="0" t="0"/>
            <wp:docPr descr="Figure 1. Realized on-orbit operational life against contractor design life for 48 GPS satellites across Blocks IIA, IIR, IIR-M, IIF, and III; the 45-degree line marks parity with the warranty." title="" id="76" name="Picture"/>
            <a:graphic>
              <a:graphicData uri="http://schemas.openxmlformats.org/drawingml/2006/picture">
                <pic:pic>
                  <pic:nvPicPr>
                    <pic:cNvPr descr="D:\Claude_Code\brain\collegium\candidates\dissertations\SPECTRUM_PNT_04\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Realized on-orbit operational life against contractor design life for 48 GPS satellites across Blocks IIA, IIR, IIR-M, IIF, and III; the 45-degree line marks parity with the warranty.</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svn</w:t>
            </w:r>
          </w:p>
        </w:tc>
        <w:tc>
          <w:tcPr>
            <w:tcW w:w="0" w:type="auto"/>
          </w:tcPr>
          <w:p>
            <w:pPr>
              <w:spacing w:line="240" w:lineRule="auto" w:before="0" w:after="0"/>
              <w:pStyle w:val="Compact"/>
            </w:pPr>
            <w:r>
              <w:rPr>
                <w:sz w:val="20"/>
                <w:szCs w:val="20"/>
              </w:rPr>
              <w:t xml:space="preserve">prn</w:t>
            </w:r>
          </w:p>
        </w:tc>
        <w:tc>
          <w:tcPr>
            <w:tcW w:w="0" w:type="auto"/>
          </w:tcPr>
          <w:p>
            <w:pPr>
              <w:spacing w:line="240" w:lineRule="auto" w:before="0" w:after="0"/>
              <w:pStyle w:val="Compact"/>
            </w:pPr>
            <w:r>
              <w:rPr>
                <w:sz w:val="20"/>
                <w:szCs w:val="20"/>
              </w:rPr>
              <w:t xml:space="preserve">block</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operational_years</w:t>
            </w:r>
          </w:p>
        </w:tc>
        <w:tc>
          <w:tcPr>
            <w:tcW w:w="0" w:type="auto"/>
          </w:tcPr>
          <w:p>
            <w:pPr>
              <w:spacing w:line="240" w:lineRule="auto" w:before="0" w:after="0"/>
              <w:pStyle w:val="Compact"/>
            </w:pPr>
            <w:r>
              <w:rPr>
                <w:sz w:val="20"/>
                <w:szCs w:val="20"/>
              </w:rPr>
              <w:t xml:space="preserve">decommission_year</w:t>
            </w:r>
          </w:p>
        </w:tc>
        <w:tc>
          <w:tcPr>
            <w:tcW w:w="0" w:type="auto"/>
          </w:tcPr>
          <w:p>
            <w:pPr>
              <w:spacing w:line="240" w:lineRule="auto" w:before="0" w:after="0"/>
              <w:pStyle w:val="Compact"/>
            </w:pPr>
            <w:r>
              <w:rPr>
                <w:sz w:val="20"/>
                <w:szCs w:val="20"/>
              </w:rPr>
              <w:t xml:space="preserve">still_operational</w:t>
            </w:r>
          </w:p>
        </w:tc>
        <w:tc>
          <w:tcPr>
            <w:tcW w:w="0" w:type="auto"/>
          </w:tcPr>
          <w:p>
            <w:pPr>
              <w:spacing w:line="240" w:lineRule="auto" w:before="0" w:after="0"/>
              <w:pStyle w:val="Compact"/>
            </w:pPr>
            <w:r>
              <w:rPr>
                <w:sz w:val="20"/>
                <w:szCs w:val="20"/>
              </w:rPr>
              <w:t xml:space="preserve">block_IIR</w:t>
            </w:r>
          </w:p>
        </w:tc>
        <w:tc>
          <w:tcPr>
            <w:tcW w:w="0" w:type="auto"/>
          </w:tcPr>
          <w:p>
            <w:pPr>
              <w:spacing w:line="240" w:lineRule="auto" w:before="0" w:after="0"/>
              <w:pStyle w:val="Compact"/>
            </w:pPr>
            <w:r>
              <w:rPr>
                <w:sz w:val="20"/>
                <w:szCs w:val="20"/>
              </w:rPr>
              <w:t xml:space="preserve">block_IIRM</w:t>
            </w:r>
          </w:p>
        </w:tc>
        <w:tc>
          <w:tcPr>
            <w:tcW w:w="0" w:type="auto"/>
          </w:tcPr>
          <w:p>
            <w:pPr>
              <w:spacing w:line="240" w:lineRule="auto" w:before="0" w:after="0"/>
              <w:pStyle w:val="Compact"/>
            </w:pPr>
            <w:r>
              <w:rPr>
                <w:sz w:val="20"/>
                <w:szCs w:val="20"/>
              </w:rPr>
              <w:t xml:space="preserve">block_IIF</w:t>
            </w:r>
          </w:p>
        </w:tc>
        <w:tc>
          <w:tcPr>
            <w:tcW w:w="0" w:type="auto"/>
          </w:tcPr>
          <w:p>
            <w:pPr>
              <w:spacing w:line="240" w:lineRule="auto" w:before="0" w:after="0"/>
              <w:pStyle w:val="Compact"/>
            </w:pPr>
            <w:r>
              <w:rPr>
                <w:sz w:val="20"/>
                <w:szCs w:val="20"/>
              </w:rPr>
              <w:t xml:space="preserve">block_III</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USAF/Space Force GPS Operations Center status pages; gps.gov constellation status archive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OCX status archive; gps.gov constellation status</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1994</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IIA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 GAO-19-250</w:t>
            </w:r>
          </w:p>
        </w:tc>
      </w:tr>
      <w:tr>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USAF GPS status archive; gps.gov constellation status</w:t>
            </w:r>
          </w:p>
        </w:tc>
      </w:tr>
      <w:tr>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IIR</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17.5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 GAO-19-250</w:t>
            </w:r>
          </w:p>
        </w:tc>
      </w:tr>
      <w:tr>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IIR-M</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 GAO-25-107591</w:t>
            </w:r>
          </w:p>
        </w:tc>
      </w:tr>
      <w:tr>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w:t>
            </w:r>
          </w:p>
        </w:tc>
      </w:tr>
      <w:tr>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IIF</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gps.gov current constellation status, retrieved 2026-06; GAO-25-107591</w:t>
            </w:r>
          </w:p>
        </w:tc>
      </w:tr>
      <w:tr>
        <w:tc>
          <w:tcPr>
            <w:tcW w:w="0" w:type="auto"/>
          </w:tcPr>
          <w:p>
            <w:pPr>
              <w:spacing w:line="240" w:lineRule="auto" w:before="0" w:after="0"/>
              <w:pStyle w:val="Compact"/>
            </w:pPr>
            <w:r>
              <w:rPr>
                <w:sz w:val="20"/>
                <w:szCs w:val="20"/>
              </w:rPr>
              <w:t xml:space="preserve">74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 GPS III status</w:t>
            </w:r>
          </w:p>
        </w:tc>
      </w:tr>
      <w:tr>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r>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r>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r>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r>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III</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gps.gov current constellation status; GAO-25-107591</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operational_years</w:t>
            </w:r>
          </w:p>
        </w:tc>
        <w:tc>
          <w:tcPr>
            <w:tcW w:w="0" w:type="auto"/>
          </w:tcPr>
          <w:p>
            <w:pPr>
              <w:spacing w:line="240" w:lineRule="auto" w:before="0" w:after="0"/>
              <w:pStyle w:val="Compact"/>
            </w:pPr>
            <w:r>
              <w:rPr>
                <w:sz w:val="20"/>
                <w:szCs w:val="20"/>
              </w:rPr>
              <w:t xml:space="preserve">Years between the satellite’s launch and either decommissioning or the 2026-06 observation cutoff (for vehicles still on orbit). Right-censored cases are included; the OLS estimate is therefore a lower bound on true operational life for currently operating vehicles.</w:t>
            </w:r>
          </w:p>
        </w:tc>
        <w:tc>
          <w:tcPr>
            <w:tcW w:w="0" w:type="auto"/>
          </w:tcPr>
          <w:p>
            <w:pPr>
              <w:spacing w:line="240" w:lineRule="auto" w:before="0" w:after="0"/>
              <w:pStyle w:val="Compact"/>
            </w:pPr>
            <w:r>
              <w:rPr>
                <w:sz w:val="20"/>
                <w:szCs w:val="20"/>
              </w:rPr>
              <w:t xml:space="preserve">U.S. Space Force / 2nd Space Operations Squadron status archive and gps.gov</w:t>
            </w:r>
            <w:r>
              <w:rPr>
                <w:sz w:val="20"/>
                <w:szCs w:val="20"/>
              </w:rPr>
              <w:t xml:space="preserve"> </w:t>
            </w:r>
            <w:r>
              <w:rPr>
                <w:sz w:val="20"/>
                <w:szCs w:val="20"/>
              </w:rPr>
              <w:t xml:space="preserve">‘Space Segment’</w:t>
            </w:r>
            <w:r>
              <w:rPr>
                <w:sz w:val="20"/>
                <w:szCs w:val="20"/>
              </w:rPr>
              <w:t xml:space="preserve"> </w:t>
            </w:r>
            <w:r>
              <w:rPr>
                <w:sz w:val="20"/>
                <w:szCs w:val="20"/>
              </w:rPr>
              <w:t xml:space="preserve">constellation status page, retrieved 2026-06</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Mean mission duration specified by the prime contractor at the time of acceptance, in years. Block IIA and IIR were specified at 7.5 years; Block IIF at 12 years; Block III at 15 years.</w:t>
            </w:r>
          </w:p>
        </w:tc>
        <w:tc>
          <w:tcPr>
            <w:tcW w:w="0" w:type="auto"/>
          </w:tcPr>
          <w:p>
            <w:pPr>
              <w:spacing w:line="240" w:lineRule="auto" w:before="0" w:after="0"/>
              <w:pStyle w:val="Compact"/>
            </w:pPr>
            <w:r>
              <w:rPr>
                <w:sz w:val="20"/>
                <w:szCs w:val="20"/>
              </w:rPr>
              <w:t xml:space="preserve">GAO-25-107591 GPS III status report; GAO-19-250; gps.gov block descriptions</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Calendar year of successful launch and check-out.</w:t>
            </w:r>
          </w:p>
        </w:tc>
        <w:tc>
          <w:tcPr>
            <w:tcW w:w="0" w:type="auto"/>
          </w:tcPr>
          <w:p>
            <w:pPr>
              <w:spacing w:line="240" w:lineRule="auto" w:before="0" w:after="0"/>
              <w:pStyle w:val="Compact"/>
            </w:pPr>
            <w:r>
              <w:rPr>
                <w:sz w:val="20"/>
                <w:szCs w:val="20"/>
              </w:rPr>
              <w:t xml:space="preserve">U.S. Space Force GPS Operations Center archive and gps.gov constellation status</w:t>
            </w:r>
          </w:p>
        </w:tc>
      </w:tr>
      <w:tr>
        <w:tc>
          <w:tcPr>
            <w:tcW w:w="0" w:type="auto"/>
          </w:tcPr>
          <w:p>
            <w:pPr>
              <w:spacing w:line="240" w:lineRule="auto" w:before="0" w:after="0"/>
              <w:pStyle w:val="Compact"/>
            </w:pPr>
            <w:r>
              <w:rPr>
                <w:sz w:val="20"/>
                <w:szCs w:val="20"/>
              </w:rPr>
              <w:t xml:space="preserve">block_IIR</w:t>
            </w:r>
          </w:p>
        </w:tc>
        <w:tc>
          <w:tcPr>
            <w:tcW w:w="0" w:type="auto"/>
          </w:tcPr>
          <w:p>
            <w:pPr>
              <w:spacing w:line="240" w:lineRule="auto" w:before="0" w:after="0"/>
              <w:pStyle w:val="Compact"/>
            </w:pPr>
            <w:r>
              <w:rPr>
                <w:sz w:val="20"/>
                <w:szCs w:val="20"/>
              </w:rPr>
              <w:t xml:space="preserve">Indicator: 1 if the vehicle is a Block IIR (Lockheed Martin replenishment series), 0 otherwise. Block IIA is the omitted reference category.</w:t>
            </w:r>
          </w:p>
        </w:tc>
        <w:tc>
          <w:tcPr>
            <w:tcW w:w="0" w:type="auto"/>
          </w:tcPr>
          <w:p>
            <w:pPr>
              <w:spacing w:line="240" w:lineRule="auto" w:before="0" w:after="0"/>
              <w:pStyle w:val="Compact"/>
            </w:pPr>
            <w:r>
              <w:rPr>
                <w:sz w:val="20"/>
                <w:szCs w:val="20"/>
              </w:rPr>
              <w:t xml:space="preserve">GAO and gps.gov block descriptions</w:t>
            </w:r>
          </w:p>
        </w:tc>
      </w:tr>
      <w:tr>
        <w:tc>
          <w:tcPr>
            <w:tcW w:w="0" w:type="auto"/>
          </w:tcPr>
          <w:p>
            <w:pPr>
              <w:spacing w:line="240" w:lineRule="auto" w:before="0" w:after="0"/>
              <w:pStyle w:val="Compact"/>
            </w:pPr>
            <w:r>
              <w:rPr>
                <w:sz w:val="20"/>
                <w:szCs w:val="20"/>
              </w:rPr>
              <w:t xml:space="preserve">block_IIRM</w:t>
            </w:r>
          </w:p>
        </w:tc>
        <w:tc>
          <w:tcPr>
            <w:tcW w:w="0" w:type="auto"/>
          </w:tcPr>
          <w:p>
            <w:pPr>
              <w:spacing w:line="240" w:lineRule="auto" w:before="0" w:after="0"/>
              <w:pStyle w:val="Compact"/>
            </w:pPr>
            <w:r>
              <w:rPr>
                <w:sz w:val="20"/>
                <w:szCs w:val="20"/>
              </w:rPr>
              <w:t xml:space="preserve">Indicator: 1 if the vehicle is a Block IIR-M (modernized IIR with M-code and L2C), 0 otherwise.</w:t>
            </w:r>
          </w:p>
        </w:tc>
        <w:tc>
          <w:tcPr>
            <w:tcW w:w="0" w:type="auto"/>
          </w:tcPr>
          <w:p>
            <w:pPr>
              <w:spacing w:line="240" w:lineRule="auto" w:before="0" w:after="0"/>
              <w:pStyle w:val="Compact"/>
            </w:pPr>
            <w:r>
              <w:rPr>
                <w:sz w:val="20"/>
                <w:szCs w:val="20"/>
              </w:rPr>
              <w:t xml:space="preserve">GAO and gps.gov block descriptions</w:t>
            </w:r>
          </w:p>
        </w:tc>
      </w:tr>
      <w:tr>
        <w:tc>
          <w:tcPr>
            <w:tcW w:w="0" w:type="auto"/>
          </w:tcPr>
          <w:p>
            <w:pPr>
              <w:spacing w:line="240" w:lineRule="auto" w:before="0" w:after="0"/>
              <w:pStyle w:val="Compact"/>
            </w:pPr>
            <w:r>
              <w:rPr>
                <w:sz w:val="20"/>
                <w:szCs w:val="20"/>
              </w:rPr>
              <w:t xml:space="preserve">block_IIF</w:t>
            </w:r>
          </w:p>
        </w:tc>
        <w:tc>
          <w:tcPr>
            <w:tcW w:w="0" w:type="auto"/>
          </w:tcPr>
          <w:p>
            <w:pPr>
              <w:spacing w:line="240" w:lineRule="auto" w:before="0" w:after="0"/>
              <w:pStyle w:val="Compact"/>
            </w:pPr>
            <w:r>
              <w:rPr>
                <w:sz w:val="20"/>
                <w:szCs w:val="20"/>
              </w:rPr>
              <w:t xml:space="preserve">Indicator: 1 if the vehicle is a Block IIF (Boeing follow-on with L5 civil signal), 0 otherwise.</w:t>
            </w:r>
          </w:p>
        </w:tc>
        <w:tc>
          <w:tcPr>
            <w:tcW w:w="0" w:type="auto"/>
          </w:tcPr>
          <w:p>
            <w:pPr>
              <w:spacing w:line="240" w:lineRule="auto" w:before="0" w:after="0"/>
              <w:pStyle w:val="Compact"/>
            </w:pPr>
            <w:r>
              <w:rPr>
                <w:sz w:val="20"/>
                <w:szCs w:val="20"/>
              </w:rPr>
              <w:t xml:space="preserve">GAO and gps.gov block descriptions</w:t>
            </w:r>
          </w:p>
        </w:tc>
      </w:tr>
      <w:tr>
        <w:tc>
          <w:tcPr>
            <w:tcW w:w="0" w:type="auto"/>
          </w:tcPr>
          <w:p>
            <w:pPr>
              <w:spacing w:line="240" w:lineRule="auto" w:before="0" w:after="0"/>
              <w:pStyle w:val="Compact"/>
            </w:pPr>
            <w:r>
              <w:rPr>
                <w:sz w:val="20"/>
                <w:szCs w:val="20"/>
              </w:rPr>
              <w:t xml:space="preserve">block_III</w:t>
            </w:r>
          </w:p>
        </w:tc>
        <w:tc>
          <w:tcPr>
            <w:tcW w:w="0" w:type="auto"/>
          </w:tcPr>
          <w:p>
            <w:pPr>
              <w:spacing w:line="240" w:lineRule="auto" w:before="0" w:after="0"/>
              <w:pStyle w:val="Compact"/>
            </w:pPr>
            <w:r>
              <w:rPr>
                <w:sz w:val="20"/>
                <w:szCs w:val="20"/>
              </w:rPr>
              <w:t xml:space="preserve">Indicator: 1 if the vehicle is a Block III or IIIF (Lockheed Martin next-generation, L1C signal), 0 otherwise.</w:t>
            </w:r>
          </w:p>
        </w:tc>
        <w:tc>
          <w:tcPr>
            <w:tcW w:w="0" w:type="auto"/>
          </w:tcPr>
          <w:p>
            <w:pPr>
              <w:spacing w:line="240" w:lineRule="auto" w:before="0" w:after="0"/>
              <w:pStyle w:val="Compact"/>
            </w:pPr>
            <w:r>
              <w:rPr>
                <w:sz w:val="20"/>
                <w:szCs w:val="20"/>
              </w:rPr>
              <w:t xml:space="preserve">GAO-25-107591; gps.gov block descriptions</w:t>
            </w:r>
          </w:p>
        </w:tc>
      </w:tr>
      <w:tr>
        <w:tc>
          <w:tcPr>
            <w:tcW w:w="0" w:type="auto"/>
          </w:tcPr>
          <w:p>
            <w:pPr>
              <w:spacing w:line="240" w:lineRule="auto" w:before="0" w:after="0"/>
              <w:pStyle w:val="Compact"/>
            </w:pPr>
            <w:r>
              <w:rPr>
                <w:sz w:val="20"/>
                <w:szCs w:val="20"/>
              </w:rPr>
              <w:t xml:space="preserve">decommission_year</w:t>
            </w:r>
          </w:p>
        </w:tc>
        <w:tc>
          <w:tcPr>
            <w:tcW w:w="0" w:type="auto"/>
          </w:tcPr>
          <w:p>
            <w:pPr>
              <w:spacing w:line="240" w:lineRule="auto" w:before="0" w:after="0"/>
              <w:pStyle w:val="Compact"/>
            </w:pPr>
            <w:r>
              <w:rPr>
                <w:sz w:val="20"/>
                <w:szCs w:val="20"/>
              </w:rPr>
              <w:t xml:space="preserve">Calendar year the vehicle was removed from the active constellation, or the 2026 cutoff for vehicles still operational.</w:t>
            </w:r>
          </w:p>
        </w:tc>
        <w:tc>
          <w:tcPr>
            <w:tcW w:w="0" w:type="auto"/>
          </w:tcPr>
          <w:p>
            <w:pPr>
              <w:spacing w:line="240" w:lineRule="auto" w:before="0" w:after="0"/>
              <w:pStyle w:val="Compact"/>
            </w:pPr>
            <w:r>
              <w:rPr>
                <w:sz w:val="20"/>
                <w:szCs w:val="20"/>
              </w:rPr>
              <w:t xml:space="preserve">U.S. Space Force / 2 SOPS status notices archived at gps.gov</w:t>
            </w:r>
          </w:p>
        </w:tc>
      </w:tr>
      <w:tr>
        <w:tc>
          <w:tcPr>
            <w:tcW w:w="0" w:type="auto"/>
          </w:tcPr>
          <w:p>
            <w:pPr>
              <w:spacing w:line="240" w:lineRule="auto" w:before="0" w:after="0"/>
              <w:pStyle w:val="Compact"/>
            </w:pPr>
            <w:r>
              <w:rPr>
                <w:sz w:val="20"/>
                <w:szCs w:val="20"/>
              </w:rPr>
              <w:t xml:space="preserve">still_operational</w:t>
            </w:r>
          </w:p>
        </w:tc>
        <w:tc>
          <w:tcPr>
            <w:tcW w:w="0" w:type="auto"/>
          </w:tcPr>
          <w:p>
            <w:pPr>
              <w:spacing w:line="240" w:lineRule="auto" w:before="0" w:after="0"/>
              <w:pStyle w:val="Compact"/>
            </w:pPr>
            <w:r>
              <w:rPr>
                <w:sz w:val="20"/>
                <w:szCs w:val="20"/>
              </w:rPr>
              <w:t xml:space="preserve">Indicator: 1 if the vehicle was still in the active constellation at 2026-06; 0 if decommissioned. Used to flag right-censoring of operational_years.</w:t>
            </w:r>
          </w:p>
        </w:tc>
        <w:tc>
          <w:tcPr>
            <w:tcW w:w="0" w:type="auto"/>
          </w:tcPr>
          <w:p>
            <w:pPr>
              <w:spacing w:line="240" w:lineRule="auto" w:before="0" w:after="0"/>
              <w:pStyle w:val="Compact"/>
            </w:pPr>
            <w:r>
              <w:rPr>
                <w:sz w:val="20"/>
                <w:szCs w:val="20"/>
              </w:rPr>
              <w:t xml:space="preserve">gps.gov constellation status, retrieved 2026-06</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977.0504</w:t>
            </w:r>
          </w:p>
        </w:tc>
        <w:tc>
          <w:tcPr>
            <w:tcW w:w="0" w:type="auto"/>
          </w:tcPr>
          <w:p>
            <w:pPr>
              <w:spacing w:line="240" w:lineRule="auto" w:before="0" w:after="0"/>
              <w:pStyle w:val="Compact"/>
            </w:pPr>
            <w:r>
              <w:rPr>
                <w:sz w:val="20"/>
                <w:szCs w:val="20"/>
              </w:rPr>
              <w:t xml:space="preserve">175.0329</w:t>
            </w:r>
          </w:p>
        </w:tc>
        <w:tc>
          <w:tcPr>
            <w:tcW w:w="0" w:type="auto"/>
          </w:tcPr>
          <w:p>
            <w:pPr>
              <w:spacing w:line="240" w:lineRule="auto" w:before="0" w:after="0"/>
              <w:pStyle w:val="Compact"/>
            </w:pPr>
            <w:r>
              <w:rPr>
                <w:sz w:val="20"/>
                <w:szCs w:val="20"/>
              </w:rPr>
              <w:t xml:space="preserve">5.5821</w:t>
            </w:r>
          </w:p>
        </w:tc>
        <w:tc>
          <w:tcPr>
            <w:tcW w:w="0" w:type="auto"/>
          </w:tcPr>
          <w:p>
            <w:pPr>
              <w:spacing w:line="240" w:lineRule="auto" w:before="0" w:after="0"/>
              <w:pStyle w:val="Compact"/>
            </w:pPr>
            <w:r>
              <w:rPr>
                <w:sz w:val="20"/>
                <w:szCs w:val="20"/>
              </w:rPr>
              <w:t xml:space="preserve">2.376e-08</w:t>
            </w:r>
          </w:p>
        </w:tc>
        <w:tc>
          <w:tcPr>
            <w:tcW w:w="0" w:type="auto"/>
          </w:tcPr>
          <w:p>
            <w:pPr>
              <w:spacing w:line="240" w:lineRule="auto" w:before="0" w:after="0"/>
              <w:pStyle w:val="Compact"/>
            </w:pPr>
            <w:r>
              <w:rPr>
                <w:sz w:val="20"/>
                <w:szCs w:val="20"/>
              </w:rPr>
              <w:t xml:space="preserve">[633.9923, 1320.1085]</w:t>
            </w:r>
          </w:p>
        </w:tc>
      </w:tr>
      <w:tr>
        <w:tc>
          <w:tcPr>
            <w:tcW w:w="0" w:type="auto"/>
          </w:tcPr>
          <w:p>
            <w:pPr>
              <w:spacing w:line="240" w:lineRule="auto" w:before="0" w:after="0"/>
              <w:pStyle w:val="Compact"/>
            </w:pPr>
            <w:r>
              <w:rPr>
                <w:sz w:val="20"/>
                <w:szCs w:val="20"/>
              </w:rPr>
              <w:t xml:space="preserve">design_life_years</w:t>
            </w:r>
          </w:p>
        </w:tc>
        <w:tc>
          <w:tcPr>
            <w:tcW w:w="0" w:type="auto"/>
          </w:tcPr>
          <w:p>
            <w:pPr>
              <w:spacing w:line="240" w:lineRule="auto" w:before="0" w:after="0"/>
              <w:pStyle w:val="Compact"/>
            </w:pPr>
            <w:r>
              <w:rPr>
                <w:sz w:val="20"/>
                <w:szCs w:val="20"/>
              </w:rPr>
              <w:t xml:space="preserve">95.9838</w:t>
            </w:r>
          </w:p>
        </w:tc>
        <w:tc>
          <w:tcPr>
            <w:tcW w:w="0" w:type="auto"/>
          </w:tcPr>
          <w:p>
            <w:pPr>
              <w:spacing w:line="240" w:lineRule="auto" w:before="0" w:after="0"/>
              <w:pStyle w:val="Compact"/>
            </w:pPr>
            <w:r>
              <w:rPr>
                <w:sz w:val="20"/>
                <w:szCs w:val="20"/>
              </w:rPr>
              <w:t xml:space="preserve">17.4689</w:t>
            </w:r>
          </w:p>
        </w:tc>
        <w:tc>
          <w:tcPr>
            <w:tcW w:w="0" w:type="auto"/>
          </w:tcPr>
          <w:p>
            <w:pPr>
              <w:spacing w:line="240" w:lineRule="auto" w:before="0" w:after="0"/>
              <w:pStyle w:val="Compact"/>
            </w:pPr>
            <w:r>
              <w:rPr>
                <w:sz w:val="20"/>
                <w:szCs w:val="20"/>
              </w:rPr>
              <w:t xml:space="preserve">5.4946</w:t>
            </w:r>
          </w:p>
        </w:tc>
        <w:tc>
          <w:tcPr>
            <w:tcW w:w="0" w:type="auto"/>
          </w:tcPr>
          <w:p>
            <w:pPr>
              <w:spacing w:line="240" w:lineRule="auto" w:before="0" w:after="0"/>
              <w:pStyle w:val="Compact"/>
            </w:pPr>
            <w:r>
              <w:rPr>
                <w:sz w:val="20"/>
                <w:szCs w:val="20"/>
              </w:rPr>
              <w:t xml:space="preserve">3.917e-08</w:t>
            </w:r>
          </w:p>
        </w:tc>
        <w:tc>
          <w:tcPr>
            <w:tcW w:w="0" w:type="auto"/>
          </w:tcPr>
          <w:p>
            <w:pPr>
              <w:spacing w:line="240" w:lineRule="auto" w:before="0" w:after="0"/>
              <w:pStyle w:val="Compact"/>
            </w:pPr>
            <w:r>
              <w:rPr>
                <w:sz w:val="20"/>
                <w:szCs w:val="20"/>
              </w:rPr>
              <w:t xml:space="preserve">[61.7455, 130.2222]</w:t>
            </w:r>
          </w:p>
        </w:tc>
      </w:tr>
      <w:tr>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-0.8416</w:t>
            </w:r>
          </w:p>
        </w:tc>
        <w:tc>
          <w:tcPr>
            <w:tcW w:w="0" w:type="auto"/>
          </w:tcPr>
          <w:p>
            <w:pPr>
              <w:spacing w:line="240" w:lineRule="auto" w:before="0" w:after="0"/>
              <w:pStyle w:val="Compact"/>
            </w:pPr>
            <w:r>
              <w:rPr>
                <w:sz w:val="20"/>
                <w:szCs w:val="20"/>
              </w:rPr>
              <w:t xml:space="preserve">0.1534</w:t>
            </w:r>
          </w:p>
        </w:tc>
        <w:tc>
          <w:tcPr>
            <w:tcW w:w="0" w:type="auto"/>
          </w:tcPr>
          <w:p>
            <w:pPr>
              <w:spacing w:line="240" w:lineRule="auto" w:before="0" w:after="0"/>
              <w:pStyle w:val="Compact"/>
            </w:pPr>
            <w:r>
              <w:rPr>
                <w:sz w:val="20"/>
                <w:szCs w:val="20"/>
              </w:rPr>
              <w:t xml:space="preserve">-5.4872</w:t>
            </w:r>
          </w:p>
        </w:tc>
        <w:tc>
          <w:tcPr>
            <w:tcW w:w="0" w:type="auto"/>
          </w:tcPr>
          <w:p>
            <w:pPr>
              <w:spacing w:line="240" w:lineRule="auto" w:before="0" w:after="0"/>
              <w:pStyle w:val="Compact"/>
            </w:pPr>
            <w:r>
              <w:rPr>
                <w:sz w:val="20"/>
                <w:szCs w:val="20"/>
              </w:rPr>
              <w:t xml:space="preserve">4.083e-08</w:t>
            </w:r>
          </w:p>
        </w:tc>
        <w:tc>
          <w:tcPr>
            <w:tcW w:w="0" w:type="auto"/>
          </w:tcPr>
          <w:p>
            <w:pPr>
              <w:spacing w:line="240" w:lineRule="auto" w:before="0" w:after="0"/>
              <w:pStyle w:val="Compact"/>
            </w:pPr>
            <w:r>
              <w:rPr>
                <w:sz w:val="20"/>
                <w:szCs w:val="20"/>
              </w:rPr>
              <w:t xml:space="preserve">[-1.1422, -0.541]</w:t>
            </w:r>
          </w:p>
        </w:tc>
      </w:tr>
      <w:tr>
        <w:tc>
          <w:tcPr>
            <w:tcW w:w="0" w:type="auto"/>
          </w:tcPr>
          <w:p>
            <w:pPr>
              <w:spacing w:line="240" w:lineRule="auto" w:before="0" w:after="0"/>
              <w:pStyle w:val="Compact"/>
            </w:pPr>
            <w:r>
              <w:rPr>
                <w:sz w:val="20"/>
                <w:szCs w:val="20"/>
              </w:rPr>
              <w:t xml:space="preserve">block_IIR</w:t>
            </w:r>
          </w:p>
        </w:tc>
        <w:tc>
          <w:tcPr>
            <w:tcW w:w="0" w:type="auto"/>
          </w:tcPr>
          <w:p>
            <w:pPr>
              <w:spacing w:line="240" w:lineRule="auto" w:before="0" w:after="0"/>
              <w:pStyle w:val="Compact"/>
            </w:pPr>
            <w:r>
              <w:rPr>
                <w:sz w:val="20"/>
                <w:szCs w:val="20"/>
              </w:rPr>
              <w:t xml:space="preserve">9.657</w:t>
            </w:r>
          </w:p>
        </w:tc>
        <w:tc>
          <w:tcPr>
            <w:tcW w:w="0" w:type="auto"/>
          </w:tcPr>
          <w:p>
            <w:pPr>
              <w:spacing w:line="240" w:lineRule="auto" w:before="0" w:after="0"/>
              <w:pStyle w:val="Compact"/>
            </w:pPr>
            <w:r>
              <w:rPr>
                <w:sz w:val="20"/>
                <w:szCs w:val="20"/>
              </w:rPr>
              <w:t xml:space="preserve">1.9885</w:t>
            </w:r>
          </w:p>
        </w:tc>
        <w:tc>
          <w:tcPr>
            <w:tcW w:w="0" w:type="auto"/>
          </w:tcPr>
          <w:p>
            <w:pPr>
              <w:spacing w:line="240" w:lineRule="auto" w:before="0" w:after="0"/>
              <w:pStyle w:val="Compact"/>
            </w:pPr>
            <w:r>
              <w:rPr>
                <w:sz w:val="20"/>
                <w:szCs w:val="20"/>
              </w:rPr>
              <w:t xml:space="preserve">4.8563</w:t>
            </w:r>
          </w:p>
        </w:tc>
        <w:tc>
          <w:tcPr>
            <w:tcW w:w="0" w:type="auto"/>
          </w:tcPr>
          <w:p>
            <w:pPr>
              <w:spacing w:line="240" w:lineRule="auto" w:before="0" w:after="0"/>
              <w:pStyle w:val="Compact"/>
            </w:pPr>
            <w:r>
              <w:rPr>
                <w:sz w:val="20"/>
                <w:szCs w:val="20"/>
              </w:rPr>
              <w:t xml:space="preserve">1.196e-06</w:t>
            </w:r>
          </w:p>
        </w:tc>
        <w:tc>
          <w:tcPr>
            <w:tcW w:w="0" w:type="auto"/>
          </w:tcPr>
          <w:p>
            <w:pPr>
              <w:spacing w:line="240" w:lineRule="auto" w:before="0" w:after="0"/>
              <w:pStyle w:val="Compact"/>
            </w:pPr>
            <w:r>
              <w:rPr>
                <w:sz w:val="20"/>
                <w:szCs w:val="20"/>
              </w:rPr>
              <w:t xml:space="preserve">[5.7595, 13.5545]</w:t>
            </w:r>
          </w:p>
        </w:tc>
      </w:tr>
      <w:tr>
        <w:tc>
          <w:tcPr>
            <w:tcW w:w="0" w:type="auto"/>
          </w:tcPr>
          <w:p>
            <w:pPr>
              <w:spacing w:line="240" w:lineRule="auto" w:before="0" w:after="0"/>
              <w:pStyle w:val="Compact"/>
            </w:pPr>
            <w:r>
              <w:rPr>
                <w:sz w:val="20"/>
                <w:szCs w:val="20"/>
              </w:rPr>
              <w:t xml:space="preserve">block_IIRM</w:t>
            </w:r>
          </w:p>
        </w:tc>
        <w:tc>
          <w:tcPr>
            <w:tcW w:w="0" w:type="auto"/>
          </w:tcPr>
          <w:p>
            <w:pPr>
              <w:spacing w:line="240" w:lineRule="auto" w:before="0" w:after="0"/>
              <w:pStyle w:val="Compact"/>
            </w:pPr>
            <w:r>
              <w:rPr>
                <w:sz w:val="20"/>
                <w:szCs w:val="20"/>
              </w:rPr>
              <w:t xml:space="preserve">10.8147</w:t>
            </w:r>
          </w:p>
        </w:tc>
        <w:tc>
          <w:tcPr>
            <w:tcW w:w="0" w:type="auto"/>
          </w:tcPr>
          <w:p>
            <w:pPr>
              <w:spacing w:line="240" w:lineRule="auto" w:before="0" w:after="0"/>
              <w:pStyle w:val="Compact"/>
            </w:pPr>
            <w:r>
              <w:rPr>
                <w:sz w:val="20"/>
                <w:szCs w:val="20"/>
              </w:rPr>
              <w:t xml:space="preserve">1.913</w:t>
            </w:r>
          </w:p>
        </w:tc>
        <w:tc>
          <w:tcPr>
            <w:tcW w:w="0" w:type="auto"/>
          </w:tcPr>
          <w:p>
            <w:pPr>
              <w:spacing w:line="240" w:lineRule="auto" w:before="0" w:after="0"/>
              <w:pStyle w:val="Compact"/>
            </w:pPr>
            <w:r>
              <w:rPr>
                <w:sz w:val="20"/>
                <w:szCs w:val="20"/>
              </w:rPr>
              <w:t xml:space="preserve">5.6533</w:t>
            </w:r>
          </w:p>
        </w:tc>
        <w:tc>
          <w:tcPr>
            <w:tcW w:w="0" w:type="auto"/>
          </w:tcPr>
          <w:p>
            <w:pPr>
              <w:spacing w:line="240" w:lineRule="auto" w:before="0" w:after="0"/>
              <w:pStyle w:val="Compact"/>
            </w:pPr>
            <w:r>
              <w:rPr>
                <w:sz w:val="20"/>
                <w:szCs w:val="20"/>
              </w:rPr>
              <w:t xml:space="preserve">1.574e-08</w:t>
            </w:r>
          </w:p>
        </w:tc>
        <w:tc>
          <w:tcPr>
            <w:tcW w:w="0" w:type="auto"/>
          </w:tcPr>
          <w:p>
            <w:pPr>
              <w:spacing w:line="240" w:lineRule="auto" w:before="0" w:after="0"/>
              <w:pStyle w:val="Compact"/>
            </w:pPr>
            <w:r>
              <w:rPr>
                <w:sz w:val="20"/>
                <w:szCs w:val="20"/>
              </w:rPr>
              <w:t xml:space="preserve">[7.0653, 14.5641]</w:t>
            </w:r>
          </w:p>
        </w:tc>
      </w:tr>
      <w:tr>
        <w:tc>
          <w:tcPr>
            <w:tcW w:w="0" w:type="auto"/>
          </w:tcPr>
          <w:p>
            <w:pPr>
              <w:spacing w:line="240" w:lineRule="auto" w:before="0" w:after="0"/>
              <w:pStyle w:val="Compact"/>
            </w:pPr>
            <w:r>
              <w:rPr>
                <w:sz w:val="20"/>
                <w:szCs w:val="20"/>
              </w:rPr>
              <w:t xml:space="preserve">block_IIF</w:t>
            </w:r>
          </w:p>
        </w:tc>
        <w:tc>
          <w:tcPr>
            <w:tcW w:w="0" w:type="auto"/>
          </w:tcPr>
          <w:p>
            <w:pPr>
              <w:spacing w:line="240" w:lineRule="auto" w:before="0" w:after="0"/>
              <w:pStyle w:val="Compact"/>
            </w:pPr>
            <w:r>
              <w:rPr>
                <w:sz w:val="20"/>
                <w:szCs w:val="20"/>
              </w:rPr>
              <w:t xml:space="preserve">-421.8021</w:t>
            </w:r>
          </w:p>
        </w:tc>
        <w:tc>
          <w:tcPr>
            <w:tcW w:w="0" w:type="auto"/>
          </w:tcPr>
          <w:p>
            <w:pPr>
              <w:spacing w:line="240" w:lineRule="auto" w:before="0" w:after="0"/>
              <w:pStyle w:val="Compact"/>
            </w:pPr>
            <w:r>
              <w:rPr>
                <w:sz w:val="20"/>
                <w:szCs w:val="20"/>
              </w:rPr>
              <w:t xml:space="preserve">75.8175</w:t>
            </w:r>
          </w:p>
        </w:tc>
        <w:tc>
          <w:tcPr>
            <w:tcW w:w="0" w:type="auto"/>
          </w:tcPr>
          <w:p>
            <w:pPr>
              <w:spacing w:line="240" w:lineRule="auto" w:before="0" w:after="0"/>
              <w:pStyle w:val="Compact"/>
            </w:pPr>
            <w:r>
              <w:rPr>
                <w:sz w:val="20"/>
                <w:szCs w:val="20"/>
              </w:rPr>
              <w:t xml:space="preserve">-5.5634</w:t>
            </w:r>
          </w:p>
        </w:tc>
        <w:tc>
          <w:tcPr>
            <w:tcW w:w="0" w:type="auto"/>
          </w:tcPr>
          <w:p>
            <w:pPr>
              <w:spacing w:line="240" w:lineRule="auto" w:before="0" w:after="0"/>
              <w:pStyle w:val="Compact"/>
            </w:pPr>
            <w:r>
              <w:rPr>
                <w:sz w:val="20"/>
                <w:szCs w:val="20"/>
              </w:rPr>
              <w:t xml:space="preserve">2.646e-08</w:t>
            </w:r>
          </w:p>
        </w:tc>
        <w:tc>
          <w:tcPr>
            <w:tcW w:w="0" w:type="auto"/>
          </w:tcPr>
          <w:p>
            <w:pPr>
              <w:spacing w:line="240" w:lineRule="auto" w:before="0" w:after="0"/>
              <w:pStyle w:val="Compact"/>
            </w:pPr>
            <w:r>
              <w:rPr>
                <w:sz w:val="20"/>
                <w:szCs w:val="20"/>
              </w:rPr>
              <w:t xml:space="preserve">[-570.4017, -273.2026]</w:t>
            </w:r>
          </w:p>
        </w:tc>
      </w:tr>
      <w:tr>
        <w:tc>
          <w:tcPr>
            <w:tcW w:w="0" w:type="auto"/>
          </w:tcPr>
          <w:p>
            <w:pPr>
              <w:spacing w:line="240" w:lineRule="auto" w:before="0" w:after="0"/>
              <w:pStyle w:val="Compact"/>
            </w:pPr>
            <w:r>
              <w:rPr>
                <w:sz w:val="20"/>
                <w:szCs w:val="20"/>
              </w:rPr>
              <w:t xml:space="preserve">block_III</w:t>
            </w:r>
          </w:p>
        </w:tc>
        <w:tc>
          <w:tcPr>
            <w:tcW w:w="0" w:type="auto"/>
          </w:tcPr>
          <w:p>
            <w:pPr>
              <w:spacing w:line="240" w:lineRule="auto" w:before="0" w:after="0"/>
              <w:pStyle w:val="Compact"/>
            </w:pPr>
            <w:r>
              <w:rPr>
                <w:sz w:val="20"/>
                <w:szCs w:val="20"/>
              </w:rPr>
              <w:t xml:space="preserve">-711.1713</w:t>
            </w:r>
          </w:p>
        </w:tc>
        <w:tc>
          <w:tcPr>
            <w:tcW w:w="0" w:type="auto"/>
          </w:tcPr>
          <w:p>
            <w:pPr>
              <w:spacing w:line="240" w:lineRule="auto" w:before="0" w:after="0"/>
              <w:pStyle w:val="Compact"/>
            </w:pPr>
            <w:r>
              <w:rPr>
                <w:sz w:val="20"/>
                <w:szCs w:val="20"/>
              </w:rPr>
              <w:t xml:space="preserve">127.2135</w:t>
            </w:r>
          </w:p>
        </w:tc>
        <w:tc>
          <w:tcPr>
            <w:tcW w:w="0" w:type="auto"/>
          </w:tcPr>
          <w:p>
            <w:pPr>
              <w:spacing w:line="240" w:lineRule="auto" w:before="0" w:after="0"/>
              <w:pStyle w:val="Compact"/>
            </w:pPr>
            <w:r>
              <w:rPr>
                <w:sz w:val="20"/>
                <w:szCs w:val="20"/>
              </w:rPr>
              <w:t xml:space="preserve">-5.5904</w:t>
            </w:r>
          </w:p>
        </w:tc>
        <w:tc>
          <w:tcPr>
            <w:tcW w:w="0" w:type="auto"/>
          </w:tcPr>
          <w:p>
            <w:pPr>
              <w:spacing w:line="240" w:lineRule="auto" w:before="0" w:after="0"/>
              <w:pStyle w:val="Compact"/>
            </w:pPr>
            <w:r>
              <w:rPr>
                <w:sz w:val="20"/>
                <w:szCs w:val="20"/>
              </w:rPr>
              <w:t xml:space="preserve">2.266e-08</w:t>
            </w:r>
          </w:p>
        </w:tc>
        <w:tc>
          <w:tcPr>
            <w:tcW w:w="0" w:type="auto"/>
          </w:tcPr>
          <w:p>
            <w:pPr>
              <w:spacing w:line="240" w:lineRule="auto" w:before="0" w:after="0"/>
              <w:pStyle w:val="Compact"/>
            </w:pPr>
            <w:r>
              <w:rPr>
                <w:sz w:val="20"/>
                <w:szCs w:val="20"/>
              </w:rPr>
              <w:t xml:space="preserve">[-960.5051, -461.8375]</w:t>
            </w:r>
          </w:p>
        </w:tc>
      </w:tr>
    </w:tbl>
    <w:p>
      <w:pPr>
        <w:pStyle w:val="BodyText"/>
      </w:pPr>
      <w:r>
        <w:t xml:space="preserve">Fit: N = 49 R2 = 0.8758 R2_adj = 0.8613 F = 28202.2527 F_p = 1.342e-75</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2026-06-27T13:10:36Z</dcterms:created>
  <dcterms:modified xsi:type="dcterms:W3CDTF">2026-06-27T13:10:36Z</dcterms:modified>
</cp:coreProperties>
</file>

<file path=docProps/custom.xml><?xml version="1.0" encoding="utf-8"?>
<Properties xmlns="http://schemas.openxmlformats.org/officeDocument/2006/custom-properties" xmlns:vt="http://schemas.openxmlformats.org/officeDocument/2006/docPropsVTypes"/>
</file>