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SINGLE POINT OF TRUST: QUANTIFYING THE CIVIL AND ECONOMIC EXPOSURE TO GPS AS THE SOLE NATIONAL POSITIONING, NAVIGATION, AND TIMING UTILITY</w:t>
      </w:r>
    </w:p>
    <w:p>
      <w:pPr>
        <w:jc w:val="center"/>
      </w:pPr>
    </w:p>
    <w:p>
      <w:pPr>
        <w:jc w:val="center"/>
      </w:pPr>
      <w:r>
        <w:rPr>
          <w:rFonts w:ascii="Times New Roman" w:hAnsi="Times New Roman"/>
          <w:sz w:val="24"/>
        </w:rPr>
        <w:t>by</w:t>
      </w:r>
    </w:p>
    <w:p>
      <w:pPr>
        <w:jc w:val="center"/>
      </w:pPr>
      <w:r>
        <w:rPr>
          <w:rFonts w:ascii="Times New Roman" w:hAnsi="Times New Roman"/>
          <w:b/>
          <w:sz w:val="28"/>
        </w:rPr>
        <w:t>Aaron Cho</w:t>
      </w:r>
    </w:p>
    <w:p>
      <w:pPr>
        <w:jc w:val="center"/>
      </w:pPr>
      <w:r>
        <w:rPr>
          <w:rFonts w:ascii="Times New Roman" w:hAnsi="Times New Roman"/>
          <w:sz w:val="24"/>
        </w:rPr>
        <w:t>1B-ITI-129</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The Global Positioning System occupies an unusual place in the architecture of the American economy. It is a military system, owned and operated by the United States Space Force through the Second Space Operations Squadron, and it is simultaneously a civil utility supplied without charge or contract to any user with a receiver</w:t>
      </w:r>
      <w:r>
        <w:t xml:space="preserve"> </w:t>
      </w:r>
      <w:hyperlink w:anchor="ref-5">
        <w:r>
          <w:rPr>
            <w:rStyle w:val="Hyperlink"/>
          </w:rPr>
          <w:t xml:space="preserve">[5]</w:t>
        </w:r>
      </w:hyperlink>
      <w:r>
        <w:t xml:space="preserve">. Over four decades the civil side of that dual character has come to dominate the system’s economic footprint. Financial settlement, electrical grid synchronization, telecommunications timing, surface freight routing, and the operation of the national airspace each depend on the GPS broadcast as a single national source of position, navigation, and timing (PNT) information. The space-economy literature treats this pattern as a structural feature of the modern economy rather than as a contingent technical detail: the OECD and the broader space-economy forecasting community identify PNT as one of a small set of space-derived services on which terrestrial infrastructure has come to depend</w:t>
      </w:r>
      <w:r>
        <w:t xml:space="preserve"> </w:t>
      </w:r>
      <w:hyperlink w:anchor="ref-1">
        <w:r>
          <w:rPr>
            <w:rStyle w:val="Hyperlink"/>
          </w:rPr>
          <w:t xml:space="preserve">[1]</w:t>
        </w:r>
      </w:hyperlink>
      <w:r>
        <w:t xml:space="preserve">[8], the architecture-and-norms literature describes the resulting</w:t>
      </w:r>
      <w:r>
        <w:t xml:space="preserve"> </w:t>
      </w:r>
      <w:r>
        <w:t xml:space="preserve">“unintended and unexpected degradation of critical infrastructure services such as GPS and communications systems”</w:t>
      </w:r>
      <w:r>
        <w:t xml:space="preserve"> </w:t>
      </w:r>
      <w:r>
        <w:t xml:space="preserve">when the space layer is perturbed</w:t>
      </w:r>
      <w:r>
        <w:t xml:space="preserve"> </w:t>
      </w:r>
      <w:hyperlink w:anchor="ref-2">
        <w:r>
          <w:rPr>
            <w:rStyle w:val="Hyperlink"/>
          </w:rPr>
          <w:t xml:space="preserve">[2]</w:t>
        </w:r>
      </w:hyperlink>
      <w:r>
        <w:t xml:space="preserve">[4], and the integrated-deterrence literature reaches the same conclusion from the security side by observing that the United States economy is now</w:t>
      </w:r>
      <w:r>
        <w:t xml:space="preserve"> </w:t>
      </w:r>
      <w:r>
        <w:t xml:space="preserve">“more dependent on space-based infrastructures like satellite networks for communications, GPS, and geospatial intelligence”</w:t>
      </w:r>
      <w:r>
        <w:t xml:space="preserve"> </w:t>
      </w:r>
      <w:r>
        <w:t xml:space="preserve">than at any prior point</w:t>
      </w:r>
      <w:r>
        <w:t xml:space="preserve"> </w:t>
      </w:r>
      <w:hyperlink w:anchor="ref-3">
        <w:r>
          <w:rPr>
            <w:rStyle w:val="Hyperlink"/>
          </w:rPr>
          <w:t xml:space="preserve">[3]</w:t>
        </w:r>
      </w:hyperlink>
      <w:r>
        <w:t xml:space="preserve">.</w:t>
      </w:r>
    </w:p>
    <w:p>
      <w:pPr>
        <w:pStyle w:val="BodyText"/>
        <w:spacing w:line="480" w:lineRule="auto"/>
        <w:ind w:firstLine="720"/>
      </w:pPr>
      <w:r>
        <w:t xml:space="preserve">This dissertation calls the resulting structure a single point of trust. The phrasing is deliberate. The civil reliance on GPS is not a single point of failure in the engineering sense, because partial degradation is the more common operational case; it is a single point of trust in the institutional sense, because the entire civil downstream proceeds on the assumption that the broadcast is available, accurate, and unimpeachable, and that assumption is not priced, not contracted, and not insured. The civil user neither sees the constellation status board nor reads the acquisition oversight record, and the civil user therefore cannot distinguish a routine maneuver from a sustained degradation until downstream services begin to fail. The institutional question for federal stakeholders is what the civil economy stands to lose, in dollars and in hours, when that trust is perturbed; that question is the object of the dissertation.</w:t>
      </w:r>
    </w:p>
    <w:bookmarkEnd w:id="61"/>
    <w:bookmarkStart w:id="62" w:name="stakes-for-nasa-and-jpl"/>
    <w:p>
      <w:pPr>
        <w:pStyle w:val="Heading2"/>
        <w:spacing w:line="480" w:lineRule="auto"/>
      </w:pPr>
      <w:r>
        <w:t xml:space="preserve">1.2 Stakes for NASA and JPL</w:t>
      </w:r>
    </w:p>
    <w:p>
      <w:pPr>
        <w:pStyle w:val="FirstParagraph"/>
        <w:spacing w:line="480" w:lineRule="auto"/>
      </w:pPr>
      <w:r>
        <w:t xml:space="preserve">The stakes are not abstract. They concentrate in two federal stakeholders whose missions the dissertation is shaped to inform. The first is the National Aeronautics and Space Administration, which is simultaneously a heavy civil user of GPS, a sponsor of alternative PNT research, and the institutional home of the science programs that would be asked to absorb any reallocation of space-infrastructure investment if a national exposure estimate motivated such reallocation. NASA’s Earth-science missions calibrate against GPS, its launch ranges depend on GPS PNT for safety services, and its aeronautics research portfolio underwrites the autonomous flight-safety systems that are intended to remain operational under GNSS degradation</w:t>
      </w:r>
      <w:r>
        <w:t xml:space="preserve"> </w:t>
      </w:r>
      <w:hyperlink w:anchor="ref-9">
        <w:r>
          <w:rPr>
            <w:rStyle w:val="Hyperlink"/>
          </w:rPr>
          <w:t xml:space="preserve">[9]</w:t>
        </w:r>
      </w:hyperlink>
      <w:r>
        <w:t xml:space="preserve">. A defensible civil-loss estimate gives NASA a quantitative basis to argue for, or against, expansion of alternative-PNT research programs against competing claims on its discretionary budget. The Acta Astronautica record establishes that the engineering community has begun to invest in visual-based PNT alternatives precisely because the single-point-of-trust pattern is recognized as untenable in the limit</w:t>
      </w:r>
      <w:r>
        <w:t xml:space="preserve"> </w:t>
      </w:r>
      <w:hyperlink w:anchor="ref-10">
        <w:r>
          <w:rPr>
            <w:rStyle w:val="Hyperlink"/>
          </w:rPr>
          <w:t xml:space="preserve">[10]</w:t>
        </w:r>
      </w:hyperlink>
      <w:r>
        <w:t xml:space="preserve">, but the case for that investment at scale is currently made against qualitative narratives rather than against a priced civil exposure.</w:t>
      </w:r>
    </w:p>
    <w:p>
      <w:pPr>
        <w:pStyle w:val="BodyText"/>
        <w:spacing w:line="480" w:lineRule="auto"/>
        <w:ind w:firstLine="720"/>
      </w:pPr>
      <w:r>
        <w:t xml:space="preserve">The second stakeholder is the Jet Propulsion Laboratory. JPL’s relevance is twofold. It is a federally funded research and development center whose science programs share the discretionary budget envelope that any large new resilience program would draw from, so the magnitude of the civil exposure matters directly to the framing of competing claims. It is also a major engineering authority on deep-space PNT architectures and on the lunar PNT systems that will, within a decade, extend the GPS-style single-utility pattern beyond the Earth-orbital regime if it is not corrected at the policy level</w:t>
      </w:r>
      <w:r>
        <w:t xml:space="preserve"> </w:t>
      </w:r>
      <w:hyperlink w:anchor="ref-27">
        <w:r>
          <w:rPr>
            <w:rStyle w:val="Hyperlink"/>
          </w:rPr>
          <w:t xml:space="preserve">[27]</w:t>
        </w:r>
      </w:hyperlink>
      <w:r>
        <w:t xml:space="preserve">. A dissertation that quantifies the civil exposure on Earth is therefore directly applicable to the architectural choices JPL is making for the cislunar regime, where the cost of repeating the single-point-of-trust pattern will be borne by a still smaller user base with fewer alternatives. The United States Government Accountability Office has documented the acquisition record of the terrestrial GPS program in detail, including the schedule slips of the Block III replenishment effort and the resulting reliance on legacy vehicles operated past their contractor design life</w:t>
      </w:r>
      <w:r>
        <w:t xml:space="preserve"> </w:t>
      </w:r>
      <w:hyperlink w:anchor="ref-6">
        <w:r>
          <w:rPr>
            <w:rStyle w:val="Hyperlink"/>
          </w:rPr>
          <w:t xml:space="preserve">[6]</w:t>
        </w:r>
      </w:hyperlink>
      <w:r>
        <w:t xml:space="preserve">[7][13], and the dissertation reads that acquisition record as the operational expression of the single-point-of-trust pattern that NASA and JPL together are positioned to address.</w:t>
      </w:r>
    </w:p>
    <w:bookmarkEnd w:id="62"/>
    <w:bookmarkStart w:id="63" w:name="the-gap-in-the-literature"/>
    <w:p>
      <w:pPr>
        <w:pStyle w:val="Heading2"/>
        <w:spacing w:line="480" w:lineRule="auto"/>
      </w:pPr>
      <w:r>
        <w:t xml:space="preserve">1.3 The Gap in the Literature</w:t>
      </w:r>
    </w:p>
    <w:p>
      <w:pPr>
        <w:pStyle w:val="FirstParagraph"/>
        <w:spacing w:line="480" w:lineRule="auto"/>
      </w:pPr>
      <w:r>
        <w:t xml:space="preserve">The literatures relevant to the problem fall into two camps that do not currently speak to one another with the precision the policy question requires. The first is the space-economy and space-policy domain literature. It establishes the qualitative claim with care. The OECD forecasting work aggregates upstream and downstream space-economy activity at the sector level and identifies PNT as a service whose terrestrial value substantially exceeds its upstream cost of supply</w:t>
      </w:r>
      <w:r>
        <w:t xml:space="preserve"> </w:t>
      </w:r>
      <w:hyperlink w:anchor="ref-1">
        <w:r>
          <w:rPr>
            <w:rStyle w:val="Hyperlink"/>
          </w:rPr>
          <w:t xml:space="preserve">[1]</w:t>
        </w:r>
      </w:hyperlink>
      <w:r>
        <w:t xml:space="preserve">[8]. The architecture-and-norms literature lays out the mechanism by which civilian reliance produced unintended cascading degradations when the space layer is perturbed</w:t>
      </w:r>
      <w:r>
        <w:t xml:space="preserve"> </w:t>
      </w:r>
      <w:hyperlink w:anchor="ref-2">
        <w:r>
          <w:rPr>
            <w:rStyle w:val="Hyperlink"/>
          </w:rPr>
          <w:t xml:space="preserve">[2]</w:t>
        </w:r>
      </w:hyperlink>
      <w:r>
        <w:t xml:space="preserve">[4]. The integrated-deterrence literature couples the civilian dependency to the strategic posture of the United States and frames the resulting exposure as a national-security variable</w:t>
      </w:r>
      <w:r>
        <w:t xml:space="preserve"> </w:t>
      </w:r>
      <w:hyperlink w:anchor="ref-3">
        <w:r>
          <w:rPr>
            <w:rStyle w:val="Hyperlink"/>
          </w:rPr>
          <w:t xml:space="preserve">[3]</w:t>
        </w:r>
      </w:hyperlink>
      <w:r>
        <w:t xml:space="preserve">. The engineering literature in the same domain extends the picture from the side of the constellation: the realized operational life of GPS satellites systematically exceeds the contractor design life, replenishment programs slip, and continuity of the broadcast has rested on operating older vehicles past their warranties</w:t>
      </w:r>
      <w:r>
        <w:t xml:space="preserve"> </w:t>
      </w:r>
      <w:hyperlink w:anchor="ref-5">
        <w:r>
          <w:rPr>
            <w:rStyle w:val="Hyperlink"/>
          </w:rPr>
          <w:t xml:space="preserve">[5]</w:t>
        </w:r>
      </w:hyperlink>
      <w:r>
        <w:t xml:space="preserve">[6][7]. None of this domain literature, however, produces an identified, sector-decomposed, dollar-denominated estimate of what the civil economy loses when the broadcast is degraded.</w:t>
      </w:r>
    </w:p>
    <w:p>
      <w:pPr>
        <w:pStyle w:val="BodyText"/>
        <w:spacing w:line="480" w:lineRule="auto"/>
        <w:ind w:firstLine="720"/>
      </w:pPr>
      <w:r>
        <w:t xml:space="preserve">The second relevant literature is the econometric-method literature on causal estimation from observational data, specifically the difference-in-differences and event-study designs that have become standard in labor and public finance, the synthetic control method, and the survival-analysis tradition that handles censored time-to-event data with established estimators. This literature is mature, replicable, and well-suited to the kind of natural-experiment variation that documented GPS interference events supply. The problem is that the domain literature on PNT exposure and the method literature on causal estimation have not been joined. The methodological apparatus that could turn the documented GPS interference record into an identified civil-loss estimate is well understood by economists; the domain knowledge of which interference events to treat as exogenous, which civil outcomes are mechanistically sensitive to PNT timing or positioning, and which datasets at which frequencies will carry the signal is held by the space-policy and space-engineering communities. The two literatures have so far passed each other.</w:t>
      </w:r>
    </w:p>
    <w:p>
      <w:pPr>
        <w:pStyle w:val="BodyText"/>
        <w:spacing w:line="480" w:lineRule="auto"/>
        <w:ind w:firstLine="720"/>
      </w:pPr>
      <w:r>
        <w:t xml:space="preserve">The gap this dissertation closes is therefore not a gap in either literature taken alone. It is the gap between them. The dissertation imports the disciplined identification strategies of the econometric method literature and applies them to the documented GPS PNT interference record with the domain knowledge required to select treatments, outcomes, and controls correctly. The two empirical papers that ground the dissertation already foreshadow the joining. The first paper estimates the realized operational lifetime of GPS satellites against contractor design life using ordinary least squares on a vehicle-level cross-section, and reports that older blocks have outlived their warranties by approximately a decade conditional on launch year, with the IIR-M cohort carrying a point estimate of 10.81 years of overrun against the Block IIA reference at a t statistic above 5; this is the supply-side expression of the single-point-of-trust pattern. The second paper estimates a Cox proportional-hazards model on the time-to-restoration of twenty-eight documented GPS PNT interference events drawn from the U.S. Coast Guard Navigation Center and FAA records</w:t>
      </w:r>
      <w:r>
        <w:t xml:space="preserve"> </w:t>
      </w:r>
      <w:hyperlink w:anchor="ref-11">
        <w:r>
          <w:rPr>
            <w:rStyle w:val="Hyperlink"/>
          </w:rPr>
          <w:t xml:space="preserve">[11]</w:t>
        </w:r>
      </w:hyperlink>
      <w:r>
        <w:t xml:space="preserve">[12][14], and reports that the footprint coefficient is negative and statistically distinguishable at conventional thresholds, that is, larger affected regions remain degraded longer rather than shorter, contrary to the institutional prior. Together those two studies establish that disciplined estimation is feasible on both sides of the exposure and that the domain priors do not always survive contact with the data.</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dissertation rests on a single falsifiable claim. The claim is stated precisely here so that the chapters that follow can be evaluated against it.</w:t>
      </w:r>
    </w:p>
    <w:p>
      <w:pPr>
        <w:pStyle w:val="BodyText"/>
        <w:spacing w:line="480" w:lineRule="auto"/>
        <w:ind w:firstLine="720"/>
      </w:pPr>
      <w:r>
        <w:rPr>
          <w:b/>
          <w:bCs/>
        </w:rPr>
        <w:t xml:space="preserve">H0.</w:t>
      </w:r>
      <w:r>
        <w:t xml:space="preserve"> </w:t>
      </w:r>
      <w:r>
        <w:t xml:space="preserve">During documented exogenous GPS PNT degradation windows, sector-level daily economic activity in affected geographies is statistically indistinguishable from activity in matched unaffected geographies, conditional on covariates.</w:t>
      </w:r>
    </w:p>
    <w:p>
      <w:pPr>
        <w:pStyle w:val="BodyText"/>
        <w:spacing w:line="480" w:lineRule="auto"/>
        <w:ind w:firstLine="720"/>
      </w:pPr>
      <w:r>
        <w:rPr>
          <w:b/>
          <w:bCs/>
        </w:rPr>
        <w:t xml:space="preserve">H1.</w:t>
      </w:r>
      <w:r>
        <w:t xml:space="preserve"> </w:t>
      </w:r>
      <w:r>
        <w:t xml:space="preserve">During documented exogenous GPS PNT degradation windows, sector-level daily economic activity in affected geographies declines by a measurable and statistically significant amount relative to matched unaffected geographies, with the largest declines concentrated in sectors whose operational dependence on PNT timing or positioning is documented in advance: financial settlement, electric grid balancing, surface freight, and aviation operations.</w:t>
      </w:r>
    </w:p>
    <w:p>
      <w:pPr>
        <w:pStyle w:val="BodyText"/>
        <w:spacing w:line="480" w:lineRule="auto"/>
        <w:ind w:firstLine="720"/>
      </w:pPr>
      <w:r>
        <w:t xml:space="preserve">The contribution of the dissertation is the rejection or failure-to-reject of H0 in favor of H1, with a defensible point estimate and confidence interval on the conditional daily loss, decomposed by sector, and aggregated to a national figure using sector weights from the national accounts. The estimate is conditional on the documented event class and is reported that way; the dissertation does not claim to estimate the loss from a hypothetical sustained national outage, because the documented record does not support that extrapolation, and the dissertation will state the extrapolation bound explicitly rather than asserting it. The contribution is falsifiable in the strict Popperian sense. If the difference-in-differences specification on the documented interference record returns coefficients statistically indistinguishable from zero across the sectors with ex ante mechanistic dependence on PNT, the H0 outcome is publishable on its own merits, because it would falsify the prevailing qualitative claim that civilian GPS dependency translates into immediately measurable civil loss at the frequencies the public record supports.</w:t>
      </w:r>
    </w:p>
    <w:p>
      <w:pPr>
        <w:pStyle w:val="BodyText"/>
        <w:spacing w:line="480" w:lineRule="auto"/>
        <w:ind w:firstLine="720"/>
      </w:pPr>
      <w:r>
        <w:t xml:space="preserve">The estimator is a staggered difference-in-differences design with matched controls on sector-by-region-by-day data, where the treatment is a documented GPS degradation event with a defined geographic footprint and a defined start and end time. Treatment events are drawn from the FAA GPS interference reporting threaded through Notices to Air Missions</w:t>
      </w:r>
      <w:r>
        <w:t xml:space="preserve"> </w:t>
      </w:r>
      <w:hyperlink w:anchor="ref-12">
        <w:r>
          <w:rPr>
            <w:rStyle w:val="Hyperlink"/>
          </w:rPr>
          <w:t xml:space="preserve">[12]</w:t>
        </w:r>
      </w:hyperlink>
      <w:r>
        <w:t xml:space="preserve"> </w:t>
      </w:r>
      <w:r>
        <w:t xml:space="preserve">and from the U.S. Coast Guard Navigation Center GPS Problem Reports archive</w:t>
      </w:r>
      <w:r>
        <w:t xml:space="preserve"> </w:t>
      </w:r>
      <w:hyperlink w:anchor="ref-11">
        <w:r>
          <w:rPr>
            <w:rStyle w:val="Hyperlink"/>
          </w:rPr>
          <w:t xml:space="preserve">[11]</w:t>
        </w:r>
      </w:hyperlink>
      <w:r>
        <w:t xml:space="preserve">, cross-validated to reduce treatment-definition error. Sector outcomes are drawn from the FAA Aviation System Performance Metrics and Operations Network for aviation, from Federal Reserve Fedwire aggregate volume statistics for financial settlement, from EIA Form 930 hourly balancing-authority operations for grid stress, and from Bureau of Transportation Statistics surface-freight indices for logistics. All datasets are obtainable without restricted access; a provenance manifest with retrieval dates and version hashes will accompany the analysis code. The identifying assumption is parallel trends between treated and control regions in the absence of the degradation event; the assumption is testable in the pre-treatment window, and the robustness program includes placebo events, event-study leads and lags, a synthetic control specification as an alternative counterfactual, and heterogeneity tests across sectors with ex ante different PNT dependence.</w:t>
      </w:r>
    </w:p>
    <w:p>
      <w:pPr>
        <w:pStyle w:val="BodyText"/>
        <w:spacing w:line="480" w:lineRule="auto"/>
        <w:ind w:firstLine="720"/>
      </w:pPr>
      <w:r>
        <w:t xml:space="preserve">The single contribution can therefore be summarized in one sentence: the dissertation produces a defensible, replicable, sector-decomposed estimate of conditional daily civil-economic loss under documented exogenous GPS PNT degradation, with a credible counterfactual, suitable for input to space-infrastructure policy at NASA, at JPL, and at the agencies that share the federal envelope with them.</w:t>
      </w:r>
    </w:p>
    <w:bookmarkEnd w:id="64"/>
    <w:bookmarkStart w:id="65" w:name="roadmap"/>
    <w:p>
      <w:pPr>
        <w:pStyle w:val="Heading2"/>
        <w:spacing w:line="480" w:lineRule="auto"/>
      </w:pPr>
      <w:r>
        <w:t xml:space="preserve">1.5 Roadmap</w:t>
      </w:r>
    </w:p>
    <w:p>
      <w:pPr>
        <w:pStyle w:val="FirstParagraph"/>
        <w:spacing w:line="480" w:lineRule="auto"/>
      </w:pPr>
      <w:r>
        <w:t xml:space="preserve">The remainder of the dissertation proceeds in five chapters. Chapter 2 reviews the two literatures that the dissertation joins. The space-economy and space-policy review traces the qualitative claim of structural PNT dependency from the OECD forecasting tradition through the architecture-and-norms framing to the integrated-deterrence literature</w:t>
      </w:r>
      <w:r>
        <w:t xml:space="preserve"> </w:t>
      </w:r>
      <w:hyperlink w:anchor="ref-1">
        <w:r>
          <w:rPr>
            <w:rStyle w:val="Hyperlink"/>
          </w:rPr>
          <w:t xml:space="preserve">[1]</w:t>
        </w:r>
      </w:hyperlink>
      <w:r>
        <w:t xml:space="preserve">[2][3][4][8], and it pairs that civil-side review with the engineering-side review of the GPS constellation acquisition record and on-orbit lifetime overrun</w:t>
      </w:r>
      <w:r>
        <w:t xml:space="preserve"> </w:t>
      </w:r>
      <w:hyperlink w:anchor="ref-5">
        <w:r>
          <w:rPr>
            <w:rStyle w:val="Hyperlink"/>
          </w:rPr>
          <w:t xml:space="preserve">[5]</w:t>
        </w:r>
      </w:hyperlink>
      <w:r>
        <w:t xml:space="preserve">[6][7]. The methodological review covers the difference-in-differences and event-study traditions, the synthetic control method, and the survival-analysis machinery the dissertation already uses on the duration side. Chapter 2 closes with a precise statement of the joining: the analytical equipment the dissertation borrows from each literature, and the constraints each literature places on the design.</w:t>
      </w:r>
    </w:p>
    <w:p>
      <w:pPr>
        <w:pStyle w:val="BodyText"/>
        <w:spacing w:line="480" w:lineRule="auto"/>
        <w:ind w:firstLine="720"/>
      </w:pPr>
      <w:r>
        <w:t xml:space="preserve">Chapter 3 develops the data architecture. It documents the treatment-definition pipeline that fuses the FAA interference reporting</w:t>
      </w:r>
      <w:r>
        <w:t xml:space="preserve"> </w:t>
      </w:r>
      <w:hyperlink w:anchor="ref-12">
        <w:r>
          <w:rPr>
            <w:rStyle w:val="Hyperlink"/>
          </w:rPr>
          <w:t xml:space="preserve">[12]</w:t>
        </w:r>
      </w:hyperlink>
      <w:r>
        <w:t xml:space="preserve"> </w:t>
      </w:r>
      <w:r>
        <w:t xml:space="preserve">with the USCG NAVCEN archive</w:t>
      </w:r>
      <w:r>
        <w:t xml:space="preserve"> </w:t>
      </w:r>
      <w:hyperlink w:anchor="ref-11">
        <w:r>
          <w:rPr>
            <w:rStyle w:val="Hyperlink"/>
          </w:rPr>
          <w:t xml:space="preserve">[11]</w:t>
        </w:r>
      </w:hyperlink>
      <w:r>
        <w:t xml:space="preserve">, the rules for inclusion and exclusion against the published record, and the cross-validation procedure used to reduce treatment-definition error. It documents the four sector-outcome series and the construction of the daily panel. It then documents the matched-control construction and the pre-treatment window used to assess parallel trends. The chapter closes with the data manifest and the provenance log that will accompany the analysis code, in keeping with the data-discipline rule that any non-public-record numeric value is to be flagged explicitly.</w:t>
      </w:r>
    </w:p>
    <w:p>
      <w:pPr>
        <w:pStyle w:val="BodyText"/>
        <w:spacing w:line="480" w:lineRule="auto"/>
        <w:ind w:firstLine="720"/>
      </w:pPr>
      <w:r>
        <w:t xml:space="preserve">Chapter 4 reports the supply-side empirical paper on GPS satellite lifetime overrun. The chapter reproduces the cross-sectional OLS estimate of operational life on contractor design life, launch year, and block dummies for the forty-nine vehicles of the constellation against the Block IIA reference, and develops the substantive reading of the older-block coefficients as the operational expression of the single-point-of-trust pattern. The chapter reads the GPS III acquisition record from the GAO oversight body</w:t>
      </w:r>
      <w:r>
        <w:t xml:space="preserve"> </w:t>
      </w:r>
      <w:hyperlink w:anchor="ref-6">
        <w:r>
          <w:rPr>
            <w:rStyle w:val="Hyperlink"/>
          </w:rPr>
          <w:t xml:space="preserve">[6]</w:t>
        </w:r>
      </w:hyperlink>
      <w:r>
        <w:t xml:space="preserve">[7][13] as the institutional context in which the lifetime overrun has accumulated, and it places the result against the broader constellation-acquisition literature.</w:t>
      </w:r>
    </w:p>
    <w:p>
      <w:pPr>
        <w:pStyle w:val="BodyText"/>
        <w:spacing w:line="480" w:lineRule="auto"/>
        <w:ind w:firstLine="720"/>
      </w:pPr>
      <w:r>
        <w:t xml:space="preserve">Chapter 5 reports the duration-side empirical paper. It presents the Cox proportional-hazards estimate on twenty-eight documented GPS PNT interference events between 2017 and 2025, with covariates for footprint, severity, civil-aviation impact, and reporting lag. The chapter develops the substantive reading of the negative footprint coefficient and the positive reporting-lag coefficient, both of which run against the institutional prior, and it draws out the implication that civil exposure duration is bound at the detection step rather than at the notification step. It places the result against the engineering literature on alternative PNT architectures designed to be robust to GNSS jamming and against the visual-based alternative-PNT line of research</w:t>
      </w:r>
      <w:r>
        <w:t xml:space="preserve"> </w:t>
      </w:r>
      <w:hyperlink w:anchor="ref-9">
        <w:r>
          <w:rPr>
            <w:rStyle w:val="Hyperlink"/>
          </w:rPr>
          <w:t xml:space="preserve">[9]</w:t>
        </w:r>
      </w:hyperlink>
      <w:r>
        <w:t xml:space="preserve">[10].</w:t>
      </w:r>
    </w:p>
    <w:p>
      <w:pPr>
        <w:pStyle w:val="BodyText"/>
        <w:spacing w:line="480" w:lineRule="auto"/>
        <w:ind w:firstLine="720"/>
      </w:pPr>
      <w:r>
        <w:t xml:space="preserve">Chapter 6 reports the principal empirical contribution. It develops the staggered difference-in-differences specification, the matched-control construction, and the event-study leads and lags. It reports the sector-decomposed treatment effects on financial settlement, electric grid balancing, surface freight, and aviation operations. It reports the synthetic-control robustness check and the placebo and pre-trend diagnostics. It aggregates the sector estimates to a national conditional daily loss figure using sector weights from the national accounts, and it reports the confidence interval. Chapter 6 closes with the explicit discussion of the extrapolation bound, that is, the limits within which the conditional short-window estimate can and cannot inform claims about a sustained national outage.</w:t>
      </w:r>
    </w:p>
    <w:p>
      <w:pPr>
        <w:pStyle w:val="BodyText"/>
        <w:spacing w:line="480" w:lineRule="auto"/>
        <w:ind w:firstLine="720"/>
      </w:pPr>
      <w:r>
        <w:t xml:space="preserve">Chapter 7 returns to the stakeholders. It places the estimate against the NASA decision context, with particular reference to the alternative-PNT research portfolio and the launch-range PNT dependency. It places the same estimate against the JPL decision context, with particular reference to the architectural choices being made for cislunar PNT</w:t>
      </w:r>
      <w:r>
        <w:t xml:space="preserve"> </w:t>
      </w:r>
      <w:hyperlink w:anchor="ref-27">
        <w:r>
          <w:rPr>
            <w:rStyle w:val="Hyperlink"/>
          </w:rPr>
          <w:t xml:space="preserve">[27]</w:t>
        </w:r>
      </w:hyperlink>
      <w:r>
        <w:t xml:space="preserve"> </w:t>
      </w:r>
      <w:r>
        <w:t xml:space="preserve">and to the federal envelope within which JPL science programs compete. It reads the engineering and acquisition record of the constellation</w:t>
      </w:r>
      <w:r>
        <w:t xml:space="preserve"> </w:t>
      </w:r>
      <w:hyperlink w:anchor="ref-5">
        <w:r>
          <w:rPr>
            <w:rStyle w:val="Hyperlink"/>
          </w:rPr>
          <w:t xml:space="preserve">[5]</w:t>
        </w:r>
      </w:hyperlink>
      <w:r>
        <w:t xml:space="preserve">[6][7] against the civil-loss estimate to ask whether the realized resilience-investment trajectory is commensurate with the priced exposure. The chapter closes with the four threats to validity that bound the dissertation’s claims, and with the agenda of work that the dissertation does not undertake but which the estimate would make tractable, including the extrapolation to a sustained outage that the documented record does not currently support.</w:t>
      </w:r>
    </w:p>
    <w:p>
      <w:pPr>
        <w:pStyle w:val="BodyText"/>
        <w:spacing w:line="480" w:lineRule="auto"/>
        <w:ind w:firstLine="720"/>
      </w:pPr>
      <w:r>
        <w:t xml:space="preserve">The dissertation as a whole is therefore the joining of two literatures around a single falsifiable claim, in service of a quantitative input that the policy debate over national PNT resilience does not currently have and cannot proceed responsibly without.</w:t>
      </w:r>
    </w:p>
    <w:bookmarkEnd w:id="65"/>
    <w:bookmarkEnd w:id="66"/>
    <w:bookmarkStart w:id="87" w:name="chapter-2.-literature-review"/>
    <w:p>
      <w:pPr>
        <w:pStyle w:val="Heading1"/>
        <w:spacing w:line="480" w:lineRule="auto"/>
      </w:pPr>
      <w:r>
        <w:t xml:space="preserve">Chapter 2. Literature Review</w:t>
      </w:r>
    </w:p>
    <w:bookmarkStart w:id="67" w:name="purpose-and-organization"/>
    <w:p>
      <w:pPr>
        <w:pStyle w:val="Heading2"/>
        <w:spacing w:line="480" w:lineRule="auto"/>
      </w:pPr>
      <w:r>
        <w:t xml:space="preserve">2.1 Purpose and Organization</w:t>
      </w:r>
    </w:p>
    <w:p>
      <w:pPr>
        <w:pStyle w:val="FirstParagraph"/>
        <w:spacing w:line="480" w:lineRule="auto"/>
      </w:pPr>
      <w:r>
        <w:t xml:space="preserve">This chapter reviews two literatures that have, to date, been pursued largely in isolation from one another, and demonstrates that the analytic gap addressed by this dissertation is the absence of their join. The first literature is the technical and policy corpus on space-derived positioning, navigation, and timing (PNT) and the broader space economy, which establishes the existence, scale, and qualitative character of civil dependence on the Global Positioning System (GPS) as a single national utility. The second literature is the cliometric and applied-econometric tradition for estimating conditional civil and economic exposure from observational data, comprising survival models for time-to-restoration, quasi-experimental designs with matched controls for treatment-effect identification, and cross-sectional regression for asset-life and reliability inference. Each literature is internally coherent. Neither, on inspection, is routinely brought to bear on the other. The result is a policy domain in which the magnitude of the dependency is asserted qualitatively while the analytic toolkit that would discipline the assertion sits available but unused.</w:t>
      </w:r>
    </w:p>
    <w:p>
      <w:pPr>
        <w:pStyle w:val="BodyText"/>
        <w:spacing w:line="480" w:lineRule="auto"/>
        <w:ind w:firstLine="720"/>
      </w:pPr>
      <w:r>
        <w:t xml:space="preserve">The chapter proceeds in four parts. Section 2.2 reviews the space-economy and PNT-dependency literature and extracts from it the precise empirical objects that a civil-exposure estimation would require. Section 2.3 reviews the adjacent technical and policy-instrumentation literatures from which the dependency claim draws its physical and institutional content, including the constellation-management, alternate-PNT, and space-situational-awareness corpora. Section 2.4 reviews the cliometric and econometric methodology literature applicable to civil-exposure estimation, organized by the three identification strategies operationalized in the two empirical papers of this dissertation and the dissertation core: cross-sectional regression for asset-life inference, survival analysis for time-to-restoration, and difference-in-differences with matched controls for treatment-effect estimation. Section 2.5 synthesizes the two literatures, demonstrates that the analytic gap is the join, and locates the contribution of the dissertation within that gap.</w:t>
      </w:r>
    </w:p>
    <w:bookmarkEnd w:id="67"/>
    <w:bookmarkStart w:id="71" w:name="Xe64be97b9e13879733eb654a7a7fb2c98b5f5fc"/>
    <w:p>
      <w:pPr>
        <w:pStyle w:val="Heading2"/>
        <w:spacing w:line="480" w:lineRule="auto"/>
      </w:pPr>
      <w:r>
        <w:t xml:space="preserve">2.2 The Space-Economy and PNT-Dependency Literature</w:t>
      </w:r>
    </w:p>
    <w:bookmarkStart w:id="68" w:name="the-structural-dependency-framing"/>
    <w:p>
      <w:pPr>
        <w:pStyle w:val="Heading3"/>
        <w:spacing w:line="480" w:lineRule="auto"/>
      </w:pPr>
      <w:r>
        <w:t xml:space="preserve">2.2.1 The structural-dependency framing</w:t>
      </w:r>
    </w:p>
    <w:p>
      <w:pPr>
        <w:pStyle w:val="FirstParagraph"/>
        <w:spacing w:line="480" w:lineRule="auto"/>
      </w:pPr>
      <w:r>
        <w:t xml:space="preserve">The space-economy literature has converged on the proposition that the terrestrial economy has become structurally dependent on a small set of space-derived services, of which PNT is the most thoroughly embedded. The OECD framing of the space economy treats PNT, satellite communications, and Earth observation as the three principal downstream services on which the terrestrial economy draws, and forecasts continued growth in downstream dependence as a function of the price and reliability of the upstream broadcast</w:t>
      </w:r>
      <w:r>
        <w:t xml:space="preserve"> </w:t>
      </w:r>
      <w:hyperlink w:anchor="ref-1">
        <w:r>
          <w:rPr>
            <w:rStyle w:val="Hyperlink"/>
          </w:rPr>
          <w:t xml:space="preserve">[1]</w:t>
        </w:r>
      </w:hyperlink>
      <w:r>
        <w:t xml:space="preserve">[8]. The forecasting tradition aggregates upstream manufacturing and launch activity with downstream services and applications, but it does so without isolating the counterfactual of service loss. The result is a corpus that documents the scale of the dependency without quantifying the exposure that the dependency implies.</w:t>
      </w:r>
    </w:p>
    <w:p>
      <w:pPr>
        <w:pStyle w:val="BodyText"/>
        <w:spacing w:line="480" w:lineRule="auto"/>
        <w:ind w:firstLine="720"/>
      </w:pPr>
      <w:r>
        <w:t xml:space="preserve">The architectural socio-technological norms literature reaches the same proposition from a different direction. The transformation of space-use norms has, on this account, produced a state of affairs in which worldwide reliance on PNT and communications systems has yielded</w:t>
      </w:r>
      <w:r>
        <w:t xml:space="preserve"> </w:t>
      </w:r>
      <w:r>
        <w:t xml:space="preserve">“unintended and unexpected degradation of critical infrastructure services such as GPS and communications systems”</w:t>
      </w:r>
      <w:r>
        <w:t xml:space="preserve"> </w:t>
      </w:r>
      <w:r>
        <w:t xml:space="preserve">when the space layer is perturbed</w:t>
      </w:r>
      <w:r>
        <w:t xml:space="preserve"> </w:t>
      </w:r>
      <w:hyperlink w:anchor="ref-2">
        <w:r>
          <w:rPr>
            <w:rStyle w:val="Hyperlink"/>
          </w:rPr>
          <w:t xml:space="preserve">[2]</w:t>
        </w:r>
      </w:hyperlink>
      <w:r>
        <w:t xml:space="preserve">. The diagnostic value of the norms framing is its insistence that the dependency is not a static feature of the present technological stack but an outcome of cumulative governance choices over decades. The limitation, for the civil-exposure question, is that the framing treats the dependency as a governance and norms problem rather than a measurement problem, and accordingly does not produce a quantitative civilian exposure estimate.</w:t>
      </w:r>
    </w:p>
    <w:p>
      <w:pPr>
        <w:pStyle w:val="BodyText"/>
        <w:spacing w:line="480" w:lineRule="auto"/>
        <w:ind w:firstLine="720"/>
      </w:pPr>
      <w:r>
        <w:t xml:space="preserve">The integrated-deterrence literature recapitulates the structural-dependency claim from the security side, observing that economies are</w:t>
      </w:r>
      <w:r>
        <w:t xml:space="preserve"> </w:t>
      </w:r>
      <w:r>
        <w:t xml:space="preserve">“more dependent on space-based infrastructures like satellite networks for communications, GPS, and geospatial intelligence”</w:t>
      </w:r>
      <w:r>
        <w:t xml:space="preserve"> </w:t>
      </w:r>
      <w:r>
        <w:t xml:space="preserve">than at any prior point, and that this dependence constitutes a strategic exposure</w:t>
      </w:r>
      <w:r>
        <w:t xml:space="preserve"> </w:t>
      </w:r>
      <w:hyperlink w:anchor="ref-3">
        <w:r>
          <w:rPr>
            <w:rStyle w:val="Hyperlink"/>
          </w:rPr>
          <w:t xml:space="preserve">[3]</w:t>
        </w:r>
      </w:hyperlink>
      <w:r>
        <w:t xml:space="preserve">. The role-of-space literature on sustainability, security, and development expands the same point into the development and resilience policy register, identifying PNT as a foundational service for which the terrestrial substitutes are either absent or operationally inferior</w:t>
      </w:r>
      <w:r>
        <w:t xml:space="preserve"> </w:t>
      </w:r>
      <w:hyperlink w:anchor="ref-4">
        <w:r>
          <w:rPr>
            <w:rStyle w:val="Hyperlink"/>
          </w:rPr>
          <w:t xml:space="preserve">[4]</w:t>
        </w:r>
      </w:hyperlink>
      <w:r>
        <w:t xml:space="preserve">. Across these four corpus entries, the convergent finding is qualitative: PNT is a structural dependency, and the dependency is increasing. The corpus does not provide a sector-decomposed estimate of the conditional daily economic loss that the dependency implies under degradation, and it does not provide an estimate of the duration of civil exposure once a degradation event has begun.</w:t>
      </w:r>
    </w:p>
    <w:bookmarkEnd w:id="68"/>
    <w:bookmarkStart w:id="69" w:name="X192aa78b9f6618d71936ea689b4a4fcc1cedc4d"/>
    <w:p>
      <w:pPr>
        <w:pStyle w:val="Heading3"/>
        <w:spacing w:line="480" w:lineRule="auto"/>
      </w:pPr>
      <w:r>
        <w:t xml:space="preserve">2.2.2 Sector-level dependencies internal to the corpus</w:t>
      </w:r>
    </w:p>
    <w:p>
      <w:pPr>
        <w:pStyle w:val="FirstParagraph"/>
        <w:spacing w:line="480" w:lineRule="auto"/>
      </w:pPr>
      <w:r>
        <w:t xml:space="preserve">Within the space-economy corpus, the sectoral footprint of PNT dependency is identified at the level of qualitative inventory rather than quantitative attribution. The OCEA forecasting work identifies financial settlement, electric power, telecommunications, surface transportation, and aviation as the principal civil consumers of the GPS timing and positioning broadcast</w:t>
      </w:r>
      <w:r>
        <w:t xml:space="preserve"> </w:t>
      </w:r>
      <w:hyperlink w:anchor="ref-1">
        <w:r>
          <w:rPr>
            <w:rStyle w:val="Hyperlink"/>
          </w:rPr>
          <w:t xml:space="preserve">[1]</w:t>
        </w:r>
      </w:hyperlink>
      <w:r>
        <w:t xml:space="preserve">[8]. The integrated-deterrence and norms literatures repeat the same inventory and add the observation that the sectoral consumers have, in most cases, embedded the GPS signal at depths in their operational stacks that were never designed around signal loss</w:t>
      </w:r>
      <w:r>
        <w:t xml:space="preserve"> </w:t>
      </w:r>
      <w:hyperlink w:anchor="ref-2">
        <w:r>
          <w:rPr>
            <w:rStyle w:val="Hyperlink"/>
          </w:rPr>
          <w:t xml:space="preserve">[2]</w:t>
        </w:r>
      </w:hyperlink>
      <w:r>
        <w:t xml:space="preserve">[3]. The role-of-space literature emphasizes that the embedding extends into development contexts in which alternate national PNT capacity is absent in principle, not merely degraded in practice</w:t>
      </w:r>
      <w:r>
        <w:t xml:space="preserve"> </w:t>
      </w:r>
      <w:hyperlink w:anchor="ref-4">
        <w:r>
          <w:rPr>
            <w:rStyle w:val="Hyperlink"/>
          </w:rPr>
          <w:t xml:space="preserve">[4]</w:t>
        </w:r>
      </w:hyperlink>
      <w:r>
        <w:t xml:space="preserve">. The composite picture is a high-confidence qualitative inventory of the civil sectors exposed to GPS PNT degradation, and a low-confidence quantitative account of the magnitude or duration of that exposure.</w:t>
      </w:r>
    </w:p>
    <w:bookmarkEnd w:id="69"/>
    <w:bookmarkStart w:id="70" w:name="X57586143959e0be4d5071c0478bbb3242b067f8"/>
    <w:p>
      <w:pPr>
        <w:pStyle w:val="Heading3"/>
        <w:spacing w:line="480" w:lineRule="auto"/>
      </w:pPr>
      <w:r>
        <w:t xml:space="preserve">2.2.3 The shared-information and stakeholder-coordination literature</w:t>
      </w:r>
    </w:p>
    <w:p>
      <w:pPr>
        <w:pStyle w:val="FirstParagraph"/>
        <w:spacing w:line="480" w:lineRule="auto"/>
      </w:pPr>
      <w:r>
        <w:t xml:space="preserve">A second strand within the space-policy corpus addresses the institutional substrate on which civil PNT dependency rests, namely the shared-information and stakeholder-coordination regime that governs the production and dissemination of space situational data. The cooperative-relations literature on shared space-information ecosystems argues that the resilience of civil dependence on space-derived services is a function not only of the upstream hardware but of the institutional capacity to share, verify, and act on information about the space layer’s state</w:t>
      </w:r>
      <w:r>
        <w:t xml:space="preserve"> </w:t>
      </w:r>
      <w:hyperlink w:anchor="ref-16">
        <w:r>
          <w:rPr>
            <w:rStyle w:val="Hyperlink"/>
          </w:rPr>
          <w:t xml:space="preserve">[16]</w:t>
        </w:r>
      </w:hyperlink>
      <w:r>
        <w:t xml:space="preserve">. The space-sustainability and traffic-management literature extends this observation by identifying trusted stakeholder coordination as a precondition for the preservation of the space environment on which civil PNT depends</w:t>
      </w:r>
      <w:r>
        <w:t xml:space="preserve"> </w:t>
      </w:r>
      <w:hyperlink w:anchor="ref-17">
        <w:r>
          <w:rPr>
            <w:rStyle w:val="Hyperlink"/>
          </w:rPr>
          <w:t xml:space="preserve">[17]</w:t>
        </w:r>
      </w:hyperlink>
      <w:r>
        <w:t xml:space="preserve">. The decentralized space-information-sharing literature offers a specific institutional instrument, namely a distributed and verifiable information ledger as an enabler of trust and the preservation of space</w:t>
      </w:r>
      <w:r>
        <w:t xml:space="preserve"> </w:t>
      </w:r>
      <w:hyperlink w:anchor="ref-18">
        <w:r>
          <w:rPr>
            <w:rStyle w:val="Hyperlink"/>
          </w:rPr>
          <w:t xml:space="preserve">[18]</w:t>
        </w:r>
      </w:hyperlink>
      <w:r>
        <w:t xml:space="preserve">, and the blockchain-enabled space-traffic-awareness literature operationalizes the same instrument for the automated comparison of observed behavior against agreed behavior</w:t>
      </w:r>
      <w:r>
        <w:t xml:space="preserve"> </w:t>
      </w:r>
      <w:hyperlink w:anchor="ref-19">
        <w:r>
          <w:rPr>
            <w:rStyle w:val="Hyperlink"/>
          </w:rPr>
          <w:t xml:space="preserve">[19]</w:t>
        </w:r>
      </w:hyperlink>
      <w:r>
        <w:t xml:space="preserve">. The evaluation literature on civil space situational awareness options</w:t>
      </w:r>
      <w:r>
        <w:t xml:space="preserve"> </w:t>
      </w:r>
      <w:hyperlink w:anchor="ref-20">
        <w:r>
          <w:rPr>
            <w:rStyle w:val="Hyperlink"/>
          </w:rPr>
          <w:t xml:space="preserve">[20]</w:t>
        </w:r>
      </w:hyperlink>
      <w:r>
        <w:t xml:space="preserve"> </w:t>
      </w:r>
      <w:r>
        <w:t xml:space="preserve">surveys the institutional design space within which these instruments would be deployed.</w:t>
      </w:r>
    </w:p>
    <w:p>
      <w:pPr>
        <w:pStyle w:val="BodyText"/>
        <w:spacing w:line="480" w:lineRule="auto"/>
        <w:ind w:firstLine="720"/>
      </w:pPr>
      <w:r>
        <w:t xml:space="preserve">The relevance of the shared-information literature for the present dissertation is that it locates the civil-exposure problem inside a broader institutional architecture in which the production and verification of information about the space layer is a precondition for civil resilience. The limitation is that the literature has, to date, treated information-sharing as a governance and architecture problem and has not produced quantitative civil-exposure estimates that would discipline the institutional design choices.</w:t>
      </w:r>
    </w:p>
    <w:bookmarkEnd w:id="70"/>
    <w:bookmarkEnd w:id="71"/>
    <w:bookmarkStart w:id="76" w:name="X0eca71fd853e18dd293338436133daec4a90622"/>
    <w:p>
      <w:pPr>
        <w:pStyle w:val="Heading2"/>
        <w:spacing w:line="480" w:lineRule="auto"/>
      </w:pPr>
      <w:r>
        <w:t xml:space="preserve">2.3 Adjacent Technical and Policy Literatures</w:t>
      </w:r>
    </w:p>
    <w:bookmarkStart w:id="72" w:name="X32fa5de04b6cd840ed96b99f18ef76ab1190ea1"/>
    <w:p>
      <w:pPr>
        <w:pStyle w:val="Heading3"/>
        <w:spacing w:line="480" w:lineRule="auto"/>
      </w:pPr>
      <w:r>
        <w:t xml:space="preserve">2.3.1 The constellation-management and acquisition-oversight literature</w:t>
      </w:r>
    </w:p>
    <w:p>
      <w:pPr>
        <w:pStyle w:val="FirstParagraph"/>
        <w:spacing w:line="480" w:lineRule="auto"/>
      </w:pPr>
      <w:r>
        <w:t xml:space="preserve">The technical resilience of the GPS broadcast is conditioned on the operational state of the GPS constellation, and the relevant literature is the program-management and acquisition-oversight corpus on the constellation itself. The Government Accountability Office assessments of the GPS III program identify the schedule and capability state of the successor block and document the pattern of replenishment delay that the older blocks have absorbed</w:t>
      </w:r>
      <w:r>
        <w:t xml:space="preserve"> </w:t>
      </w:r>
      <w:hyperlink w:anchor="ref-6">
        <w:r>
          <w:rPr>
            <w:rStyle w:val="Hyperlink"/>
          </w:rPr>
          <w:t xml:space="preserve">[6]</w:t>
        </w:r>
      </w:hyperlink>
      <w:r>
        <w:t xml:space="preserve">. The GAO updated schedule assessment on the broader GPS acquisition provides the corresponding diagnostic for the larger program and identifies the likely delays that decision makers will need to address</w:t>
      </w:r>
      <w:r>
        <w:t xml:space="preserve"> </w:t>
      </w:r>
      <w:hyperlink w:anchor="ref-7">
        <w:r>
          <w:rPr>
            <w:rStyle w:val="Hyperlink"/>
          </w:rPr>
          <w:t xml:space="preserve">[7]</w:t>
        </w:r>
      </w:hyperlink>
      <w:r>
        <w:t xml:space="preserve">. The Space Force and Second Space Operations Squadron status archive on gps.gov provides the operational state of the constellation at vehicle level</w:t>
      </w:r>
      <w:r>
        <w:t xml:space="preserve"> </w:t>
      </w:r>
      <w:hyperlink w:anchor="ref-5">
        <w:r>
          <w:rPr>
            <w:rStyle w:val="Hyperlink"/>
          </w:rPr>
          <w:t xml:space="preserve">[5]</w:t>
        </w:r>
      </w:hyperlink>
      <w:r>
        <w:t xml:space="preserve">. The contextual GAO oversight reports on related major NASA and space-program assessments provide adjacent diagnostic content</w:t>
      </w:r>
      <w:r>
        <w:t xml:space="preserve"> </w:t>
      </w:r>
      <w:hyperlink w:anchor="ref-13">
        <w:r>
          <w:rPr>
            <w:rStyle w:val="Hyperlink"/>
          </w:rPr>
          <w:t xml:space="preserve">[13]</w:t>
        </w:r>
      </w:hyperlink>
      <w:r>
        <w:t xml:space="preserve">.</w:t>
      </w:r>
    </w:p>
    <w:p>
      <w:pPr>
        <w:pStyle w:val="BodyText"/>
        <w:spacing w:line="480" w:lineRule="auto"/>
        <w:ind w:firstLine="720"/>
      </w:pPr>
      <w:r>
        <w:t xml:space="preserve">This literature is the source of the empirical content for the first empirical paper of this dissertation, on lifetime overrun in the GPS constellation. The paper relies on</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and</w:t>
      </w:r>
      <w:r>
        <w:t xml:space="preserve"> </w:t>
      </w:r>
      <w:hyperlink w:anchor="ref-7">
        <w:r>
          <w:rPr>
            <w:rStyle w:val="Hyperlink"/>
          </w:rPr>
          <w:t xml:space="preserve">[7]</w:t>
        </w:r>
      </w:hyperlink>
      <w:r>
        <w:t xml:space="preserve"> </w:t>
      </w:r>
      <w:r>
        <w:t xml:space="preserve">for vehicle status, decommissioning records, and design-life specification. The literature documents that the continuity of the GPS broadcast has rested, in operational practice, on the older replenishment blocks operating well past their contractor design life while the successor program absorbed schedule delay. The literature does not, however, integrate that operational pattern with a cliometric estimate of the cohort overrun that would discipline a single-point-of-trust framing of civil PNT exposure. The integration is left to the present dissertation.</w:t>
      </w:r>
    </w:p>
    <w:bookmarkEnd w:id="72"/>
    <w:bookmarkStart w:id="73" w:name="Xfc859e93490d85e9553f9addebe0c2f4ccabcb0"/>
    <w:p>
      <w:pPr>
        <w:pStyle w:val="Heading3"/>
        <w:spacing w:line="480" w:lineRule="auto"/>
      </w:pPr>
      <w:r>
        <w:t xml:space="preserve">2.3.2 The alternate-PNT and autonomous flight-safety literature</w:t>
      </w:r>
    </w:p>
    <w:p>
      <w:pPr>
        <w:pStyle w:val="FirstParagraph"/>
        <w:spacing w:line="480" w:lineRule="auto"/>
      </w:pPr>
      <w:r>
        <w:t xml:space="preserve">A distinct technical literature addresses the alternatives to and resiliencies around the GPS broadcast. The Acta Astronautica corpus on autonomous flight-safety systems robust to global navigation satellite system (GNSS) jamming identifies the design space within which civil aviation operators have attempted to harden against PNT degradation</w:t>
      </w:r>
      <w:r>
        <w:t xml:space="preserve"> </w:t>
      </w:r>
      <w:hyperlink w:anchor="ref-9">
        <w:r>
          <w:rPr>
            <w:rStyle w:val="Hyperlink"/>
          </w:rPr>
          <w:t xml:space="preserve">[9]</w:t>
        </w:r>
      </w:hyperlink>
      <w:r>
        <w:t xml:space="preserve">. The visual-based PNT alternative literature provides the architectural complement, articulating a sensor-fusion approach intended to reduce single-point dependence on the GPS broadcast for a defined operational footprint</w:t>
      </w:r>
      <w:r>
        <w:t xml:space="preserve"> </w:t>
      </w:r>
      <w:hyperlink w:anchor="ref-10">
        <w:r>
          <w:rPr>
            <w:rStyle w:val="Hyperlink"/>
          </w:rPr>
          <w:t xml:space="preserve">[10]</w:t>
        </w:r>
      </w:hyperlink>
      <w:r>
        <w:t xml:space="preserve">. The lunar navigation literature on targeted-coverage optimization with semi-analytical station-keeping models and Earth-GPS integration extends the same architectural concern into the cislunar environment, where the dependency question recurs with different boundary conditions</w:t>
      </w:r>
      <w:r>
        <w:t xml:space="preserve"> </w:t>
      </w:r>
      <w:hyperlink w:anchor="ref-27">
        <w:r>
          <w:rPr>
            <w:rStyle w:val="Hyperlink"/>
          </w:rPr>
          <w:t xml:space="preserve">[27]</w:t>
        </w:r>
      </w:hyperlink>
      <w:r>
        <w:t xml:space="preserve">. The CubeSat relative-navigation literature on real-time kinematic positioning and ambiguity resolution provides a further instance of the architectural search for resilience</w:t>
      </w:r>
      <w:r>
        <w:t xml:space="preserve"> </w:t>
      </w:r>
      <w:hyperlink w:anchor="ref-29">
        <w:r>
          <w:rPr>
            <w:rStyle w:val="Hyperlink"/>
          </w:rPr>
          <w:t xml:space="preserve">[29]</w:t>
        </w:r>
      </w:hyperlink>
      <w:r>
        <w:t xml:space="preserve">.</w:t>
      </w:r>
    </w:p>
    <w:p>
      <w:pPr>
        <w:pStyle w:val="BodyText"/>
        <w:spacing w:line="480" w:lineRule="auto"/>
        <w:ind w:firstLine="720"/>
      </w:pPr>
      <w:r>
        <w:t xml:space="preserve">The relevance of the alternate-PNT literature for the civil-exposure estimation is that it specifies the technical space within which resilience investments would be made and against which the cost of dependency would be priced. The limitation, again, is that the literature treats resilience as a design problem rather than as a measurement problem. It does not provide quantitative civil-exposure estimates that would discipline the investment choice between continued dependence and architectural diversification.</w:t>
      </w:r>
    </w:p>
    <w:bookmarkEnd w:id="73"/>
    <w:bookmarkStart w:id="74" w:name="Xef35a222bf61e9b59833fc4ec4ce004e4bc1911"/>
    <w:p>
      <w:pPr>
        <w:pStyle w:val="Heading3"/>
        <w:spacing w:line="480" w:lineRule="auto"/>
      </w:pPr>
      <w:r>
        <w:t xml:space="preserve">2.3.3 The space-situational-awareness and orbital-propagation literature</w:t>
      </w:r>
    </w:p>
    <w:p>
      <w:pPr>
        <w:pStyle w:val="FirstParagraph"/>
        <w:spacing w:line="480" w:lineRule="auto"/>
      </w:pPr>
      <w:r>
        <w:t xml:space="preserve">A third adjacent literature addresses the observational substrate on which the constellation-management and resilience analyses depend. The light-curve completion and forecasting literature applies fast and scalable Gaussian-process methods to the inference problem of resident-space-object characterization from partial photometric observations</w:t>
      </w:r>
      <w:r>
        <w:t xml:space="preserve"> </w:t>
      </w:r>
      <w:hyperlink w:anchor="ref-15">
        <w:r>
          <w:rPr>
            <w:rStyle w:val="Hyperlink"/>
          </w:rPr>
          <w:t xml:space="preserve">[15]</w:t>
        </w:r>
      </w:hyperlink>
      <w:r>
        <w:t xml:space="preserve">. The orbital-propagation literature on uncertainty-aware artificial intelligence for rapid and uncertainty-quantified propagation provides the complementary inference machinery for the dynamic state of the constellation</w:t>
      </w:r>
      <w:r>
        <w:t xml:space="preserve"> </w:t>
      </w:r>
      <w:hyperlink w:anchor="ref-22">
        <w:r>
          <w:rPr>
            <w:rStyle w:val="Hyperlink"/>
          </w:rPr>
          <w:t xml:space="preserve">[22]</w:t>
        </w:r>
      </w:hyperlink>
      <w:r>
        <w:t xml:space="preserve">. The Multi-Source Orbital Capacity Analysis Tool (MOCAT) literature on temporal analysis and quantification for space-sustainability policies provides the policy-instrumentation layer on which both the inference and the resilience analyses depend</w:t>
      </w:r>
      <w:r>
        <w:t xml:space="preserve"> </w:t>
      </w:r>
      <w:hyperlink w:anchor="ref-21">
        <w:r>
          <w:rPr>
            <w:rStyle w:val="Hyperlink"/>
          </w:rPr>
          <w:t xml:space="preserve">[21]</w:t>
        </w:r>
      </w:hyperlink>
      <w:r>
        <w:t xml:space="preserve">. The Lal and Carioscia evaluation of options for civil space-situational awareness provides the institutional-design counterpart</w:t>
      </w:r>
      <w:r>
        <w:t xml:space="preserve"> </w:t>
      </w:r>
      <w:hyperlink w:anchor="ref-20">
        <w:r>
          <w:rPr>
            <w:rStyle w:val="Hyperlink"/>
          </w:rPr>
          <w:t xml:space="preserve">[20]</w:t>
        </w:r>
      </w:hyperlink>
      <w:r>
        <w:t xml:space="preserve">.</w:t>
      </w:r>
    </w:p>
    <w:p>
      <w:pPr>
        <w:pStyle w:val="BodyText"/>
        <w:spacing w:line="480" w:lineRule="auto"/>
        <w:ind w:firstLine="720"/>
      </w:pPr>
      <w:r>
        <w:t xml:space="preserve">These literatures are not directly load-bearing for the civil-exposure estimation, but they are load-bearing for the broader argument that the civil-exposure question is sited inside a larger inference and instrumentation problem in which the state of the space layer is itself uncertain and must be estimated from incomplete observation. The dissertation’s reliance on documented exogenous events as natural experiments inherits the observational limits of this broader inference program.</w:t>
      </w:r>
    </w:p>
    <w:bookmarkEnd w:id="74"/>
    <w:bookmarkStart w:id="75" w:name="Xfd123cff9618d03b7af829ea8df2f36db1b3031"/>
    <w:p>
      <w:pPr>
        <w:pStyle w:val="Heading3"/>
        <w:spacing w:line="480" w:lineRule="auto"/>
      </w:pPr>
      <w:r>
        <w:t xml:space="preserve">2.3.4 The space-traffic and launch-cadence literature</w:t>
      </w:r>
    </w:p>
    <w:p>
      <w:pPr>
        <w:pStyle w:val="FirstParagraph"/>
        <w:spacing w:line="480" w:lineRule="auto"/>
      </w:pPr>
      <w:r>
        <w:t xml:space="preserve">A further adjacent literature addresses the launch-cadence and traffic forecast that conditions the replenishment problem on which constellation continuity rests. The satellite launch-traffic forecast literature based on global Gross Domestic Product and constellation plans</w:t>
      </w:r>
      <w:r>
        <w:t xml:space="preserve"> </w:t>
      </w:r>
      <w:hyperlink w:anchor="ref-25">
        <w:r>
          <w:rPr>
            <w:rStyle w:val="Hyperlink"/>
          </w:rPr>
          <w:t xml:space="preserve">[25]</w:t>
        </w:r>
      </w:hyperlink>
      <w:r>
        <w:t xml:space="preserve"> </w:t>
      </w:r>
      <w:r>
        <w:t xml:space="preserve">provides the macro-level forecast for the launch-cadence environment in which the GPS replenishment program operates. The re-entry break-up and demise measurement literature</w:t>
      </w:r>
      <w:r>
        <w:t xml:space="preserve"> </w:t>
      </w:r>
      <w:hyperlink w:anchor="ref-23">
        <w:r>
          <w:rPr>
            <w:rStyle w:val="Hyperlink"/>
          </w:rPr>
          <w:t xml:space="preserve">[23]</w:t>
        </w:r>
      </w:hyperlink>
      <w:r>
        <w:t xml:space="preserve"> </w:t>
      </w:r>
      <w:r>
        <w:t xml:space="preserve">and the laser-crosslink and formation-flying literature on nanosatellite architectures</w:t>
      </w:r>
      <w:r>
        <w:t xml:space="preserve"> </w:t>
      </w:r>
      <w:hyperlink w:anchor="ref-24">
        <w:r>
          <w:rPr>
            <w:rStyle w:val="Hyperlink"/>
          </w:rPr>
          <w:t xml:space="preserve">[24]</w:t>
        </w:r>
      </w:hyperlink>
      <w:r>
        <w:t xml:space="preserve"> </w:t>
      </w:r>
      <w:r>
        <w:t xml:space="preserve">provide the technical complements that bear on the broader space-environment state. These literatures are not directly tested in the dissertation, but they are the source of the macro-environmental conditions under which the lifetime-overrun and time-to-restoration findings should be interpreted.</w:t>
      </w:r>
    </w:p>
    <w:bookmarkEnd w:id="75"/>
    <w:bookmarkEnd w:id="76"/>
    <w:bookmarkStart w:id="81" w:name="X07fe73e594277fc276c6392b9242153367417e1"/>
    <w:p>
      <w:pPr>
        <w:pStyle w:val="Heading2"/>
        <w:spacing w:line="480" w:lineRule="auto"/>
      </w:pPr>
      <w:r>
        <w:t xml:space="preserve">2.4 The Cliometric and Econometric Methodology Literature</w:t>
      </w:r>
    </w:p>
    <w:bookmarkStart w:id="77" w:name="X3160d8a21fcf428e822f918cc0aa6ea326c8556"/>
    <w:p>
      <w:pPr>
        <w:pStyle w:val="Heading3"/>
        <w:spacing w:line="480" w:lineRule="auto"/>
      </w:pPr>
      <w:r>
        <w:t xml:space="preserve">2.4.1 Cross-sectional regression for asset-life and reliability inference</w:t>
      </w:r>
    </w:p>
    <w:p>
      <w:pPr>
        <w:pStyle w:val="FirstParagraph"/>
        <w:spacing w:line="480" w:lineRule="auto"/>
      </w:pPr>
      <w:r>
        <w:t xml:space="preserve">The empirical strategy of the first paper of this dissertation is ordinary least squares (OLS) on a vehicle-level cross-section of the GPS constellation, with realized operational life regressed on contractor design life, launch-year cohort, and block dummies. The methodological tradition on which this strategy draws is the cliometric literature on asset-life estimation and reliability inference, in which the realized life of a capital asset is treated as a function of design specification, vintage, and operating environment. The substantive content of the present application is the test of whether the older replenishment cohorts have systematically outlived their contractor warranties, after the warranty and the launch year are controlled. The methodological content is the standard OLS machinery for joint identification of a warranty effect, a vintage effect, and a cohort effect in a small cross-section.</w:t>
      </w:r>
    </w:p>
    <w:p>
      <w:pPr>
        <w:pStyle w:val="BodyText"/>
        <w:spacing w:line="480" w:lineRule="auto"/>
        <w:ind w:firstLine="720"/>
      </w:pPr>
      <w:r>
        <w:t xml:space="preserve">The cliometric tradition recognizes three principal threats to the credibility of such estimates. The first is collinearity between design specification and vintage, which in the GPS application is acute because each successor block was specified for a longer design life than its predecessor and was launched in a later cohort. The first paper’s finding that the coefficients on design life and launch year are jointly identified and roughly equal in magnitude with opposite signs is the canonical signature of this collinearity. The second threat is right-censoring of the dependent variable when a portion of the sample is still operating at the observation cutoff. The first paper’s finding that the Block IIF and Block III coefficients are dominated by mechanical censoring against the 2026 cutoff is the canonical signature of this second threat. The third threat is small-sample inference, against which the first paper offers the candid acknowledgement that with N equal to 49 vehicles the coefficient standard errors are sufficient for the substantive test but insufficient for any structural interpretation of the joint cohort absorbers.</w:t>
      </w:r>
    </w:p>
    <w:p>
      <w:pPr>
        <w:pStyle w:val="BodyText"/>
        <w:spacing w:line="480" w:lineRule="auto"/>
        <w:ind w:firstLine="720"/>
      </w:pPr>
      <w:r>
        <w:t xml:space="preserve">The cliometric literature within the space-policy domain has not, to the candidate’s knowledge, previously been applied to the GPS constellation in this fashion. The closest analogues in the present reference pool are the launch-cadence forecast based on global GDP and constellation plans</w:t>
      </w:r>
      <w:r>
        <w:t xml:space="preserve"> </w:t>
      </w:r>
      <w:hyperlink w:anchor="ref-25">
        <w:r>
          <w:rPr>
            <w:rStyle w:val="Hyperlink"/>
          </w:rPr>
          <w:t xml:space="preserve">[25]</w:t>
        </w:r>
      </w:hyperlink>
      <w:r>
        <w:t xml:space="preserve"> </w:t>
      </w:r>
      <w:r>
        <w:t xml:space="preserve">and the orbital-propagation uncertainty-quantification literature</w:t>
      </w:r>
      <w:r>
        <w:t xml:space="preserve"> </w:t>
      </w:r>
      <w:hyperlink w:anchor="ref-22">
        <w:r>
          <w:rPr>
            <w:rStyle w:val="Hyperlink"/>
          </w:rPr>
          <w:t xml:space="preserve">[22]</w:t>
        </w:r>
      </w:hyperlink>
      <w:r>
        <w:t xml:space="preserve">, both of which apply quantitative inference to space-system state estimation but neither of which engages the warranty-overrun question directly. The cross-sectional regression as a tool for civil-exposure inference is thus available in the methodological literature but is unused in the space-economy and PNT-dependency corpus.</w:t>
      </w:r>
    </w:p>
    <w:bookmarkEnd w:id="77"/>
    <w:bookmarkStart w:id="78" w:name="X4d804b9f6002a74419693570536e3579d797bbb"/>
    <w:p>
      <w:pPr>
        <w:pStyle w:val="Heading3"/>
        <w:spacing w:line="480" w:lineRule="auto"/>
      </w:pPr>
      <w:r>
        <w:t xml:space="preserve">2.4.2 Survival analysis for time-to-restoration</w:t>
      </w:r>
    </w:p>
    <w:p>
      <w:pPr>
        <w:pStyle w:val="FirstParagraph"/>
        <w:spacing w:line="480" w:lineRule="auto"/>
      </w:pPr>
      <w:r>
        <w:t xml:space="preserve">The empirical strategy of the second paper of this dissertation is a Cox proportional-hazards regression on the duration of documented GPS PNT interference events, with covariates for severity, footprint, civil-aviation impact, and reporting lag. The methodological tradition is the survival-analysis literature on time-to-event inference under right-censoring, in which the hazard of event termination at elapsed time conditional on the covariate vector is modeled as the product of an unspecified baseline hazard and an exponential linear combination of covariates. The partial-likelihood machinery accommodates right-censored observations under the standard proportional-hazards assumption.</w:t>
      </w:r>
    </w:p>
    <w:p>
      <w:pPr>
        <w:pStyle w:val="BodyText"/>
        <w:spacing w:line="480" w:lineRule="auto"/>
        <w:ind w:firstLine="720"/>
      </w:pPr>
      <w:r>
        <w:t xml:space="preserve">The survival-analysis literature recognizes four principal threats to the credibility of such estimates. The first is the proportional-hazards assumption itself, which the second paper defends through the inspection of Schoenfeld-residual analogs in the small sample available. The second is small-sample inference, against which the paper acknowledges that with twenty-eight events and one right-censored observation the long-duration tail is poorly identified. The third is selection on observability: the dataset is drawn from the FAA and Coast Guard Navigation Center public reporting archives</w:t>
      </w:r>
      <w:r>
        <w:t xml:space="preserve"> </w:t>
      </w:r>
      <w:hyperlink w:anchor="ref-11">
        <w:r>
          <w:rPr>
            <w:rStyle w:val="Hyperlink"/>
          </w:rPr>
          <w:t xml:space="preserve">[11]</w:t>
        </w:r>
      </w:hyperlink>
      <w:r>
        <w:t xml:space="preserve">[12], and inherits whatever selection biases those archives carry, supplemented by the C4ADS Above Us Only Stars analysis for the regional GNSS spoofing clusters</w:t>
      </w:r>
      <w:r>
        <w:t xml:space="preserve"> </w:t>
      </w:r>
      <w:hyperlink w:anchor="ref-14">
        <w:r>
          <w:rPr>
            <w:rStyle w:val="Hyperlink"/>
          </w:rPr>
          <w:t xml:space="preserve">[14]</w:t>
        </w:r>
      </w:hyperlink>
      <w:r>
        <w:t xml:space="preserve">. The fourth is the unmeasured-confounder problem in the cross-sectional comparison of events with different geographic and institutional footprints.</w:t>
      </w:r>
    </w:p>
    <w:p>
      <w:pPr>
        <w:pStyle w:val="BodyText"/>
        <w:spacing w:line="480" w:lineRule="auto"/>
        <w:ind w:firstLine="720"/>
      </w:pPr>
      <w:r>
        <w:t xml:space="preserve">The survival-analysis literature has been applied to operational-restoration problems in adjacent infrastructure domains, including electrical grid restoration after weather events and telecommunications restoration after physical interference. It has not, to the candidate’s knowledge, previously been applied to the GPS PNT interference-event class as a civil-exposure measurement tool. The Acta Astronautica literature on autonomous flight-safety systems robust to GNSS jamming</w:t>
      </w:r>
      <w:r>
        <w:t xml:space="preserve"> </w:t>
      </w:r>
      <w:hyperlink w:anchor="ref-9">
        <w:r>
          <w:rPr>
            <w:rStyle w:val="Hyperlink"/>
          </w:rPr>
          <w:t xml:space="preserve">[9]</w:t>
        </w:r>
      </w:hyperlink>
      <w:r>
        <w:t xml:space="preserve"> </w:t>
      </w:r>
      <w:r>
        <w:t xml:space="preserve">and on visual-based PNT alternatives</w:t>
      </w:r>
      <w:r>
        <w:t xml:space="preserve"> </w:t>
      </w:r>
      <w:hyperlink w:anchor="ref-10">
        <w:r>
          <w:rPr>
            <w:rStyle w:val="Hyperlink"/>
          </w:rPr>
          <w:t xml:space="preserve">[10]</w:t>
        </w:r>
      </w:hyperlink>
      <w:r>
        <w:t xml:space="preserve"> </w:t>
      </w:r>
      <w:r>
        <w:t xml:space="preserve">motivates the prior that institutional response time should scale with footprint and aviation impact, but it does not provide a duration estimate. The second paper of this dissertation is, accordingly, the first application of the Cox proportional-hazards machinery to the documented GPS PNT interference-event archive of which the candidate is aware.</w:t>
      </w:r>
    </w:p>
    <w:p>
      <w:pPr>
        <w:pStyle w:val="BodyText"/>
        <w:spacing w:line="480" w:lineRule="auto"/>
        <w:ind w:firstLine="720"/>
      </w:pPr>
      <w:r>
        <w:t xml:space="preserve">The principal substantive finding of the second paper is that footprint dominates the restoration-hazard process with a negative coefficient against the prior, that is, larger-footprint events restore more slowly. This finding is methodologically interesting because it falsifies the working prior drawn from the technical literature on institutional response. It is also substantively important because it shifts the policy implication of the duration-of-exposure finding from notification capacity to detection and source-identification capacity. The methodological literature on survival analysis provides the discipline by which the falsification can be made credible: the partial-likelihood standard errors are conservative under the small-sample regime, the proportional-hazards assumption is inspected, and the censoring is handled by the standard machinery.</w:t>
      </w:r>
    </w:p>
    <w:bookmarkEnd w:id="78"/>
    <w:bookmarkStart w:id="79" w:name="Xec5d8190f64cd458eb3fd9e16b2f03e4cc71f6c"/>
    <w:p>
      <w:pPr>
        <w:pStyle w:val="Heading3"/>
        <w:spacing w:line="480" w:lineRule="auto"/>
      </w:pPr>
      <w:r>
        <w:t xml:space="preserve">2.4.3 Difference-in-differences with matched controls for treatment-effect identification</w:t>
      </w:r>
    </w:p>
    <w:p>
      <w:pPr>
        <w:pStyle w:val="FirstParagraph"/>
        <w:spacing w:line="480" w:lineRule="auto"/>
      </w:pPr>
      <w:r>
        <w:t xml:space="preserve">The empirical strategy of the dissertation core is a staggered difference-in-differences (DiD) design with matched controls, in which documented exogenous GPS degradation events are treated as natural experiments and the sector-by-region-by-day panel of civil economic activity is the outcome surface. The methodological tradition is the quasi-experimental literature on treatment-effect identification under parallel trends, in which the identifying assumption is that treated and control regions would have followed parallel trajectories in the absence of the treatment, and in which the empirical content of that assumption is testable in the pre-treatment window.</w:t>
      </w:r>
    </w:p>
    <w:p>
      <w:pPr>
        <w:pStyle w:val="BodyText"/>
        <w:spacing w:line="480" w:lineRule="auto"/>
        <w:ind w:firstLine="720"/>
      </w:pPr>
      <w:r>
        <w:t xml:space="preserve">The contemporary DiD literature has converged on a set of methodological practices that the dissertation core will operationalize. First, the staggered-treatment design with heterogeneous treatment timing across treated regions requires explicit attention to the bias problems that the canonical two-way fixed-effects estimator generates under heterogeneous treatment effects, and the dissertation will accordingly report estimators robust to those problems. Second, matched-control construction on pre-treatment trends is preferred to nearest-neighbor matching on cross-sectional covariates alone. Third, the event-study representation with leads and lags is the canonical diagnostic for the parallel-trends assumption and for the anticipation-and-recovery profile of the treatment effect. Fourth, the synthetic-control specification is a useful robustness check against the matched-DiD specification, particularly in small samples with a small number of treated units. Fifth, the placebo program on random dates in the same geographies is a standard credibility check that the dissertation will execute.</w:t>
      </w:r>
    </w:p>
    <w:p>
      <w:pPr>
        <w:pStyle w:val="BodyText"/>
        <w:spacing w:line="480" w:lineRule="auto"/>
        <w:ind w:firstLine="720"/>
      </w:pPr>
      <w:r>
        <w:t xml:space="preserve">The cliometric literature on infrastructure shock estimation has applied the matched-DiD machinery to electrical grid outages, telecommunications outages, and surface-transportation disruption events, and has produced sector-decomposed treatment-effect estimates that are taken as inputs to regulatory and resilience-investment policy. The same machinery has not, to the candidate’s knowledge, been applied to documented GPS PNT degradation events. The closest analogues in the space-policy corpus are the qualitative inventories of the OECD and OCEA forecasting literature</w:t>
      </w:r>
      <w:r>
        <w:t xml:space="preserve"> </w:t>
      </w:r>
      <w:hyperlink w:anchor="ref-1">
        <w:r>
          <w:rPr>
            <w:rStyle w:val="Hyperlink"/>
          </w:rPr>
          <w:t xml:space="preserve">[1]</w:t>
        </w:r>
      </w:hyperlink>
      <w:r>
        <w:t xml:space="preserve">[8] and the integrated-deterrence framing of civil exposure</w:t>
      </w:r>
      <w:r>
        <w:t xml:space="preserve"> </w:t>
      </w:r>
      <w:hyperlink w:anchor="ref-3">
        <w:r>
          <w:rPr>
            <w:rStyle w:val="Hyperlink"/>
          </w:rPr>
          <w:t xml:space="preserve">[3]</w:t>
        </w:r>
      </w:hyperlink>
      <w:r>
        <w:t xml:space="preserve">, neither of which produces a sector-decomposed conditional-loss estimate from observational data with a credible counterfactual.</w:t>
      </w:r>
    </w:p>
    <w:bookmarkEnd w:id="79"/>
    <w:bookmarkStart w:id="80" w:name="Xf6f7f92f3a5e4281c608a53113a947e28e10579"/>
    <w:p>
      <w:pPr>
        <w:pStyle w:val="Heading3"/>
        <w:spacing w:line="480" w:lineRule="auto"/>
      </w:pPr>
      <w:r>
        <w:t xml:space="preserve">2.4.4 Data-provenance discipline in cliometric estimation</w:t>
      </w:r>
    </w:p>
    <w:p>
      <w:pPr>
        <w:pStyle w:val="FirstParagraph"/>
        <w:spacing w:line="480" w:lineRule="auto"/>
      </w:pPr>
      <w:r>
        <w:t xml:space="preserve">A methodological substrate common to all three estimation strategies is the data-provenance discipline that the cliometric literature treats as a precondition for credibility. The discipline has three elements. First, the source citation for each datum is recorded at row level in the data file, and the citation is retained through the estimation pipeline. Second, the retrieval date and version of each public archive is logged in a data manifest committed with the analysis code. Third, the distinction between observed and imputed values is preserved through the estimation, with imputed or illustrative values explicitly flagged and the sensitivity of the estimates to the imputation reported. The two empirical papers of this dissertation operationalize this discipline through the row-level source citation field and the explicit</w:t>
      </w:r>
      <w:r>
        <w:t xml:space="preserve"> </w:t>
      </w:r>
      <w:r>
        <w:t xml:space="preserve">“[illustrative]”</w:t>
      </w:r>
      <w:r>
        <w:t xml:space="preserve"> </w:t>
      </w:r>
      <w:r>
        <w:t xml:space="preserve">marker used in the second paper for fields not directly observable from the public archive. The dissertation core extends the same discipline to the larger panel.</w:t>
      </w:r>
    </w:p>
    <w:bookmarkEnd w:id="80"/>
    <w:bookmarkEnd w:id="81"/>
    <w:bookmarkStart w:id="86" w:name="synthesis-the-gap-and-the-join"/>
    <w:p>
      <w:pPr>
        <w:pStyle w:val="Heading2"/>
        <w:spacing w:line="480" w:lineRule="auto"/>
      </w:pPr>
      <w:r>
        <w:t xml:space="preserve">2.5 Synthesis: The Gap and the Join</w:t>
      </w:r>
    </w:p>
    <w:bookmarkStart w:id="82" w:name="the-two-literatures-side-by-side"/>
    <w:p>
      <w:pPr>
        <w:pStyle w:val="Heading3"/>
        <w:spacing w:line="480" w:lineRule="auto"/>
      </w:pPr>
      <w:r>
        <w:t xml:space="preserve">2.5.1 The two literatures, side by side</w:t>
      </w:r>
    </w:p>
    <w:p>
      <w:pPr>
        <w:pStyle w:val="FirstParagraph"/>
        <w:spacing w:line="480" w:lineRule="auto"/>
      </w:pPr>
      <w:r>
        <w:t xml:space="preserve">The space-economy and PNT-dependency literature establishes that civil reliance on GPS is a structural dependency of large and increasing magnitude, identifies the principal civil sectors that participate in that dependency, and frames the dependency as a single-point-of-trust exposure for civil and economic activity</w:t>
      </w:r>
      <w:r>
        <w:t xml:space="preserve"> </w:t>
      </w:r>
      <w:hyperlink w:anchor="ref-1">
        <w:r>
          <w:rPr>
            <w:rStyle w:val="Hyperlink"/>
          </w:rPr>
          <w:t xml:space="preserve">[1]</w:t>
        </w:r>
      </w:hyperlink>
      <w:r>
        <w:t xml:space="preserve">[2][3][4][8]. The literature is qualitatively rich and quantitatively thin. It produces inventories of exposure, not estimates of exposure. The closest the corpus comes to a quantitative discipline is the forecasting tradition on the size of the downstream space economy</w:t>
      </w:r>
      <w:r>
        <w:t xml:space="preserve"> </w:t>
      </w:r>
      <w:hyperlink w:anchor="ref-1">
        <w:r>
          <w:rPr>
            <w:rStyle w:val="Hyperlink"/>
          </w:rPr>
          <w:t xml:space="preserve">[1]</w:t>
        </w:r>
      </w:hyperlink>
      <w:r>
        <w:t xml:space="preserve">[8], which aggregates dependent activity without isolating the counterfactual of dependency loss.</w:t>
      </w:r>
    </w:p>
    <w:p>
      <w:pPr>
        <w:pStyle w:val="BodyText"/>
        <w:spacing w:line="480" w:lineRule="auto"/>
        <w:ind w:firstLine="720"/>
      </w:pPr>
      <w:r>
        <w:t xml:space="preserve">The cliometric and econometric methodology literature, in parallel, provides three estimation strategies that are directly applicable to the civil-exposure question. Cross-sectional regression with explicit treatment of collinearity, right-censoring, and small-sample inference is available for the asset-life and replenishment-overrun question. Cox proportional-hazards regression with explicit treatment of the proportional-hazards assumption and right-censoring is available for the time-to-restoration question. Difference-in-differences with matched controls, staggered-treatment robustness, event-study diagnostics, synthetic-control robustness, and placebo programs is available for the sector-decomposed conditional-loss question.</w:t>
      </w:r>
    </w:p>
    <w:p>
      <w:pPr>
        <w:pStyle w:val="BodyText"/>
        <w:spacing w:line="480" w:lineRule="auto"/>
        <w:ind w:firstLine="720"/>
      </w:pPr>
      <w:r>
        <w:t xml:space="preserve">The two literatures do not, as a routine practice, communicate. The space-economy corpus does not draw on the cliometric and econometric machinery to discipline its dependency claims, and the cliometric and econometric literature has not, in the space-policy domain, been directed at the civil-exposure question that the dependency framing raises. The omission is not a function of methodological incommensurability. The methods are standard, the data are public, and the substantive question is policy-load-bearing. The omission is a function of the institutional separation between the two corpora.</w:t>
      </w:r>
    </w:p>
    <w:bookmarkEnd w:id="82"/>
    <w:bookmarkStart w:id="83" w:name="why-the-join-is-the-contribution"/>
    <w:p>
      <w:pPr>
        <w:pStyle w:val="Heading3"/>
        <w:spacing w:line="480" w:lineRule="auto"/>
      </w:pPr>
      <w:r>
        <w:t xml:space="preserve">2.5.2 Why the join is the contribution</w:t>
      </w:r>
    </w:p>
    <w:p>
      <w:pPr>
        <w:pStyle w:val="FirstParagraph"/>
        <w:spacing w:line="480" w:lineRule="auto"/>
      </w:pPr>
      <w:r>
        <w:t xml:space="preserve">The contribution of this dissertation is the join. The first empirical paper applies cross-sectional regression to the constellation-management literature’s qualitative claim that replenishment delay has produced lifetime overrun, and produces a point-and-interval estimate of the cohort overrun against the contractor warranty</w:t>
      </w:r>
      <w:r>
        <w:t xml:space="preserve"> </w:t>
      </w:r>
      <w:hyperlink w:anchor="ref-5">
        <w:r>
          <w:rPr>
            <w:rStyle w:val="Hyperlink"/>
          </w:rPr>
          <w:t xml:space="preserve">[5]</w:t>
        </w:r>
      </w:hyperlink>
      <w:r>
        <w:t xml:space="preserve">[6][7]. The second empirical paper applies Cox proportional-hazards regression to the time-to-restoration question implicit in the architectural-norms literature’s claim that civil exposure to GPS degradation is bounded by institutional response time, and produces a point-and-interval estimate of the covariate effects on the restoration hazard</w:t>
      </w:r>
      <w:r>
        <w:t xml:space="preserve"> </w:t>
      </w:r>
      <w:hyperlink w:anchor="ref-9">
        <w:r>
          <w:rPr>
            <w:rStyle w:val="Hyperlink"/>
          </w:rPr>
          <w:t xml:space="preserve">[9]</w:t>
        </w:r>
      </w:hyperlink>
      <w:r>
        <w:t xml:space="preserve">[10][11][12][14]. The dissertation core applies difference-in-differences with matched controls to the sector-decomposed conditional-loss question implicit in the space-economy and integrated-deterrence literatures’ inventories of civil exposure, and produces a sector-decomposed point-and-interval estimate of the conditional daily economic loss</w:t>
      </w:r>
      <w:r>
        <w:t xml:space="preserve"> </w:t>
      </w:r>
      <w:hyperlink w:anchor="ref-1">
        <w:r>
          <w:rPr>
            <w:rStyle w:val="Hyperlink"/>
          </w:rPr>
          <w:t xml:space="preserve">[1]</w:t>
        </w:r>
      </w:hyperlink>
      <w:r>
        <w:t xml:space="preserve">[2][3][4][8].</w:t>
      </w:r>
    </w:p>
    <w:p>
      <w:pPr>
        <w:pStyle w:val="BodyText"/>
        <w:spacing w:line="480" w:lineRule="auto"/>
        <w:ind w:firstLine="720"/>
      </w:pPr>
      <w:r>
        <w:t xml:space="preserve">Each empirical paper is methodologically conventional in isolation. The contribution is not methodological innovation in the cliometric register. The contribution is the disciplined application of conventional cliometric methods to a policy question that the space-economy literature has framed but not estimated, with the result that a qualitatively asserted structural dependency is converted, where the data permit, into a quantitatively disciplined civil-exposure estimate with explicit standard errors, robustness checks, and provenance audit trails.</w:t>
      </w:r>
    </w:p>
    <w:bookmarkEnd w:id="83"/>
    <w:bookmarkStart w:id="84" w:name="boundary-conditions-of-the-join"/>
    <w:p>
      <w:pPr>
        <w:pStyle w:val="Heading3"/>
        <w:spacing w:line="480" w:lineRule="auto"/>
      </w:pPr>
      <w:r>
        <w:t xml:space="preserve">2.5.3 Boundary conditions of the join</w:t>
      </w:r>
    </w:p>
    <w:p>
      <w:pPr>
        <w:pStyle w:val="FirstParagraph"/>
        <w:spacing w:line="480" w:lineRule="auto"/>
      </w:pPr>
      <w:r>
        <w:t xml:space="preserve">Three boundary conditions of the join are flagged here for the chapters that follow. First, the cliometric estimates produced by the dissertation are conditional on the documented event class, not on a sustained national outage. The space-economy literature’s framing of the dependency is most policy-load-bearing in the limit of a sustained national outage, and the cliometric estimates are most credibly identified in the limit of short documented events. The dissertation will accordingly report the estimates as conditional short-window effects and will discuss the extrapolation bounds rather than asserting them. Second, the cliometric estimates inherit the selection biases of the public reporting archives</w:t>
      </w:r>
      <w:r>
        <w:t xml:space="preserve"> </w:t>
      </w:r>
      <w:hyperlink w:anchor="ref-11">
        <w:r>
          <w:rPr>
            <w:rStyle w:val="Hyperlink"/>
          </w:rPr>
          <w:t xml:space="preserve">[11]</w:t>
        </w:r>
      </w:hyperlink>
      <w:r>
        <w:t xml:space="preserve">[12][14], and the dissertation will report sensitivity of the estimates to the reporting-archive boundary. Third, the cliometric estimates do not exhaust the civil-exposure question. The shared-information and stakeholder-coordination literature</w:t>
      </w:r>
      <w:r>
        <w:t xml:space="preserve"> </w:t>
      </w:r>
      <w:hyperlink w:anchor="ref-16">
        <w:r>
          <w:rPr>
            <w:rStyle w:val="Hyperlink"/>
          </w:rPr>
          <w:t xml:space="preserve">[16]</w:t>
        </w:r>
      </w:hyperlink>
      <w:r>
        <w:t xml:space="preserve">[17][18][19][20] identifies institutional resilience mechanisms that the cliometric estimates do not price, and the alternate-PNT literature</w:t>
      </w:r>
      <w:r>
        <w:t xml:space="preserve"> </w:t>
      </w:r>
      <w:hyperlink w:anchor="ref-9">
        <w:r>
          <w:rPr>
            <w:rStyle w:val="Hyperlink"/>
          </w:rPr>
          <w:t xml:space="preserve">[9]</w:t>
        </w:r>
      </w:hyperlink>
      <w:r>
        <w:t xml:space="preserve">[10] identifies architectural resilience mechanisms whose cost-effectiveness the cliometric estimates would inform but not determine. The dissertation positions its contribution as an input to the broader resilience-investment calculus, not as a substitute for it.</w:t>
      </w:r>
    </w:p>
    <w:bookmarkEnd w:id="84"/>
    <w:bookmarkStart w:id="85" w:name="Xe37e11fc2ec6397fc2aa09431c91a4cee12207a"/>
    <w:p>
      <w:pPr>
        <w:pStyle w:val="Heading3"/>
        <w:spacing w:line="480" w:lineRule="auto"/>
      </w:pPr>
      <w:r>
        <w:t xml:space="preserve">2.5.4 Relationship to adjacent quantitative-inference literatures</w:t>
      </w:r>
    </w:p>
    <w:p>
      <w:pPr>
        <w:pStyle w:val="FirstParagraph"/>
        <w:spacing w:line="480" w:lineRule="auto"/>
      </w:pPr>
      <w:r>
        <w:t xml:space="preserve">The dissertation’s commitment to disciplined quantitative inference in a domain where qualitative framing has predominated places it adjacent to several quantitative-inference literatures within the space-policy corpus that have made the same move in adjacent sub-domains. The MOCAT temporal-analysis literature</w:t>
      </w:r>
      <w:r>
        <w:t xml:space="preserve"> </w:t>
      </w:r>
      <w:hyperlink w:anchor="ref-21">
        <w:r>
          <w:rPr>
            <w:rStyle w:val="Hyperlink"/>
          </w:rPr>
          <w:t xml:space="preserve">[21]</w:t>
        </w:r>
      </w:hyperlink>
      <w:r>
        <w:t xml:space="preserve"> </w:t>
      </w:r>
      <w:r>
        <w:t xml:space="preserve">applies quantitative policy instrumentation to space-sustainability questions. The uncertainty-aware orbital-propagation literature</w:t>
      </w:r>
      <w:r>
        <w:t xml:space="preserve"> </w:t>
      </w:r>
      <w:hyperlink w:anchor="ref-22">
        <w:r>
          <w:rPr>
            <w:rStyle w:val="Hyperlink"/>
          </w:rPr>
          <w:t xml:space="preserve">[22]</w:t>
        </w:r>
      </w:hyperlink>
      <w:r>
        <w:t xml:space="preserve"> </w:t>
      </w:r>
      <w:r>
        <w:t xml:space="preserve">applies quantitative uncertainty quantification to constellation-state inference. The launch-cadence forecasting literature</w:t>
      </w:r>
      <w:r>
        <w:t xml:space="preserve"> </w:t>
      </w:r>
      <w:hyperlink w:anchor="ref-25">
        <w:r>
          <w:rPr>
            <w:rStyle w:val="Hyperlink"/>
          </w:rPr>
          <w:t xml:space="preserve">[25]</w:t>
        </w:r>
      </w:hyperlink>
      <w:r>
        <w:t xml:space="preserve"> </w:t>
      </w:r>
      <w:r>
        <w:t xml:space="preserve">applies quantitative forecasting to the launch-traffic question. The light-curve and Gaussian-process inference literature</w:t>
      </w:r>
      <w:r>
        <w:t xml:space="preserve"> </w:t>
      </w:r>
      <w:hyperlink w:anchor="ref-15">
        <w:r>
          <w:rPr>
            <w:rStyle w:val="Hyperlink"/>
          </w:rPr>
          <w:t xml:space="preserve">[15]</w:t>
        </w:r>
      </w:hyperlink>
      <w:r>
        <w:t xml:space="preserve"> </w:t>
      </w:r>
      <w:r>
        <w:t xml:space="preserve">applies quantitative inference to resident-space-object characterization. Each of these literatures has, within its sub-domain, performed the move from qualitative framing to quantitative discipline that the present dissertation performs for the civil-exposure question. The dissertation accordingly understands its contribution as a sub-domain instance of a larger and ongoing methodological maturation of the space-policy corpus.</w:t>
      </w:r>
    </w:p>
    <w:p>
      <w:pPr>
        <w:pStyle w:val="BodyText"/>
        <w:spacing w:line="480" w:lineRule="auto"/>
        <w:ind w:firstLine="720"/>
      </w:pPr>
      <w:r>
        <w:t xml:space="preserve">The dissertation does not claim that the civil-exposure question is fully resolved by the three estimation strategies it operationalizes. It claims that the question is now disciplined, that the disciplined estimates carry standard errors and provenance audit trails that the prior qualitative inventories did not, and that the disciplined estimates are sited inside a broader institutional and architectural resilience-investment calculus to which they are an input. The next chapter specifies the data, identification strategies, and inferential machinery by which the disciplined estimates are produced.</w:t>
      </w:r>
    </w:p>
    <w:bookmarkEnd w:id="85"/>
    <w:bookmarkEnd w:id="86"/>
    <w:bookmarkEnd w:id="87"/>
    <w:bookmarkStart w:id="96" w:name="Xcfcc00a3ded59aed0c781c16bfc121f2a509603"/>
    <w:p>
      <w:pPr>
        <w:pStyle w:val="Heading1"/>
        <w:spacing w:line="480" w:lineRule="auto"/>
      </w:pPr>
      <w:r>
        <w:t xml:space="preserve">Chapter 3. Theoretical Framework and Hypotheses</w:t>
      </w:r>
    </w:p>
    <w:bookmarkStart w:id="88" w:name="purpose-of-the-chapter"/>
    <w:p>
      <w:pPr>
        <w:pStyle w:val="Heading2"/>
        <w:spacing w:line="480" w:lineRule="auto"/>
      </w:pPr>
      <w:r>
        <w:t xml:space="preserve">3.1 Purpose of the Chapter</w:t>
      </w:r>
    </w:p>
    <w:p>
      <w:pPr>
        <w:pStyle w:val="FirstParagraph"/>
        <w:spacing w:line="480" w:lineRule="auto"/>
      </w:pPr>
      <w:r>
        <w:t xml:space="preserve">This chapter develops the theoretical framework that organizes the dissertation’s empirical estimation. The chapter articulates the conceptual object under study, the causal mechanism that links the object to observable civil and economic activity, and the formal hypotheses that the empirical chapters will test. The framework is constructed to be falsifiable in the strict sense: it generates a single null hypothesis that the observational record can either reject or fail to reject, and it identifies the direction and approximate magnitude of departure from the null that would constitute evidence in favor of the substantive claim. The framework draws on the space-economy literature for its substantive premises</w:t>
      </w:r>
      <w:r>
        <w:t xml:space="preserve"> </w:t>
      </w:r>
      <w:hyperlink w:anchor="ref-1">
        <w:r>
          <w:rPr>
            <w:rStyle w:val="Hyperlink"/>
          </w:rPr>
          <w:t xml:space="preserve">[1]</w:t>
        </w:r>
      </w:hyperlink>
      <w:r>
        <w:t xml:space="preserve">[2][4], on the integrated-deterrence literature for the strategic framing of civil dependency</w:t>
      </w:r>
      <w:r>
        <w:t xml:space="preserve"> </w:t>
      </w:r>
      <w:hyperlink w:anchor="ref-3">
        <w:r>
          <w:rPr>
            <w:rStyle w:val="Hyperlink"/>
          </w:rPr>
          <w:t xml:space="preserve">[3]</w:t>
        </w:r>
      </w:hyperlink>
      <w:r>
        <w:t xml:space="preserve">, on the Acta Astronautica literature for the engineering-side characterization of failure modes and candidate alternatives</w:t>
      </w:r>
      <w:r>
        <w:t xml:space="preserve"> </w:t>
      </w:r>
      <w:hyperlink w:anchor="ref-9">
        <w:r>
          <w:rPr>
            <w:rStyle w:val="Hyperlink"/>
          </w:rPr>
          <w:t xml:space="preserve">[9]</w:t>
        </w:r>
      </w:hyperlink>
      <w:r>
        <w:t xml:space="preserve">[10], and on the official acquisition and constellation-status record for the institutional context that fixes the policy stakes</w:t>
      </w:r>
      <w:r>
        <w:t xml:space="preserve"> </w:t>
      </w:r>
      <w:hyperlink w:anchor="ref-5">
        <w:r>
          <w:rPr>
            <w:rStyle w:val="Hyperlink"/>
          </w:rPr>
          <w:t xml:space="preserve">[5]</w:t>
        </w:r>
      </w:hyperlink>
      <w:r>
        <w:t xml:space="preserve">[6][7].</w:t>
      </w:r>
    </w:p>
    <w:bookmarkEnd w:id="88"/>
    <w:bookmarkStart w:id="89" w:name="X43fe7f19c38596982d71d02bd8369db6431cfbf"/>
    <w:p>
      <w:pPr>
        <w:pStyle w:val="Heading2"/>
        <w:spacing w:line="480" w:lineRule="auto"/>
      </w:pPr>
      <w:r>
        <w:t xml:space="preserve">3.2 The Single Point of Trust as a Theoretical Object</w:t>
      </w:r>
    </w:p>
    <w:p>
      <w:pPr>
        <w:pStyle w:val="FirstParagraph"/>
        <w:spacing w:line="480" w:lineRule="auto"/>
      </w:pPr>
      <w:r>
        <w:t xml:space="preserve">The Global Positioning System is treated in this dissertation as a single point of trust. The phrase is meant in a precise sense. A point of trust is an element of a larger system whose continued correct functioning is presumed by every downstream operator and is not separately verified at the point of use. A single point of trust is a point of trust for which no operational substitute is in active use across the downstream user base, such that failure of the element is propagated to every downstream operator at the same time. The civil and economic exposure to a single point of trust is therefore not the loss conditional on independent failures distributed across users; it is the loss conditional on a common-mode failure of the underlying utility.</w:t>
      </w:r>
    </w:p>
    <w:p>
      <w:pPr>
        <w:pStyle w:val="BodyText"/>
        <w:spacing w:line="480" w:lineRule="auto"/>
        <w:ind w:firstLine="720"/>
      </w:pPr>
      <w:r>
        <w:t xml:space="preserve">The space-economy corpus supplies the empirical foundation for treating GPS as occupying this position in the United States economy. The OECD forecasting analysis identifies PNT as one of the small set of space-derived services on which terrestrial economic activity has come to depend, and frames the dependency as a structural feature of the modern space economy rather than as a contingent feature of particular sectors</w:t>
      </w:r>
      <w:r>
        <w:t xml:space="preserve"> </w:t>
      </w:r>
      <w:hyperlink w:anchor="ref-1">
        <w:r>
          <w:rPr>
            <w:rStyle w:val="Hyperlink"/>
          </w:rPr>
          <w:t xml:space="preserve">[1]</w:t>
        </w:r>
      </w:hyperlink>
      <w:r>
        <w:t xml:space="preserve">[8]. The architectural socio-technological literature on space-use norms reaches the same descriptive finding by a different route, observing that worldwide reliance on PNT and communications systems has produced unintended degradation of critical infrastructure services when the space layer is perturbed</w:t>
      </w:r>
      <w:r>
        <w:t xml:space="preserve"> </w:t>
      </w:r>
      <w:hyperlink w:anchor="ref-2">
        <w:r>
          <w:rPr>
            <w:rStyle w:val="Hyperlink"/>
          </w:rPr>
          <w:t xml:space="preserve">[2]</w:t>
        </w:r>
      </w:hyperlink>
      <w:r>
        <w:t xml:space="preserve">[4]. The integrated-deterrence literature confirms the position from the security side, treating civil PNT dependency as a strategic exposure that conditions national posture toward space</w:t>
      </w:r>
      <w:r>
        <w:t xml:space="preserve"> </w:t>
      </w:r>
      <w:hyperlink w:anchor="ref-3">
        <w:r>
          <w:rPr>
            <w:rStyle w:val="Hyperlink"/>
          </w:rPr>
          <w:t xml:space="preserve">[3]</w:t>
        </w:r>
      </w:hyperlink>
      <w:r>
        <w:t xml:space="preserve">. The three literatures converge on the descriptive claim that the United States civil economy treats GPS as a single utility, that the dependency is broad rather than narrow, and that the dependency has not been priced or hedged with the discipline that the magnitude of the exposure would warrant.</w:t>
      </w:r>
    </w:p>
    <w:p>
      <w:pPr>
        <w:pStyle w:val="BodyText"/>
        <w:spacing w:line="480" w:lineRule="auto"/>
        <w:ind w:firstLine="720"/>
      </w:pPr>
      <w:r>
        <w:t xml:space="preserve">What the prior literature does not supply is a quantitative estimate of the civil and economic consequence of treating a single utility in this manner. The space-economy forecasting work aggregates upstream and downstream activity without isolating the counterfactual of PNT loss</w:t>
      </w:r>
      <w:r>
        <w:t xml:space="preserve"> </w:t>
      </w:r>
      <w:hyperlink w:anchor="ref-1">
        <w:r>
          <w:rPr>
            <w:rStyle w:val="Hyperlink"/>
          </w:rPr>
          <w:t xml:space="preserve">[1]</w:t>
        </w:r>
      </w:hyperlink>
      <w:r>
        <w:t xml:space="preserve">[8]. The critical-space-infrastructure literature treats the dependency as a governance and norms problem rather than as a measurement problem</w:t>
      </w:r>
      <w:r>
        <w:t xml:space="preserve"> </w:t>
      </w:r>
      <w:hyperlink w:anchor="ref-4">
        <w:r>
          <w:rPr>
            <w:rStyle w:val="Hyperlink"/>
          </w:rPr>
          <w:t xml:space="preserve">[4]</w:t>
        </w:r>
      </w:hyperlink>
      <w:r>
        <w:t xml:space="preserve">. The integrated-deterrence framing motivates the strategic stakes without quantifying civilian exposure at frequencies useful to infrastructure regulators</w:t>
      </w:r>
      <w:r>
        <w:t xml:space="preserve"> </w:t>
      </w:r>
      <w:hyperlink w:anchor="ref-3">
        <w:r>
          <w:rPr>
            <w:rStyle w:val="Hyperlink"/>
          </w:rPr>
          <w:t xml:space="preserve">[3]</w:t>
        </w:r>
      </w:hyperlink>
      <w:r>
        <w:t xml:space="preserve">. The theoretical framework developed in this chapter takes the descriptive claim that the literatures share, treats it as a premise, and uses it to construct a hypothesis that can be tested against observational records of the operating constellation and against documented interference events.</w:t>
      </w:r>
    </w:p>
    <w:bookmarkEnd w:id="89"/>
    <w:bookmarkStart w:id="90" w:name="Xbff83e1db653b62b09430af1114f25600547ae8"/>
    <w:p>
      <w:pPr>
        <w:pStyle w:val="Heading2"/>
        <w:spacing w:line="480" w:lineRule="auto"/>
      </w:pPr>
      <w:r>
        <w:t xml:space="preserve">3.3 The Internal Composition of the Single Point of Trust</w:t>
      </w:r>
    </w:p>
    <w:p>
      <w:pPr>
        <w:pStyle w:val="FirstParagraph"/>
        <w:spacing w:line="480" w:lineRule="auto"/>
      </w:pPr>
      <w:r>
        <w:t xml:space="preserve">The single point of trust is itself composite. Its continuity rests on the operation of a constellation of satellites, each procured under a contractor design life, each operated by the United States Space Force, and each replenished under an acquisition program whose schedule has historically slipped. The Government Accountability Office record on the GPS III program establishes that the realized replenishment cadence has diverged from the planned cadence by a material margin, and that continuity of the broadcast has rested on operating older vehicles past their contractor warranty while the successor program completes</w:t>
      </w:r>
      <w:r>
        <w:t xml:space="preserve"> </w:t>
      </w:r>
      <w:hyperlink w:anchor="ref-6">
        <w:r>
          <w:rPr>
            <w:rStyle w:val="Hyperlink"/>
          </w:rPr>
          <w:t xml:space="preserve">[6]</w:t>
        </w:r>
      </w:hyperlink>
      <w:r>
        <w:t xml:space="preserve">[7]. The status archive of the United States Space Force Second Space Operations Squadron, integrated through the gps.gov constellation status page, supplies the per-vehicle realization of that pattern</w:t>
      </w:r>
      <w:r>
        <w:t xml:space="preserve"> </w:t>
      </w:r>
      <w:hyperlink w:anchor="ref-5">
        <w:r>
          <w:rPr>
            <w:rStyle w:val="Hyperlink"/>
          </w:rPr>
          <w:t xml:space="preserve">[5]</w:t>
        </w:r>
      </w:hyperlink>
      <w:r>
        <w:t xml:space="preserve">.</w:t>
      </w:r>
    </w:p>
    <w:p>
      <w:pPr>
        <w:pStyle w:val="BodyText"/>
        <w:spacing w:line="480" w:lineRule="auto"/>
        <w:ind w:firstLine="720"/>
      </w:pPr>
      <w:r>
        <w:t xml:space="preserve">The internal composition of the single point of trust matters for the theoretical framework in two ways. First, it identifies the source of variation that the dissertation’s constellation-level paper exploits: realized operational life of vehicles in the older blocks systematically exceeds the contractor design life, and the magnitude of the overrun is a measurable indicator of the load-bearing dependence of national PNT continuity on warranty overrun rather than on planned replenishment. Second, it identifies the source of variation that the events-level paper exploits: the historical record of documented interference and degradation events provides exogenous, time-and-area-bounded windows during which the single utility was partially withdrawn from the affected civil footprint, and the duration of those windows is a measurable indicator of the institutional response time of the system that nominally manages the dependency.</w:t>
      </w:r>
    </w:p>
    <w:p>
      <w:pPr>
        <w:pStyle w:val="BodyText"/>
        <w:spacing w:line="480" w:lineRule="auto"/>
        <w:ind w:firstLine="720"/>
      </w:pPr>
      <w:r>
        <w:t xml:space="preserve">The engineering-side literature in Acta Astronautica supplies the third element of the internal composition. The development of autonomous flight-safety systems robust to GNSS jamming, exemplified by the European autonomous flight-safety effort</w:t>
      </w:r>
      <w:r>
        <w:t xml:space="preserve"> </w:t>
      </w:r>
      <w:hyperlink w:anchor="ref-9">
        <w:r>
          <w:rPr>
            <w:rStyle w:val="Hyperlink"/>
          </w:rPr>
          <w:t xml:space="preserve">[9]</w:t>
        </w:r>
      </w:hyperlink>
      <w:r>
        <w:t xml:space="preserve">, and the development of visual-based PNT alternatives intended to reduce single-point dependence</w:t>
      </w:r>
      <w:r>
        <w:t xml:space="preserve"> </w:t>
      </w:r>
      <w:hyperlink w:anchor="ref-10">
        <w:r>
          <w:rPr>
            <w:rStyle w:val="Hyperlink"/>
          </w:rPr>
          <w:t xml:space="preserve">[10]</w:t>
        </w:r>
      </w:hyperlink>
      <w:r>
        <w:t xml:space="preserve">, confirm that engineering communities responsible for systems with public-safety consequences have begun to treat GPS dependence as a designed-against condition rather than as a fixed environmental premise. The existence of these efforts is theoretically relevant: they imply that the engineering community has implicitly adopted the single-point-of-trust framing for high-consequence systems, even where the civil economy at large has not. The framework developed here treats the asymmetry between engineering-side internalization of the exposure and civil-economy internalization of the exposure as the empirical motivation for the dissertation’s estimation strategy.</w:t>
      </w:r>
    </w:p>
    <w:bookmarkEnd w:id="90"/>
    <w:bookmarkStart w:id="91" w:name="the-causal-mechanism"/>
    <w:p>
      <w:pPr>
        <w:pStyle w:val="Heading2"/>
        <w:spacing w:line="480" w:lineRule="auto"/>
      </w:pPr>
      <w:r>
        <w:t xml:space="preserve">3.4 The Causal Mechanism</w:t>
      </w:r>
    </w:p>
    <w:p>
      <w:pPr>
        <w:pStyle w:val="FirstParagraph"/>
        <w:spacing w:line="480" w:lineRule="auto"/>
      </w:pPr>
      <w:r>
        <w:t xml:space="preserve">The framework posits a four-step causal mechanism that links the single point of trust to observable civil and economic activity.</w:t>
      </w:r>
    </w:p>
    <w:p>
      <w:pPr>
        <w:pStyle w:val="BodyText"/>
        <w:spacing w:line="480" w:lineRule="auto"/>
        <w:ind w:firstLine="720"/>
      </w:pPr>
      <w:r>
        <w:t xml:space="preserve">The first step is signal dependence. Civil infrastructures of consequence, including financial settlement, electrical grid synchronization, telecommunications, surface freight, and aviation operations, embed the GPS broadcast in operational processes whose failure modes were not designed around signal loss. The space-economy corpus documents the breadth of this embedding</w:t>
      </w:r>
      <w:r>
        <w:t xml:space="preserve"> </w:t>
      </w:r>
      <w:hyperlink w:anchor="ref-1">
        <w:r>
          <w:rPr>
            <w:rStyle w:val="Hyperlink"/>
          </w:rPr>
          <w:t xml:space="preserve">[1]</w:t>
        </w:r>
      </w:hyperlink>
      <w:r>
        <w:t xml:space="preserve">[2][4]. The engineering literature on candidate alternatives documents the operational consequence of the embedding by identifying the systems that would need to exist to relax it</w:t>
      </w:r>
      <w:r>
        <w:t xml:space="preserve"> </w:t>
      </w:r>
      <w:hyperlink w:anchor="ref-9">
        <w:r>
          <w:rPr>
            <w:rStyle w:val="Hyperlink"/>
          </w:rPr>
          <w:t xml:space="preserve">[9]</w:t>
        </w:r>
      </w:hyperlink>
      <w:r>
        <w:t xml:space="preserve">[10].</w:t>
      </w:r>
    </w:p>
    <w:p>
      <w:pPr>
        <w:pStyle w:val="BodyText"/>
        <w:spacing w:line="480" w:lineRule="auto"/>
        <w:ind w:firstLine="720"/>
      </w:pPr>
      <w:r>
        <w:t xml:space="preserve">The second step is exogenous degradation. The signal is withdrawn or degraded over a defined geographic footprint during a defined time window by a cause that is not under the control of the downstream civil user. The documentary record of such events is maintained by the Federal Aviation Administration through its GPS Interference Reports threaded through Notices to Air Missions</w:t>
      </w:r>
      <w:r>
        <w:t xml:space="preserve"> </w:t>
      </w:r>
      <w:hyperlink w:anchor="ref-12">
        <w:r>
          <w:rPr>
            <w:rStyle w:val="Hyperlink"/>
          </w:rPr>
          <w:t xml:space="preserve">[12]</w:t>
        </w:r>
      </w:hyperlink>
      <w:r>
        <w:t xml:space="preserve">, by the United States Coast Guard Navigation Center through its GPS Problem Reports archive</w:t>
      </w:r>
      <w:r>
        <w:t xml:space="preserve"> </w:t>
      </w:r>
      <w:hyperlink w:anchor="ref-11">
        <w:r>
          <w:rPr>
            <w:rStyle w:val="Hyperlink"/>
          </w:rPr>
          <w:t xml:space="preserve">[11]</w:t>
        </w:r>
      </w:hyperlink>
      <w:r>
        <w:t xml:space="preserve">, and is supplemented for documented regional clusters by analyses such as the C4ADS Above Us Only Stars investigation</w:t>
      </w:r>
      <w:r>
        <w:t xml:space="preserve"> </w:t>
      </w:r>
      <w:hyperlink w:anchor="ref-14">
        <w:r>
          <w:rPr>
            <w:rStyle w:val="Hyperlink"/>
          </w:rPr>
          <w:t xml:space="preserve">[14]</w:t>
        </w:r>
      </w:hyperlink>
      <w:r>
        <w:t xml:space="preserve">. Exogeneity of the degradation, conditional on observable covariates, is the identifying premise of the difference-in-differences design that the prospectus develops.</w:t>
      </w:r>
    </w:p>
    <w:p>
      <w:pPr>
        <w:pStyle w:val="BodyText"/>
        <w:spacing w:line="480" w:lineRule="auto"/>
        <w:ind w:firstLine="720"/>
      </w:pPr>
      <w:r>
        <w:t xml:space="preserve">The third step is operational transmission. Within the degradation footprint and window, the civil infrastructures that depend on the signal experience a change in their operating conditions. The change manifests in measurable operational variables: flight operations counts, settlement volumes, grid balancing excursions, freight throughput. The change need not be large in absolute magnitude to be detectable at daily frequency, and the change need not be uniform across sectors, because ex ante dependence on the signal varies across sectors in ways that the engineering literature has characterized.</w:t>
      </w:r>
    </w:p>
    <w:p>
      <w:pPr>
        <w:pStyle w:val="BodyText"/>
        <w:spacing w:line="480" w:lineRule="auto"/>
        <w:ind w:firstLine="720"/>
      </w:pPr>
      <w:r>
        <w:t xml:space="preserve">The fourth step is economic consequence. Changes in operational variables aggregate to changes in economic activity, measurable through the same operational indicators standardized within sector and aggregated by sector weights drawn from national accounts. The economic consequence is conditional on the degradation event; it is not an unconditional forecast of civil loss. The framework treats the conditional consequence as the object to be estimated, and treats extrapolation from the conditional estimate to a sustained national outage as a separate exercise that the framework does not attempt to settle.</w:t>
      </w:r>
    </w:p>
    <w:p>
      <w:pPr>
        <w:pStyle w:val="BodyText"/>
        <w:spacing w:line="480" w:lineRule="auto"/>
        <w:ind w:firstLine="720"/>
      </w:pPr>
      <w:r>
        <w:t xml:space="preserve">The mechanism is causal in the sense required by the difference-in-differences identification strategy: the treatment is exogenous conditional on observable covariates, the treated and control units share parallel pre-treatment trends, and the outcome variable is measured at frequencies sufficient to detect a change within the treatment window. The mechanism is not causal in the sense of a structural model of each sector’s response; the framework deliberately leaves the sectoral response unmodeled at the structural level, because the dissertation’s empirical contribution is a defensible reduced-form estimate of the conditional exposure, not a structural simulation of the response of each affected infrastructure.</w:t>
      </w:r>
    </w:p>
    <w:bookmarkEnd w:id="91"/>
    <w:bookmarkStart w:id="92" w:name="X1078dc5e2eac92713db088dff41663d409825c1"/>
    <w:p>
      <w:pPr>
        <w:pStyle w:val="Heading2"/>
        <w:spacing w:line="480" w:lineRule="auto"/>
      </w:pPr>
      <w:r>
        <w:t xml:space="preserve">3.5 Linking the Mechanism to the Constellation and Event Records</w:t>
      </w:r>
    </w:p>
    <w:p>
      <w:pPr>
        <w:pStyle w:val="FirstParagraph"/>
        <w:spacing w:line="480" w:lineRule="auto"/>
      </w:pPr>
      <w:r>
        <w:t xml:space="preserve">Two empirical anchors connect the abstract mechanism to observational records that are already in hand from the supporting papers.</w:t>
      </w:r>
    </w:p>
    <w:p>
      <w:pPr>
        <w:pStyle w:val="BodyText"/>
        <w:spacing w:line="480" w:lineRule="auto"/>
        <w:ind w:firstLine="720"/>
      </w:pPr>
      <w:r>
        <w:t xml:space="preserve">The constellation-level anchor is the realized operational life of the GPS satellite vehicles. The supporting paper on lifetime overrun fits an ordinary-least-squares model of realized operational years on contractor design life, launch year, and block dummies, on a cross-section of forty-nine vehicles spanning Block IIA through Block III. The model returns an R-squared of 0.876 and identifies block coefficients on the Block IIR and Block IIR-M cohorts of 9.66 and 10.81 years against the Block IIA reference, with t statistics above 4.8 in each case. The substantive interpretation, after conditioning on warranty and launch year, is that the older replenishment cohorts have been operated approximately a decade past their warranty to maintain continuity of the broadcast while successor blocks slipped</w:t>
      </w:r>
      <w:r>
        <w:t xml:space="preserve"> </w:t>
      </w:r>
      <w:hyperlink w:anchor="ref-5">
        <w:r>
          <w:rPr>
            <w:rStyle w:val="Hyperlink"/>
          </w:rPr>
          <w:t xml:space="preserve">[5]</w:t>
        </w:r>
      </w:hyperlink>
      <w:r>
        <w:t xml:space="preserve">[6][7]. The constellation-level evidence is therefore consistent with the framework’s claim that the single point of trust is sustained by warranty overrun rather than by planned replenishment, and supplies the empirical motivation for treating civil exposure as a quantity that must be measured rather than asserted.</w:t>
      </w:r>
    </w:p>
    <w:p>
      <w:pPr>
        <w:pStyle w:val="BodyText"/>
        <w:spacing w:line="480" w:lineRule="auto"/>
        <w:ind w:firstLine="720"/>
      </w:pPr>
      <w:r>
        <w:t xml:space="preserve">The event-level anchor is the time-to-restoration of documented GPS PNT interference events. The supporting paper on event duration fits a Cox proportional-hazards model on twenty-eight documented events between 2017 and 2025, with a single right-censored event at the close of the observation window, drawing on the FAA Notices to Air Missions and GPS Interference Reports</w:t>
      </w:r>
      <w:r>
        <w:t xml:space="preserve"> </w:t>
      </w:r>
      <w:hyperlink w:anchor="ref-12">
        <w:r>
          <w:rPr>
            <w:rStyle w:val="Hyperlink"/>
          </w:rPr>
          <w:t xml:space="preserve">[12]</w:t>
        </w:r>
      </w:hyperlink>
      <w:r>
        <w:t xml:space="preserve"> </w:t>
      </w:r>
      <w:r>
        <w:t xml:space="preserve">and on the USCG Navigation Center GPS Problem Reports archive</w:t>
      </w:r>
      <w:r>
        <w:t xml:space="preserve"> </w:t>
      </w:r>
      <w:hyperlink w:anchor="ref-11">
        <w:r>
          <w:rPr>
            <w:rStyle w:val="Hyperlink"/>
          </w:rPr>
          <w:t xml:space="preserve">[11]</w:t>
        </w:r>
      </w:hyperlink>
      <w:r>
        <w:t xml:space="preserve">, with regional cluster context from the C4ADS Above Us Only Stars analysis</w:t>
      </w:r>
      <w:r>
        <w:t xml:space="preserve"> </w:t>
      </w:r>
      <w:hyperlink w:anchor="ref-14">
        <w:r>
          <w:rPr>
            <w:rStyle w:val="Hyperlink"/>
          </w:rPr>
          <w:t xml:space="preserve">[14]</w:t>
        </w:r>
      </w:hyperlink>
      <w:r>
        <w:t xml:space="preserve">. The model returns a footprint coefficient of negative 2.87 (p equals 0.0162) and a reporting-lag coefficient of positive 2.50 (p equals 0.0059), with severity and civil-aviation flags not separately identified at this sample size. The direction of the footprint effect, larger footprints associated with longer restoration windows, runs opposite to the institutional-salience prior and is consistent with a model in which restoration is bottlenecked at the source-identification and source-mitigation step. The event-level evidence is therefore consistent with the framework’s claim that the institutional response time to a partial withdrawal of the single utility is governed by detection and source-attribution rather than by notification capacity.</w:t>
      </w:r>
    </w:p>
    <w:p>
      <w:pPr>
        <w:pStyle w:val="BodyText"/>
        <w:spacing w:line="480" w:lineRule="auto"/>
        <w:ind w:firstLine="720"/>
      </w:pPr>
      <w:r>
        <w:t xml:space="preserve">Both anchors deliver the same theoretical message. The single point of trust is real, its continuity is currently sustained by mechanisms that the prior literature has not priced, and the durations during which the utility has been partially withdrawn from civil footprints have been long enough to generate measurable observational records. The hypotheses that follow apply the framework to the dissertation’s principal estimation question: what is the conditional civil and economic exposure to a documented PNT degradation event, measured at daily frequency at the sector level.</w:t>
      </w:r>
    </w:p>
    <w:bookmarkEnd w:id="92"/>
    <w:bookmarkStart w:id="93" w:name="formal-hypotheses"/>
    <w:p>
      <w:pPr>
        <w:pStyle w:val="Heading2"/>
        <w:spacing w:line="480" w:lineRule="auto"/>
      </w:pPr>
      <w:r>
        <w:t xml:space="preserve">3.6 Formal Hypotheses</w:t>
      </w:r>
    </w:p>
    <w:p>
      <w:pPr>
        <w:pStyle w:val="FirstParagraph"/>
        <w:spacing w:line="480" w:lineRule="auto"/>
      </w:pPr>
      <w:r>
        <w:t xml:space="preserve">The framework supports a single falsifiable hypothesis pair. The null and the alternative are stated in the form that the prospectus identifies as the dissertation’s single contribution, refined through the theoretical mechanism developed in this chapter.</w:t>
      </w:r>
    </w:p>
    <w:p>
      <w:pPr>
        <w:pStyle w:val="BodyText"/>
        <w:spacing w:line="480" w:lineRule="auto"/>
        <w:ind w:firstLine="720"/>
      </w:pPr>
      <w:r>
        <w:rPr>
          <w:b/>
          <w:bCs/>
        </w:rPr>
        <w:t xml:space="preserve">H0.</w:t>
      </w:r>
      <w:r>
        <w:t xml:space="preserve"> </w:t>
      </w:r>
      <w:r>
        <w:t xml:space="preserve">During documented exogenous GPS PNT degradation windows, sector-level daily economic activity in affected geographies is statistically indistinguishable from activity in matched unaffected geographies, conditional on covariates. Formally, let Y_{s,r,t} denote the standardized daily activity measure for sector s in region r on day t, let D_{r,t} denote a binary indicator of treatment status (region r is inside the documented degradation footprint on day t), and let X_{s,r,t} denote a vector of pre-treatment covariates including sector fixed effects, region fixed effects, day fixed effects, and weather and macroeconomic controls. The null is that the difference-in-differences coefficient on D_{r,t} in the saturated specification is zero across all sectors and is zero in the sector-weighted aggregate.</w:t>
      </w:r>
    </w:p>
    <w:p>
      <w:pPr>
        <w:pStyle w:val="BodyText"/>
        <w:spacing w:line="480" w:lineRule="auto"/>
        <w:ind w:firstLine="720"/>
      </w:pPr>
      <w:r>
        <w:rPr>
          <w:b/>
          <w:bCs/>
        </w:rPr>
        <w:t xml:space="preserve">H1.</w:t>
      </w:r>
      <w:r>
        <w:t xml:space="preserve"> </w:t>
      </w:r>
      <w:r>
        <w:t xml:space="preserve">During documented exogenous GPS PNT degradation windows, sector-level daily economic activity in affected geographies declines by a measurable and statistically significant amount relative to matched unaffected geographies, with the largest declines concentrated in sectors whose operational dependence on PNT timing or positioning is ex ante documented (financial settlement, electric grid balancing, surface freight, aviation operations). The alternative is that the difference-in-differences coefficient on D_{r,t} is negative, statistically distinguishable from zero at conventional thresholds in at least the four ex ante PNT-dependent sectors, and aggregates under sector weights drawn from national accounts to a conditional daily loss estimate that is bounded away from zero with reported confidence intervals.</w:t>
      </w:r>
    </w:p>
    <w:p>
      <w:pPr>
        <w:pStyle w:val="BodyText"/>
        <w:spacing w:line="480" w:lineRule="auto"/>
        <w:ind w:firstLine="720"/>
      </w:pPr>
      <w:r>
        <w:t xml:space="preserve">H1 carries the further structural prediction, drawn from the engineering-side literature on candidate alternatives</w:t>
      </w:r>
      <w:r>
        <w:t xml:space="preserve"> </w:t>
      </w:r>
      <w:hyperlink w:anchor="ref-9">
        <w:r>
          <w:rPr>
            <w:rStyle w:val="Hyperlink"/>
          </w:rPr>
          <w:t xml:space="preserve">[9]</w:t>
        </w:r>
      </w:hyperlink>
      <w:r>
        <w:t xml:space="preserve">[10] and the constellation-level evidence on warranty overrun</w:t>
      </w:r>
      <w:r>
        <w:t xml:space="preserve"> </w:t>
      </w:r>
      <w:hyperlink w:anchor="ref-5">
        <w:r>
          <w:rPr>
            <w:rStyle w:val="Hyperlink"/>
          </w:rPr>
          <w:t xml:space="preserve">[5]</w:t>
        </w:r>
      </w:hyperlink>
      <w:r>
        <w:t xml:space="preserve">[6][7], that the sectoral pattern of the estimated coefficients should rank the most engineering-acknowledged dependencies, aviation and financial settlement, ahead of less acknowledged dependencies. The structural prediction is testable in the same difference-in-differences design through sector-specific coefficient ranking, and the test is reported alongside the principal aggregate estimate.</w:t>
      </w:r>
    </w:p>
    <w:p>
      <w:pPr>
        <w:pStyle w:val="BodyText"/>
        <w:spacing w:line="480" w:lineRule="auto"/>
        <w:ind w:firstLine="720"/>
      </w:pPr>
      <w:r>
        <w:t xml:space="preserve">Rejection of H0 in favor of H1, with a point estimate and confidence interval, is the dissertation’s single substantive contribution. Failure to reject H0 is itself a publishable result, because it would falsify the prevailing qualitative claim that GPS dependency translates into immediate measurable civil loss, and would relocate the analytic burden of the exposure argument onto longer-horizon outage scenarios that the dissertation’s design does not estimate.</w:t>
      </w:r>
    </w:p>
    <w:bookmarkEnd w:id="93"/>
    <w:bookmarkStart w:id="94" w:name="X6748a4a882d3b0d1c27241879933d23be0335b1"/>
    <w:p>
      <w:pPr>
        <w:pStyle w:val="Heading2"/>
        <w:spacing w:line="480" w:lineRule="auto"/>
      </w:pPr>
      <w:r>
        <w:t xml:space="preserve">3.7 Scope Conditions and Boundary Assumptions</w:t>
      </w:r>
    </w:p>
    <w:p>
      <w:pPr>
        <w:pStyle w:val="FirstParagraph"/>
        <w:spacing w:line="480" w:lineRule="auto"/>
      </w:pPr>
      <w:r>
        <w:t xml:space="preserve">The hypotheses are stated under explicit scope conditions. Three are material.</w:t>
      </w:r>
    </w:p>
    <w:p>
      <w:pPr>
        <w:pStyle w:val="BodyText"/>
        <w:spacing w:line="480" w:lineRule="auto"/>
        <w:ind w:firstLine="720"/>
      </w:pPr>
      <w:r>
        <w:t xml:space="preserve">First, the framework conditions on documented degradation events with a defined geographic footprint and a defined start and end time. The conditional estimate is therefore an estimate of the civil exposure during the documented event class, not an estimate of the civil exposure during a sustained national outage. The supporting paper on event duration confirms that the documented class is short and geographically bounded relative to a hypothetical national outage. Extrapolation from the documented class to the unobserved class is treated as a separate exercise.</w:t>
      </w:r>
    </w:p>
    <w:p>
      <w:pPr>
        <w:pStyle w:val="BodyText"/>
        <w:spacing w:line="480" w:lineRule="auto"/>
        <w:ind w:firstLine="720"/>
      </w:pPr>
      <w:r>
        <w:t xml:space="preserve">Second, the framework conditions on the existence of a meaningful control geography. The difference-in-differences design fails if every geography is treated simultaneously. The documented event record provides events of bounded footprint that satisfy this condition; the framework’s hypotheses are stated for that record only.</w:t>
      </w:r>
    </w:p>
    <w:p>
      <w:pPr>
        <w:pStyle w:val="BodyText"/>
        <w:spacing w:line="480" w:lineRule="auto"/>
        <w:ind w:firstLine="720"/>
      </w:pPr>
      <w:r>
        <w:t xml:space="preserve">Third, the framework conditions on the validity of the parallel-trends assumption between treated and matched control geographies in the pre-treatment window. The assumption is testable through pre-trend inspection and is the principal threat to identification, addressed in the robustness program identified in the prospectus.</w:t>
      </w:r>
    </w:p>
    <w:bookmarkEnd w:id="94"/>
    <w:bookmarkStart w:id="95" w:name="Xbfda8f381abe9282f9c41c49b8f0b4e6ada9af0"/>
    <w:p>
      <w:pPr>
        <w:pStyle w:val="Heading2"/>
        <w:spacing w:line="480" w:lineRule="auto"/>
      </w:pPr>
      <w:r>
        <w:t xml:space="preserve">3.8 Position of the Hypotheses Within the Dissertation</w:t>
      </w:r>
    </w:p>
    <w:p>
      <w:pPr>
        <w:pStyle w:val="FirstParagraph"/>
        <w:spacing w:line="480" w:lineRule="auto"/>
      </w:pPr>
      <w:r>
        <w:t xml:space="preserve">The hypothesis pair is the load-bearing object of the dissertation. The two supporting papers, on constellation lifetime overrun and on event-duration time-to-restoration, supply the empirical foundations that justify treating the hypothesis test as worth conducting: the constellation evidence shows that the single point of trust is sustained by warranty overrun and is therefore a real policy object</w:t>
      </w:r>
      <w:r>
        <w:t xml:space="preserve"> </w:t>
      </w:r>
      <w:hyperlink w:anchor="ref-5">
        <w:r>
          <w:rPr>
            <w:rStyle w:val="Hyperlink"/>
          </w:rPr>
          <w:t xml:space="preserve">[5]</w:t>
        </w:r>
      </w:hyperlink>
      <w:r>
        <w:t xml:space="preserve">[6][7], and the event-duration evidence shows that the documented event class is long enough to support measurement of civil consequence at daily frequency</w:t>
      </w:r>
      <w:r>
        <w:t xml:space="preserve"> </w:t>
      </w:r>
      <w:hyperlink w:anchor="ref-11">
        <w:r>
          <w:rPr>
            <w:rStyle w:val="Hyperlink"/>
          </w:rPr>
          <w:t xml:space="preserve">[11]</w:t>
        </w:r>
      </w:hyperlink>
      <w:r>
        <w:t xml:space="preserve">[12][14]. The principal empirical chapter that follows tests H0 against H1 on the assembled difference-in-differences dataset, with the robustness program identified in the prospectus, and reports the point-and-interval estimate of the conditional daily civil exposure as the dissertation’s single contribution.</w:t>
      </w:r>
    </w:p>
    <w:p>
      <w:pPr>
        <w:pStyle w:val="BodyText"/>
        <w:spacing w:line="480" w:lineRule="auto"/>
        <w:ind w:firstLine="720"/>
      </w:pPr>
      <w:r>
        <w:t xml:space="preserve">The theoretical framework developed in this chapter places that contribution in the literature in three explicit ways. It treats the descriptive premise of broad civil dependency on GPS PNT as established by the space-economy and integrated-deterrence literatures</w:t>
      </w:r>
      <w:r>
        <w:t xml:space="preserve"> </w:t>
      </w:r>
      <w:hyperlink w:anchor="ref-1">
        <w:r>
          <w:rPr>
            <w:rStyle w:val="Hyperlink"/>
          </w:rPr>
          <w:t xml:space="preserve">[1]</w:t>
        </w:r>
      </w:hyperlink>
      <w:r>
        <w:t xml:space="preserve">[2][3][4][8]. It treats the engineering-side acknowledgement of the dependency as established by the autonomous flight-safety and visual-PNT alternative literatures</w:t>
      </w:r>
      <w:r>
        <w:t xml:space="preserve"> </w:t>
      </w:r>
      <w:hyperlink w:anchor="ref-9">
        <w:r>
          <w:rPr>
            <w:rStyle w:val="Hyperlink"/>
          </w:rPr>
          <w:t xml:space="preserve">[9]</w:t>
        </w:r>
      </w:hyperlink>
      <w:r>
        <w:t xml:space="preserve">[10]. It treats the gap between qualitative acknowledgement and quantitative pricing as the analytic opening into which the dissertation’s contribution is placed. The hypothesis pair developed in this chapter is the device by which the contribution is made falsifiable.</w:t>
      </w:r>
    </w:p>
    <w:bookmarkEnd w:id="95"/>
    <w:bookmarkEnd w:id="96"/>
    <w:bookmarkStart w:id="110" w:name="chapter-4.-data-and-measurement"/>
    <w:p>
      <w:pPr>
        <w:pStyle w:val="Heading1"/>
        <w:spacing w:line="480" w:lineRule="auto"/>
      </w:pPr>
      <w:r>
        <w:t xml:space="preserve">Chapter 4. Data and Measurement</w:t>
      </w:r>
    </w:p>
    <w:bookmarkStart w:id="97" w:name="purpose-and-scope-of-the-chapter"/>
    <w:p>
      <w:pPr>
        <w:pStyle w:val="Heading2"/>
        <w:spacing w:line="480" w:lineRule="auto"/>
      </w:pPr>
      <w:r>
        <w:t xml:space="preserve">4.1 Purpose and Scope of the Chapter</w:t>
      </w:r>
    </w:p>
    <w:p>
      <w:pPr>
        <w:pStyle w:val="FirstParagraph"/>
        <w:spacing w:line="480" w:lineRule="auto"/>
      </w:pPr>
      <w:r>
        <w:t xml:space="preserve">This chapter documents the data on which the dissertation rests. It describes the two principal datasets compiled for the constituent empirical papers, names the authoritative primary sources from which each variable is constructed, fixes the unit of analysis for each estimation, and details the construction rules applied to convert primary records into the analytic variables used in estimation. The chapter is written to a standard of provenance sufficient for replication: every variable in the analysis files is mapped here to a public archival source or a documented derivation rule, and every transformation between the primary record and the analytic variable is stated explicitly. The dissertation is built on observational data drawn from government archives, with no proprietary or restricted sources, and the discipline of the chapter is to make that lineage auditable.</w:t>
      </w:r>
    </w:p>
    <w:p>
      <w:pPr>
        <w:pStyle w:val="BodyText"/>
        <w:spacing w:line="480" w:lineRule="auto"/>
        <w:ind w:firstLine="720"/>
      </w:pPr>
      <w:r>
        <w:t xml:space="preserve">Two datasets are documented. The first is a vehicle-level cross-section of the Global Positioning System constellation, used in the first empirical paper to estimate operational-life overrun against contractor warranty conditional on launch year and block cohort. The second is an event-level panel of documented civil GPS positioning, navigation, and timing (PNT) interference events from 2017 through 2025, used in the second empirical paper to model the time-to-restoration of degraded civil PNT service as a survival process. The dissertation framing motivating both datasets is the single-point-of-trust treatment of GPS that the space-economy and integrated-deterrence literatures have flagged as a structural feature of the modern American economy</w:t>
      </w:r>
      <w:r>
        <w:t xml:space="preserve"> </w:t>
      </w:r>
      <w:hyperlink w:anchor="ref-1">
        <w:r>
          <w:rPr>
            <w:rStyle w:val="Hyperlink"/>
          </w:rPr>
          <w:t xml:space="preserve">[1]</w:t>
        </w:r>
      </w:hyperlink>
      <w:r>
        <w:t xml:space="preserve">[2][3][4].</w:t>
      </w:r>
    </w:p>
    <w:p>
      <w:pPr>
        <w:pStyle w:val="BodyText"/>
        <w:spacing w:line="480" w:lineRule="auto"/>
        <w:ind w:firstLine="720"/>
      </w:pPr>
      <w:r>
        <w:t xml:space="preserve">The chapter proceeds in four parts. Section 4.2 documents the constellation cross-section, its primary archival sources, the unit of analysis, the construction of each variable, the handling of right-censoring for vehicles still on orbit at the observation cutoff, and the data-quality controls applied. Section 4.3 documents the interference-event panel, its primary archival sources, the unit of analysis, the construction of severity, footprint, civil aviation, and reporting-lag variables, and the treatment of the single right-censored event at the close of the observation window. Section 4.4 documents the cross-dataset rules applied uniformly across both files: provenance citation in the source field of every row, the marker used when a numeric value is illustrative rather than directly observable from a public archive, the cutoff date for the observation window, and the version control applied to the analysis manifests. Section 4.5 closes with the measurement limitations that the chapter cannot dissolve and that the empirical chapters are obliged to acknowledge.</w:t>
      </w:r>
    </w:p>
    <w:p>
      <w:pPr>
        <w:pStyle w:val="BodyText"/>
        <w:spacing w:line="480" w:lineRule="auto"/>
        <w:ind w:firstLine="720"/>
      </w:pPr>
      <w:r>
        <w:t xml:space="preserve">The chapter is descriptive rather than analytic. It names the data; the empirical chapters do the inference. The discipline applied is the same one that the prospectus committed the dissertation to: real datasets, authoritative sources, and a documented chain from the primary record to the variable that enters the estimator.</w:t>
      </w:r>
    </w:p>
    <w:bookmarkEnd w:id="97"/>
    <w:bookmarkStart w:id="102" w:name="X6baf42c2ca8edd7d40eeaafa697479e619e23d5"/>
    <w:p>
      <w:pPr>
        <w:pStyle w:val="Heading2"/>
        <w:spacing w:line="480" w:lineRule="auto"/>
      </w:pPr>
      <w:r>
        <w:t xml:space="preserve">4.2 Dataset One: The GPS Constellation Vehicle Cross-Section</w:t>
      </w:r>
    </w:p>
    <w:bookmarkStart w:id="98" w:name="authoritative-sources"/>
    <w:p>
      <w:pPr>
        <w:pStyle w:val="Heading3"/>
        <w:spacing w:line="480" w:lineRule="auto"/>
      </w:pPr>
      <w:r>
        <w:t xml:space="preserve">4.2.1 Authoritative Sources</w:t>
      </w:r>
    </w:p>
    <w:p>
      <w:pPr>
        <w:pStyle w:val="FirstParagraph"/>
        <w:spacing w:line="480" w:lineRule="auto"/>
      </w:pPr>
      <w:r>
        <w:t xml:space="preserve">The constellation cross-section is built from three primary archival sources. The first is the United States Space Force, Second Space Operations Squadron status archive, surfaced through the gps.gov</w:t>
      </w:r>
      <w:r>
        <w:t xml:space="preserve"> </w:t>
      </w:r>
      <w:r>
        <w:t xml:space="preserve">“Space Segment”</w:t>
      </w:r>
      <w:r>
        <w:t xml:space="preserve"> </w:t>
      </w:r>
      <w:r>
        <w:t xml:space="preserve">page retrieved on 2026-06</w:t>
      </w:r>
      <w:r>
        <w:t xml:space="preserve"> </w:t>
      </w:r>
      <w:hyperlink w:anchor="ref-5">
        <w:r>
          <w:rPr>
            <w:rStyle w:val="Hyperlink"/>
          </w:rPr>
          <w:t xml:space="preserve">[5]</w:t>
        </w:r>
      </w:hyperlink>
      <w:r>
        <w:t xml:space="preserve">. This archive is the public-facing record of vehicle status for the operational constellation and is the canonical source for the launch year, decommissioning year (where applicable), block assignment, and operational status flag for every GPS satellite vehicle. The second is the United States Government Accountability Office oversight report GAO-25-107591 on GPS III acquisition status and outlook</w:t>
      </w:r>
      <w:r>
        <w:t xml:space="preserve"> </w:t>
      </w:r>
      <w:hyperlink w:anchor="ref-6">
        <w:r>
          <w:rPr>
            <w:rStyle w:val="Hyperlink"/>
          </w:rPr>
          <w:t xml:space="preserve">[6]</w:t>
        </w:r>
      </w:hyperlink>
      <w:r>
        <w:t xml:space="preserve">, which carries the contractor-specified design-life numbers for the Block III vehicles and updates the schedule context that motivates the older-block overrun question. The third is the earlier Government Accountability Office report GAO-19-250 on the broader GPS acquisition</w:t>
      </w:r>
      <w:r>
        <w:t xml:space="preserve"> </w:t>
      </w:r>
      <w:hyperlink w:anchor="ref-7">
        <w:r>
          <w:rPr>
            <w:rStyle w:val="Hyperlink"/>
          </w:rPr>
          <w:t xml:space="preserve">[7]</w:t>
        </w:r>
      </w:hyperlink>
      <w:r>
        <w:t xml:space="preserve">, which carries the design-life specifications and schedule context for the earlier blocks. Both Government Accountability Office reports are cited because they jointly anchor the design-life specification across the cohort range that the cross-section covers, and the prospectus identifies them as the canonical public sources for the warranty numbers</w:t>
      </w:r>
      <w:r>
        <w:t xml:space="preserve"> </w:t>
      </w:r>
      <w:hyperlink w:anchor="ref-13">
        <w:r>
          <w:rPr>
            <w:rStyle w:val="Hyperlink"/>
          </w:rPr>
          <w:t xml:space="preserve">[13]</w:t>
        </w:r>
      </w:hyperlink>
      <w:r>
        <w:t xml:space="preserve">.</w:t>
      </w:r>
    </w:p>
    <w:p>
      <w:pPr>
        <w:pStyle w:val="BodyText"/>
        <w:spacing w:line="480" w:lineRule="auto"/>
        <w:ind w:firstLine="720"/>
      </w:pPr>
      <w:r>
        <w:t xml:space="preserve">The choice of these three sources rather than a single composite secondary list is deliberate. The dissertation framing treats GPS as a single point of civil trust whose acquisition pattern is a matter of public oversight, and the proper primary sources for the constellation status and warranty are therefore the operating command’s status archive and the auditor’s oversight reports, not a derived list assembled by a third party. Each row in the analytic file carries an explicit citation in its final source field to the specific public document from which its values were drawn, in conformance with the data-discipline rule applied across the dissertation.</w:t>
      </w:r>
    </w:p>
    <w:bookmarkEnd w:id="98"/>
    <w:bookmarkStart w:id="99" w:name="unit-of-analysis"/>
    <w:p>
      <w:pPr>
        <w:pStyle w:val="Heading3"/>
        <w:spacing w:line="480" w:lineRule="auto"/>
      </w:pPr>
      <w:r>
        <w:t xml:space="preserve">4.2.2 Unit of Analysis</w:t>
      </w:r>
    </w:p>
    <w:p>
      <w:pPr>
        <w:pStyle w:val="FirstParagraph"/>
        <w:spacing w:line="480" w:lineRule="auto"/>
      </w:pPr>
      <w:r>
        <w:t xml:space="preserve">The unit of analysis is the satellite vehicle. The cross-section contains forty-nine vehicles spanning Block IIA, Block IIR, Block IIR-M, Block IIF, and Block III. Each row is a vehicle observed once: there is no within-vehicle time variation in the file, because the empirical question concerns the operational life realized over a vehicle’s lifetime, not the time-varying health of a vehicle on orbit. A vehicle that is still flying at the 2026-06 cutoff contributes one row whose operational-life value is the elapsed years between its launch year and the cutoff, with a censoring indicator that records its still-on-orbit status. A vehicle that has been decommissioned contributes one row whose operational-life value is the elapsed years between launch and decommissioning, with the censoring indicator set to zero.</w:t>
      </w:r>
    </w:p>
    <w:p>
      <w:pPr>
        <w:pStyle w:val="BodyText"/>
        <w:spacing w:line="480" w:lineRule="auto"/>
        <w:ind w:firstLine="720"/>
      </w:pPr>
      <w:r>
        <w:t xml:space="preserve">The cross-sectional unit is the correct one for the first paper because the substantive question is whether realized operational life systematically exceeds the contractor design life across blocks conditional on launch-year cohort. Within-vehicle variation in operational state has no purchase on that question. The trade-off accepted by the cross-sectional choice is that vehicles still on orbit at the cutoff are right-censored on the outcome variable; this is addressed in the construction rule below and again in the limitations section.</w:t>
      </w:r>
    </w:p>
    <w:bookmarkEnd w:id="99"/>
    <w:bookmarkStart w:id="100" w:name="variable-construction"/>
    <w:p>
      <w:pPr>
        <w:pStyle w:val="Heading3"/>
        <w:spacing w:line="480" w:lineRule="auto"/>
      </w:pPr>
      <w:r>
        <w:t xml:space="preserve">4.2.3 Variable Construction</w:t>
      </w:r>
    </w:p>
    <w:p>
      <w:pPr>
        <w:pStyle w:val="FirstParagraph"/>
        <w:spacing w:line="480" w:lineRule="auto"/>
      </w:pPr>
      <w:r>
        <w:t xml:space="preserve">Six analytic variables are constructed from the primary records.</w:t>
      </w:r>
    </w:p>
    <w:p>
      <w:pPr>
        <w:pStyle w:val="BodyText"/>
        <w:spacing w:line="480" w:lineRule="auto"/>
        <w:ind w:firstLine="720"/>
      </w:pPr>
      <w:r>
        <w:t xml:space="preserve">The dependent variable,</w:t>
      </w:r>
      <w:r>
        <w:t xml:space="preserve"> </w:t>
      </w:r>
      <w:r>
        <w:rPr>
          <w:b/>
          <w:bCs/>
        </w:rPr>
        <w:t xml:space="preserve">operational_years</w:t>
      </w:r>
      <w:r>
        <w:t xml:space="preserve">, is constructed as the difference between either the decommissioning year (for vehicles whose status is recorded as decommissioned in the gps.gov status archive</w:t>
      </w:r>
      <w:r>
        <w:t xml:space="preserve"> </w:t>
      </w:r>
      <w:hyperlink w:anchor="ref-5">
        <w:r>
          <w:rPr>
            <w:rStyle w:val="Hyperlink"/>
          </w:rPr>
          <w:t xml:space="preserve">[5]</w:t>
        </w:r>
      </w:hyperlink>
      <w:r>
        <w:t xml:space="preserve">) and the launch year, or, for vehicles still on orbit at the 2026-06 cutoff, between the cutoff year and the launch year. A boolean field,</w:t>
      </w:r>
      <w:r>
        <w:t xml:space="preserve"> </w:t>
      </w:r>
      <w:r>
        <w:rPr>
          <w:b/>
          <w:bCs/>
        </w:rPr>
        <w:t xml:space="preserve">censored</w:t>
      </w:r>
      <w:r>
        <w:t xml:space="preserve">, accompanies operational_years and is set to true for vehicles still flying. The first empirical paper treats the censored rows as conservative for the direction of the test on the older blocks, because realized operational life of a still-flying vehicle is a lower bound on its eventual total.</w:t>
      </w:r>
    </w:p>
    <w:p>
      <w:pPr>
        <w:pStyle w:val="BodyText"/>
        <w:spacing w:line="480" w:lineRule="auto"/>
        <w:ind w:firstLine="720"/>
      </w:pPr>
      <w:r>
        <w:t xml:space="preserve">The principal regressor,</w:t>
      </w:r>
      <w:r>
        <w:t xml:space="preserve"> </w:t>
      </w:r>
      <w:r>
        <w:rPr>
          <w:b/>
          <w:bCs/>
        </w:rPr>
        <w:t xml:space="preserve">design_life_years</w:t>
      </w:r>
      <w:r>
        <w:t xml:space="preserve">, is the contractor-specified design life drawn from the Government Accountability Office reports</w:t>
      </w:r>
      <w:r>
        <w:t xml:space="preserve"> </w:t>
      </w:r>
      <w:hyperlink w:anchor="ref-6">
        <w:r>
          <w:rPr>
            <w:rStyle w:val="Hyperlink"/>
          </w:rPr>
          <w:t xml:space="preserve">[6]</w:t>
        </w:r>
      </w:hyperlink>
      <w:r>
        <w:t xml:space="preserve">[7] for the vehicle’s block. Design life is recorded per block rather than per vehicle, because the contracts that procured each block specified a single design life applicable to the cohort. The variable therefore varies across blocks but not within a block; this is correct as a representation of what the contract warranted, and is the variable on which the substantive H0 of the first paper turns.</w:t>
      </w:r>
    </w:p>
    <w:p>
      <w:pPr>
        <w:pStyle w:val="BodyText"/>
        <w:spacing w:line="480" w:lineRule="auto"/>
        <w:ind w:firstLine="720"/>
      </w:pPr>
      <w:r>
        <w:t xml:space="preserve">The covariate</w:t>
      </w:r>
      <w:r>
        <w:t xml:space="preserve"> </w:t>
      </w:r>
      <w:r>
        <w:rPr>
          <w:b/>
          <w:bCs/>
        </w:rPr>
        <w:t xml:space="preserve">launch_year</w:t>
      </w:r>
      <w:r>
        <w:t xml:space="preserve"> </w:t>
      </w:r>
      <w:r>
        <w:t xml:space="preserve">is the calendar year of the vehicle’s launch, drawn from the Second Space Operations Squadron status archive</w:t>
      </w:r>
      <w:r>
        <w:t xml:space="preserve"> </w:t>
      </w:r>
      <w:hyperlink w:anchor="ref-5">
        <w:r>
          <w:rPr>
            <w:rStyle w:val="Hyperlink"/>
          </w:rPr>
          <w:t xml:space="preserve">[5]</w:t>
        </w:r>
      </w:hyperlink>
      <w:r>
        <w:t xml:space="preserve">. Launch year is included in the regression to absorb cohort effects that are not collinear with block assignment and to give the estimator a separate channel for the procurement-cohort shift in warranty values, rather than allowing the warranty and the launch-year cohort to load entirely on the block indicators.</w:t>
      </w:r>
    </w:p>
    <w:p>
      <w:pPr>
        <w:pStyle w:val="BodyText"/>
        <w:spacing w:line="480" w:lineRule="auto"/>
        <w:ind w:firstLine="720"/>
      </w:pPr>
      <w:r>
        <w:t xml:space="preserve">Four block indicator variables,</w:t>
      </w:r>
      <w:r>
        <w:t xml:space="preserve"> </w:t>
      </w:r>
      <w:r>
        <w:rPr>
          <w:b/>
          <w:bCs/>
        </w:rPr>
        <w:t xml:space="preserve">block_IIR</w:t>
      </w:r>
      <w:r>
        <w:t xml:space="preserve">,</w:t>
      </w:r>
      <w:r>
        <w:t xml:space="preserve"> </w:t>
      </w:r>
      <w:r>
        <w:rPr>
          <w:b/>
          <w:bCs/>
        </w:rPr>
        <w:t xml:space="preserve">block_IIR_M</w:t>
      </w:r>
      <w:r>
        <w:t xml:space="preserve">,</w:t>
      </w:r>
      <w:r>
        <w:t xml:space="preserve"> </w:t>
      </w:r>
      <w:r>
        <w:rPr>
          <w:b/>
          <w:bCs/>
        </w:rPr>
        <w:t xml:space="preserve">block_IIF</w:t>
      </w:r>
      <w:r>
        <w:t xml:space="preserve">, and</w:t>
      </w:r>
      <w:r>
        <w:t xml:space="preserve"> </w:t>
      </w:r>
      <w:r>
        <w:rPr>
          <w:b/>
          <w:bCs/>
        </w:rPr>
        <w:t xml:space="preserve">block_III</w:t>
      </w:r>
      <w:r>
        <w:t xml:space="preserve">, encode block assignment with Block IIA as the omitted reference. Block assignment is taken from the gps.gov status archive</w:t>
      </w:r>
      <w:r>
        <w:t xml:space="preserve"> </w:t>
      </w:r>
      <w:hyperlink w:anchor="ref-5">
        <w:r>
          <w:rPr>
            <w:rStyle w:val="Hyperlink"/>
          </w:rPr>
          <w:t xml:space="preserve">[5]</w:t>
        </w:r>
      </w:hyperlink>
      <w:r>
        <w:t xml:space="preserve">. The first paper’s substantive content turns on the joint pattern of these indicators conditional on design life and launch year, and the older-block coefficients (IIR and IIR-M), which are uncontaminated by right-censoring, carry the principal weight of the test.</w:t>
      </w:r>
    </w:p>
    <w:p>
      <w:pPr>
        <w:pStyle w:val="BodyText"/>
        <w:spacing w:line="480" w:lineRule="auto"/>
        <w:ind w:firstLine="720"/>
      </w:pPr>
      <w:r>
        <w:t xml:space="preserve">A</w:t>
      </w:r>
      <w:r>
        <w:t xml:space="preserve"> </w:t>
      </w:r>
      <w:r>
        <w:rPr>
          <w:b/>
          <w:bCs/>
        </w:rPr>
        <w:t xml:space="preserve">source_citation</w:t>
      </w:r>
      <w:r>
        <w:t xml:space="preserve"> </w:t>
      </w:r>
      <w:r>
        <w:t xml:space="preserve">field is included as the final column of every row and records the public document from which the row’s values were drawn. The two oversight reports</w:t>
      </w:r>
      <w:r>
        <w:t xml:space="preserve"> </w:t>
      </w:r>
      <w:hyperlink w:anchor="ref-6">
        <w:r>
          <w:rPr>
            <w:rStyle w:val="Hyperlink"/>
          </w:rPr>
          <w:t xml:space="preserve">[6]</w:t>
        </w:r>
      </w:hyperlink>
      <w:r>
        <w:t xml:space="preserve">[7] and the gps.gov page</w:t>
      </w:r>
      <w:r>
        <w:t xml:space="preserve"> </w:t>
      </w:r>
      <w:hyperlink w:anchor="ref-5">
        <w:r>
          <w:rPr>
            <w:rStyle w:val="Hyperlink"/>
          </w:rPr>
          <w:t xml:space="preserve">[5]</w:t>
        </w:r>
      </w:hyperlink>
      <w:r>
        <w:t xml:space="preserve"> </w:t>
      </w:r>
      <w:r>
        <w:t xml:space="preserve">are the principal entries in this field; where a single row aggregates information from more than one source, all relevant identifiers are recorded.</w:t>
      </w:r>
    </w:p>
    <w:bookmarkEnd w:id="100"/>
    <w:bookmarkStart w:id="101" w:name="censoring-and-data-quality-controls"/>
    <w:p>
      <w:pPr>
        <w:pStyle w:val="Heading3"/>
        <w:spacing w:line="480" w:lineRule="auto"/>
      </w:pPr>
      <w:r>
        <w:t xml:space="preserve">4.2.4 Censoring and Data-Quality Controls</w:t>
      </w:r>
    </w:p>
    <w:p>
      <w:pPr>
        <w:pStyle w:val="FirstParagraph"/>
        <w:spacing w:line="480" w:lineRule="auto"/>
      </w:pPr>
      <w:r>
        <w:t xml:space="preserve">The right-censoring of vehicles still on orbit at 2026-06 is informative for the substantive direction of the first paper, because it bounds the realized operational life of those rows from below and therefore biases the test conservatively on the older blocks. The Block IIF and Block III rows are heavily censored as a mechanical consequence of their launch dates relative to the 2026 cutoff, and the first paper accordingly treats the older-block coefficients as the load-bearing inference. No imputation is applied to censored rows; the elapsed-years calculation against the cutoff is the operational-life value, and the censoring indicator is the flag.</w:t>
      </w:r>
    </w:p>
    <w:p>
      <w:pPr>
        <w:pStyle w:val="BodyText"/>
        <w:spacing w:line="480" w:lineRule="auto"/>
        <w:ind w:firstLine="720"/>
      </w:pPr>
      <w:r>
        <w:t xml:space="preserve">Three data-quality controls are applied. First, every row’s launch year, block assignment, and operational status are cross-checked against the gps.gov status archive</w:t>
      </w:r>
      <w:r>
        <w:t xml:space="preserve"> </w:t>
      </w:r>
      <w:hyperlink w:anchor="ref-5">
        <w:r>
          <w:rPr>
            <w:rStyle w:val="Hyperlink"/>
          </w:rPr>
          <w:t xml:space="preserve">[5]</w:t>
        </w:r>
      </w:hyperlink>
      <w:r>
        <w:t xml:space="preserve"> </w:t>
      </w:r>
      <w:r>
        <w:t xml:space="preserve">at retrieval. Second, every row’s design-life entry is cross-checked against the relevant Government Accountability Office report</w:t>
      </w:r>
      <w:r>
        <w:t xml:space="preserve"> </w:t>
      </w:r>
      <w:hyperlink w:anchor="ref-6">
        <w:r>
          <w:rPr>
            <w:rStyle w:val="Hyperlink"/>
          </w:rPr>
          <w:t xml:space="preserve">[6]</w:t>
        </w:r>
      </w:hyperlink>
      <w:r>
        <w:t xml:space="preserve">[7], and disagreements between earlier and later editions of the oversight reports are resolved by taking the later edition’s value, with the earlier edition cited where the disagreement is material. Third, the file is committed under version control with a retrieval-date manifest, so that the snapshot of the gps.gov status archive used for the analysis is reproducible from the same cutoff.</w:t>
      </w:r>
    </w:p>
    <w:bookmarkEnd w:id="101"/>
    <w:bookmarkEnd w:id="102"/>
    <w:bookmarkStart w:id="107" w:name="Xe3685a780d950dbffe1d0a780e1458bca802195"/>
    <w:p>
      <w:pPr>
        <w:pStyle w:val="Heading2"/>
        <w:spacing w:line="480" w:lineRule="auto"/>
      </w:pPr>
      <w:r>
        <w:t xml:space="preserve">4.3 Dataset Two: The Civil PNT Interference Event Panel</w:t>
      </w:r>
    </w:p>
    <w:bookmarkStart w:id="103" w:name="authoritative-sources-1"/>
    <w:p>
      <w:pPr>
        <w:pStyle w:val="Heading3"/>
        <w:spacing w:line="480" w:lineRule="auto"/>
      </w:pPr>
      <w:r>
        <w:t xml:space="preserve">4.3.1 Authoritative Sources</w:t>
      </w:r>
    </w:p>
    <w:p>
      <w:pPr>
        <w:pStyle w:val="FirstParagraph"/>
        <w:spacing w:line="480" w:lineRule="auto"/>
      </w:pPr>
      <w:r>
        <w:t xml:space="preserve">The interference-event dataset is built from four primary archival sources. The first is the United States Coast Guard Navigation Center GPS Problem Reports archive</w:t>
      </w:r>
      <w:r>
        <w:t xml:space="preserve"> </w:t>
      </w:r>
      <w:hyperlink w:anchor="ref-11">
        <w:r>
          <w:rPr>
            <w:rStyle w:val="Hyperlink"/>
          </w:rPr>
          <w:t xml:space="preserve">[11]</w:t>
        </w:r>
      </w:hyperlink>
      <w:r>
        <w:t xml:space="preserve">, which is the civilian-side public record of reported GPS service anomalies, carrying timestamps, geographic descriptors, and reporter narratives. The Coast Guard Navigation Center archive is treated as the canonical civilian record for the dissertation because it predates and is editorially separate from the aviation-side reporting stream, and because the prospectus identifies it as the corroborating source for treatment definition in the broader event-study program</w:t>
      </w:r>
      <w:r>
        <w:t xml:space="preserve"> </w:t>
      </w:r>
      <w:hyperlink w:anchor="ref-11">
        <w:r>
          <w:rPr>
            <w:rStyle w:val="Hyperlink"/>
          </w:rPr>
          <w:t xml:space="preserve">[11]</w:t>
        </w:r>
      </w:hyperlink>
      <w:r>
        <w:t xml:space="preserve">. The second is the Federal Aviation Administration’s public release of GPS interference reports threaded through Notices to Air Missions for the period 2017 through 2025</w:t>
      </w:r>
      <w:r>
        <w:t xml:space="preserve"> </w:t>
      </w:r>
      <w:hyperlink w:anchor="ref-12">
        <w:r>
          <w:rPr>
            <w:rStyle w:val="Hyperlink"/>
          </w:rPr>
          <w:t xml:space="preserve">[12]</w:t>
        </w:r>
      </w:hyperlink>
      <w:r>
        <w:t xml:space="preserve">. The Federal Aviation Administration record carries aviation-side documentation of time-and-area-bounded GPS degradation events with the operational specificity required to fix a footprint and an aviation-impact flag. The third is the C4ADS analytic report on GPS spoofing in Russia and Syria</w:t>
      </w:r>
      <w:r>
        <w:t xml:space="preserve"> </w:t>
      </w:r>
      <w:hyperlink w:anchor="ref-14">
        <w:r>
          <w:rPr>
            <w:rStyle w:val="Hyperlink"/>
          </w:rPr>
          <w:t xml:space="preserve">[14]</w:t>
        </w:r>
      </w:hyperlink>
      <w:r>
        <w:t xml:space="preserve">, used solely to anchor the 2017 Black Sea cluster identifier (</w:t>
      </w:r>
      <w:r>
        <w:t xml:space="preserve">“EVT-2017-BlackSea”</w:t>
      </w:r>
      <w:r>
        <w:t xml:space="preserve">) for cross-referencing with the broader documentary record; the C4ADS analysis is not used as the primary source for any numeric variable in the dataset. The fourth is the Government Accountability Office oversight reports</w:t>
      </w:r>
      <w:r>
        <w:t xml:space="preserve"> </w:t>
      </w:r>
      <w:hyperlink w:anchor="ref-6">
        <w:r>
          <w:rPr>
            <w:rStyle w:val="Hyperlink"/>
          </w:rPr>
          <w:t xml:space="preserve">[6]</w:t>
        </w:r>
      </w:hyperlink>
      <w:r>
        <w:t xml:space="preserve">[13] cited in the supplementary source field of individual rows where the oversight record provides context for the event.</w:t>
      </w:r>
    </w:p>
    <w:p>
      <w:pPr>
        <w:pStyle w:val="BodyText"/>
        <w:spacing w:line="480" w:lineRule="auto"/>
        <w:ind w:firstLine="720"/>
      </w:pPr>
      <w:r>
        <w:t xml:space="preserve">The dataset contains twenty-eight events spanning 2017 through 2025. The event set is the intersection of the Coast Guard Navigation Center archive</w:t>
      </w:r>
      <w:r>
        <w:t xml:space="preserve"> </w:t>
      </w:r>
      <w:hyperlink w:anchor="ref-11">
        <w:r>
          <w:rPr>
            <w:rStyle w:val="Hyperlink"/>
          </w:rPr>
          <w:t xml:space="preserve">[11]</w:t>
        </w:r>
      </w:hyperlink>
      <w:r>
        <w:t xml:space="preserve"> </w:t>
      </w:r>
      <w:r>
        <w:t xml:space="preserve">and the Federal Aviation Administration interference record</w:t>
      </w:r>
      <w:r>
        <w:t xml:space="preserve"> </w:t>
      </w:r>
      <w:hyperlink w:anchor="ref-12">
        <w:r>
          <w:rPr>
            <w:rStyle w:val="Hyperlink"/>
          </w:rPr>
          <w:t xml:space="preserve">[12]</w:t>
        </w:r>
      </w:hyperlink>
      <w:r>
        <w:t xml:space="preserve">, restricted to events confirmed by both sources or by one source plus a Government Accountability Office or C4ADS contextual citation. This intersection rule is the operationalization of the prospectus’s commitment to cross-validate the two civilian reporting streams before admitting an event to the analytic file.</w:t>
      </w:r>
    </w:p>
    <w:bookmarkEnd w:id="103"/>
    <w:bookmarkStart w:id="104" w:name="unit-of-analysis-1"/>
    <w:p>
      <w:pPr>
        <w:pStyle w:val="Heading3"/>
        <w:spacing w:line="480" w:lineRule="auto"/>
      </w:pPr>
      <w:r>
        <w:t xml:space="preserve">4.3.2 Unit of Analysis</w:t>
      </w:r>
    </w:p>
    <w:p>
      <w:pPr>
        <w:pStyle w:val="FirstParagraph"/>
        <w:spacing w:line="480" w:lineRule="auto"/>
      </w:pPr>
      <w:r>
        <w:t xml:space="preserve">The unit of analysis is the documented interference event. Each row in the file is one event observed once, with its time-to-restoration as the duration variable and a censoring indicator that distinguishes the twenty-seven events observed to restoration within the observation window from the single event still degraded at the close of the 2025 window. The choice of the event as the unit of analysis follows from the substantive question of the second paper, which is how long an affected civil footprint remains under degraded service once an event has begun and which observable event characteristics shift the restoration hazard.</w:t>
      </w:r>
    </w:p>
    <w:p>
      <w:pPr>
        <w:pStyle w:val="BodyText"/>
        <w:spacing w:line="480" w:lineRule="auto"/>
        <w:ind w:firstLine="720"/>
      </w:pPr>
      <w:r>
        <w:t xml:space="preserve">The event-level unit is not the only conceivable choice; a sector-by-region-by-day panel would be the unit appropriate to the broader event-study program contemplated in the prospectus for the difference-in-differences specification. The second paper, however, isolates the duration question at the event level, which is the level at which the time-to-restoration outcome is observed in the primary record and at which the four covariates of interest (severity, footprint, civil aviation impact, and reporting lag) are recorded by the source archives.</w:t>
      </w:r>
    </w:p>
    <w:bookmarkEnd w:id="104"/>
    <w:bookmarkStart w:id="105" w:name="variable-construction-1"/>
    <w:p>
      <w:pPr>
        <w:pStyle w:val="Heading3"/>
        <w:spacing w:line="480" w:lineRule="auto"/>
      </w:pPr>
      <w:r>
        <w:t xml:space="preserve">4.3.3 Variable Construction</w:t>
      </w:r>
    </w:p>
    <w:p>
      <w:pPr>
        <w:pStyle w:val="FirstParagraph"/>
        <w:spacing w:line="480" w:lineRule="auto"/>
      </w:pPr>
      <w:r>
        <w:t xml:space="preserve">Six analytic variables are constructed from the primary records.</w:t>
      </w:r>
    </w:p>
    <w:p>
      <w:pPr>
        <w:pStyle w:val="BodyText"/>
        <w:spacing w:line="480" w:lineRule="auto"/>
        <w:ind w:firstLine="720"/>
      </w:pPr>
      <w:r>
        <w:t xml:space="preserve">The dependent variable,</w:t>
      </w:r>
      <w:r>
        <w:t xml:space="preserve"> </w:t>
      </w:r>
      <w:r>
        <w:rPr>
          <w:b/>
          <w:bCs/>
        </w:rPr>
        <w:t xml:space="preserve">duration_hours</w:t>
      </w:r>
      <w:r>
        <w:t xml:space="preserve">, is the elapsed time between event onset and restoration, expressed in hours. Event onset is taken from the earliest timestamp at which the event is recorded by either the Coast Guard Navigation Center archive</w:t>
      </w:r>
      <w:r>
        <w:t xml:space="preserve"> </w:t>
      </w:r>
      <w:hyperlink w:anchor="ref-11">
        <w:r>
          <w:rPr>
            <w:rStyle w:val="Hyperlink"/>
          </w:rPr>
          <w:t xml:space="preserve">[11]</w:t>
        </w:r>
      </w:hyperlink>
      <w:r>
        <w:t xml:space="preserve"> </w:t>
      </w:r>
      <w:r>
        <w:t xml:space="preserve">or the Federal Aviation Administration interference record</w:t>
      </w:r>
      <w:r>
        <w:t xml:space="preserve"> </w:t>
      </w:r>
      <w:hyperlink w:anchor="ref-12">
        <w:r>
          <w:rPr>
            <w:rStyle w:val="Hyperlink"/>
          </w:rPr>
          <w:t xml:space="preserve">[12]</w:t>
        </w:r>
      </w:hyperlink>
      <w:r>
        <w:t xml:space="preserve">. Restoration is taken from the timestamp at which both sources report normal service or the close of the public reporting thread for the event, whichever is later. For the single event still degraded at the 2025 cutoff, duration_hours is set to the elapsed hours between onset and the cutoff and the</w:t>
      </w:r>
      <w:r>
        <w:t xml:space="preserve"> </w:t>
      </w:r>
      <w:r>
        <w:rPr>
          <w:b/>
          <w:bCs/>
        </w:rPr>
        <w:t xml:space="preserve">censored</w:t>
      </w:r>
      <w:r>
        <w:t xml:space="preserve"> </w:t>
      </w:r>
      <w:r>
        <w:t xml:space="preserve">indicator is set to true; for all other events, censored is false. The Cox partial-likelihood machinery used in the second paper handles the right-censored row directly without imputation.</w:t>
      </w:r>
    </w:p>
    <w:p>
      <w:pPr>
        <w:pStyle w:val="BodyText"/>
        <w:spacing w:line="480" w:lineRule="auto"/>
        <w:ind w:firstLine="720"/>
      </w:pPr>
      <w:r>
        <w:t xml:space="preserve">The covariate</w:t>
      </w:r>
      <w:r>
        <w:t xml:space="preserve"> </w:t>
      </w:r>
      <w:r>
        <w:rPr>
          <w:b/>
          <w:bCs/>
        </w:rPr>
        <w:t xml:space="preserve">severity_idx</w:t>
      </w:r>
      <w:r>
        <w:t xml:space="preserve"> </w:t>
      </w:r>
      <w:r>
        <w:t xml:space="preserve">is an ordinal index of event severity coded from the reporter narrative in the Coast Guard Navigation Center archive</w:t>
      </w:r>
      <w:r>
        <w:t xml:space="preserve"> </w:t>
      </w:r>
      <w:hyperlink w:anchor="ref-11">
        <w:r>
          <w:rPr>
            <w:rStyle w:val="Hyperlink"/>
          </w:rPr>
          <w:t xml:space="preserve">[11]</w:t>
        </w:r>
      </w:hyperlink>
      <w:r>
        <w:t xml:space="preserve"> </w:t>
      </w:r>
      <w:r>
        <w:t xml:space="preserve">and the Federal Aviation Administration record</w:t>
      </w:r>
      <w:r>
        <w:t xml:space="preserve"> </w:t>
      </w:r>
      <w:hyperlink w:anchor="ref-12">
        <w:r>
          <w:rPr>
            <w:rStyle w:val="Hyperlink"/>
          </w:rPr>
          <w:t xml:space="preserve">[12]</w:t>
        </w:r>
      </w:hyperlink>
      <w:r>
        <w:t xml:space="preserve">. The coding rule maps narrative descriptors (for example, brief degradation, sustained interference, full denial within footprint) onto an ordered integer scale. The coarseness of the index is a documented limitation; the second paper’s finding is that severity does not move the restoration hazard once footprint is in the model, which is consistent with severity being a low-resolution version of the footprint signal.</w:t>
      </w:r>
    </w:p>
    <w:p>
      <w:pPr>
        <w:pStyle w:val="BodyText"/>
        <w:spacing w:line="480" w:lineRule="auto"/>
        <w:ind w:firstLine="720"/>
      </w:pPr>
      <w:r>
        <w:t xml:space="preserve">The covariate</w:t>
      </w:r>
      <w:r>
        <w:t xml:space="preserve"> </w:t>
      </w:r>
      <w:r>
        <w:rPr>
          <w:b/>
          <w:bCs/>
        </w:rPr>
        <w:t xml:space="preserve">footprint_log_km2</w:t>
      </w:r>
      <w:r>
        <w:t xml:space="preserve"> </w:t>
      </w:r>
      <w:r>
        <w:t xml:space="preserve">is the natural logarithm of the affected area in square kilometers. Footprint is constructed from the geographic descriptors carried in the Federal Aviation Administration record</w:t>
      </w:r>
      <w:r>
        <w:t xml:space="preserve"> </w:t>
      </w:r>
      <w:hyperlink w:anchor="ref-12">
        <w:r>
          <w:rPr>
            <w:rStyle w:val="Hyperlink"/>
          </w:rPr>
          <w:t xml:space="preserve">[12]</w:t>
        </w:r>
      </w:hyperlink>
      <w:r>
        <w:t xml:space="preserve">, converted to a square-kilometer area through standard geodetic area calculation on the bounded region, and log-transformed to enter the proportional-hazards model as a linear shift on the log-hazard scale. The log transformation is conventional for area variables whose untransformed range spans multiple orders of magnitude across the event set.</w:t>
      </w:r>
    </w:p>
    <w:p>
      <w:pPr>
        <w:pStyle w:val="BodyText"/>
        <w:spacing w:line="480" w:lineRule="auto"/>
        <w:ind w:firstLine="720"/>
      </w:pPr>
      <w:r>
        <w:t xml:space="preserve">The covariate</w:t>
      </w:r>
      <w:r>
        <w:t xml:space="preserve"> </w:t>
      </w:r>
      <w:r>
        <w:rPr>
          <w:b/>
          <w:bCs/>
        </w:rPr>
        <w:t xml:space="preserve">civil_aviation_flag</w:t>
      </w:r>
      <w:r>
        <w:t xml:space="preserve"> </w:t>
      </w:r>
      <w:r>
        <w:t xml:space="preserve">is a binary indicator equal to one when the event is recorded in the Federal Aviation Administration interference record with operational impact on civil aviation</w:t>
      </w:r>
      <w:r>
        <w:t xml:space="preserve"> </w:t>
      </w:r>
      <w:hyperlink w:anchor="ref-12">
        <w:r>
          <w:rPr>
            <w:rStyle w:val="Hyperlink"/>
          </w:rPr>
          <w:t xml:space="preserve">[12]</w:t>
        </w:r>
      </w:hyperlink>
      <w:r>
        <w:t xml:space="preserve">, and zero otherwise. The flag captures the highest public-safety profile in the event characterization and is included to test whether aviation impact shifts the restoration hazard independent of footprint.</w:t>
      </w:r>
    </w:p>
    <w:p>
      <w:pPr>
        <w:pStyle w:val="BodyText"/>
        <w:spacing w:line="480" w:lineRule="auto"/>
        <w:ind w:firstLine="720"/>
      </w:pPr>
      <w:r>
        <w:t xml:space="preserve">The covariate</w:t>
      </w:r>
      <w:r>
        <w:t xml:space="preserve"> </w:t>
      </w:r>
      <w:r>
        <w:rPr>
          <w:b/>
          <w:bCs/>
        </w:rPr>
        <w:t xml:space="preserve">reporting_lag_hours</w:t>
      </w:r>
      <w:r>
        <w:t xml:space="preserve"> </w:t>
      </w:r>
      <w:r>
        <w:t xml:space="preserve">is the elapsed time between the inferred event onset and the first public report in either source archive</w:t>
      </w:r>
      <w:r>
        <w:t xml:space="preserve"> </w:t>
      </w:r>
      <w:hyperlink w:anchor="ref-11">
        <w:r>
          <w:rPr>
            <w:rStyle w:val="Hyperlink"/>
          </w:rPr>
          <w:t xml:space="preserve">[11]</w:t>
        </w:r>
      </w:hyperlink>
      <w:r>
        <w:t xml:space="preserve">[12]. Reporting lag is treated as a proxy for institutional salience or detection latency: events with long reporting lag are events that took the public reporting system longer to acknowledge. The second paper’s finding that the coefficient on reporting lag is positive on the restoration hazard is interpreted in that light, that is, that the binding constraint on civil exposure duration is the time spent invisible to the reporting system rather than the time spent visible but unrestored.</w:t>
      </w:r>
    </w:p>
    <w:p>
      <w:pPr>
        <w:pStyle w:val="BodyText"/>
        <w:spacing w:line="480" w:lineRule="auto"/>
        <w:ind w:firstLine="720"/>
      </w:pPr>
      <w:r>
        <w:t xml:space="preserve">A</w:t>
      </w:r>
      <w:r>
        <w:t xml:space="preserve"> </w:t>
      </w:r>
      <w:r>
        <w:rPr>
          <w:b/>
          <w:bCs/>
        </w:rPr>
        <w:t xml:space="preserve">source_citation</w:t>
      </w:r>
      <w:r>
        <w:t xml:space="preserve"> </w:t>
      </w:r>
      <w:r>
        <w:t xml:space="preserve">field is included as the final column of every row and records the public document or documents from which the row’s values were drawn, in the same form as the constellation cross-section. Where a primary numeric field was not directly observable from a public archive and was inferred from the reporter narrative or from the closest comparable event, the marker</w:t>
      </w:r>
      <w:r>
        <w:t xml:space="preserve"> </w:t>
      </w:r>
      <w:r>
        <w:t xml:space="preserve">“[illustrative]”</w:t>
      </w:r>
      <w:r>
        <w:t xml:space="preserve"> </w:t>
      </w:r>
      <w:r>
        <w:t xml:space="preserve">is appended to the source citation for that row, in conformance with the dissertation’s data-discipline rule.</w:t>
      </w:r>
    </w:p>
    <w:bookmarkEnd w:id="105"/>
    <w:bookmarkStart w:id="106" w:name="censoring-and-data-quality-controls-1"/>
    <w:p>
      <w:pPr>
        <w:pStyle w:val="Heading3"/>
        <w:spacing w:line="480" w:lineRule="auto"/>
      </w:pPr>
      <w:r>
        <w:t xml:space="preserve">4.3.4 Censoring and Data-Quality Controls</w:t>
      </w:r>
    </w:p>
    <w:p>
      <w:pPr>
        <w:pStyle w:val="FirstParagraph"/>
        <w:spacing w:line="480" w:lineRule="auto"/>
      </w:pPr>
      <w:r>
        <w:t xml:space="preserve">The single right-censored event at the close of the 2025 observation window is handled by the Cox partial-likelihood machinery without imputation; the row contributes to the risk set up to its censoring time and exits the estimator thereafter. The dataset does not contain any left-censored events, because the event-onset timestamp is observable from the public reporting stream for every admitted event.</w:t>
      </w:r>
    </w:p>
    <w:p>
      <w:pPr>
        <w:pStyle w:val="BodyText"/>
        <w:spacing w:line="480" w:lineRule="auto"/>
        <w:ind w:firstLine="720"/>
      </w:pPr>
      <w:r>
        <w:t xml:space="preserve">Three data-quality controls are applied. First, every event admitted to the file appears in at least one of the two civilian primary sources</w:t>
      </w:r>
      <w:r>
        <w:t xml:space="preserve"> </w:t>
      </w:r>
      <w:hyperlink w:anchor="ref-11">
        <w:r>
          <w:rPr>
            <w:rStyle w:val="Hyperlink"/>
          </w:rPr>
          <w:t xml:space="preserve">[11]</w:t>
        </w:r>
      </w:hyperlink>
      <w:r>
        <w:t xml:space="preserve">[12]; events appearing only in C4ADS or only in Government Accountability Office contextual records are excluded. Second, the geographic footprint and civil-aviation flag for every event are cross-checked between the Coast Guard and Federal Aviation Administration records where both sources provide the relevant field, and disagreements are resolved in favor of the source whose editorial scope covers the affected mode (Federal Aviation Administration for aviation footprint, Coast Guard for maritime and surface). Third, the file is committed under version control with a retrieval-date manifest for both archives, so that the snapshot of the public reporting streams used for the analysis is reproducible from the same cutoff.</w:t>
      </w:r>
    </w:p>
    <w:bookmarkEnd w:id="106"/>
    <w:bookmarkEnd w:id="107"/>
    <w:bookmarkStart w:id="108" w:name="cross-dataset-rules"/>
    <w:p>
      <w:pPr>
        <w:pStyle w:val="Heading2"/>
        <w:spacing w:line="480" w:lineRule="auto"/>
      </w:pPr>
      <w:r>
        <w:t xml:space="preserve">4.4 Cross-Dataset Rules</w:t>
      </w:r>
    </w:p>
    <w:p>
      <w:pPr>
        <w:pStyle w:val="FirstParagraph"/>
        <w:spacing w:line="480" w:lineRule="auto"/>
      </w:pPr>
      <w:r>
        <w:t xml:space="preserve">Three rules are applied uniformly across the constellation cross-section and the interference-event panel. The first is the source-citation rule: every row in every analytic file carries a final source_citation field that names the public document or documents from which the row’s values were drawn. This is the auditability floor for the dissertation and is the mechanism by which a reader can trace any specific value in the analysis back to its archival origin.</w:t>
      </w:r>
    </w:p>
    <w:p>
      <w:pPr>
        <w:pStyle w:val="BodyText"/>
        <w:spacing w:line="480" w:lineRule="auto"/>
        <w:ind w:firstLine="720"/>
      </w:pPr>
      <w:r>
        <w:t xml:space="preserve">The second is the illustrative-marker rule: where a primary numeric field was not directly observable from a public archive at the cutoff and was inferred from the reporter narrative, from the closest comparable event, or from the surrounding context in the oversight record, the marker</w:t>
      </w:r>
      <w:r>
        <w:t xml:space="preserve"> </w:t>
      </w:r>
      <w:r>
        <w:t xml:space="preserve">“[illustrative]”</w:t>
      </w:r>
      <w:r>
        <w:t xml:space="preserve"> </w:t>
      </w:r>
      <w:r>
        <w:t xml:space="preserve">is appended to the source citation for that row. The marker is the dissertation’s commitment to non-fabrication: a value that is not a direct observation is flagged, and the empirical chapters report the sensitivity of their findings to the illustrative rows where it is material.</w:t>
      </w:r>
    </w:p>
    <w:p>
      <w:pPr>
        <w:pStyle w:val="BodyText"/>
        <w:spacing w:line="480" w:lineRule="auto"/>
        <w:ind w:firstLine="720"/>
      </w:pPr>
      <w:r>
        <w:t xml:space="preserve">The third is the cutoff-and-version rule. The observation window closes at 2026-06 for the constellation cross-section and at the close of 2025 for the interference-event panel. The analysis files are committed under version control with a retrieval-date manifest that records the date on which each primary source was accessed. A reader running the analysis at a later date from the same archival snapshots will reproduce the same files; a reader running the analysis from later snapshots will recover updated values for vehicles whose status has changed and for events whose restoration has occurred after the cutoff.</w:t>
      </w:r>
    </w:p>
    <w:bookmarkEnd w:id="108"/>
    <w:bookmarkStart w:id="109" w:name="measurement-limitations"/>
    <w:p>
      <w:pPr>
        <w:pStyle w:val="Heading2"/>
        <w:spacing w:line="480" w:lineRule="auto"/>
      </w:pPr>
      <w:r>
        <w:t xml:space="preserve">4.5 Measurement Limitations</w:t>
      </w:r>
    </w:p>
    <w:p>
      <w:pPr>
        <w:pStyle w:val="FirstParagraph"/>
        <w:spacing w:line="480" w:lineRule="auto"/>
      </w:pPr>
      <w:r>
        <w:t xml:space="preserve">Four limitations bound the measurement quality of the two datasets and are carried forward into the empirical chapters.</w:t>
      </w:r>
    </w:p>
    <w:p>
      <w:pPr>
        <w:pStyle w:val="BodyText"/>
        <w:spacing w:line="480" w:lineRule="auto"/>
        <w:ind w:firstLine="720"/>
      </w:pPr>
      <w:r>
        <w:t xml:space="preserve">First, the constellation cross-section is small (N equals forty-nine), and the warranty, the launch year, and the block indicators are nearly collinear in the older cohorts. The first paper’s regression accordingly reads the coefficients on design life and launch year as joint cohort absorbers rather than as separately identified causal levers, and rests its substantive finding on the joint pattern of the older-block dummies that are uncontaminated by right-censoring.</w:t>
      </w:r>
    </w:p>
    <w:p>
      <w:pPr>
        <w:pStyle w:val="BodyText"/>
        <w:spacing w:line="480" w:lineRule="auto"/>
        <w:ind w:firstLine="720"/>
      </w:pPr>
      <w:r>
        <w:t xml:space="preserve">Second, the interference-event panel is small (N equals twenty-eight), the severity index is coarsely coded, and the single right-censored event provides limited information about the long-duration tail of the restoration distribution. The second paper’s Cox estimate accordingly reports the footprint and reporting-lag coefficients as the load-bearing findings and treats the severity and civil-aviation coefficients as statistically indistinguishable from zero in this sample.</w:t>
      </w:r>
    </w:p>
    <w:p>
      <w:pPr>
        <w:pStyle w:val="BodyText"/>
        <w:spacing w:line="480" w:lineRule="auto"/>
        <w:ind w:firstLine="720"/>
      </w:pPr>
      <w:r>
        <w:t xml:space="preserve">Third, both datasets rely on public reporting and therefore inherit the selection biases of the primary archives. The Coast Guard Navigation Center archive</w:t>
      </w:r>
      <w:r>
        <w:t xml:space="preserve"> </w:t>
      </w:r>
      <w:hyperlink w:anchor="ref-11">
        <w:r>
          <w:rPr>
            <w:rStyle w:val="Hyperlink"/>
          </w:rPr>
          <w:t xml:space="preserve">[11]</w:t>
        </w:r>
      </w:hyperlink>
      <w:r>
        <w:t xml:space="preserve"> </w:t>
      </w:r>
      <w:r>
        <w:t xml:space="preserve">and the Federal Aviation Administration interference record</w:t>
      </w:r>
      <w:r>
        <w:t xml:space="preserve"> </w:t>
      </w:r>
      <w:hyperlink w:anchor="ref-12">
        <w:r>
          <w:rPr>
            <w:rStyle w:val="Hyperlink"/>
          </w:rPr>
          <w:t xml:space="preserve">[12]</w:t>
        </w:r>
      </w:hyperlink>
      <w:r>
        <w:t xml:space="preserve"> </w:t>
      </w:r>
      <w:r>
        <w:t xml:space="preserve">document events that entered the public reporting stream; events that did not enter the stream are by construction absent from the analytic file. This is a non-trivial limitation for any extrapolation beyond the documented event class, and the second paper restricts its substantive claim accordingly.</w:t>
      </w:r>
    </w:p>
    <w:p>
      <w:pPr>
        <w:pStyle w:val="BodyText"/>
        <w:spacing w:line="480" w:lineRule="auto"/>
        <w:ind w:firstLine="720"/>
      </w:pPr>
      <w:r>
        <w:t xml:space="preserve">Fourth, neither dataset supports linear extrapolation from short, geographically bounded degradation events to a sustained national outage of the kind that the broader prospectus motivates as the policy-relevant tail event. The empirical chapters are explicit that their estimates apply to the documented event class and are inputs to, rather than substitutes for, the conditional-loss reasoning that the prospectus contemplates for the national exposure.</w:t>
      </w:r>
    </w:p>
    <w:p>
      <w:pPr>
        <w:pStyle w:val="BodyText"/>
        <w:spacing w:line="480" w:lineRule="auto"/>
        <w:ind w:firstLine="720"/>
      </w:pPr>
      <w:r>
        <w:t xml:space="preserve">The measurement program documented in this chapter is sufficient to support the two empirical papers and the dissertation’s single-point-of-trust framing. It is not sufficient to retire the broader exposure question that motivates the work, and the chapter is written in that posture.</w:t>
      </w:r>
    </w:p>
    <w:bookmarkEnd w:id="109"/>
    <w:bookmarkEnd w:id="110"/>
    <w:bookmarkStart w:id="117" w:name="chapter-5.-methods-and-identification"/>
    <w:p>
      <w:pPr>
        <w:pStyle w:val="Heading1"/>
        <w:spacing w:line="480" w:lineRule="auto"/>
      </w:pPr>
      <w:r>
        <w:t xml:space="preserve">Chapter 5. Methods and Identification</w:t>
      </w:r>
    </w:p>
    <w:bookmarkStart w:id="111" w:name="X0c3da7c43c80f84a86226c56a817e6257e16c78"/>
    <w:p>
      <w:pPr>
        <w:pStyle w:val="Heading2"/>
        <w:spacing w:line="480" w:lineRule="auto"/>
      </w:pPr>
      <w:r>
        <w:t xml:space="preserve">5.1 Overview and Architecture of the Estimation Program</w:t>
      </w:r>
    </w:p>
    <w:p>
      <w:pPr>
        <w:pStyle w:val="FirstParagraph"/>
        <w:spacing w:line="480" w:lineRule="auto"/>
      </w:pPr>
      <w:r>
        <w:t xml:space="preserve">This chapter specifies the estimators that carry the empirical weight of the dissertation, the identification strategy through which each estimator is given causal content, and the threats to validity that bound the interpretation of the resulting numbers. The dissertation rests on three coordinated estimation exercises rather than on a single regression. The first is an ordinary least squares cross-section of the operational life of the GPS constellation, developed at full length in the first research paper and summarized here only to the degree needed to situate its identifying assumptions inside the larger program. The second is a Cox proportional-hazards estimation of the time-to-restoration of documented GPS interference events, developed at full length in the second research paper and likewise summarized here only for purposes of identification accounting. The third, which is the load-bearing estimator of the dissertation proper, is a staggered difference-in-differences design with matched controls for the conditional daily economic loss associated with documented GPS positioning, navigation, and timing degradation events, with a synthetic control specification carried as a parallel robustness exercise. The three exercises are knit together because they identify three different parameters of the same single-point-of-trust framing: the realized operational margin of the broadcast, the realized duration of civil exposure once a degradation event is in progress, and the realized magnitude of sector-level economic activity loss conditional on a degradation event of known footprint and known duration. None of the three is sufficient on its own to discipline policy choice over augmentation and resilience investment, and the dissertation does not argue otherwise. The first exercise establishes that continuity rests on lifetime overrun rather than on on-schedule replenishment</w:t>
      </w:r>
      <w:r>
        <w:t xml:space="preserve"> </w:t>
      </w:r>
      <w:hyperlink w:anchor="ref-6">
        <w:r>
          <w:rPr>
            <w:rStyle w:val="Hyperlink"/>
          </w:rPr>
          <w:t xml:space="preserve">[6]</w:t>
        </w:r>
      </w:hyperlink>
      <w:r>
        <w:t xml:space="preserve">[7]. The second exercise establishes that the duration of civil exposure is governed by a detection-bound rather than a notification-bound process</w:t>
      </w:r>
      <w:r>
        <w:t xml:space="preserve"> </w:t>
      </w:r>
      <w:hyperlink w:anchor="ref-11">
        <w:r>
          <w:rPr>
            <w:rStyle w:val="Hyperlink"/>
          </w:rPr>
          <w:t xml:space="preserve">[11]</w:t>
        </w:r>
      </w:hyperlink>
      <w:r>
        <w:t xml:space="preserve">[12][14]. The third exercise, the subject of the remainder of this chapter, places a defensible point and interval on the conditional daily loss that follows from those two background facts.</w:t>
      </w:r>
    </w:p>
    <w:p>
      <w:pPr>
        <w:pStyle w:val="BodyText"/>
        <w:spacing w:line="480" w:lineRule="auto"/>
        <w:ind w:firstLine="720"/>
      </w:pPr>
      <w:r>
        <w:t xml:space="preserve">The architecture is deliberate. The dependency claim in the space-economy and integrated-deterrence literatures</w:t>
      </w:r>
      <w:r>
        <w:t xml:space="preserve"> </w:t>
      </w:r>
      <w:hyperlink w:anchor="ref-1">
        <w:r>
          <w:rPr>
            <w:rStyle w:val="Hyperlink"/>
          </w:rPr>
          <w:t xml:space="preserve">[1]</w:t>
        </w:r>
      </w:hyperlink>
      <w:r>
        <w:t xml:space="preserve">[2][3][4][8] motivates the existence of a non-trivial conditional loss without quantifying it. The dissertation does not relitigate that claim. It accepts the qualitative consensus as a prior and devotes its estimation budget to the measurement problem the literature has left open. The chapter therefore proceeds in five sections after this one. Section 5.2 specifies the unit of observation, the panel structure, and the outcome variables. Section 5.3 sets out the staggered difference-in-differences estimator in formal terms and discusses the synthetic control alternative. Section 5.4 states the identifying assumptions and the falsification tests that interrogate each one. Section 5.5 catalogues the threats to validity and pairs each with the specific empirical bound the design imposes on it. Section 5.6 closes with the procedure by which sector-level estimates are aggregated to a national conditional daily loss and discusses what that aggregate does and does not represent.</w:t>
      </w:r>
    </w:p>
    <w:bookmarkEnd w:id="111"/>
    <w:bookmarkStart w:id="112" w:name="X64790bbd11268663eb322f070f7170f7039d787"/>
    <w:p>
      <w:pPr>
        <w:pStyle w:val="Heading2"/>
        <w:spacing w:line="480" w:lineRule="auto"/>
      </w:pPr>
      <w:r>
        <w:t xml:space="preserve">5.2 Unit of Observation, Panel Structure, and Outcomes</w:t>
      </w:r>
    </w:p>
    <w:p>
      <w:pPr>
        <w:pStyle w:val="FirstParagraph"/>
        <w:spacing w:line="480" w:lineRule="auto"/>
      </w:pPr>
      <w:r>
        <w:t xml:space="preserve">The unit of observation is sector by region by day. Region is operationalized at the level of the FAA Air Route Traffic Control Center jurisdiction for aviation outcomes, the North American Electric Reliability Corporation interconnection balancing-authority footprint for grid outcomes, the Federal Reserve district for financial settlement outcomes, and the Bureau of Transportation Statistics Freight Analysis Framework zone for surface freight outcomes. Region definitions are not aligned across sectors because the operational geography of each sector is not aligned. This is a feature of the design rather than a defect. Each sector is identified on its own native geography, and the cross-sector aggregation in Section 5.6 weights the sector estimates by national-account sector shares rather than attempting to harmonize regions ex ante. The panel is balanced on the within-sector geography across the full 2017 through 2025 observation window, which matches the window over which the FAA GPS interference record and the U.S. Coast Guard Navigation Center Problem Reports archive provide consistent documentation of degradation events</w:t>
      </w:r>
      <w:r>
        <w:t xml:space="preserve"> </w:t>
      </w:r>
      <w:hyperlink w:anchor="ref-11">
        <w:r>
          <w:rPr>
            <w:rStyle w:val="Hyperlink"/>
          </w:rPr>
          <w:t xml:space="preserve">[11]</w:t>
        </w:r>
      </w:hyperlink>
      <w:r>
        <w:t xml:space="preserve">[12]. The window therefore terminates at 2025 even though the cutoff date of the dissertation is later, because extending the window past 2025 would require provisional reporting that has not yet been finalized in the public archive.</w:t>
      </w:r>
    </w:p>
    <w:p>
      <w:pPr>
        <w:pStyle w:val="BodyText"/>
        <w:spacing w:line="480" w:lineRule="auto"/>
        <w:ind w:firstLine="720"/>
      </w:pPr>
      <w:r>
        <w:t xml:space="preserve">The outcome variables are sector-specific high-frequency activity measures, each standardized within sector and within region to a pre-treatment mean of zero and a pre-treatment standard deviation of one. For aviation, the outcome is daily flight operations from the FAA Aviation System Performance Metrics and Operations Network feeds. For financial settlement, the outcome is Fedwire Funds Service daily aggregate volume drawn from the publicly released Federal Reserve statistics. For grid balancing, the outcome is constructed from Energy Information Administration Form EIA-930 hourly balancing-authority operations data, collapsed to a daily index of frequency excursion counts and out-of-economic-dispatch hours. For surface freight, the outcome is the Bureau of Transportation Statistics weekly trucking index interpolated to daily frequency and a Freight Analysis Framework zone-day throughput series. Each outcome is constructed before any treatment information is merged into the panel, so the construction step cannot be tuned to the treatment definition. The construction code, with its data manifest and version hashes, is committed alongside the analysis as part of the provenance log required by the dissertation’s data-discipline rule.</w:t>
      </w:r>
    </w:p>
    <w:p>
      <w:pPr>
        <w:pStyle w:val="BodyText"/>
        <w:spacing w:line="480" w:lineRule="auto"/>
        <w:ind w:firstLine="720"/>
      </w:pPr>
      <w:r>
        <w:t xml:space="preserve">The treatment is a documented exogenous GPS PNT degradation event with a defined geographic footprint and defined start and end timestamps. Treatment status varies at the sector by region by day level. A region is treated for a sector on a day if the documented event footprint overlaps the region for that sector and the day falls between the documented event start timestamp and the documented event end timestamp. The event roster is constructed by intersecting the FAA GPS interference reporting record</w:t>
      </w:r>
      <w:r>
        <w:t xml:space="preserve"> </w:t>
      </w:r>
      <w:hyperlink w:anchor="ref-12">
        <w:r>
          <w:rPr>
            <w:rStyle w:val="Hyperlink"/>
          </w:rPr>
          <w:t xml:space="preserve">[12]</w:t>
        </w:r>
      </w:hyperlink>
      <w:r>
        <w:t xml:space="preserve"> </w:t>
      </w:r>
      <w:r>
        <w:t xml:space="preserve">with the U.S. Coast Guard Navigation Center GPS Problem Reports archive</w:t>
      </w:r>
      <w:r>
        <w:t xml:space="preserve"> </w:t>
      </w:r>
      <w:hyperlink w:anchor="ref-11">
        <w:r>
          <w:rPr>
            <w:rStyle w:val="Hyperlink"/>
          </w:rPr>
          <w:t xml:space="preserve">[11]</w:t>
        </w:r>
      </w:hyperlink>
      <w:r>
        <w:t xml:space="preserve"> </w:t>
      </w:r>
      <w:r>
        <w:t xml:space="preserve">and is restricted in the primary specification to events confirmed by both sources. The treatment definition for the Black Sea cluster of 2017, which appears in the second research paper as one of the duration observations, is cross-validated against the C4ADS Above Us Only Stars analysis</w:t>
      </w:r>
      <w:r>
        <w:t xml:space="preserve"> </w:t>
      </w:r>
      <w:hyperlink w:anchor="ref-14">
        <w:r>
          <w:rPr>
            <w:rStyle w:val="Hyperlink"/>
          </w:rPr>
          <w:t xml:space="preserve">[14]</w:t>
        </w:r>
      </w:hyperlink>
      <w:r>
        <w:t xml:space="preserve"> </w:t>
      </w:r>
      <w:r>
        <w:t xml:space="preserve">and is retained because the C4ADS reconstruction is corroborative rather than primary.</w:t>
      </w:r>
    </w:p>
    <w:bookmarkEnd w:id="112"/>
    <w:bookmarkStart w:id="113" w:name="the-estimator"/>
    <w:p>
      <w:pPr>
        <w:pStyle w:val="Heading2"/>
        <w:spacing w:line="480" w:lineRule="auto"/>
      </w:pPr>
      <w:r>
        <w:t xml:space="preserve">5.3 The Estimator</w:t>
      </w:r>
    </w:p>
    <w:p>
      <w:pPr>
        <w:pStyle w:val="FirstParagraph"/>
        <w:spacing w:line="480" w:lineRule="auto"/>
      </w:pPr>
      <w:r>
        <w:t xml:space="preserve">The principal estimator is a staggered difference-in-differences regression at the sector by region by day level. For sector s, region r, and day t, the outcome y_{srt} is regressed on a treatment indicator D_{srt} that turns on when the event-footprint and event-window conditions of Section 5.2 are both satisfied, region by sector fixed effects alpha_{sr} that absorb time-invariant differences in baseline activity across regions within a sector, day by sector fixed effects gamma_{st} that absorb sector-wide shocks common to all regions within a sector on a given day, and a vector of controls X_{srt} comprising weather covariates, a calendar structure of day of week, month, and federal holiday indicators, and a documented other-infrastructure-disruption indicator constructed from publicly logged outages outside the GPS reporting record. The coefficient of interest is the loading on D_{srt}, denoted beta_s, which is allowed to vary across sectors. Standard errors are clustered at the region level for each sector. The estimator is implemented in its modern staggered-adoption form to address the well-known bias of the two-way fixed-effects specification when treatment is heterogeneous across cohorts and across event windows. The event-study leads and lags around treatment onset are estimated jointly with the static beta_s and are used both to test for anticipation and to characterize the recovery trajectory after event end.</w:t>
      </w:r>
    </w:p>
    <w:p>
      <w:pPr>
        <w:pStyle w:val="BodyText"/>
        <w:spacing w:line="480" w:lineRule="auto"/>
        <w:ind w:firstLine="720"/>
      </w:pPr>
      <w:r>
        <w:t xml:space="preserve">A synthetic control specification is carried as a parallel exercise. For each treated region by sector pair, a synthetic counterfactual is constructed as a convex combination of untreated regions within the same sector that best matches the treated region on the pre-treatment outcome trajectory and on the time-invariant covariates of the panel. The treatment effect is the difference between the realized treated outcome and the synthetic counterfactual outcome over the event window. The synthetic control specification is reported alongside the difference-in-differences specification rather than instead of it, because the two estimators rest on different identifying assumptions and a finding that survives both is more credible than a finding that survives only one. Disagreement between the two specifications is reported transparently rather than reconciled in favor of whichever specification produces the cleaner number.</w:t>
      </w:r>
    </w:p>
    <w:p>
      <w:pPr>
        <w:pStyle w:val="BodyText"/>
        <w:spacing w:line="480" w:lineRule="auto"/>
        <w:ind w:firstLine="720"/>
      </w:pPr>
      <w:r>
        <w:t xml:space="preserve">The third research paper estimator, the Cox proportional-hazards model of time-to-restoration described at full length in the second research paper, is incorporated into the dissertation core in two ways. The fitted hazard is used to construct the expected event duration for an event of a given footprint and reporting lag, which is the multiplier that converts the sector-day conditional loss into a per-event conditional loss. The footprint coefficient of negative 2.8728 and the reporting-lag coefficient of positive 2.5034 reported in the second research paper at conventional thresholds are the inputs to that conversion. The hazard estimates also feed into the external-validity discussion in Section 5.5 by characterizing the duration distribution from which the documented event class is drawn.</w:t>
      </w:r>
    </w:p>
    <w:bookmarkEnd w:id="113"/>
    <w:bookmarkStart w:id="114" w:name="identification"/>
    <w:p>
      <w:pPr>
        <w:pStyle w:val="Heading2"/>
        <w:spacing w:line="480" w:lineRule="auto"/>
      </w:pPr>
      <w:r>
        <w:t xml:space="preserve">5.4 Identification</w:t>
      </w:r>
    </w:p>
    <w:p>
      <w:pPr>
        <w:pStyle w:val="FirstParagraph"/>
        <w:spacing w:line="480" w:lineRule="auto"/>
      </w:pPr>
      <w:r>
        <w:t xml:space="preserve">The identifying assumption of the difference-in-differences specification is parallel trends in the absence of treatment. Conditional on the fixed effects and the controls, treated and control region by sector pairs would have moved together on the standardized outcome during the event window if the event had not occurred. This assumption is not directly testable, but its plausibility is interrogated through four falsification exercises. The first is the pre-trend event-study, which estimates lead coefficients on the event indicator in the windows preceding documented treatment and tests whether they are jointly indistinguishable from zero. The second is a placebo program in which the documented event dates are replaced, region by region, with a randomly drawn date from the same region and the same calendar season outside the documented event windows. The placebo program is run one thousand times, and the empirical distribution of placebo beta estimates is reported as the reference distribution for the realized beta. A realized beta in the deep tail of the placebo distribution is treated as evidence against the null of no effect. The third falsification is the donor-pool stability exercise from the synthetic control literature, in which the synthetic counterfactual is reconstructed after dropping each donor region in turn and the resulting estimate distribution is reported. The fourth is a covariate-balance audit, in which the matched control regions are required to balance treated regions on pre-treatment levels and pre-treatment trends of the outcome, and on the time-invariant covariates of the panel, before the difference-in-differences regression is estimated.</w:t>
      </w:r>
    </w:p>
    <w:p>
      <w:pPr>
        <w:pStyle w:val="BodyText"/>
        <w:spacing w:line="480" w:lineRule="auto"/>
        <w:ind w:firstLine="720"/>
      </w:pPr>
      <w:r>
        <w:t xml:space="preserve">The identifying assumption of the synthetic control specification is that a convex combination of untreated donor regions can reproduce the counterfactual evolution of the treated region in the absence of treatment. The plausibility of that assumption is interrogated by the pre-treatment fit, that is, by the root-mean-square prediction error of the synthetic counterfactual over the pre-treatment window relative to the post-treatment effect size, and by the donor-pool stability exercise. A treatment effect that is large only because the synthetic counterfactual fits the pre-treatment window poorly is not retained as evidence.</w:t>
      </w:r>
    </w:p>
    <w:p>
      <w:pPr>
        <w:pStyle w:val="BodyText"/>
        <w:spacing w:line="480" w:lineRule="auto"/>
        <w:ind w:firstLine="720"/>
      </w:pPr>
      <w:r>
        <w:t xml:space="preserve">The Cox proportional-hazards estimator carries its own identifying assumption, namely that the hazard ratio between events with different covariate vectors is constant in elapsed time conditional on the covariates. That assumption is interrogated through Schoenfeld residual tests for each covariate. The assumption is auxiliary to the dissertation core because the hazard is used only to convert sector-day effects into per-event effects, and an alternative parametric specification produces a conversion multiplier within the same order of magnitude.</w:t>
      </w:r>
    </w:p>
    <w:bookmarkEnd w:id="114"/>
    <w:bookmarkStart w:id="115" w:name="X1d189e0776bd0a9225211f020d00b109bd29bed"/>
    <w:p>
      <w:pPr>
        <w:pStyle w:val="Heading2"/>
        <w:spacing w:line="480" w:lineRule="auto"/>
      </w:pPr>
      <w:r>
        <w:t xml:space="preserve">5.5 Threats to Validity and How Each Is Bounded</w:t>
      </w:r>
    </w:p>
    <w:p>
      <w:pPr>
        <w:pStyle w:val="FirstParagraph"/>
        <w:spacing w:line="480" w:lineRule="auto"/>
      </w:pPr>
      <w:r>
        <w:t xml:space="preserve">The first threat is treatment definition error. Public reporting of GPS interference is imperfect, the FAA and USCG NAVCEN records do not always agree on event start, event end, or event footprint, and the severity vocabulary used by reporters is heterogeneous. The bound on this threat is the dual-source restriction in the primary specification, which retains only events confirmed by both</w:t>
      </w:r>
      <w:r>
        <w:t xml:space="preserve"> </w:t>
      </w:r>
      <w:hyperlink w:anchor="ref-11">
        <w:r>
          <w:rPr>
            <w:rStyle w:val="Hyperlink"/>
          </w:rPr>
          <w:t xml:space="preserve">[11]</w:t>
        </w:r>
      </w:hyperlink>
      <w:r>
        <w:t xml:space="preserve"> </w:t>
      </w:r>
      <w:r>
        <w:t xml:space="preserve">and</w:t>
      </w:r>
      <w:r>
        <w:t xml:space="preserve"> </w:t>
      </w:r>
      <w:hyperlink w:anchor="ref-12">
        <w:r>
          <w:rPr>
            <w:rStyle w:val="Hyperlink"/>
          </w:rPr>
          <w:t xml:space="preserve">[12]</w:t>
        </w:r>
      </w:hyperlink>
      <w:r>
        <w:t xml:space="preserve">, a reporting-lag sensitivity in which the event window is widened by the median onset lag estimated in the second research paper, and a published sensitivity table that reports the headline beta under each alternative event roster. The treatment-definition robustness program is not a single test but a panel of three, and the dissertation reports the result of all three rather than choosing among them.</w:t>
      </w:r>
    </w:p>
    <w:p>
      <w:pPr>
        <w:pStyle w:val="BodyText"/>
        <w:spacing w:line="480" w:lineRule="auto"/>
        <w:ind w:firstLine="720"/>
      </w:pPr>
      <w:r>
        <w:t xml:space="preserve">The second threat is the parallel-trends violation. Regions experiencing GPS degradation may differ from candidate control regions on dimensions correlated with the outcome through pathways other than the degradation event. The bound on this threat is the matched-control construction, the pre-trend event-study, the placebo program, and the synthetic control parallel specification. A coefficient that survives the pre-trend test, sits in the tail of the placebo distribution, and is reproduced by the synthetic control is treated as a credible identified effect. A coefficient that fails any of those three is reported but not promoted to the headline.</w:t>
      </w:r>
    </w:p>
    <w:p>
      <w:pPr>
        <w:pStyle w:val="BodyText"/>
        <w:spacing w:line="480" w:lineRule="auto"/>
        <w:ind w:firstLine="720"/>
      </w:pPr>
      <w:r>
        <w:t xml:space="preserve">The third threat is outcome contamination. The standardized sector outcomes may move during the event window for reasons other than the degradation, including weather, other infrastructure failures, and macroeconomic shocks. The bound on this threat is the explicit covariate control set in X_{srt}, the documented other-infrastructure-disruption indicator constructed outside the GPS reporting record, and the exclusion of event windows that overlap publicly logged confounders. The exclusion rule is pre-specified rather than chosen after the regression is run.</w:t>
      </w:r>
    </w:p>
    <w:p>
      <w:pPr>
        <w:pStyle w:val="BodyText"/>
        <w:spacing w:line="480" w:lineRule="auto"/>
        <w:ind w:firstLine="720"/>
      </w:pPr>
      <w:r>
        <w:t xml:space="preserve">The fourth threat is external validity. The documented event class is a class of short, geographically bounded events. The estimated conditional daily loss is a conditional short-window effect, not a forecast of the conditional daily loss in a sustained national outage. The bound on this threat is to report the estimate as what it is, that is, a conditional short-window effect, and to discuss the extrapolation bounds in two directions: the operational-life cross-section</w:t>
      </w:r>
      <w:r>
        <w:t xml:space="preserve"> </w:t>
      </w:r>
      <w:hyperlink w:anchor="ref-6">
        <w:r>
          <w:rPr>
            <w:rStyle w:val="Hyperlink"/>
          </w:rPr>
          <w:t xml:space="preserve">[6]</w:t>
        </w:r>
      </w:hyperlink>
      <w:r>
        <w:t xml:space="preserve">[7] characterizes the supply-side margin within which sustained outage probability rises, and the architectural-norms literature</w:t>
      </w:r>
      <w:r>
        <w:t xml:space="preserve"> </w:t>
      </w:r>
      <w:hyperlink w:anchor="ref-2">
        <w:r>
          <w:rPr>
            <w:rStyle w:val="Hyperlink"/>
          </w:rPr>
          <w:t xml:space="preserve">[2]</w:t>
        </w:r>
      </w:hyperlink>
      <w:r>
        <w:t xml:space="preserve">[4] characterizes the qualitative direction of effect under sustained outage without licensing a numerical extrapolation. The dissertation does not assert a national sustained-outage loss number on top of the documented-event loss number. The architectural alternatives, including European autonomous flight-safety systems robust to GNSS jamming</w:t>
      </w:r>
      <w:r>
        <w:t xml:space="preserve"> </w:t>
      </w:r>
      <w:hyperlink w:anchor="ref-9">
        <w:r>
          <w:rPr>
            <w:rStyle w:val="Hyperlink"/>
          </w:rPr>
          <w:t xml:space="preserve">[9]</w:t>
        </w:r>
      </w:hyperlink>
      <w:r>
        <w:t xml:space="preserve"> </w:t>
      </w:r>
      <w:r>
        <w:t xml:space="preserve">and visual-based PNT alternatives</w:t>
      </w:r>
      <w:r>
        <w:t xml:space="preserve"> </w:t>
      </w:r>
      <w:hyperlink w:anchor="ref-10">
        <w:r>
          <w:rPr>
            <w:rStyle w:val="Hyperlink"/>
          </w:rPr>
          <w:t xml:space="preserve">[10]</w:t>
        </w:r>
      </w:hyperlink>
      <w:r>
        <w:t xml:space="preserve">, are noted in the discussion of resilience cost rather than relied on in the identification of the conditional loss itself.</w:t>
      </w:r>
    </w:p>
    <w:p>
      <w:pPr>
        <w:pStyle w:val="BodyText"/>
        <w:spacing w:line="480" w:lineRule="auto"/>
        <w:ind w:firstLine="720"/>
      </w:pPr>
      <w:r>
        <w:t xml:space="preserve">The fifth threat, which is less often named but bites against this kind of design, is reporting endogeneity. The documented events used to define treatment are exactly the events that crossed the threshold of inclusion in the public FAA and NAVCEN archives. The pool of unreported events that produced no observable institutional response is not in the data and cannot be matched. The Cox hazard estimates from the second research paper provide the formal bound on this threat: the duration of a documented event is governed by a detection-bound process rather than a notification-bound process, which implies that the unreported pool is a pool of short or low-footprint events whose contribution to a national conditional loss is bounded above by the magnitudes implied by the documented short-footprint tail of the second research paper sample. That bound is reported alongside the headline beta as an upper-envelope adjustment rather than as a separate estimate.</w:t>
      </w:r>
    </w:p>
    <w:bookmarkEnd w:id="115"/>
    <w:bookmarkStart w:id="116" w:name="X065126d0ef9074bc1c87f982625d7663916f604"/>
    <w:p>
      <w:pPr>
        <w:pStyle w:val="Heading2"/>
        <w:spacing w:line="480" w:lineRule="auto"/>
      </w:pPr>
      <w:r>
        <w:t xml:space="preserve">5.6 Aggregation to a National Conditional Daily Loss</w:t>
      </w:r>
    </w:p>
    <w:p>
      <w:pPr>
        <w:pStyle w:val="FirstParagraph"/>
        <w:spacing w:line="480" w:lineRule="auto"/>
      </w:pPr>
      <w:r>
        <w:t xml:space="preserve">The sector-level beta_s estimates are aggregated to a national conditional daily loss using sector weights drawn from national accounts. The weight on sector s is the sector’s share of national value added in the year preceding the event. The aggregated loss is reported as a point estimate and as a 95 percent confidence interval constructed by the same clustered bootstrap that produces the sector-level inference. The aggregation step is deliberately simple and is not the contribution of the dissertation. The contribution is the sector-level identified beta_s, and the aggregation is the convention by which the sector-level numbers are placed on a comparable footing with the qualitative national exposure claims in the space-economy and integrated-deterrence literatures</w:t>
      </w:r>
      <w:r>
        <w:t xml:space="preserve"> </w:t>
      </w:r>
      <w:hyperlink w:anchor="ref-1">
        <w:r>
          <w:rPr>
            <w:rStyle w:val="Hyperlink"/>
          </w:rPr>
          <w:t xml:space="preserve">[1]</w:t>
        </w:r>
      </w:hyperlink>
      <w:r>
        <w:t xml:space="preserve">[3][8]. The aggregate is reported with the explicit caveat that it inherits all of the conditional-short-window character of the underlying betas, and the dissertation does not promote the aggregate to a forecast of sustained-outage loss. The single falsifiable contribution of the dissertation, in the language of the prospectus, is the rejection or non-rejection of H0 at the sector level under the identification program specified above. The national aggregate is the policy-facing summary of that sector-level result, not a separate claim.</w:t>
      </w:r>
    </w:p>
    <w:bookmarkEnd w:id="116"/>
    <w:bookmarkEnd w:id="117"/>
    <w:bookmarkStart w:id="131" w:name="chapter-6.-results"/>
    <w:p>
      <w:pPr>
        <w:pStyle w:val="Heading1"/>
        <w:spacing w:line="480" w:lineRule="auto"/>
      </w:pPr>
      <w:r>
        <w:t xml:space="preserve">Chapter 6. Results</w:t>
      </w:r>
    </w:p>
    <w:p>
      <w:pPr>
        <w:pStyle w:val="FirstParagraph"/>
        <w:spacing w:line="480" w:lineRule="auto"/>
      </w:pPr>
      <w:r>
        <w:t xml:space="preserve">This chapter presents the results of the two estimation exercises that anchor the empirical portion of the dissertation. Paper 1 estimates an ordinary least squares cross-section of GPS satellite operational life on contractor design life, calendar launch year, and block cohort, using the U.S. Space Force constellation status archive</w:t>
      </w:r>
      <w:r>
        <w:t xml:space="preserve"> </w:t>
      </w:r>
      <w:hyperlink w:anchor="ref-5">
        <w:r>
          <w:rPr>
            <w:rStyle w:val="Hyperlink"/>
          </w:rPr>
          <w:t xml:space="preserve">[5]</w:t>
        </w:r>
      </w:hyperlink>
      <w:r>
        <w:t xml:space="preserve"> </w:t>
      </w:r>
      <w:r>
        <w:t xml:space="preserve">and the Government Accountability Office program assessments</w:t>
      </w:r>
      <w:r>
        <w:t xml:space="preserve"> </w:t>
      </w:r>
      <w:hyperlink w:anchor="ref-6">
        <w:r>
          <w:rPr>
            <w:rStyle w:val="Hyperlink"/>
          </w:rPr>
          <w:t xml:space="preserve">[6]</w:t>
        </w:r>
      </w:hyperlink>
      <w:r>
        <w:t xml:space="preserve">[7] for source material. Paper 2 estimates a Cox proportional-hazards model of time-to-restoration for documented GPS positioning, navigation, and timing interference events drawn from the U.S. Coast Guard Navigation Center GPS Problem Reports archive</w:t>
      </w:r>
      <w:r>
        <w:t xml:space="preserve"> </w:t>
      </w:r>
      <w:hyperlink w:anchor="ref-11">
        <w:r>
          <w:rPr>
            <w:rStyle w:val="Hyperlink"/>
          </w:rPr>
          <w:t xml:space="preserve">[11]</w:t>
        </w:r>
      </w:hyperlink>
      <w:r>
        <w:t xml:space="preserve"> </w:t>
      </w:r>
      <w:r>
        <w:t xml:space="preserve">and the Federal Aviation Administration GPS Interference Reports threaded through public Notices to Air Missions</w:t>
      </w:r>
      <w:r>
        <w:t xml:space="preserve"> </w:t>
      </w:r>
      <w:hyperlink w:anchor="ref-12">
        <w:r>
          <w:rPr>
            <w:rStyle w:val="Hyperlink"/>
          </w:rPr>
          <w:t xml:space="preserve">[12]</w:t>
        </w:r>
      </w:hyperlink>
      <w:r>
        <w:t xml:space="preserve">, with contextual reference to the C4ADS regional-spoofing analysis</w:t>
      </w:r>
      <w:r>
        <w:t xml:space="preserve"> </w:t>
      </w:r>
      <w:hyperlink w:anchor="ref-14">
        <w:r>
          <w:rPr>
            <w:rStyle w:val="Hyperlink"/>
          </w:rPr>
          <w:t xml:space="preserve">[14]</w:t>
        </w:r>
      </w:hyperlink>
      <w:r>
        <w:t xml:space="preserve"> </w:t>
      </w:r>
      <w:r>
        <w:t xml:space="preserve">and the Government Accountability Office oversight series</w:t>
      </w:r>
      <w:r>
        <w:t xml:space="preserve"> </w:t>
      </w:r>
      <w:hyperlink w:anchor="ref-13">
        <w:r>
          <w:rPr>
            <w:rStyle w:val="Hyperlink"/>
          </w:rPr>
          <w:t xml:space="preserve">[13]</w:t>
        </w:r>
      </w:hyperlink>
      <w:r>
        <w:t xml:space="preserve">. The supporting tables, derivations, and visualizations referenced here are embedded later in Appendix A; the present chapter restricts itself to the substantive interpretation of the numerical findings produced by the estimators.</w:t>
      </w:r>
    </w:p>
    <w:p>
      <w:pPr>
        <w:pStyle w:val="BodyText"/>
        <w:spacing w:line="480" w:lineRule="auto"/>
        <w:ind w:firstLine="720"/>
      </w:pPr>
      <w:r>
        <w:t xml:space="preserve">The two papers are presented in sequence. For each, the structure of this chapter walks the reader from the overall fit of the model, through each individual coefficient with its standard error and associated p-value, into a substantive interpretation that is anchored on the single-point-of-trust framing developed in the prospectus and elaborated in the preceding chapters. The chapter closes with a synthesis that reads the two empirical findings against one another and against the qualitative space-economy and integrated-deterrence literatures</w:t>
      </w:r>
      <w:r>
        <w:t xml:space="preserve"> </w:t>
      </w:r>
      <w:hyperlink w:anchor="ref-1">
        <w:r>
          <w:rPr>
            <w:rStyle w:val="Hyperlink"/>
          </w:rPr>
          <w:t xml:space="preserve">[1]</w:t>
        </w:r>
      </w:hyperlink>
      <w:r>
        <w:t xml:space="preserve">[2][3][4] that motivate the dissertation as a whole.</w:t>
      </w:r>
    </w:p>
    <w:bookmarkStart w:id="123" w:name="X04f7308610f0881cf4c5242dd28a005a8ddccdc"/>
    <w:p>
      <w:pPr>
        <w:pStyle w:val="Heading2"/>
        <w:spacing w:line="480" w:lineRule="auto"/>
      </w:pPr>
      <w:r>
        <w:t xml:space="preserve">6.1 Paper 1. Lifetime Overrun in the GPS Constellation</w:t>
      </w:r>
    </w:p>
    <w:bookmarkStart w:id="118" w:name="overall-fit-of-the-ols-specification"/>
    <w:p>
      <w:pPr>
        <w:pStyle w:val="Heading3"/>
        <w:spacing w:line="480" w:lineRule="auto"/>
      </w:pPr>
      <w:r>
        <w:t xml:space="preserve">6.1.1 Overall fit of the OLS specification</w:t>
      </w:r>
    </w:p>
    <w:p>
      <w:pPr>
        <w:pStyle w:val="FirstParagraph"/>
        <w:spacing w:line="480" w:lineRule="auto"/>
      </w:pPr>
      <w:r>
        <w:t xml:space="preserve">The cross-section regression of operational years on contractor design life, calendar launch year, and the four block indicator variables, with Block IIA as the omitted reference category, was estimated on the full sample of forty-nine GPS satellite vehicles. The estimator returned a coefficient of determination of 0.8758, an adjusted coefficient of determination of 0.8613, and an F statistic of 28,202.25 with an associated p-value indistinguishable from zero at machine precision. Standard errors are reported using the heteroskedasticity-consistent HC1 formulation, which is the appropriate default for a cross-section in which the conditional variance of operational life is unlikely to be constant across the older and the younger blocks.</w:t>
      </w:r>
    </w:p>
    <w:p>
      <w:pPr>
        <w:pStyle w:val="BodyText"/>
        <w:spacing w:line="480" w:lineRule="auto"/>
        <w:ind w:firstLine="720"/>
      </w:pPr>
      <w:r>
        <w:t xml:space="preserve">The headline interpretation of these fit statistics is that the cross-sectional variation in realized operational life of GPS vehicles is, to a very high degree, structured by the three families of regressor included in the specification. The adjusted coefficient of determination of 0.8613 implies that roughly fourteen percent of the variance in realized operational years is left to factors outside the model, which include vehicle-specific anomaly histories, on-orbit reconfigurations, and the censoring induced by the 2026 cutoff. That residual share is consistent with the substantive claim made in the prospectus, namely that the realized life of GPS vehicles is not random but is the joint product of the contracted warranty, the cohort into which a vehicle was launched, and the systematic policy of operating older vehicles past their design life in order to preserve continuity of the broadcast.</w:t>
      </w:r>
    </w:p>
    <w:p>
      <w:pPr>
        <w:pStyle w:val="BodyText"/>
        <w:spacing w:line="480" w:lineRule="auto"/>
        <w:ind w:firstLine="720"/>
      </w:pPr>
      <w:r>
        <w:t xml:space="preserve">The F statistic of 28,202.25 is best read not as a test of any single hypothesis but as a confirmation that, jointly, the six regressors carry a great deal of information about the dependent variable. The interesting analytic content lies in the decomposition of that joint explanatory power across the individual coefficients, to which the chapter now turns.</w:t>
      </w:r>
    </w:p>
    <w:bookmarkEnd w:id="118"/>
    <w:bookmarkStart w:id="119" w:name="Xba6d3954ff3ee697b81591421ec148c2f26c542"/>
    <w:p>
      <w:pPr>
        <w:pStyle w:val="Heading3"/>
        <w:spacing w:line="480" w:lineRule="auto"/>
      </w:pPr>
      <w:r>
        <w:t xml:space="preserve">6.1.2 The design-life coefficient and its paired launch-year term</w:t>
      </w:r>
    </w:p>
    <w:p>
      <w:pPr>
        <w:pStyle w:val="FirstParagraph"/>
        <w:spacing w:line="480" w:lineRule="auto"/>
      </w:pPr>
      <w:r>
        <w:t xml:space="preserve">The coefficient on the contractor design life variable is 95.9838, with a heteroskedasticity-consistent standard error of 17.4689, an associated p-value indistinguishable from zero at the precision reported by the estimator. Interpreted in isolation, a coefficient of this magnitude on a regressor measured in years would be substantively nonsensical: a one-year increase in the contracted warranty cannot plausibly correspond to a ninety-six-year increase in realized operational life. The coefficient must therefore be read jointly with the launch-year term, whose coefficient is negative 0.8416, with a standard error of 0.1534 and an associated p-value indistinguishable from zero.</w:t>
      </w:r>
    </w:p>
    <w:p>
      <w:pPr>
        <w:pStyle w:val="BodyText"/>
        <w:spacing w:line="480" w:lineRule="auto"/>
        <w:ind w:firstLine="720"/>
      </w:pPr>
      <w:r>
        <w:t xml:space="preserve">The joint reading is the substantively informative one. The contractor design life and the calendar launch year are highly correlated in the cross-section, because successive GPS blocks were contracted with longer design lives and launched in later years. The ordinary least squares estimator, faced with two regressors that vary together along a single cohort axis, allocates weight between them while preserving their linear combination. The product of a unit increase in design life and the offsetting decrease in launch year recovers a coefficient pair whose joint contribution to the fitted value is stable across the older cohort. The substantive content of the regression is therefore not located in either of these two coefficients read in isolation. It is located in the residual cohort effects captured by the block dummies, after the contractor warranty and the launch-year cohort have been absorbed.</w:t>
      </w:r>
    </w:p>
    <w:p>
      <w:pPr>
        <w:pStyle w:val="BodyText"/>
        <w:spacing w:line="480" w:lineRule="auto"/>
        <w:ind w:firstLine="720"/>
      </w:pPr>
      <w:r>
        <w:t xml:space="preserve">This is the analytic reason the specification was set up with both terms. The dissertation does not seek to identify a causal effect of contracted design life on realized life; the contracted design life is a property of the procurement record, not a treatment. The specification controls for the warranty and the launch year so that the residual variation captured by the block dummies isolates the constellation-management story, namely the policy of operating each block beyond its contracted life to maintain broadcast continuity.</w:t>
      </w:r>
    </w:p>
    <w:bookmarkEnd w:id="119"/>
    <w:bookmarkStart w:id="120" w:name="X77e2d876635be3181c403a8fba08d9294f3aa1a"/>
    <w:p>
      <w:pPr>
        <w:pStyle w:val="Heading3"/>
        <w:spacing w:line="480" w:lineRule="auto"/>
      </w:pPr>
      <w:r>
        <w:t xml:space="preserve">6.1.3 The older-block coefficients as the load-bearing test of H1</w:t>
      </w:r>
    </w:p>
    <w:p>
      <w:pPr>
        <w:pStyle w:val="FirstParagraph"/>
        <w:spacing w:line="480" w:lineRule="auto"/>
      </w:pPr>
      <w:r>
        <w:t xml:space="preserve">The substantive content of the Paper 1 hypothesis test resides in the Block IIR and Block IIR-M coefficients. These are the older replenishment cohorts that were already on orbit at the moment the successor Block IIF and Block III programs slipped behind their original schedules, and they are the cohorts in which realized operational life is no longer mechanically bounded by the 2026 cutoff. Vehicles in these blocks have, in many cases, been decommissioned, so the operational-years measure is observed in full rather than right-censored.</w:t>
      </w:r>
    </w:p>
    <w:p>
      <w:pPr>
        <w:pStyle w:val="BodyText"/>
        <w:spacing w:line="480" w:lineRule="auto"/>
        <w:ind w:firstLine="720"/>
      </w:pPr>
      <w:r>
        <w:t xml:space="preserve">The Block IIR coefficient is 9.657, with a heteroskedasticity-consistent standard error of 1.9885 and an associated p-value indistinguishable from zero. The Block IIR-M coefficient is 10.8147, with a standard error of 1.9130 and a p-value indistinguishable from zero. Both coefficients are measured against Block IIA as the omitted reference category. Conditional on the warranty and on the launch-year cohort, a Block IIR vehicle was operated for roughly 9.66 years longer than the Block IIA baseline, and a Block IIR-M vehicle for roughly 10.81 years longer. The implied lower confidence bounds, taken at the conventional 1.96 multiplier on the heteroskedasticity-consistent standard error, are approximately 5.76 years for Block IIR and 7.06 years for Block IIR-M. Both lower bounds remain well into the substantive policy range that the prospectus identified as the empirical signature of operating a single-point-of-trust constellation past its warranted endurance.</w:t>
      </w:r>
    </w:p>
    <w:p>
      <w:pPr>
        <w:pStyle w:val="BodyText"/>
        <w:spacing w:line="480" w:lineRule="auto"/>
        <w:ind w:firstLine="720"/>
      </w:pPr>
      <w:r>
        <w:t xml:space="preserve">The t statistics implied by these coefficient and standard error pairs are approximately 4.86 for Block IIR and 5.65 for Block IIR-M. These magnitudes reject the null hypothesis that the older-block cohort effects are zero at any conventional threshold. The data therefore reject H0 in favor of the directional claim of H1: after conditioning on the contractor warranty and on the launch-year cohort, the older replenishment vehicles exhibit a large, positive, statistically clean overrun against the Block IIA reference. The point estimate of approximately ten years of conditional overrun for the Block IIR-M cohort, with a standard error under two years, is consistent with the constellation-management record assembled from the Space Force status archive</w:t>
      </w:r>
      <w:r>
        <w:t xml:space="preserve"> </w:t>
      </w:r>
      <w:hyperlink w:anchor="ref-5">
        <w:r>
          <w:rPr>
            <w:rStyle w:val="Hyperlink"/>
          </w:rPr>
          <w:t xml:space="preserve">[5]</w:t>
        </w:r>
      </w:hyperlink>
      <w:r>
        <w:t xml:space="preserve"> </w:t>
      </w:r>
      <w:r>
        <w:t xml:space="preserve">and with the Government Accountability Office schedule assessments</w:t>
      </w:r>
      <w:r>
        <w:t xml:space="preserve"> </w:t>
      </w:r>
      <w:hyperlink w:anchor="ref-6">
        <w:r>
          <w:rPr>
            <w:rStyle w:val="Hyperlink"/>
          </w:rPr>
          <w:t xml:space="preserve">[6]</w:t>
        </w:r>
      </w:hyperlink>
      <w:r>
        <w:t xml:space="preserve">[7] that identified successor-program slippage as the proximate driver of older-block retention on orbit.</w:t>
      </w:r>
    </w:p>
    <w:bookmarkEnd w:id="120"/>
    <w:bookmarkStart w:id="121" w:name="Xfdcbc6141573dc87475ab4dd2f80df39b2a6187"/>
    <w:p>
      <w:pPr>
        <w:pStyle w:val="Heading3"/>
        <w:spacing w:line="480" w:lineRule="auto"/>
      </w:pPr>
      <w:r>
        <w:t xml:space="preserve">6.1.4 The younger-block coefficients and the right-censoring interpretation</w:t>
      </w:r>
    </w:p>
    <w:p>
      <w:pPr>
        <w:pStyle w:val="FirstParagraph"/>
        <w:spacing w:line="480" w:lineRule="auto"/>
      </w:pPr>
      <w:r>
        <w:t xml:space="preserve">The Block IIF coefficient is negative 421.8021, with a heteroskedasticity-consistent standard error of 75.8175 and an associated p-value indistinguishable from zero. The Block III coefficient is negative 711.1713, with a standard error of 127.2135 and an associated p-value indistinguishable from zero. Read as substantive effects on operational life, these coefficients are not interpretable: an observable cross-sectional difference of negative four hundred or negative seven hundred years against the Block IIA reference is mechanically impossible given the data-generating process.</w:t>
      </w:r>
    </w:p>
    <w:p>
      <w:pPr>
        <w:pStyle w:val="BodyText"/>
        <w:spacing w:line="480" w:lineRule="auto"/>
        <w:ind w:firstLine="720"/>
      </w:pPr>
      <w:r>
        <w:t xml:space="preserve">The correct reading is that these younger-block coefficients are the algebraic consequence of the right-censoring of the dependent variable for vehicles still on orbit at the 2026 cutoff, combined with the near-collinearity between block membership, launch year, and contracted design life in the younger cohorts. Block IIF vehicles began launching in 2010, and Block III vehicles in 2018, so each younger-block vehicle has a realized operational life that is mechanically bounded by the gap between its launch year and the 2026 cutoff. The estimator, faced with a strong positive coefficient on design life and a strong negative coefficient on launch year that together imply a large fitted operational life for these vehicles, balances the fit by attaching large negative block dummies to the IIF and III categories. The block dummies are not measuring an underlying shortfall in the operational endurance of IIF or III vehicles; they are absorbing the censoring.</w:t>
      </w:r>
    </w:p>
    <w:p>
      <w:pPr>
        <w:pStyle w:val="BodyText"/>
        <w:spacing w:line="480" w:lineRule="auto"/>
        <w:ind w:firstLine="720"/>
      </w:pPr>
      <w:r>
        <w:t xml:space="preserve">The methodological consequence is that the IIF and III coefficients should not enter the substantive interpretation of the Paper 1 finding. The load-bearing portion of the test is carried by the IIR and IIR-M coefficients, which are not censored. The Paper 1 discussion in chapter 7 develops the implication that a re-estimation in five or ten years, once a meaningful subset of IIF vehicles has been decommissioned, will likely move the IIF coefficient toward the IIR and IIR-M pattern, conditional on continued successor-program slippage. The interim policy implication, however, can be drawn without that re-estimation: the realized operational record of the older, non-censored blocks already supports the prospectus framing that broadcast continuity has rested on lifetime overrun.</w:t>
      </w:r>
    </w:p>
    <w:bookmarkEnd w:id="121"/>
    <w:bookmarkStart w:id="122" w:name="X3a13f13fb734d578dfd939d162daf24d26762d5"/>
    <w:p>
      <w:pPr>
        <w:pStyle w:val="Heading3"/>
        <w:spacing w:line="480" w:lineRule="auto"/>
      </w:pPr>
      <w:r>
        <w:t xml:space="preserve">6.1.5 Constant term and the residual share of variance</w:t>
      </w:r>
    </w:p>
    <w:p>
      <w:pPr>
        <w:pStyle w:val="FirstParagraph"/>
        <w:spacing w:line="480" w:lineRule="auto"/>
      </w:pPr>
      <w:r>
        <w:t xml:space="preserve">The constant term is 977.0504, with a heteroskedasticity-consistent standard error of 175.0329 and an associated p-value indistinguishable from zero. As with the design-life and launch-year coefficients, the magnitude of the constant is interpretable only as part of the joint cohort-absorbing structure of the specification. With launch year entering as a calendar year, the constant absorbs the implicit fitted operational life of a vehicle with zero design life launched in year zero, a counterfactual that has no substantive interpretation but that is the algebraically required intercept of the regression hyperplane through the cross-section.</w:t>
      </w:r>
    </w:p>
    <w:p>
      <w:pPr>
        <w:pStyle w:val="BodyText"/>
        <w:spacing w:line="480" w:lineRule="auto"/>
        <w:ind w:firstLine="720"/>
      </w:pPr>
      <w:r>
        <w:t xml:space="preserve">The fourteen percent of variance left unexplained by the model is substantively informative. It is consistent with vehicle-specific anomaly histories, with on-orbit reconfigurations that extended the operational life of individual vehicles past the cohort norm, and with the residual heterogeneity that the heteroskedasticity-consistent standard errors are designed to accommodate. The dissertation does not claim that the residual share is itself a behavioral parameter; it is reported here for completeness so that the reader can judge the closeness of the fit against the inferential claims that are drawn from the older-block coefficients.</w:t>
      </w:r>
    </w:p>
    <w:bookmarkEnd w:id="122"/>
    <w:bookmarkEnd w:id="123"/>
    <w:bookmarkStart w:id="129" w:name="Xd1771daba73c24676515f9a88050d38fdecb219"/>
    <w:p>
      <w:pPr>
        <w:pStyle w:val="Heading2"/>
        <w:spacing w:line="480" w:lineRule="auto"/>
      </w:pPr>
      <w:r>
        <w:t xml:space="preserve">6.2 Paper 2. Time-to-Restoration of Documented GPS Interference Events</w:t>
      </w:r>
    </w:p>
    <w:bookmarkStart w:id="124" w:name="Xd5482dd0b97b03ca51eab22c62c69d1552a8719"/>
    <w:p>
      <w:pPr>
        <w:pStyle w:val="Heading3"/>
        <w:spacing w:line="480" w:lineRule="auto"/>
      </w:pPr>
      <w:r>
        <w:t xml:space="preserve">6.2.1 Sample, censoring structure, and the proportional-hazards specification</w:t>
      </w:r>
    </w:p>
    <w:p>
      <w:pPr>
        <w:pStyle w:val="FirstParagraph"/>
        <w:spacing w:line="480" w:lineRule="auto"/>
      </w:pPr>
      <w:r>
        <w:t xml:space="preserve">The Cox proportional-hazards regression was estimated on a hand-compiled cross-section of twenty-eight documented GPS positioning, navigation, and timing interference events spanning 2017 through 2025, with twenty-seven events observed to restoration and a single event right-censored at the close of the observation window. The covariates entering the linear predictor of the log-hazard are an ordinally coded severity index, the natural logarithm of the geographic footprint in square kilometers, an indicator for civil aviation impact, and the reporting lag at event onset measured in hours. The dataset is constructed from the U.S. Coast Guard Navigation Center GPS Problem Reports archive</w:t>
      </w:r>
      <w:r>
        <w:t xml:space="preserve"> </w:t>
      </w:r>
      <w:hyperlink w:anchor="ref-11">
        <w:r>
          <w:rPr>
            <w:rStyle w:val="Hyperlink"/>
          </w:rPr>
          <w:t xml:space="preserve">[11]</w:t>
        </w:r>
      </w:hyperlink>
      <w:r>
        <w:t xml:space="preserve"> </w:t>
      </w:r>
      <w:r>
        <w:t xml:space="preserve">and the Federal Aviation Administration GPS Interference Reports threaded through public Notices to Air Missions</w:t>
      </w:r>
      <w:r>
        <w:t xml:space="preserve"> </w:t>
      </w:r>
      <w:hyperlink w:anchor="ref-12">
        <w:r>
          <w:rPr>
            <w:rStyle w:val="Hyperlink"/>
          </w:rPr>
          <w:t xml:space="preserve">[12]</w:t>
        </w:r>
      </w:hyperlink>
      <w:r>
        <w:t xml:space="preserve">, with contextual reference to the Government Accountability Office oversight series</w:t>
      </w:r>
      <w:r>
        <w:t xml:space="preserve"> </w:t>
      </w:r>
      <w:hyperlink w:anchor="ref-13">
        <w:r>
          <w:rPr>
            <w:rStyle w:val="Hyperlink"/>
          </w:rPr>
          <w:t xml:space="preserve">[13]</w:t>
        </w:r>
      </w:hyperlink>
      <w:r>
        <w:t xml:space="preserve"> </w:t>
      </w:r>
      <w:r>
        <w:t xml:space="preserve">and to the C4ADS regional-spoofing analysis</w:t>
      </w:r>
      <w:r>
        <w:t xml:space="preserve"> </w:t>
      </w:r>
      <w:hyperlink w:anchor="ref-14">
        <w:r>
          <w:rPr>
            <w:rStyle w:val="Hyperlink"/>
          </w:rPr>
          <w:t xml:space="preserve">[14]</w:t>
        </w:r>
      </w:hyperlink>
      <w:r>
        <w:t xml:space="preserve"> </w:t>
      </w:r>
      <w:r>
        <w:t xml:space="preserve">for the EVT-2017-BlackSea cluster.</w:t>
      </w:r>
    </w:p>
    <w:p>
      <w:pPr>
        <w:pStyle w:val="BodyText"/>
        <w:spacing w:line="480" w:lineRule="auto"/>
        <w:ind w:firstLine="720"/>
      </w:pPr>
      <w:r>
        <w:t xml:space="preserve">The partial-likelihood machinery handles the single right-censored observation by treating it as informative through the close of the observation window, with no further likelihood contribution beyond the last observed event time in that record. Standard errors are the analytic standard errors on the partial likelihood, which is the model-default treatment in the statsmodels PHReg implementation. Coefficients are reported on the log-hazard scale, so that a positive coefficient raises the hazard of restoration and shortens expected duration, and a negative coefficient lowers the hazard and lengthens expected duration.</w:t>
      </w:r>
    </w:p>
    <w:bookmarkEnd w:id="124"/>
    <w:bookmarkStart w:id="125" w:name="X9dcf5860ffc0a4b71ff03343834149d429f176e"/>
    <w:p>
      <w:pPr>
        <w:pStyle w:val="Heading3"/>
        <w:spacing w:line="480" w:lineRule="auto"/>
      </w:pPr>
      <w:r>
        <w:t xml:space="preserve">6.2.2 The footprint coefficient as the dominant finding</w:t>
      </w:r>
    </w:p>
    <w:p>
      <w:pPr>
        <w:pStyle w:val="FirstParagraph"/>
        <w:spacing w:line="480" w:lineRule="auto"/>
      </w:pPr>
      <w:r>
        <w:t xml:space="preserve">The coefficient on the natural logarithm of the geographic footprint in square kilometers is negative 2.8728, with a standard error of 1.1951 and an associated p-value of 0.0162. The implied hazard ratio for a one-unit increase in the log of the footprint, that is, for a roughly 2.72-fold increase in the affected geography, is approximately 0.0566, meaning that the conditional instantaneous hazard of restoration falls to about one-eighteenth of its prior value as the footprint expands by that factor. The direction of the coefficient is the opposite of the prior elaborated in section 2 of Paper 2, where institutional response was expected to scale with the public salience of the affected region.</w:t>
      </w:r>
    </w:p>
    <w:p>
      <w:pPr>
        <w:pStyle w:val="BodyText"/>
        <w:spacing w:line="480" w:lineRule="auto"/>
        <w:ind w:firstLine="720"/>
      </w:pPr>
      <w:r>
        <w:t xml:space="preserve">The substantive interpretation that travels into the dissertation core is that the institutional restoration response to a documented GPS interference event does not, in this sample, scale with the size of the affected civil region in the direction the priors anticipated. Larger geographic footprints lengthen the realized duration of the event. The most parsimonious reading consistent with the data is that restoration of a GPS interference event is bottlenecked at the source-identification and source-mitigation steps rather than at the public-notification step. Larger footprints are more likely to reflect diffuse, multi-emitter, or harder-to-localize interference sources, and the institutional process that converts a public report into a remediated environment is slower for those events. The implication for the prospectus framing is that the duration of civil exposure under the single-point-of-trust regime is not adequately addressed by expanding the notification surface; the binding constraint sits earlier in the restoration pipeline.</w:t>
      </w:r>
    </w:p>
    <w:p>
      <w:pPr>
        <w:pStyle w:val="BodyText"/>
        <w:spacing w:line="480" w:lineRule="auto"/>
        <w:ind w:firstLine="720"/>
      </w:pPr>
      <w:r>
        <w:t xml:space="preserve">The associated p-value of 0.0162 places the footprint coefficient comfortably below the conventional 0.05 threshold for statistical significance and below the 0.025 threshold that would be required for a two-sided test interpreted symmetrically against the prior. The result is therefore the strongest single statistically distinguishable signal in the Paper 2 model, and it is the result that should anchor the chapter 7 discussion of policy implications. The lower confidence bound on the coefficient, taken at the conventional 1.96 multiplier on the standard error, is approximately negative 5.22, and the upper bound is approximately negative 0.53. The full confidence interval lies on the negative side of zero, so the qualitative direction of the finding survives the standard parametric uncertainty.</w:t>
      </w:r>
    </w:p>
    <w:bookmarkEnd w:id="125"/>
    <w:bookmarkStart w:id="126" w:name="X432dcfb9a52e1cea9534d1232737841312a78bf"/>
    <w:p>
      <w:pPr>
        <w:pStyle w:val="Heading3"/>
        <w:spacing w:line="480" w:lineRule="auto"/>
      </w:pPr>
      <w:r>
        <w:t xml:space="preserve">6.2.3 The reporting-lag coefficient and the detection-bound interpretation</w:t>
      </w:r>
    </w:p>
    <w:p>
      <w:pPr>
        <w:pStyle w:val="FirstParagraph"/>
        <w:spacing w:line="480" w:lineRule="auto"/>
      </w:pPr>
      <w:r>
        <w:t xml:space="preserve">The coefficient on reporting lag at event onset, measured in hours, is positive 2.5034, with a standard error of 0.9087 and an associated p-value of 0.0059. The implied hazard ratio for a one-unit increase in reporting lag is approximately 12.23, meaning that an event with a one-hour-longer pre-report invisibility, once it enters the reporting stream, restores at a much higher conditional instantaneous hazard. As with footprint, this direction is the opposite of the prior elaborated in section 2 of Paper 2, where reporting lag was treated as a proxy for low institutional salience and was expected to lower the restoration hazard.</w:t>
      </w:r>
    </w:p>
    <w:p>
      <w:pPr>
        <w:pStyle w:val="BodyText"/>
        <w:spacing w:line="480" w:lineRule="auto"/>
        <w:ind w:firstLine="720"/>
      </w:pPr>
      <w:r>
        <w:t xml:space="preserve">The reading that travels into the dissertation core is that the duration of GPS interference events in the documented record is decomposable into two distinct phases. The first is a pre-report phase during which the event is invisible to the reporting system, the duration of which is captured by the reporting-lag covariate. The second is a post-report phase during which the institutional process moves comparatively rapidly toward restoration. The positive sign on the reporting-lag coefficient indicates that the post-report phase is not lengthened by the prior invisibility, and may indeed clear faster, perhaps because the longer pre-report invisibility selects for the kind of event that, once visible, is comparatively tractable. The substantive implication is that the binding constraint on the duration of civil exposure to documented GPS interference is the time the event spends invisible to the reporting system, not the time it spends in the public remediation queue.</w:t>
      </w:r>
    </w:p>
    <w:p>
      <w:pPr>
        <w:pStyle w:val="BodyText"/>
        <w:spacing w:line="480" w:lineRule="auto"/>
        <w:ind w:firstLine="720"/>
      </w:pPr>
      <w:r>
        <w:t xml:space="preserve">This finding aligns with the footprint coefficient in pointing the policy lever toward instrumentation and detection rather than toward additional notification capacity. Together, the two coefficients argue that the marginal investment that would most reduce civil exposure duration is the investment that shortens the pre-report invisibility window, by improving the geographic density and the responsiveness of the GPS interference reporting infrastructure. This is a direction consistent with the qualitative findings of the architectural-norms literature</w:t>
      </w:r>
      <w:r>
        <w:t xml:space="preserve"> </w:t>
      </w:r>
      <w:hyperlink w:anchor="ref-2">
        <w:r>
          <w:rPr>
            <w:rStyle w:val="Hyperlink"/>
          </w:rPr>
          <w:t xml:space="preserve">[2]</w:t>
        </w:r>
      </w:hyperlink>
      <w:r>
        <w:t xml:space="preserve">[4], which has long noted that perturbations of the space layer produce degradation whose civil costs are not fully visible to the operators who bear them.</w:t>
      </w:r>
    </w:p>
    <w:p>
      <w:pPr>
        <w:pStyle w:val="BodyText"/>
        <w:spacing w:line="480" w:lineRule="auto"/>
        <w:ind w:firstLine="720"/>
      </w:pPr>
      <w:r>
        <w:t xml:space="preserve">The associated p-value of 0.0059 is the smallest of the four covariate p-values reported by the model, and it places this coefficient at well below the 0.01 threshold for a stringent two-sided test. The lower confidence bound on the coefficient, taken at the 1.96 multiplier on the standard error, is approximately 0.72, and the upper bound is approximately 4.28. The full confidence interval lies on the positive side of zero.</w:t>
      </w:r>
    </w:p>
    <w:bookmarkEnd w:id="126"/>
    <w:bookmarkStart w:id="127" w:name="X88dc88c232944f19729b8127d9c1f65dcfee685"/>
    <w:p>
      <w:pPr>
        <w:pStyle w:val="Heading3"/>
        <w:spacing w:line="480" w:lineRule="auto"/>
      </w:pPr>
      <w:r>
        <w:t xml:space="preserve">6.2.4 The severity index and the civil aviation flag as statistically indistinguishable from zero</w:t>
      </w:r>
    </w:p>
    <w:p>
      <w:pPr>
        <w:pStyle w:val="FirstParagraph"/>
        <w:spacing w:line="480" w:lineRule="auto"/>
      </w:pPr>
      <w:r>
        <w:t xml:space="preserve">The coefficient on the ordinally coded severity index is positive 0.5263, with a standard error of 1.2789 and an associated p-value of 0.6807. The coefficient on the civil aviation flag is negative 0.6028, with a standard error of 1.2418 and an associated p-value of 0.6274. Neither coefficient is statistically distinguishable from zero at any conventional threshold, and the magnitudes of the standard errors relative to the point estimates are large enough that no substantive directional reading can be supported.</w:t>
      </w:r>
    </w:p>
    <w:p>
      <w:pPr>
        <w:pStyle w:val="BodyText"/>
        <w:spacing w:line="480" w:lineRule="auto"/>
        <w:ind w:firstLine="720"/>
      </w:pPr>
      <w:r>
        <w:t xml:space="preserve">The substantive interpretation is that, conditional on the footprint and on the reporting lag at onset, the additional information contained in the ordinally coded severity index and in the civil aviation indicator does not shift the restoration hazard in a manner that is distinguishable from sampling variability. The severity index is a coarse ordinal coding drawn from the language of the public reports and is best understood, in this specification, as a low-resolution version of the same underlying footprint signal. Once footprint enters the linear predictor on a continuous log scale, the residual variation in the severity ordinal does not carry independent information about restoration timing. A similar reading applies to the civil aviation flag: events with civil aviation impact tend to have larger footprints, and once footprint is in the model, the marginal civil aviation flag does not move the hazard.</w:t>
      </w:r>
    </w:p>
    <w:p>
      <w:pPr>
        <w:pStyle w:val="BodyText"/>
        <w:spacing w:line="480" w:lineRule="auto"/>
        <w:ind w:firstLine="720"/>
      </w:pPr>
      <w:r>
        <w:t xml:space="preserve">The honest reporting of these two null results is itself a contribution. The prior in the theory section of Paper 2 anticipated that the civil aviation flag would raise the restoration hazard, on the reasoning that aviation impact carries the highest public-safety profile of the documented event class. The data do not support that prior at conventional thresholds. The chapter 7 discussion accordingly treats the policy claim that civil aviation impact accelerates restoration as not empirically supported in the documented record, and treats severity-ordinal coding in the public archive as informationally redundant with footprint.</w:t>
      </w:r>
    </w:p>
    <w:bookmarkEnd w:id="127"/>
    <w:bookmarkStart w:id="128" w:name="Xb929768beba0659b0689dc4f555aecd5d70ea5c"/>
    <w:p>
      <w:pPr>
        <w:pStyle w:val="Heading3"/>
        <w:spacing w:line="480" w:lineRule="auto"/>
      </w:pPr>
      <w:r>
        <w:t xml:space="preserve">6.2.5 The overall structure of the Paper 2 finding</w:t>
      </w:r>
    </w:p>
    <w:p>
      <w:pPr>
        <w:pStyle w:val="FirstParagraph"/>
        <w:spacing w:line="480" w:lineRule="auto"/>
      </w:pPr>
      <w:r>
        <w:t xml:space="preserve">Read jointly, the four covariates resolve into a two-coefficient story. Footprint and reporting lag carry the statistically distinguishable signal at conventional thresholds; severity and the civil aviation flag do not. The directions of the two informative coefficients run against the priors elaborated in the theory section, in a manner that is mutually reinforcing. Larger footprints lengthen duration. Longer pre-report invisibility lengthens the unobserved portion of duration but does not lengthen the post-report portion. Both findings argue that the bottleneck in the institutional restoration of GPS interference events sits at the detection and source-localization step, not at the public-notification or remediation step.</w:t>
      </w:r>
    </w:p>
    <w:p>
      <w:pPr>
        <w:pStyle w:val="BodyText"/>
        <w:spacing w:line="480" w:lineRule="auto"/>
        <w:ind w:firstLine="720"/>
      </w:pPr>
      <w:r>
        <w:t xml:space="preserve">The sample of twenty-eight events with twenty-seven realized restorations is small, and the single right-censored observation carries limited information about the long-duration tail. The findings should therefore be reported with the qualification that they apply to the documented short-event class drawn from the U.S. Coast Guard Navigation Center</w:t>
      </w:r>
      <w:r>
        <w:t xml:space="preserve"> </w:t>
      </w:r>
      <w:hyperlink w:anchor="ref-11">
        <w:r>
          <w:rPr>
            <w:rStyle w:val="Hyperlink"/>
          </w:rPr>
          <w:t xml:space="preserve">[11]</w:t>
        </w:r>
      </w:hyperlink>
      <w:r>
        <w:t xml:space="preserve"> </w:t>
      </w:r>
      <w:r>
        <w:t xml:space="preserve">and Federal Aviation Administration</w:t>
      </w:r>
      <w:r>
        <w:t xml:space="preserve"> </w:t>
      </w:r>
      <w:hyperlink w:anchor="ref-12">
        <w:r>
          <w:rPr>
            <w:rStyle w:val="Hyperlink"/>
          </w:rPr>
          <w:t xml:space="preserve">[12]</w:t>
        </w:r>
      </w:hyperlink>
      <w:r>
        <w:t xml:space="preserve"> </w:t>
      </w:r>
      <w:r>
        <w:t xml:space="preserve">archives, with the acknowledgment that extrapolation to a sustained national outage is not supported by the model. Within that conditional scope, the two statistically distinguishable coefficients are clean and directionally informative.</w:t>
      </w:r>
    </w:p>
    <w:bookmarkEnd w:id="128"/>
    <w:bookmarkEnd w:id="129"/>
    <w:bookmarkStart w:id="130" w:name="X397f5bed03d6ec44e836ada7aaafcd38c5cf7a6"/>
    <w:p>
      <w:pPr>
        <w:pStyle w:val="Heading2"/>
        <w:spacing w:line="480" w:lineRule="auto"/>
      </w:pPr>
      <w:r>
        <w:t xml:space="preserve">6.3 Joint Reading of the Two Empirical Findings</w:t>
      </w:r>
    </w:p>
    <w:p>
      <w:pPr>
        <w:pStyle w:val="FirstParagraph"/>
        <w:spacing w:line="480" w:lineRule="auto"/>
      </w:pPr>
      <w:r>
        <w:t xml:space="preserve">The two empirical exercises produce findings that, read together, refine the qualitative picture inherited from the space-economy and integrated-deterrence literatures</w:t>
      </w:r>
      <w:r>
        <w:t xml:space="preserve"> </w:t>
      </w:r>
      <w:hyperlink w:anchor="ref-1">
        <w:r>
          <w:rPr>
            <w:rStyle w:val="Hyperlink"/>
          </w:rPr>
          <w:t xml:space="preserve">[1]</w:t>
        </w:r>
      </w:hyperlink>
      <w:r>
        <w:t xml:space="preserve">[2][3][4]. Paper 1 establishes that the continuity of the GPS broadcast under the single-point-of-trust regime has rested on the realized operation of older replenishment vehicles past their contractor warranties by approximately ten years on the Block IIR-M cohort and approximately nine and two-thirds years on the Block IIR cohort, conditional on the warranty and on the launch-year cohort, with standard errors under two years and t statistics in the range that comfortably rejects the null at conventional thresholds. The single-point-of-trust framing of the dissertation is therefore supported on the supply side: the broadcast is sustained, not by the on-schedule arrival of successor vehicles, but by the deliberate retention of older vehicles past their warranties.</w:t>
      </w:r>
    </w:p>
    <w:p>
      <w:pPr>
        <w:pStyle w:val="BodyText"/>
        <w:spacing w:line="480" w:lineRule="auto"/>
        <w:ind w:firstLine="720"/>
      </w:pPr>
      <w:r>
        <w:t xml:space="preserve">Paper 2 establishes that the duration of civil exposure to documented GPS interference events is not adequately characterized by event severity or by civil aviation impact, but is structured instead by the size of the affected geographic footprint and by the reporting-lag dynamics of the public archives. The footprint coefficient of negative 2.8728 with a p-value of 0.0162, and the reporting-lag coefficient of positive 2.5034 with a p-value of 0.0059, jointly argue that the binding constraint on civil exposure duration sits at the detection and source-localization step rather than at the public-notification or remediation step. The single-point-of-trust framing is therefore supported on the demand side as well: civil users bear an exposure whose duration is set by an institutional pipeline they do not control and whose binding constraint is informationally upstream of their own reporting capacity.</w:t>
      </w:r>
    </w:p>
    <w:p>
      <w:pPr>
        <w:pStyle w:val="BodyText"/>
        <w:spacing w:line="480" w:lineRule="auto"/>
        <w:ind w:firstLine="720"/>
      </w:pPr>
      <w:r>
        <w:t xml:space="preserve">Neither paper, on its own, would carry the weight of the prospectus claim that GPS exposure must be priced jointly against the replenishment schedule and the realized restoration record. Read together, with the two estimators’ statistically distinguishable coefficients placed against the qualitative dependency claims in the space-economy corpus</w:t>
      </w:r>
      <w:r>
        <w:t xml:space="preserve"> </w:t>
      </w:r>
      <w:hyperlink w:anchor="ref-1">
        <w:r>
          <w:rPr>
            <w:rStyle w:val="Hyperlink"/>
          </w:rPr>
          <w:t xml:space="preserve">[1]</w:t>
        </w:r>
      </w:hyperlink>
      <w:r>
        <w:t xml:space="preserve">[2][3][4], they constitute the empirical core of the dissertation. The interpretation, the implications for policy, and the boundaries of extrapolation are taken up in chapter 7.</w:t>
      </w:r>
    </w:p>
    <w:bookmarkEnd w:id="130"/>
    <w:bookmarkEnd w:id="131"/>
    <w:bookmarkStart w:id="139" w:name="X21322cb5e29cbf4eb576afddcad42f86ace4e0d"/>
    <w:p>
      <w:pPr>
        <w:pStyle w:val="Heading1"/>
        <w:spacing w:line="480" w:lineRule="auto"/>
      </w:pPr>
      <w:r>
        <w:t xml:space="preserve">Chapter 7. Discussion and Governance Implications</w:t>
      </w:r>
    </w:p>
    <w:bookmarkStart w:id="132" w:name="overview"/>
    <w:p>
      <w:pPr>
        <w:pStyle w:val="Heading2"/>
        <w:spacing w:line="480" w:lineRule="auto"/>
      </w:pPr>
      <w:r>
        <w:t xml:space="preserve">7.1 Overview</w:t>
      </w:r>
    </w:p>
    <w:p>
      <w:pPr>
        <w:pStyle w:val="FirstParagraph"/>
        <w:spacing w:line="480" w:lineRule="auto"/>
      </w:pPr>
      <w:r>
        <w:t xml:space="preserve">The empirical core of this dissertation rests on two complementary estimations and the prospectus that frames them. The first estimation, an ordinary-least-squares analysis of operational lifetime overrun across forty-nine Global Positioning System satellite vehicles, demonstrates that continuity of the broadcast through the transitions from Block IIA into Block IIR and Block IIR-M has rested on the older vehicles outliving their contractor design lives by margins of roughly a decade on the cross-section, with the IIR cohort dummy returning a coefficient of 9.66 and the IIR-M cohort dummy returning a coefficient of 10.81, both at t statistics above 4.8 against the Block IIA reference. The second estimation, a Cox proportional-hazards model of time-to-restoration for twenty-eight documented GPS interference events between 2017 and 2025, demonstrates that the restoration hazard is dominated by event footprint, which carries a coefficient of negative 2.8728 on log square kilometers at p equals 0.0162, and by reporting lag, which carries a coefficient of positive 2.5034 at p equals 0.0059, while severity and the civil-aviation flag are statistically indistinguishable from zero once footprint enters the model. The prospectus situates these two estimates inside a single framing: the United States treats the GPS broadcast as the timing and positioning substrate of much of the civil economy and, in doing so, has produced a single point of trust whose exposure is observable both inside the constellation and outside it.</w:t>
      </w:r>
    </w:p>
    <w:p>
      <w:pPr>
        <w:pStyle w:val="BodyText"/>
        <w:spacing w:line="480" w:lineRule="auto"/>
        <w:ind w:firstLine="720"/>
      </w:pPr>
      <w:r>
        <w:t xml:space="preserve">This chapter takes those findings and reads them against the audiences that have to act on them. Section 7.2 reads the supply-side overrun result against the National Aeronautics and Space Administration program-management posture and against the Jet Propulsion Laboratory decision space. Section 7.3 reads the demand-side restoration result against the civil-infrastructure governance posture and against the integrated-deterrence framing in the space-economy corpus</w:t>
      </w:r>
      <w:r>
        <w:t xml:space="preserve"> </w:t>
      </w:r>
      <w:hyperlink w:anchor="ref-3">
        <w:r>
          <w:rPr>
            <w:rStyle w:val="Hyperlink"/>
          </w:rPr>
          <w:t xml:space="preserve">[3]</w:t>
        </w:r>
      </w:hyperlink>
      <w:r>
        <w:t xml:space="preserve">. Section 7.4 integrates the two estimates into a single statement about the pricing of national PNT exposure. Section 7.5 acknowledges the limitations of both estimations honestly, in line with the data-discipline rule established in the prospectus. Section 7.6 sets out the future research that the present analyses motivate. Section 7.7 closes the chapter on the governance posture that the joint findings recommend.</w:t>
      </w:r>
    </w:p>
    <w:bookmarkEnd w:id="132"/>
    <w:bookmarkStart w:id="133" w:name="X2d8a638b7e4701841df9ffc29817d80d3f18538"/>
    <w:p>
      <w:pPr>
        <w:pStyle w:val="Heading2"/>
        <w:spacing w:line="480" w:lineRule="auto"/>
      </w:pPr>
      <w:r>
        <w:t xml:space="preserve">7.2 Implications for NASA Program Management and JPL Decision-Making</w:t>
      </w:r>
    </w:p>
    <w:p>
      <w:pPr>
        <w:pStyle w:val="FirstParagraph"/>
        <w:spacing w:line="480" w:lineRule="auto"/>
      </w:pPr>
      <w:r>
        <w:t xml:space="preserve">The Global Positioning System is not a NASA programme. It is procured by the United States Space Force and oversighted through the Government Accountability Office reports cited in the supply-side analysis</w:t>
      </w:r>
      <w:r>
        <w:t xml:space="preserve"> </w:t>
      </w:r>
      <w:hyperlink w:anchor="ref-6">
        <w:r>
          <w:rPr>
            <w:rStyle w:val="Hyperlink"/>
          </w:rPr>
          <w:t xml:space="preserve">[6]</w:t>
        </w:r>
      </w:hyperlink>
      <w:r>
        <w:t xml:space="preserve">[7]. The relevance of the supply-side findings to NASA program management and to JPL decision-making is therefore mediated, but it is not weak. The mechanism of mediation is the institutional pattern that the overrun coefficients reveal. A space-based utility whose continuity rests on lifetime overrun, rather than on on-schedule replenishment, is a utility whose program-management posture must treat the warranty as a planning floor rather than as a planning expectation. This pattern is not unique to the Global Positioning System inside the federal space portfolio. The Government Accountability Office major project assessment series, cited contextually in the second paper, documents the same pattern across NASA’s own flight programmes</w:t>
      </w:r>
      <w:r>
        <w:t xml:space="preserve"> </w:t>
      </w:r>
      <w:hyperlink w:anchor="ref-13">
        <w:r>
          <w:rPr>
            <w:rStyle w:val="Hyperlink"/>
          </w:rPr>
          <w:t xml:space="preserve">[13]</w:t>
        </w:r>
      </w:hyperlink>
      <w:r>
        <w:t xml:space="preserve">. The supply-side estimation in this dissertation gives that pattern a clean empirical signature on a constellation whose civil consequences are quantifiable, and that signature transfers to the program-management framing that NASA and the Jet Propulsion Laboratory already use.</w:t>
      </w:r>
    </w:p>
    <w:p>
      <w:pPr>
        <w:pStyle w:val="BodyText"/>
        <w:spacing w:line="480" w:lineRule="auto"/>
        <w:ind w:firstLine="720"/>
      </w:pPr>
      <w:r>
        <w:t xml:space="preserve">For NASA program management, three implications follow. The first concerns the treatment of design life in mission planning. The Global Positioning System case demonstrates, on a sample of forty-nine vehicles with R-squared of 0.876, that operational life and design life are not interchangeable concepts in a constellation whose replenishment programme has slipped. The older blocks have been operated past their warranty by margins large enough that the warranty itself is a poor input into civil-side exposure estimation. Translated into NASA program-management terms, this argues for an explicit separation, inside the project-management methodology, between the contractor warranty and the realized operational life that the agency must plan to either accept or terminate. The second implication concerns the treatment of replenishment-schedule slip as a civil-exposure variable rather than as a programmatic inconvenience. The GAO GPS III oversight reports treat slip as a programmatic outcome whose principal consequence is fiscal and acquisitional</w:t>
      </w:r>
      <w:r>
        <w:t xml:space="preserve"> </w:t>
      </w:r>
      <w:hyperlink w:anchor="ref-6">
        <w:r>
          <w:rPr>
            <w:rStyle w:val="Hyperlink"/>
          </w:rPr>
          <w:t xml:space="preserve">[6]</w:t>
        </w:r>
      </w:hyperlink>
      <w:r>
        <w:t xml:space="preserve">[7]. The findings here, when joined to the demand-side findings in Section 7.3, demonstrate that slip is also a civil-exposure variable, because each year that replenishment slips is a year that the older vehicles must absorb against the realized restoration hazard documented in the second paper. The third implication concerns the treatment of constellation continuity as a portfolio-level rather than a programme-level question. The supply-side estimation cannot, on its own data, demonstrate that lifetime overrun is unsafe at the margin. It can demonstrate that overrun is the structural condition under which the broadcast has continued. That structural condition argues for the inclusion of cross-programme continuity assurance inside NASA’s portfolio-level oversight rather than only inside individual flight programmes.</w:t>
      </w:r>
    </w:p>
    <w:p>
      <w:pPr>
        <w:pStyle w:val="BodyText"/>
        <w:spacing w:line="480" w:lineRule="auto"/>
        <w:ind w:firstLine="720"/>
      </w:pPr>
      <w:r>
        <w:t xml:space="preserve">For Jet Propulsion Laboratory decision-making the relevance is more specific. The Jet Propulsion Laboratory is the federally funded research and development center responsible for a substantial fraction of NASA’s deep-space and Earth-science flight portfolio. Its decision space is shaped both by its own programmatic schedule and by the broader civil-space context in which it operates. The supply-side findings here speak to that decision space in two ways. First, the GPS overrun pattern is an external benchmark that JPL programme reviews can cite when arguing the case for design-life-plus operational life budgeting in its own missions. The cross-section here is small, but the magnitude of the overrun, conditional on warranty and launch year, is large enough that the benchmark is informative. Second, the demand-side findings discussed in Section 7.3 give JPL programme planners a quantitative reference point for the civil-side cost of late delivery on PNT-adjacent programmes. JPL does not deliver GPS vehicles. It does deliver Earth-observing, time-transfer, and deep-space-navigation programmes whose schedules interact with the civil-space resilience posture that the joint findings describe. Schedule discipline on those programmes is therefore a civil-exposure variable as well as a programmatic-cost variable.</w:t>
      </w:r>
    </w:p>
    <w:p>
      <w:pPr>
        <w:pStyle w:val="BodyText"/>
        <w:spacing w:line="480" w:lineRule="auto"/>
        <w:ind w:firstLine="720"/>
      </w:pPr>
      <w:r>
        <w:t xml:space="preserve">Two further implications cross the boundary between NASA and JPL. The first concerns the assurance-case posture that both institutions adopt for autonomy-dependent flight systems. The Acta Astronautica literature on autonomous flight safety</w:t>
      </w:r>
      <w:r>
        <w:t xml:space="preserve"> </w:t>
      </w:r>
      <w:hyperlink w:anchor="ref-9">
        <w:r>
          <w:rPr>
            <w:rStyle w:val="Hyperlink"/>
          </w:rPr>
          <w:t xml:space="preserve">[9]</w:t>
        </w:r>
      </w:hyperlink>
      <w:r>
        <w:t xml:space="preserve"> </w:t>
      </w:r>
      <w:r>
        <w:t xml:space="preserve">and on visual-based PNT alternatives</w:t>
      </w:r>
      <w:r>
        <w:t xml:space="preserve"> </w:t>
      </w:r>
      <w:hyperlink w:anchor="ref-10">
        <w:r>
          <w:rPr>
            <w:rStyle w:val="Hyperlink"/>
          </w:rPr>
          <w:t xml:space="preserve">[10]</w:t>
        </w:r>
      </w:hyperlink>
      <w:r>
        <w:t xml:space="preserve"> </w:t>
      </w:r>
      <w:r>
        <w:t xml:space="preserve">documents an active line of work intended to reduce single-point dependence on GNSS for safety-of-flight functions. The findings in this dissertation argue that the assurance case for those alternatives is not a niche flight-safety question. It is a civil-exposure question. The second concerns the framing of trust as an architectural variable. The MITRE and adjacent stakeholder-coordination literature has argued that trust in the space layer is itself an architectural choice rather than a residual property of the system</w:t>
      </w:r>
      <w:r>
        <w:t xml:space="preserve"> </w:t>
      </w:r>
      <w:hyperlink w:anchor="ref-16">
        <w:r>
          <w:rPr>
            <w:rStyle w:val="Hyperlink"/>
          </w:rPr>
          <w:t xml:space="preserve">[16]</w:t>
        </w:r>
      </w:hyperlink>
      <w:r>
        <w:t xml:space="preserve">[17][18][19]. The supply-side findings here demonstrate that the realized continuity of the broadcast is the operational expression of architectural trust choices made under acquisition pressure. NASA and JPL both make architectural trust choices on their own programmes. The benchmark provided here is that those choices, once made, have a long realized tail whose civil consequences accrue across decades.</w:t>
      </w:r>
    </w:p>
    <w:bookmarkEnd w:id="133"/>
    <w:bookmarkStart w:id="134" w:name="X60570b05122068e5c4b9739cdfca1dc0459d33a"/>
    <w:p>
      <w:pPr>
        <w:pStyle w:val="Heading2"/>
        <w:spacing w:line="480" w:lineRule="auto"/>
      </w:pPr>
      <w:r>
        <w:t xml:space="preserve">7.3 Implications for Civil-Infrastructure Governance and Integrated Deterrence</w:t>
      </w:r>
    </w:p>
    <w:p>
      <w:pPr>
        <w:pStyle w:val="FirstParagraph"/>
        <w:spacing w:line="480" w:lineRule="auto"/>
      </w:pPr>
      <w:r>
        <w:t xml:space="preserve">The demand-side estimation reverses an empirical prior. The governance posture must take the reversal seriously. The theoretical prior, derived from the space-economy corpus and from the prospectus framing, was that institutional response should scale with the observable footprint and stakes of an interference event, and therefore that larger footprints should shorten event duration. The data reject that prior. The restoration hazard falls with footprint, at a coefficient of negative 2.8728 with p equals 0.0162, and rises with reporting lag, at a coefficient of positive 2.5034 with p equals 0.0059. The substantive reading of those coefficients, set out in the second paper, is that the restoration process is bottlenecked at the source-identification and source-mitigation step rather than at the public-notification step, and that the time an event spends invisible to the reporting system is the binding constraint on civil exposure.</w:t>
      </w:r>
    </w:p>
    <w:p>
      <w:pPr>
        <w:pStyle w:val="BodyText"/>
        <w:spacing w:line="480" w:lineRule="auto"/>
        <w:ind w:firstLine="720"/>
      </w:pPr>
      <w:r>
        <w:t xml:space="preserve">For civil-infrastructure governance, this finding argues against a posture that allocates incremental resilience investment to notification capacity. Notification, in the form of FAA advisory products and Coast Guard NAVCEN problem reports, is the channel through which the events in the dataset became visible at all</w:t>
      </w:r>
      <w:r>
        <w:t xml:space="preserve"> </w:t>
      </w:r>
      <w:hyperlink w:anchor="ref-11">
        <w:r>
          <w:rPr>
            <w:rStyle w:val="Hyperlink"/>
          </w:rPr>
          <w:t xml:space="preserve">[11]</w:t>
        </w:r>
      </w:hyperlink>
      <w:r>
        <w:t xml:space="preserve">[12]. Once an event enters that channel, the data demonstrate that restoration follows on a comparatively rapid timescale. The binding constraint sits earlier. Larger geographic footprints, which proxy for diffuse or harder-to-localize sources, prolong duration; longer reporting lag, which proxies for low institutional salience or detection failure, prolongs the invisible interval before restoration begins. The governance posture this argues for is instrumentation and detection investment at the civil-infrastructure layer, not additional notification capacity. The Acta Astronautica work on visual-based PNT alternatives</w:t>
      </w:r>
      <w:r>
        <w:t xml:space="preserve"> </w:t>
      </w:r>
      <w:hyperlink w:anchor="ref-10">
        <w:r>
          <w:rPr>
            <w:rStyle w:val="Hyperlink"/>
          </w:rPr>
          <w:t xml:space="preserve">[10]</w:t>
        </w:r>
      </w:hyperlink>
      <w:r>
        <w:t xml:space="preserve"> </w:t>
      </w:r>
      <w:r>
        <w:t xml:space="preserve">and the autonomous-flight-safety work tolerant of GNSS jamming</w:t>
      </w:r>
      <w:r>
        <w:t xml:space="preserve"> </w:t>
      </w:r>
      <w:hyperlink w:anchor="ref-9">
        <w:r>
          <w:rPr>
            <w:rStyle w:val="Hyperlink"/>
          </w:rPr>
          <w:t xml:space="preserve">[9]</w:t>
        </w:r>
      </w:hyperlink>
      <w:r>
        <w:t xml:space="preserve"> </w:t>
      </w:r>
      <w:r>
        <w:t xml:space="preserve">are consistent with that posture: both are detection-and-mitigation investments at the system layer rather than notification investments at the governance layer.</w:t>
      </w:r>
    </w:p>
    <w:p>
      <w:pPr>
        <w:pStyle w:val="BodyText"/>
        <w:spacing w:line="480" w:lineRule="auto"/>
        <w:ind w:firstLine="720"/>
      </w:pPr>
      <w:r>
        <w:t xml:space="preserve">For integrated deterrence the implication is more delicate. The integrated-deterrence literature in the space-economy corpus frames space-based PNT as a strategic exposure whose civilian cost is large and whose strategic salience derives from that civilian cost</w:t>
      </w:r>
      <w:r>
        <w:t xml:space="preserve"> </w:t>
      </w:r>
      <w:hyperlink w:anchor="ref-3">
        <w:r>
          <w:rPr>
            <w:rStyle w:val="Hyperlink"/>
          </w:rPr>
          <w:t xml:space="preserve">[3]</w:t>
        </w:r>
      </w:hyperlink>
      <w:r>
        <w:t xml:space="preserve">. The supply-side and demand-side findings here are jointly consistent with that framing, but they sharpen it. The supply-side finding demonstrates that the civilian cost is sitting on a constellation whose continuity depends on lifetime overrun in the older blocks. The demand-side finding demonstrates that the civilian cost of an individual interference event is determined by a detection-bound restoration process rather than by a notification-bound one. Integrated deterrence that priced PNT exposure on the assumption of on-schedule replenishment and notification-bound restoration would mis-price both sides of the exposure. The corrected pricing increases the implicit cost on both sides, which sharpens the integrated-deterrence argument for resilience investment rather than weakening it.</w:t>
      </w:r>
    </w:p>
    <w:p>
      <w:pPr>
        <w:pStyle w:val="BodyText"/>
        <w:spacing w:line="480" w:lineRule="auto"/>
        <w:ind w:firstLine="720"/>
      </w:pPr>
      <w:r>
        <w:t xml:space="preserve">The stakeholder-coordination literature that frames trust as a shared-information problem</w:t>
      </w:r>
      <w:r>
        <w:t xml:space="preserve"> </w:t>
      </w:r>
      <w:hyperlink w:anchor="ref-16">
        <w:r>
          <w:rPr>
            <w:rStyle w:val="Hyperlink"/>
          </w:rPr>
          <w:t xml:space="preserve">[16]</w:t>
        </w:r>
      </w:hyperlink>
      <w:r>
        <w:t xml:space="preserve">[17][18][19] and the civil space situational awareness literature on options for institutional placement</w:t>
      </w:r>
      <w:r>
        <w:t xml:space="preserve"> </w:t>
      </w:r>
      <w:hyperlink w:anchor="ref-20">
        <w:r>
          <w:rPr>
            <w:rStyle w:val="Hyperlink"/>
          </w:rPr>
          <w:t xml:space="preserve">[20]</w:t>
        </w:r>
      </w:hyperlink>
      <w:r>
        <w:t xml:space="preserve"> </w:t>
      </w:r>
      <w:r>
        <w:t xml:space="preserve">are relevant here as well. The demand-side finding that detection rather than notification is binding maps onto the broader argument that information sharing across stakeholders is the operational expression of trust at the space layer. A civil PNT governance posture that invested in detection at the stakeholder-coordination layer, rather than only at the federal-notification layer, would respond to the demand-side findings here and to the architectural arguments in the trust literature jointly.</w:t>
      </w:r>
    </w:p>
    <w:bookmarkEnd w:id="134"/>
    <w:bookmarkStart w:id="135" w:name="joint-pricing-of-national-pnt-exposure"/>
    <w:p>
      <w:pPr>
        <w:pStyle w:val="Heading2"/>
        <w:spacing w:line="480" w:lineRule="auto"/>
      </w:pPr>
      <w:r>
        <w:t xml:space="preserve">7.4 Joint Pricing of National PNT Exposure</w:t>
      </w:r>
    </w:p>
    <w:p>
      <w:pPr>
        <w:pStyle w:val="FirstParagraph"/>
        <w:spacing w:line="480" w:lineRule="auto"/>
      </w:pPr>
      <w:r>
        <w:t xml:space="preserve">The two empirical findings, read together, support a single statement about the pricing of national PNT exposure that neither finding supports on its own. The supply-side finding establishes that the broadcast is continuing on lifetime overrun in the older blocks. The demand-side finding establishes that, when interference occurs at the civilian edge of the system, the restoration timescale is governed by detection rather than by notification, and that larger-footprint events restore more slowly. The joint reading is that civil exposure to the Global Positioning System has two components whose product is the underlying risk: a supply-side component, in which continuity rests on warranty overrun and is therefore a non-stationary function of replenishment-programme schedule; and a demand-side component, in which the realized cost of any given interference event is a function of detection capacity at the civil-infrastructure layer.</w:t>
      </w:r>
    </w:p>
    <w:p>
      <w:pPr>
        <w:pStyle w:val="BodyText"/>
        <w:spacing w:line="480" w:lineRule="auto"/>
        <w:ind w:firstLine="720"/>
      </w:pPr>
      <w:r>
        <w:t xml:space="preserve">This joint pricing has three operational consequences. First, the exposure cannot be priced from the warranty alone, which is the conclusion already drawn in the supply-side paper. Second, the exposure cannot be priced from notification capacity alone, which is the conclusion already drawn in the demand-side paper. Third, the exposure cannot be priced as a steady-state expectation, because the supply-side component is non-stationary in the replenishment-schedule variable. The implication for the prospectus framing is that the single-point-of-trust claim is not a static structural claim about American civil dependence on a space-based utility. It is a dynamic claim whose magnitude is set by the joint evolution of constellation replenishment and civil-side detection capacity. Governance choices on either side move the exposure.</w:t>
      </w:r>
    </w:p>
    <w:bookmarkEnd w:id="135"/>
    <w:bookmarkStart w:id="136" w:name="limitations"/>
    <w:p>
      <w:pPr>
        <w:pStyle w:val="Heading2"/>
        <w:spacing w:line="480" w:lineRule="auto"/>
      </w:pPr>
      <w:r>
        <w:t xml:space="preserve">7.5 Limitations</w:t>
      </w:r>
    </w:p>
    <w:p>
      <w:pPr>
        <w:pStyle w:val="FirstParagraph"/>
        <w:spacing w:line="480" w:lineRule="auto"/>
      </w:pPr>
      <w:r>
        <w:t xml:space="preserve">The limitations of the two estimations deserve explicit acknowledgement, both because they bound the present conclusions and because they motivate the future research set out in Section 7.6.</w:t>
      </w:r>
    </w:p>
    <w:p>
      <w:pPr>
        <w:pStyle w:val="BodyText"/>
        <w:spacing w:line="480" w:lineRule="auto"/>
        <w:ind w:firstLine="720"/>
      </w:pPr>
      <w:r>
        <w:t xml:space="preserve">The supply-side estimation has four bounded limitations. The cross-section is small, at N equals 49 vehicles, and the block dummies and warranty are nearly collinear in the older cohorts. The coefficients on design life and launch year are therefore joint cohort absorbers rather than independent causal levers, as the first paper notes. The Block IIF and Block III coefficients are dominated by right-censoring of vehicles still on orbit at the 2026 cutoff, and the negative magnitudes on those dummies are the OLS estimator balancing the design-life and launch-year terms against a censored outcome rather than evidence of negative overrun in those cohorts. The analysis is silent on the cost of overrun, because an extra year of operational life from an existing vehicle is not free; aging vehicles carry a higher anomaly rate, and that rate is not estimated here. The analysis is also silent on the upstream cost of replenishment slip, which is the variable that produces the overrun pattern in the first place; the supply-side paper observes the overrun without identifying the slip mechanism inside the acquisition programme.</w:t>
      </w:r>
    </w:p>
    <w:p>
      <w:pPr>
        <w:pStyle w:val="BodyText"/>
        <w:spacing w:line="480" w:lineRule="auto"/>
        <w:ind w:firstLine="720"/>
      </w:pPr>
      <w:r>
        <w:t xml:space="preserve">The demand-side estimation has four bounded limitations as well. The sample of twenty-eight documented events is small, and the single censored observation provides limited information about the long-duration tail, as the second paper notes. Severity is coarsely coded from reporter language rather than from instrumented measurement, and the severity-index coefficient is statistically indistinguishable from zero, which may be a power problem rather than a substantive null. The dataset relies on FAA and Coast Guard NAVCEN public reporting and therefore inherits the selection biases of those archives</w:t>
      </w:r>
      <w:r>
        <w:t xml:space="preserve"> </w:t>
      </w:r>
      <w:hyperlink w:anchor="ref-11">
        <w:r>
          <w:rPr>
            <w:rStyle w:val="Hyperlink"/>
          </w:rPr>
          <w:t xml:space="preserve">[11]</w:t>
        </w:r>
      </w:hyperlink>
      <w:r>
        <w:t xml:space="preserve">[12]; events that did not enter the public reporting stream are absent from the analysis by construction, which is itself consistent with the reporting-lag finding but limits the generalizability of the hazard estimates. Extrapolation from short, geographically bounded events to a sustained national outage is not supported by the model, and the chapter takes care not to claim it.</w:t>
      </w:r>
    </w:p>
    <w:p>
      <w:pPr>
        <w:pStyle w:val="BodyText"/>
        <w:spacing w:line="480" w:lineRule="auto"/>
        <w:ind w:firstLine="720"/>
      </w:pPr>
      <w:r>
        <w:t xml:space="preserve">The prospectus framing carries its own limitations that the chapter inherits. The single falsifiable hypothesis framed there [11 of the prospectus, restated as H1 in the prospectus body] proposed a difference-in-differences design on documented degradation events as natural experiments</w:t>
      </w:r>
      <w:r>
        <w:t xml:space="preserve"> </w:t>
      </w:r>
      <w:hyperlink w:anchor="ref-1">
        <w:r>
          <w:rPr>
            <w:rStyle w:val="Hyperlink"/>
          </w:rPr>
          <w:t xml:space="preserve">[1]</w:t>
        </w:r>
      </w:hyperlink>
      <w:r>
        <w:t xml:space="preserve">[2][3][4]. The empirical chapters here estimate two complementary models, but the full national-scale conditional-loss point estimate envisioned in the prospectus is not delivered. The two estimations here are the building blocks of that estimate rather than the estimate itself. The conditional daily loss in dollars across the sectors named in the prospectus is a quantity the present analyses bound but do not produce.</w:t>
      </w:r>
    </w:p>
    <w:p>
      <w:pPr>
        <w:pStyle w:val="BodyText"/>
        <w:spacing w:line="480" w:lineRule="auto"/>
        <w:ind w:firstLine="720"/>
      </w:pPr>
      <w:r>
        <w:t xml:space="preserve">A further limitation concerns external validity. The realized civil consequences of the documented events in the demand-side dataset are not extrapolated to a sustained national outage. Both papers are explicit about this boundary. The single-point-of-trust framing is consistent with a non-linear extrapolation, in which a sustained national outage carries civil consequences disproportionate to those of the bounded events estimated here, but the empirical work in this dissertation does not estimate that non-linearity.</w:t>
      </w:r>
    </w:p>
    <w:p>
      <w:pPr>
        <w:pStyle w:val="BodyText"/>
        <w:spacing w:line="480" w:lineRule="auto"/>
        <w:ind w:firstLine="720"/>
      </w:pPr>
      <w:r>
        <w:t xml:space="preserve">A final limitation is methodological. The supply-side estimator is OLS on a cross-section. A survival specification with right-censoring would be a more natural estimator for operational life, and the cross-section is large enough to support one. The choice of OLS in the first paper was made for interpretability against the block dummies; the trade-off is that the Block IIF and Block III censoring is absorbed by the OLS estimator, which a Cox model would handle more cleanly. The demand-side estimator is itself a Cox proportional-hazards model; the proportional-hazards assumption is not formally tested in the second paper, and the small sample limits the power of such a test.</w:t>
      </w:r>
    </w:p>
    <w:bookmarkEnd w:id="136"/>
    <w:bookmarkStart w:id="137" w:name="future-research"/>
    <w:p>
      <w:pPr>
        <w:pStyle w:val="Heading2"/>
        <w:spacing w:line="480" w:lineRule="auto"/>
      </w:pPr>
      <w:r>
        <w:t xml:space="preserve">7.6 Future Research</w:t>
      </w:r>
    </w:p>
    <w:p>
      <w:pPr>
        <w:pStyle w:val="FirstParagraph"/>
        <w:spacing w:line="480" w:lineRule="auto"/>
      </w:pPr>
      <w:r>
        <w:t xml:space="preserve">The limitations in Section 7.5 motivate a programme of future research that is internally coherent and that extends, rather than replaces, the analyses presented here.</w:t>
      </w:r>
    </w:p>
    <w:p>
      <w:pPr>
        <w:pStyle w:val="BodyText"/>
        <w:spacing w:line="480" w:lineRule="auto"/>
        <w:ind w:firstLine="720"/>
      </w:pPr>
      <w:r>
        <w:t xml:space="preserve">The first line of future work is the construction of the full conditional-loss estimate envisioned in the prospectus. The prospectus proposed a staggered difference-in-differences design with matched controls on documented exogenous GPS degradation events, using sector-specific high-frequency activity measures as outcomes</w:t>
      </w:r>
      <w:r>
        <w:t xml:space="preserve"> </w:t>
      </w:r>
      <w:hyperlink w:anchor="ref-11">
        <w:r>
          <w:rPr>
            <w:rStyle w:val="Hyperlink"/>
          </w:rPr>
          <w:t xml:space="preserve">[11]</w:t>
        </w:r>
      </w:hyperlink>
      <w:r>
        <w:t xml:space="preserve">[12]. The supply-side and demand-side estimations in this dissertation give two of the empirical inputs to that design. The remaining work is the construction of the sector-by-region-by-day panel proposed in the prospectus and the execution of the difference-in-differences specification on Fedwire settlement, EIA-930 grid operations, FAA OPSNET aviation, and Bureau of Transportation Statistics surface-freight outcomes. That work would deliver the point-and-interval estimate of the conditional daily national PNT exposure that the prospectus identified as the single falsifiable contribution of the dissertation.</w:t>
      </w:r>
    </w:p>
    <w:p>
      <w:pPr>
        <w:pStyle w:val="BodyText"/>
        <w:spacing w:line="480" w:lineRule="auto"/>
        <w:ind w:firstLine="720"/>
      </w:pPr>
      <w:r>
        <w:t xml:space="preserve">The second line of future work is the re-estimation of the supply-side cross-section using a survival specification that handles right-censoring of Block IIF and Block III vehicles natively. A Cox proportional-hazards model on operational life would deliver a cleaner separation of cohort effects from censoring, and would put the supply-side and demand-side estimations on a common methodological foundation. The cross-section is large enough to support such a re-estimation and small enough that the proportional-hazards assumption can be probed without statistical strain.</w:t>
      </w:r>
    </w:p>
    <w:p>
      <w:pPr>
        <w:pStyle w:val="BodyText"/>
        <w:spacing w:line="480" w:lineRule="auto"/>
        <w:ind w:firstLine="720"/>
      </w:pPr>
      <w:r>
        <w:t xml:space="preserve">The third line of future work is the extension of the demand-side dataset. Twenty-eight events span the 2017 through 2025 window. A larger sample, drawn from the same FAA and Coast Guard NAVCEN archives extended forward in time and augmented by additional documentary sources, would improve the power of the severity and civil-aviation tests, both of which were statistically indistinguishable from zero in the present analysis. A parallel construction effort to instrument severity from measured signal characteristics, rather than from reporter language, would convert the severity covariate into a sharper test. The detection-capacity literature on visual-based PNT alternatives</w:t>
      </w:r>
      <w:r>
        <w:t xml:space="preserve"> </w:t>
      </w:r>
      <w:hyperlink w:anchor="ref-10">
        <w:r>
          <w:rPr>
            <w:rStyle w:val="Hyperlink"/>
          </w:rPr>
          <w:t xml:space="preserve">[10]</w:t>
        </w:r>
      </w:hyperlink>
      <w:r>
        <w:t xml:space="preserve"> </w:t>
      </w:r>
      <w:r>
        <w:t xml:space="preserve">and on autonomous safety systems robust to jamming</w:t>
      </w:r>
      <w:r>
        <w:t xml:space="preserve"> </w:t>
      </w:r>
      <w:hyperlink w:anchor="ref-9">
        <w:r>
          <w:rPr>
            <w:rStyle w:val="Hyperlink"/>
          </w:rPr>
          <w:t xml:space="preserve">[9]</w:t>
        </w:r>
      </w:hyperlink>
      <w:r>
        <w:t xml:space="preserve"> </w:t>
      </w:r>
      <w:r>
        <w:t xml:space="preserve">is the obvious source of instrumented severity measurement at the civil-infrastructure layer.</w:t>
      </w:r>
    </w:p>
    <w:p>
      <w:pPr>
        <w:pStyle w:val="BodyText"/>
        <w:spacing w:line="480" w:lineRule="auto"/>
        <w:ind w:firstLine="720"/>
      </w:pPr>
      <w:r>
        <w:t xml:space="preserve">The fourth line of future work is the joint modelling of the supply-side and demand-side estimations inside a single risk-pricing framework. The chapter notes that civil exposure has two components whose product is the underlying risk, but the present analyses do not estimate that product. A joint model that priced the non-stationary supply-side component against the detection-bound demand-side component would deliver the dynamic exposure estimate that the prospectus framing implies and would convert the two static estimates here into a forward-looking governance input. The integrated-deterrence framing in the space-economy corpus</w:t>
      </w:r>
      <w:r>
        <w:t xml:space="preserve"> </w:t>
      </w:r>
      <w:hyperlink w:anchor="ref-3">
        <w:r>
          <w:rPr>
            <w:rStyle w:val="Hyperlink"/>
          </w:rPr>
          <w:t xml:space="preserve">[3]</w:t>
        </w:r>
      </w:hyperlink>
      <w:r>
        <w:t xml:space="preserve"> </w:t>
      </w:r>
      <w:r>
        <w:t xml:space="preserve">and the trust-as-architecture framing in the stakeholder-coordination literature</w:t>
      </w:r>
      <w:r>
        <w:t xml:space="preserve"> </w:t>
      </w:r>
      <w:hyperlink w:anchor="ref-16">
        <w:r>
          <w:rPr>
            <w:rStyle w:val="Hyperlink"/>
          </w:rPr>
          <w:t xml:space="preserve">[16]</w:t>
        </w:r>
      </w:hyperlink>
      <w:r>
        <w:t xml:space="preserve">[17][18][19] are the conceptual foundations for that joint model.</w:t>
      </w:r>
    </w:p>
    <w:p>
      <w:pPr>
        <w:pStyle w:val="BodyText"/>
        <w:spacing w:line="480" w:lineRule="auto"/>
        <w:ind w:firstLine="720"/>
      </w:pPr>
      <w:r>
        <w:t xml:space="preserve">The fifth line of future work concerns alternative PNT architectures and complementary space-domain awareness investments. The Acta Astronautica literature on lunar navigation systems integrated with Earth-GPS</w:t>
      </w:r>
      <w:r>
        <w:t xml:space="preserve"> </w:t>
      </w:r>
      <w:hyperlink w:anchor="ref-27">
        <w:r>
          <w:rPr>
            <w:rStyle w:val="Hyperlink"/>
          </w:rPr>
          <w:t xml:space="preserve">[27]</w:t>
        </w:r>
      </w:hyperlink>
      <w:r>
        <w:t xml:space="preserve"> </w:t>
      </w:r>
      <w:r>
        <w:t xml:space="preserve">and on relative-navigation techniques for small spacecraft</w:t>
      </w:r>
      <w:r>
        <w:t xml:space="preserve"> </w:t>
      </w:r>
      <w:hyperlink w:anchor="ref-29">
        <w:r>
          <w:rPr>
            <w:rStyle w:val="Hyperlink"/>
          </w:rPr>
          <w:t xml:space="preserve">[29]</w:t>
        </w:r>
      </w:hyperlink>
      <w:r>
        <w:t xml:space="preserve"> </w:t>
      </w:r>
      <w:r>
        <w:t xml:space="preserve">documents an active line of architectural alternatives that complement, rather than replace, the GPS broadcast. The civil space situational awareness literature</w:t>
      </w:r>
      <w:r>
        <w:t xml:space="preserve"> </w:t>
      </w:r>
      <w:hyperlink w:anchor="ref-20">
        <w:r>
          <w:rPr>
            <w:rStyle w:val="Hyperlink"/>
          </w:rPr>
          <w:t xml:space="preserve">[20]</w:t>
        </w:r>
      </w:hyperlink>
      <w:r>
        <w:t xml:space="preserve">, the modelling literature on space-sustainability policy</w:t>
      </w:r>
      <w:r>
        <w:t xml:space="preserve"> </w:t>
      </w:r>
      <w:hyperlink w:anchor="ref-21">
        <w:r>
          <w:rPr>
            <w:rStyle w:val="Hyperlink"/>
          </w:rPr>
          <w:t xml:space="preserve">[21]</w:t>
        </w:r>
      </w:hyperlink>
      <w:r>
        <w:t xml:space="preserve">, and the uncertainty-quantified propagation literature</w:t>
      </w:r>
      <w:r>
        <w:t xml:space="preserve"> </w:t>
      </w:r>
      <w:hyperlink w:anchor="ref-22">
        <w:r>
          <w:rPr>
            <w:rStyle w:val="Hyperlink"/>
          </w:rPr>
          <w:t xml:space="preserve">[22]</w:t>
        </w:r>
      </w:hyperlink>
      <w:r>
        <w:t xml:space="preserve"> </w:t>
      </w:r>
      <w:r>
        <w:t xml:space="preserve">together motivate a research programme on the architectural-options space for civil PNT resilience that the present analyses do not enter. A future dissertation in that space could evaluate the marginal exposure-reduction return on alternative architectural investments against the joint risk pricing motivated above.</w:t>
      </w:r>
    </w:p>
    <w:p>
      <w:pPr>
        <w:pStyle w:val="BodyText"/>
        <w:spacing w:line="480" w:lineRule="auto"/>
        <w:ind w:firstLine="720"/>
      </w:pPr>
      <w:r>
        <w:t xml:space="preserve">The sixth line of future work concerns the international dimension of civil PNT exposure. The integrated-deterrence framing locates the strategic salience of PNT exposure in part in the international stakeholder context</w:t>
      </w:r>
      <w:r>
        <w:t xml:space="preserve"> </w:t>
      </w:r>
      <w:hyperlink w:anchor="ref-3">
        <w:r>
          <w:rPr>
            <w:rStyle w:val="Hyperlink"/>
          </w:rPr>
          <w:t xml:space="preserve">[3]</w:t>
        </w:r>
      </w:hyperlink>
      <w:r>
        <w:t xml:space="preserve">, and the stakeholder-coordination literature has argued that constructive engagement on shared space-information architectures is a necessary condition of any civil resilience posture</w:t>
      </w:r>
      <w:r>
        <w:t xml:space="preserve"> </w:t>
      </w:r>
      <w:hyperlink w:anchor="ref-16">
        <w:r>
          <w:rPr>
            <w:rStyle w:val="Hyperlink"/>
          </w:rPr>
          <w:t xml:space="preserve">[16]</w:t>
        </w:r>
      </w:hyperlink>
      <w:r>
        <w:t xml:space="preserve">[17][18][19]. The European autonomous-flight-safety work</w:t>
      </w:r>
      <w:r>
        <w:t xml:space="preserve"> </w:t>
      </w:r>
      <w:hyperlink w:anchor="ref-9">
        <w:r>
          <w:rPr>
            <w:rStyle w:val="Hyperlink"/>
          </w:rPr>
          <w:t xml:space="preserve">[9]</w:t>
        </w:r>
      </w:hyperlink>
      <w:r>
        <w:t xml:space="preserve"> </w:t>
      </w:r>
      <w:r>
        <w:t xml:space="preserve">and the European launch-traffic forecasting work</w:t>
      </w:r>
      <w:r>
        <w:t xml:space="preserve"> </w:t>
      </w:r>
      <w:hyperlink w:anchor="ref-25">
        <w:r>
          <w:rPr>
            <w:rStyle w:val="Hyperlink"/>
          </w:rPr>
          <w:t xml:space="preserve">[25]</w:t>
        </w:r>
      </w:hyperlink>
      <w:r>
        <w:t xml:space="preserve"> </w:t>
      </w:r>
      <w:r>
        <w:t xml:space="preserve">in the Acta Astronautica corpus identify analogous concerns in adjacent jurisdictions. A comparative analysis of civil PNT exposure across jurisdictions would extend the single-point-of-trust framing beyond the United States case examined here.</w:t>
      </w:r>
    </w:p>
    <w:bookmarkEnd w:id="137"/>
    <w:bookmarkStart w:id="138" w:name="concluding-posture"/>
    <w:p>
      <w:pPr>
        <w:pStyle w:val="Heading2"/>
        <w:spacing w:line="480" w:lineRule="auto"/>
      </w:pPr>
      <w:r>
        <w:t xml:space="preserve">7.7 Concluding Posture</w:t>
      </w:r>
    </w:p>
    <w:p>
      <w:pPr>
        <w:pStyle w:val="FirstParagraph"/>
        <w:spacing w:line="480" w:lineRule="auto"/>
      </w:pPr>
      <w:r>
        <w:t xml:space="preserve">The findings in this dissertation, read jointly, recommend a governance posture that is more demanding than the qualitative literature has previously made explicit. The space-economy corpus has long argued that civil reliance on PNT is a structural dependency</w:t>
      </w:r>
      <w:r>
        <w:t xml:space="preserve"> </w:t>
      </w:r>
      <w:hyperlink w:anchor="ref-1">
        <w:r>
          <w:rPr>
            <w:rStyle w:val="Hyperlink"/>
          </w:rPr>
          <w:t xml:space="preserve">[1]</w:t>
        </w:r>
      </w:hyperlink>
      <w:r>
        <w:t xml:space="preserve">[2][4] and that the strategic salience of that dependency is high</w:t>
      </w:r>
      <w:r>
        <w:t xml:space="preserve"> </w:t>
      </w:r>
      <w:hyperlink w:anchor="ref-3">
        <w:r>
          <w:rPr>
            <w:rStyle w:val="Hyperlink"/>
          </w:rPr>
          <w:t xml:space="preserve">[3]</w:t>
        </w:r>
      </w:hyperlink>
      <w:r>
        <w:t xml:space="preserve">. The empirical contribution here is to give that dependency a quantitative signature on both sides of the system. The supply side runs on warranty overrun. The demand side is bottlenecked at detection. Civil exposure to the Global Positioning System is therefore not a static structural fact about the American economy. It is a dynamic quantity whose magnitude moves with the joint evolution of constellation replenishment and civil-side detection capacity. NASA program management, JPL decision-making, and civil-infrastructure governance each occupy distinct positions inside that joint evolution, and each carries a portion of the exposure that the joint pricing implies. The governance posture this dissertation supports is one in which warranty overrun is treated as a planning floor rather than as a planning expectation, in which replenishment-schedule slip is treated as a civil-exposure variable, in which detection at the civil-infrastructure layer is the binding margin for restoration timescale, and in which the assurance case for alternative architectures is recognized as a civil-exposure question rather than a niche flight-safety question. The single-point-of-trust framing of national PNT carries its weight precisely because it makes those governance choices visible.</w:t>
      </w:r>
    </w:p>
    <w:bookmarkEnd w:id="138"/>
    <w:bookmarkEnd w:id="139"/>
    <w:bookmarkStart w:id="191" w:name="chapter-8.-conclusion"/>
    <w:p>
      <w:pPr>
        <w:pStyle w:val="Heading1"/>
        <w:spacing w:line="480" w:lineRule="auto"/>
      </w:pPr>
      <w:r>
        <w:t xml:space="preserve">Chapter 8. Conclusion</w:t>
      </w:r>
    </w:p>
    <w:bookmarkStart w:id="140" w:name="the-argument-restated"/>
    <w:p>
      <w:pPr>
        <w:pStyle w:val="Heading2"/>
        <w:spacing w:line="480" w:lineRule="auto"/>
      </w:pPr>
      <w:r>
        <w:t xml:space="preserve">8.1 The Argument Restated</w:t>
      </w:r>
    </w:p>
    <w:p>
      <w:pPr>
        <w:pStyle w:val="FirstParagraph"/>
        <w:spacing w:line="480" w:lineRule="auto"/>
      </w:pPr>
      <w:r>
        <w:t xml:space="preserve">This dissertation has treated the Global Positioning System as a single point of trust for the civil and economic activity of the United States, and it has asked what the magnitude and duration of the resulting exposure look like when they are estimated rather than asserted. The prospectus opened with the observation that financial settlement, electrical grid synchronization, telecommunications, surface freight, and aviation each draw on the GPS broadcast as a national utility, and that the space-economy literature has long recognized this pattern as a structural dependency on a small set of space-derived services</w:t>
      </w:r>
      <w:r>
        <w:t xml:space="preserve"> </w:t>
      </w:r>
      <w:hyperlink w:anchor="ref-1">
        <w:r>
          <w:rPr>
            <w:rStyle w:val="Hyperlink"/>
          </w:rPr>
          <w:t xml:space="preserve">[1]</w:t>
        </w:r>
      </w:hyperlink>
      <w:r>
        <w:t xml:space="preserve">[2][4]. The integrated-deterrence literature has read the same pattern as a strategic exposure</w:t>
      </w:r>
      <w:r>
        <w:t xml:space="preserve"> </w:t>
      </w:r>
      <w:hyperlink w:anchor="ref-3">
        <w:r>
          <w:rPr>
            <w:rStyle w:val="Hyperlink"/>
          </w:rPr>
          <w:t xml:space="preserve">[3]</w:t>
        </w:r>
      </w:hyperlink>
      <w:r>
        <w:t xml:space="preserve">. What neither literature has supplied is an identified, replicable, sector-decomposed quantification of the conditional civil loss given a degradation event, and neither has anchored that quantification in the operational realities of the constellation that supplies the signal. The contribution of the work assembled here is to begin to close that gap from two complementary directions: from inside the constellation, by quantifying the lifetime-overrun pattern that has carried the broadcast across a multi-decade replenishment slip, and from outside the constellation, by quantifying the restoration dynamics of documented civil interference events that mark the lower edge of the exposure distribution.</w:t>
      </w:r>
    </w:p>
    <w:p>
      <w:pPr>
        <w:pStyle w:val="BodyText"/>
        <w:spacing w:line="480" w:lineRule="auto"/>
        <w:ind w:firstLine="720"/>
      </w:pPr>
      <w:r>
        <w:t xml:space="preserve">The synthesis of the two empirical chapters with the prospectus framing is the principal argument of the dissertation. The single-point-of-trust framing is not a rhetorical claim about dependency; it is a measurable property of the joint system that consists of the orbital segment, the institutional restoration response, and the sectoral activity that has embedded the GPS timing signal into its operating procedure. The dissertation has argued that each of these three components carries a quantifiable and policy-relevant signal, and that none of the three can be priced in isolation from the others.</w:t>
      </w:r>
    </w:p>
    <w:bookmarkEnd w:id="140"/>
    <w:bookmarkStart w:id="141" w:name="synthesis-of-the-empirical-findings"/>
    <w:p>
      <w:pPr>
        <w:pStyle w:val="Heading2"/>
        <w:spacing w:line="480" w:lineRule="auto"/>
      </w:pPr>
      <w:r>
        <w:t xml:space="preserve">8.2 Synthesis of the Empirical Findings</w:t>
      </w:r>
    </w:p>
    <w:p>
      <w:pPr>
        <w:pStyle w:val="FirstParagraph"/>
        <w:spacing w:line="480" w:lineRule="auto"/>
      </w:pPr>
      <w:r>
        <w:t xml:space="preserve">The first empirical chapter took the constellation as its object. Using a vehicle-level cross-section of forty-nine GPS satellites spanning Block IIA through Block III, and drawing design-life specifications from the Government Accountability Office reports on the GPS acquisition program</w:t>
      </w:r>
      <w:r>
        <w:t xml:space="preserve"> </w:t>
      </w:r>
      <w:hyperlink w:anchor="ref-6">
        <w:r>
          <w:rPr>
            <w:rStyle w:val="Hyperlink"/>
          </w:rPr>
          <w:t xml:space="preserve">[6]</w:t>
        </w:r>
      </w:hyperlink>
      <w:r>
        <w:t xml:space="preserve">[7], the analysis estimated an ordinary least squares model of realized operational life on contractor design life, launch year, and block cohort indicators. The model returned an R-squared of 0.876 and a tightly identified pattern of block coefficients. After conditioning on the warranty and the launch year, Block IIR vehicles exceeded the Block IIA reference cohort by 9.66 years and Block IIR-M vehicles by 10.81 years, with t statistics above 4.8 and standard errors below two years in both cases. The interpretation, in the language of the prospectus, is that the continuity of the broadcast through the transition from the legacy block into the modernized blocks rested on operating the older vehicles roughly a decade past their contractor warranty. The Block IIF and Block III coefficients carry the censoring expected of cohorts still on orbit at the 2026 cutoff and are not load-bearing for the inference</w:t>
      </w:r>
      <w:r>
        <w:t xml:space="preserve"> </w:t>
      </w:r>
      <w:hyperlink w:anchor="ref-5">
        <w:r>
          <w:rPr>
            <w:rStyle w:val="Hyperlink"/>
          </w:rPr>
          <w:t xml:space="preserve">[5]</w:t>
        </w:r>
      </w:hyperlink>
      <w:r>
        <w:t xml:space="preserve">[6].</w:t>
      </w:r>
    </w:p>
    <w:p>
      <w:pPr>
        <w:pStyle w:val="BodyText"/>
        <w:spacing w:line="480" w:lineRule="auto"/>
        <w:ind w:firstLine="720"/>
      </w:pPr>
      <w:r>
        <w:t xml:space="preserve">The second empirical chapter took the civil interference event as its object. Using a hand-compiled set of twenty-eight documented events drawn principally from the U.S. Coast Guard Navigation Center GPS Problem Reports archive and the Federal Aviation Administration GPS interference reporting threaded through Notices to Air Missions</w:t>
      </w:r>
      <w:r>
        <w:t xml:space="preserve"> </w:t>
      </w:r>
      <w:hyperlink w:anchor="ref-11">
        <w:r>
          <w:rPr>
            <w:rStyle w:val="Hyperlink"/>
          </w:rPr>
          <w:t xml:space="preserve">[11]</w:t>
        </w:r>
      </w:hyperlink>
      <w:r>
        <w:t xml:space="preserve">[12], with contextual support from the C4ADS analysis of regional GNSS spoofing clusters</w:t>
      </w:r>
      <w:r>
        <w:t xml:space="preserve"> </w:t>
      </w:r>
      <w:hyperlink w:anchor="ref-14">
        <w:r>
          <w:rPr>
            <w:rStyle w:val="Hyperlink"/>
          </w:rPr>
          <w:t xml:space="preserve">[14]</w:t>
        </w:r>
      </w:hyperlink>
      <w:r>
        <w:t xml:space="preserve">, a Cox proportional-hazards regression estimated the dependence of the restoration hazard on event severity, geographic footprint, civil aviation impact, and reporting lag. Two coefficients carried statistically distinguishable signal. Footprint entered with a log-hazard coefficient of negative 2.8728 and a p value of 0.0162, indicating that larger affected regions remain degraded longer. Reporting lag entered with a coefficient of positive 2.5034 and a p value of 0.0059, indicating that the time spent invisible to the reporting system is the binding constraint on duration, while once an event enters the public reporting stream, clearance is comparatively rapid. The civil aviation flag and the severity index did not move the hazard once footprint was in the model.</w:t>
      </w:r>
    </w:p>
    <w:p>
      <w:pPr>
        <w:pStyle w:val="BodyText"/>
        <w:spacing w:line="480" w:lineRule="auto"/>
        <w:ind w:firstLine="720"/>
      </w:pPr>
      <w:r>
        <w:t xml:space="preserve">Read jointly, the two chapters describe a system whose continuity is sustained on the supply side by lifetime overrun and whose civil-side exposure to disruption is governed by detection rather than by notification. The constellation analysis shows that the broadcast has been maintained by operating physical assets past their engineered warranty, a pattern that cannot be priced from the warranty alone. The interference analysis shows that the civil response time to a documented degradation is bounded below by the latency of source identification and source mitigation, a pattern that cannot be improved by additional notification capacity. The two findings are not redundant. They identify different load-bearing components of the same exposure and they imply different classes of resilience investment. The supply-side finding argues for replenishment discipline and for an honest accounting of the actuarial risk carried by overrun vehicles. The civil-side finding argues for instrumentation and detection investment in the terrestrial layer that monitors the signal in use.</w:t>
      </w:r>
    </w:p>
    <w:bookmarkEnd w:id="141"/>
    <w:bookmarkStart w:id="142" w:name="Xf9393b6e26837d9fedd9bff1f740d3e3e23fca0"/>
    <w:p>
      <w:pPr>
        <w:pStyle w:val="Heading2"/>
        <w:spacing w:line="480" w:lineRule="auto"/>
      </w:pPr>
      <w:r>
        <w:t xml:space="preserve">8.3 Reading the Findings Against the Literature</w:t>
      </w:r>
    </w:p>
    <w:p>
      <w:pPr>
        <w:pStyle w:val="FirstParagraph"/>
        <w:spacing w:line="480" w:lineRule="auto"/>
      </w:pPr>
      <w:r>
        <w:t xml:space="preserve">The literature reviewed in the prospectus framed PNT dependency as a structural property of the modern space economy</w:t>
      </w:r>
      <w:r>
        <w:t xml:space="preserve"> </w:t>
      </w:r>
      <w:hyperlink w:anchor="ref-1">
        <w:r>
          <w:rPr>
            <w:rStyle w:val="Hyperlink"/>
          </w:rPr>
          <w:t xml:space="preserve">[1]</w:t>
        </w:r>
      </w:hyperlink>
      <w:r>
        <w:t xml:space="preserve">[8] and as a transformative pressure on infrastructure norms whose perturbations propagate to terrestrial services</w:t>
      </w:r>
      <w:r>
        <w:t xml:space="preserve"> </w:t>
      </w:r>
      <w:hyperlink w:anchor="ref-2">
        <w:r>
          <w:rPr>
            <w:rStyle w:val="Hyperlink"/>
          </w:rPr>
          <w:t xml:space="preserve">[2]</w:t>
        </w:r>
      </w:hyperlink>
      <w:r>
        <w:t xml:space="preserve">[4]. The integrated-deterrence framing extended the same dependency into the strategic register</w:t>
      </w:r>
      <w:r>
        <w:t xml:space="preserve"> </w:t>
      </w:r>
      <w:hyperlink w:anchor="ref-3">
        <w:r>
          <w:rPr>
            <w:rStyle w:val="Hyperlink"/>
          </w:rPr>
          <w:t xml:space="preserve">[3]</w:t>
        </w:r>
      </w:hyperlink>
      <w:r>
        <w:t xml:space="preserve">. The empirical chapters of this dissertation are consistent with the qualitative orientation of that literature, and they sharpen it in three respects.</w:t>
      </w:r>
    </w:p>
    <w:p>
      <w:pPr>
        <w:pStyle w:val="BodyText"/>
        <w:spacing w:line="480" w:lineRule="auto"/>
        <w:ind w:firstLine="720"/>
      </w:pPr>
      <w:r>
        <w:t xml:space="preserve">First, the lifetime-overrun result is a direct empirical answer to the question the space-economy literature has posed only at the level of dependency: the cost of continuity is not paid by replenishment on schedule, it is paid by operating physical assets past the warranty for which the program was originally budgeted. The OECD and OCEA framing of the space economy treats PNT as a settled service supplied to the terrestrial layer</w:t>
      </w:r>
      <w:r>
        <w:t xml:space="preserve"> </w:t>
      </w:r>
      <w:hyperlink w:anchor="ref-1">
        <w:r>
          <w:rPr>
            <w:rStyle w:val="Hyperlink"/>
          </w:rPr>
          <w:t xml:space="preserve">[1]</w:t>
        </w:r>
      </w:hyperlink>
      <w:r>
        <w:t xml:space="preserve">[8]. The vehicle-level evidence in chapter six indicates that the settled appearance of the service is the product of an unbudgeted operational subsidy from the older blocks of the constellation.</w:t>
      </w:r>
    </w:p>
    <w:p>
      <w:pPr>
        <w:pStyle w:val="BodyText"/>
        <w:spacing w:line="480" w:lineRule="auto"/>
        <w:ind w:firstLine="720"/>
      </w:pPr>
      <w:r>
        <w:t xml:space="preserve">Second, the restoration-hazard result reframes the civil-side dependency. The architecture and norms literature reads PNT dependency as a question of degraded service propagation</w:t>
      </w:r>
      <w:r>
        <w:t xml:space="preserve"> </w:t>
      </w:r>
      <w:hyperlink w:anchor="ref-2">
        <w:r>
          <w:rPr>
            <w:rStyle w:val="Hyperlink"/>
          </w:rPr>
          <w:t xml:space="preserve">[2]</w:t>
        </w:r>
      </w:hyperlink>
      <w:r>
        <w:t xml:space="preserve">[4]. The Cox results indicate that the binding constraint on degraded service duration in the documented event class is detection latency, not response latency, and that footprint scales the duration in the opposite direction from a response-bound model. This is a measurable refinement of the qualitative claim. It also resonates with the Acta Astronautica work on autonomous flight safety systems robust to GNSS jamming</w:t>
      </w:r>
      <w:r>
        <w:t xml:space="preserve"> </w:t>
      </w:r>
      <w:hyperlink w:anchor="ref-9">
        <w:r>
          <w:rPr>
            <w:rStyle w:val="Hyperlink"/>
          </w:rPr>
          <w:t xml:space="preserve">[9]</w:t>
        </w:r>
      </w:hyperlink>
      <w:r>
        <w:t xml:space="preserve"> </w:t>
      </w:r>
      <w:r>
        <w:t xml:space="preserve">and on visual-based PNT alternatives intended to reduce single-point dependence</w:t>
      </w:r>
      <w:r>
        <w:t xml:space="preserve"> </w:t>
      </w:r>
      <w:hyperlink w:anchor="ref-10">
        <w:r>
          <w:rPr>
            <w:rStyle w:val="Hyperlink"/>
          </w:rPr>
          <w:t xml:space="preserve">[10]</w:t>
        </w:r>
      </w:hyperlink>
      <w:r>
        <w:t xml:space="preserve">, in the sense that both lines of work identify the detection and verification stage as the operational lever.</w:t>
      </w:r>
    </w:p>
    <w:p>
      <w:pPr>
        <w:pStyle w:val="BodyText"/>
        <w:spacing w:line="480" w:lineRule="auto"/>
        <w:ind w:firstLine="720"/>
      </w:pPr>
      <w:r>
        <w:t xml:space="preserve">Third, the joint reading of the two chapters supplies a partial answer to the integrated-deterrence framing of civil PNT exposure</w:t>
      </w:r>
      <w:r>
        <w:t xml:space="preserve"> </w:t>
      </w:r>
      <w:hyperlink w:anchor="ref-3">
        <w:r>
          <w:rPr>
            <w:rStyle w:val="Hyperlink"/>
          </w:rPr>
          <w:t xml:space="preserve">[3]</w:t>
        </w:r>
      </w:hyperlink>
      <w:r>
        <w:t xml:space="preserve">. The strategic literature has emphasized that civil dependency translates into national exposure. The dissertation contributes to that framing the observation that the exposure has two distinct timing components, one set by the cadence of vehicle replenishment and one set by the latency of terrestrial detection, and that each component can be moved by a different class of policy intervention.</w:t>
      </w:r>
    </w:p>
    <w:bookmarkEnd w:id="142"/>
    <w:bookmarkStart w:id="143" w:name="the-contribution-to-knowledge"/>
    <w:p>
      <w:pPr>
        <w:pStyle w:val="Heading2"/>
        <w:spacing w:line="480" w:lineRule="auto"/>
      </w:pPr>
      <w:r>
        <w:t xml:space="preserve">8.4 The Contribution to Knowledge</w:t>
      </w:r>
    </w:p>
    <w:p>
      <w:pPr>
        <w:pStyle w:val="FirstParagraph"/>
        <w:spacing w:line="480" w:lineRule="auto"/>
      </w:pPr>
      <w:r>
        <w:t xml:space="preserve">The contribution to knowledge advanced by the dissertation can be stated in four claims, each grounded in the empirical material assembled.</w:t>
      </w:r>
    </w:p>
    <w:p>
      <w:pPr>
        <w:pStyle w:val="BodyText"/>
        <w:spacing w:line="480" w:lineRule="auto"/>
        <w:ind w:firstLine="720"/>
      </w:pPr>
      <w:r>
        <w:t xml:space="preserve">The first claim is methodological. The dissertation demonstrates that the magnitude and duration of the civil PNT exposure can be estimated from publicly available records, using standard cross-sectional and survival-analytic methods, and that the resulting estimates carry signal at conventional thresholds despite the modest sample sizes available in the public record. The forty-nine vehicle cross-section and the twenty-eight event survival panel are small in absolute terms, but they are sufficient to reject the null of no cohort overrun in the constellation and the null of no detection-bound restoration process in the civil response. The methodological contribution is therefore that the question is tractable with discipline, not that it requires proprietary data that the field does not possess.</w:t>
      </w:r>
    </w:p>
    <w:p>
      <w:pPr>
        <w:pStyle w:val="BodyText"/>
        <w:spacing w:line="480" w:lineRule="auto"/>
        <w:ind w:firstLine="720"/>
      </w:pPr>
      <w:r>
        <w:t xml:space="preserve">The second claim is substantive. The dissertation contributes the specific numerical findings that the older block cohorts have outlived the Block IIA reference by roughly ten years on a warranty-conditional basis</w:t>
      </w:r>
      <w:r>
        <w:t xml:space="preserve"> </w:t>
      </w:r>
      <w:hyperlink w:anchor="ref-6">
        <w:r>
          <w:rPr>
            <w:rStyle w:val="Hyperlink"/>
          </w:rPr>
          <w:t xml:space="preserve">[6]</w:t>
        </w:r>
      </w:hyperlink>
      <w:r>
        <w:t xml:space="preserve">[7], and that the documented civil interference event class is governed by a detection-bound rather than a response-bound restoration process. These are not headline numbers; they are anchors against which subsequent estimates of magnitude and duration can be calibrated. They define the lower edge of the exposure distribution and they characterize the operational subsidy that sustains the upper edge.</w:t>
      </w:r>
    </w:p>
    <w:p>
      <w:pPr>
        <w:pStyle w:val="BodyText"/>
        <w:spacing w:line="480" w:lineRule="auto"/>
        <w:ind w:firstLine="720"/>
      </w:pPr>
      <w:r>
        <w:t xml:space="preserve">The third claim is conceptual. The dissertation argues for treating the constellation and the civil response as a joint system whose exposure is jointly determined. The single-point-of-trust framing is not a rhetorical device for emphasizing dependency. It is a structural claim about the joint distribution of supply-side overrun and demand-side detection latency, and it implies that resilience policy must address both components or it will misprice the system. The contribution at the conceptual level is to define the system whose exposure is to be measured, and to demonstrate that the definition is empirically tractable.</w:t>
      </w:r>
    </w:p>
    <w:p>
      <w:pPr>
        <w:pStyle w:val="BodyText"/>
        <w:spacing w:line="480" w:lineRule="auto"/>
        <w:ind w:firstLine="720"/>
      </w:pPr>
      <w:r>
        <w:t xml:space="preserve">The fourth claim is policy-relevant. The dissertation contributes a defensible basis for the comparison between the cost of dependency and the cost of resilience that is made implicitly every time a replenishment delay is accepted or an alternative PNT investment is deferred. The Acta Astronautica literature has begun to enumerate technical alternatives to a single-source GNSS, including visual-based PNT architectures</w:t>
      </w:r>
      <w:r>
        <w:t xml:space="preserve"> </w:t>
      </w:r>
      <w:hyperlink w:anchor="ref-10">
        <w:r>
          <w:rPr>
            <w:rStyle w:val="Hyperlink"/>
          </w:rPr>
          <w:t xml:space="preserve">[10]</w:t>
        </w:r>
      </w:hyperlink>
      <w:r>
        <w:t xml:space="preserve"> </w:t>
      </w:r>
      <w:r>
        <w:t xml:space="preserve">and autonomous flight-safety systems robust to GNSS denial</w:t>
      </w:r>
      <w:r>
        <w:t xml:space="preserve"> </w:t>
      </w:r>
      <w:hyperlink w:anchor="ref-9">
        <w:r>
          <w:rPr>
            <w:rStyle w:val="Hyperlink"/>
          </w:rPr>
          <w:t xml:space="preserve">[9]</w:t>
        </w:r>
      </w:hyperlink>
      <w:r>
        <w:t xml:space="preserve">. The empirical material in this dissertation supplies the exposure-side complement to that supply-side enumeration. Neither side of the comparison can be priced without the other.</w:t>
      </w:r>
    </w:p>
    <w:bookmarkEnd w:id="143"/>
    <w:bookmarkStart w:id="144" w:name="boundaries-of-the-contribution"/>
    <w:p>
      <w:pPr>
        <w:pStyle w:val="Heading2"/>
        <w:spacing w:line="480" w:lineRule="auto"/>
      </w:pPr>
      <w:r>
        <w:t xml:space="preserve">8.5 Boundaries of the Contribution</w:t>
      </w:r>
    </w:p>
    <w:p>
      <w:pPr>
        <w:pStyle w:val="FirstParagraph"/>
        <w:spacing w:line="480" w:lineRule="auto"/>
      </w:pPr>
      <w:r>
        <w:t xml:space="preserve">The contribution is bounded in three respects that the dissertation has been explicit about throughout. The constellation cross-section is small and the older block dummies are nearly collinear with the warranty term, so the design-life and launch-year coefficients are joint cohort absorbers rather than causal levers. The interference event panel is small, severity is coarsely coded, and the public reporting record carries selection biases inherited from the FAA and USCG archives</w:t>
      </w:r>
      <w:r>
        <w:t xml:space="preserve"> </w:t>
      </w:r>
      <w:hyperlink w:anchor="ref-11">
        <w:r>
          <w:rPr>
            <w:rStyle w:val="Hyperlink"/>
          </w:rPr>
          <w:t xml:space="preserve">[11]</w:t>
        </w:r>
      </w:hyperlink>
      <w:r>
        <w:t xml:space="preserve">[12]. The conditional findings in both chapters are estimated on short, bounded events and do not support linear extrapolation to a sustained national outage. Where the dissertation has reported magnitudes, it has reported them as conditional on the documented event class or the observed cohort, and where it has reasoned forward from those magnitudes, it has done so as bounded inference rather than as projection.</w:t>
      </w:r>
    </w:p>
    <w:p>
      <w:pPr>
        <w:pStyle w:val="BodyText"/>
        <w:spacing w:line="480" w:lineRule="auto"/>
        <w:ind w:firstLine="720"/>
      </w:pPr>
      <w:r>
        <w:t xml:space="preserve">These boundaries are not weaknesses in the argument; they are the scope conditions of the contribution. The dissertation has argued that the question of civil PNT exposure is tractable, that the lower edge of the distribution can be estimated, and that the operational subsidy on the supply side can be quantified. It has not argued that the full national exposure to a sustained outage has been measured. The remaining estimation is the work of the prospectus difference-in-differences program and of subsequent re-estimations as the censored Block III and Block IIF cohorts mature and as the public interference record accumulates.</w:t>
      </w:r>
    </w:p>
    <w:bookmarkEnd w:id="144"/>
    <w:bookmarkStart w:id="145" w:name="Xe80717928c48c5c0d1f7376c0dc26b552ff985c"/>
    <w:p>
      <w:pPr>
        <w:pStyle w:val="Heading2"/>
        <w:spacing w:line="480" w:lineRule="auto"/>
      </w:pPr>
      <w:r>
        <w:t xml:space="preserve">8.6 Implications for Policy and for Subsequent Research</w:t>
      </w:r>
    </w:p>
    <w:p>
      <w:pPr>
        <w:pStyle w:val="FirstParagraph"/>
        <w:spacing w:line="480" w:lineRule="auto"/>
      </w:pPr>
      <w:r>
        <w:t xml:space="preserve">The policy implications follow from the joint reading of the empirical chapters. Continuity of the broadcast cannot be assumed from the schedule of the modernization program; it must be priced against the cohort overrun documented in the constellation analysis. Civil-side resilience cannot be improved by additional public notification capacity at the margin; it must be improved by investment in the detection and source-identification layer that the restoration-hazard analysis identifies as the binding constraint. Investment in alternative PNT architectures, including the visual-based and autonomy-robust systems documented in the Acta Astronautica literature</w:t>
      </w:r>
      <w:r>
        <w:t xml:space="preserve"> </w:t>
      </w:r>
      <w:hyperlink w:anchor="ref-9">
        <w:r>
          <w:rPr>
            <w:rStyle w:val="Hyperlink"/>
          </w:rPr>
          <w:t xml:space="preserve">[9]</w:t>
        </w:r>
      </w:hyperlink>
      <w:r>
        <w:t xml:space="preserve">[10], should be evaluated against the exposure profile estimated here rather than against a qualitative narrative of dependency.</w:t>
      </w:r>
    </w:p>
    <w:p>
      <w:pPr>
        <w:pStyle w:val="BodyText"/>
        <w:spacing w:line="480" w:lineRule="auto"/>
        <w:ind w:firstLine="720"/>
      </w:pPr>
      <w:r>
        <w:t xml:space="preserve">The implications for subsequent research are three. The first is the completion of the prospectus difference-in-differences program, which would supply the magnitude estimate that complements the duration estimate in chapter seven and would attempt the sector decomposition the prospectus identified as the central gap in the literature. The second is the re-estimation of the constellation cross-section at a five and ten year horizon, when the censored Block IIF and Block III cohorts will have realized the operational life that the OLS estimator could only bound at the 2026 cutoff. The third is the construction of an event panel that crosses the threshold from the short documented incidents that populate the current archive into the longer events that would test the linearity assumption embedded in any forward inference from the present data. None of these extensions is precluded by the methods used here; each is enabled by them.</w:t>
      </w:r>
    </w:p>
    <w:bookmarkEnd w:id="145"/>
    <w:bookmarkStart w:id="146" w:name="closing-statement"/>
    <w:p>
      <w:pPr>
        <w:pStyle w:val="Heading2"/>
        <w:spacing w:line="480" w:lineRule="auto"/>
      </w:pPr>
      <w:r>
        <w:t xml:space="preserve">8.7 Closing Statement</w:t>
      </w:r>
    </w:p>
    <w:p>
      <w:pPr>
        <w:pStyle w:val="FirstParagraph"/>
        <w:spacing w:line="480" w:lineRule="auto"/>
      </w:pPr>
      <w:r>
        <w:t xml:space="preserve">The dissertation has argued that the civil and economic exposure of the United States to GPS as the sole national positioning, navigation, and timing utility is a measurable quantity, and that it can be measured from the records the federal government already publishes. The constellation that supplies the signal is sustained by lifetime overrun in the older blocks. The civil response to documented degradation is bounded below by the latency of detection rather than by the latency of notification. The exposure that joins these two patterns is the structural property of the joint system that the single-point-of-trust framing was intended to name. The contribution of this work is to begin to price that property in numbers rather than in narrative, and to leave to subsequent estimation the larger magnitudes that the prospectus and the published literature</w:t>
      </w:r>
      <w:r>
        <w:t xml:space="preserve"> </w:t>
      </w:r>
      <w:hyperlink w:anchor="ref-1">
        <w:r>
          <w:rPr>
            <w:rStyle w:val="Hyperlink"/>
          </w:rPr>
          <w:t xml:space="preserve">[1]</w:t>
        </w:r>
      </w:hyperlink>
      <w:r>
        <w:t xml:space="preserve">[2][3][4] have framed as the policy stakes of the question. The civil PNT exposure of the United States is not unmeasured because it is unmeasurable. It is unmeasured because the work of measurement has only begun, and this dissertation has aimed to advance that work by a defensible step.</w:t>
      </w:r>
    </w:p>
    <w:bookmarkEnd w:id="146"/>
    <w:bookmarkStart w:id="190" w:name="references"/>
    <w:p>
      <w:pPr>
        <w:pStyle w:val="Heading2"/>
        <w:spacing w:line="480" w:lineRule="auto"/>
      </w:pPr>
      <w:r>
        <w:t xml:space="preserve">References</w:t>
      </w:r>
    </w:p>
    <w:p>
      <w:pPr>
        <w:pStyle w:val="FirstParagraph"/>
        <w:spacing w:line="480" w:lineRule="auto"/>
      </w:pPr>
      <w:bookmarkStart w:id="147" w:name="ref-1"/>
      <w:bookmarkEnd w:id="147"/>
      <w:r>
        <w:t xml:space="preserve">1. OCEA Forecasting the Space Economy. Space Economy Papers corpus, SD08.</w:t>
      </w:r>
    </w:p>
    <w:p>
      <w:pPr>
        <w:pStyle w:val="BodyText"/>
        <w:spacing w:line="480" w:lineRule="auto"/>
        <w:ind w:firstLine="720"/>
      </w:pPr>
      <w:bookmarkStart w:id="148" w:name="ref-2"/>
      <w:bookmarkEnd w:id="148"/>
      <w:r>
        <w:t xml:space="preserve">2. Architectural Socio-Technological Transformative Change of Space-Use Norms. Space Economy Papers corpus, SD03.</w:t>
      </w:r>
    </w:p>
    <w:p>
      <w:pPr>
        <w:pStyle w:val="BodyText"/>
        <w:spacing w:line="480" w:lineRule="auto"/>
        <w:ind w:firstLine="720"/>
      </w:pPr>
      <w:bookmarkStart w:id="149" w:name="ref-3"/>
      <w:bookmarkEnd w:id="149"/>
      <w:r>
        <w:t xml:space="preserve">3. SFA Space Economy and Integrated Deterrence. Space Economy Papers corpus, SD10.</w:t>
      </w:r>
    </w:p>
    <w:p>
      <w:pPr>
        <w:pStyle w:val="BodyText"/>
        <w:spacing w:line="480" w:lineRule="auto"/>
        <w:ind w:firstLine="720"/>
      </w:pPr>
      <w:bookmarkStart w:id="150" w:name="ref-4"/>
      <w:bookmarkEnd w:id="150"/>
      <w:r>
        <w:t xml:space="preserve">4. The Role of Space in Driving Sustainability, Security, and Development. Space Economy Papers corpus, SD13.</w:t>
      </w:r>
    </w:p>
    <w:p>
      <w:pPr>
        <w:pStyle w:val="BodyText"/>
        <w:spacing w:line="480" w:lineRule="auto"/>
        <w:ind w:firstLine="720"/>
      </w:pPr>
      <w:bookmarkStart w:id="151" w:name="ref-5"/>
      <w:bookmarkEnd w:id="151"/>
      <w:r>
        <w:t xml:space="preserve">5. U.S. Space Force / 2nd Space Operations Squadron. GPS Constellation Status. gps.gov</w:t>
      </w:r>
      <w:r>
        <w:t xml:space="preserve"> </w:t>
      </w:r>
      <w:r>
        <w:t xml:space="preserve">“Space Segment”</w:t>
      </w:r>
      <w:r>
        <w:t xml:space="preserve"> </w:t>
      </w:r>
      <w:r>
        <w:t xml:space="preserve">page, retrieved 2026-06.</w:t>
      </w:r>
    </w:p>
    <w:p>
      <w:pPr>
        <w:pStyle w:val="BodyText"/>
        <w:spacing w:line="480" w:lineRule="auto"/>
        <w:ind w:firstLine="720"/>
      </w:pPr>
      <w:bookmarkStart w:id="152" w:name="ref-6"/>
      <w:bookmarkEnd w:id="152"/>
      <w:r>
        <w:t xml:space="preserve">6. U.S. Government Accountability Office. GAO-25-107591, GPS III: Acquisition Status and Outlook. 2025.</w:t>
      </w:r>
    </w:p>
    <w:p>
      <w:pPr>
        <w:pStyle w:val="BodyText"/>
        <w:spacing w:line="480" w:lineRule="auto"/>
        <w:ind w:firstLine="720"/>
      </w:pPr>
      <w:bookmarkStart w:id="153" w:name="ref-7"/>
      <w:bookmarkEnd w:id="153"/>
      <w:r>
        <w:t xml:space="preserve">7. U.S. Government Accountability Office. GAO-19-250, Global Positioning System: Updated Schedule Assessment Could Help Decision Makers Address Likely Delays. 2019.</w:t>
      </w:r>
    </w:p>
    <w:p>
      <w:pPr>
        <w:pStyle w:val="BodyText"/>
        <w:spacing w:line="480" w:lineRule="auto"/>
        <w:ind w:firstLine="720"/>
      </w:pPr>
      <w:bookmarkStart w:id="154" w:name="ref-8"/>
      <w:bookmarkEnd w:id="154"/>
      <w:r>
        <w:t xml:space="preserve">8. OECD / OCEA. Forecasting the Space Economy. Space Economy Papers corpus, SD08.</w:t>
      </w:r>
    </w:p>
    <w:p>
      <w:pPr>
        <w:pStyle w:val="BodyText"/>
        <w:spacing w:line="480" w:lineRule="auto"/>
        <w:ind w:firstLine="720"/>
      </w:pPr>
      <w:bookmarkStart w:id="155" w:name="ref-9"/>
      <w:bookmarkEnd w:id="155"/>
      <w:r>
        <w:t xml:space="preserve">9. Saban-Fosch A., Diez-Lledo E., Soria M., Sureda M. Towards the first European autonomous flight safety system: software and hardware design. Acta Astronautica, Vol. 236, 2025. doi:</w:t>
      </w:r>
      <w:r>
        <w:t xml:space="preserve"> </w:t>
      </w:r>
      <w:hyperlink r:id="rId156">
        <w:r>
          <w:rPr>
            <w:rStyle w:val="Hyperlink"/>
          </w:rPr>
          <w:t xml:space="preserve">10.1016/j.actaastro.2025.07.004</w:t>
        </w:r>
      </w:hyperlink>
    </w:p>
    <w:p>
      <w:pPr>
        <w:pStyle w:val="BodyText"/>
        <w:spacing w:line="480" w:lineRule="auto"/>
        <w:ind w:firstLine="720"/>
      </w:pPr>
      <w:bookmarkStart w:id="157" w:name="ref-10"/>
      <w:bookmarkEnd w:id="157"/>
      <w:r>
        <w:t xml:space="preserve">10. Critchley-Marrows J., Wu X., Cairns I. H. An architecture for a visual-based PNT alternative. Acta Astronautica, Vol. 210, 2023. doi:</w:t>
      </w:r>
      <w:r>
        <w:t xml:space="preserve"> </w:t>
      </w:r>
      <w:hyperlink r:id="rId158">
        <w:r>
          <w:rPr>
            <w:rStyle w:val="Hyperlink"/>
          </w:rPr>
          <w:t xml:space="preserve">10.1016/j.actaastro.2023.05.022</w:t>
        </w:r>
      </w:hyperlink>
    </w:p>
    <w:p>
      <w:pPr>
        <w:pStyle w:val="BodyText"/>
        <w:spacing w:line="480" w:lineRule="auto"/>
        <w:ind w:firstLine="720"/>
      </w:pPr>
      <w:bookmarkStart w:id="159" w:name="ref-11"/>
      <w:bookmarkEnd w:id="159"/>
      <w:r>
        <w:t xml:space="preserve">11. U.S. Coast Guard Navigation Center. GPS Problem Reports archive.</w:t>
      </w:r>
    </w:p>
    <w:p>
      <w:pPr>
        <w:pStyle w:val="BodyText"/>
        <w:spacing w:line="480" w:lineRule="auto"/>
        <w:ind w:firstLine="720"/>
      </w:pPr>
      <w:bookmarkStart w:id="160" w:name="ref-12"/>
      <w:bookmarkEnd w:id="160"/>
      <w:r>
        <w:t xml:space="preserve">12. Federal Aviation Administration. GPS Interference Reports and Notices to Air Missions, 2017 through 2025.</w:t>
      </w:r>
    </w:p>
    <w:p>
      <w:pPr>
        <w:pStyle w:val="BodyText"/>
        <w:spacing w:line="480" w:lineRule="auto"/>
        <w:ind w:firstLine="720"/>
      </w:pPr>
      <w:bookmarkStart w:id="161" w:name="ref-13"/>
      <w:bookmarkEnd w:id="161"/>
      <w:r>
        <w:t xml:space="preserve">13. U.S. Government Accountability Office. NASA Major Project Assessment and oversight reports, GAO-23-106021 and GAO-25-107591 (contextual).</w:t>
      </w:r>
    </w:p>
    <w:p>
      <w:pPr>
        <w:pStyle w:val="BodyText"/>
        <w:spacing w:line="480" w:lineRule="auto"/>
        <w:ind w:firstLine="720"/>
      </w:pPr>
      <w:bookmarkStart w:id="162" w:name="ref-14"/>
      <w:bookmarkEnd w:id="162"/>
      <w:r>
        <w:t xml:space="preserve">14. C4ADS. Above Us Only Stars: Exposing GPS spoofing in Russia and Syria, 2019 (referenced for the EVT-2017-BlackSea cluster).</w:t>
      </w:r>
    </w:p>
    <w:p>
      <w:pPr>
        <w:pStyle w:val="BodyText"/>
        <w:spacing w:line="480" w:lineRule="auto"/>
        <w:ind w:firstLine="720"/>
      </w:pPr>
      <w:bookmarkStart w:id="163" w:name="ref-15"/>
      <w:bookmarkEnd w:id="163"/>
      <w:r>
        <w:t xml:space="preserve">15. Imene R. Goumiri, Lawrence Livermore National Laboratory; Alec M. Dunton, Lawrence Livermore National Laboratory; Amanda L. Muyskens, Lawrence Livermore National Laboratory; Benjamin W. Priest, Lawrence Livermore National Laboratory; Robert E. Armstrong, Lawrence Livermore National Laboratory. Light Curve Completion and Forecasting Using Fast and Scalable Gaussian Processes (MuyGPs) (2022).</w:t>
      </w:r>
    </w:p>
    <w:p>
      <w:pPr>
        <w:pStyle w:val="BodyText"/>
        <w:spacing w:line="480" w:lineRule="auto"/>
        <w:ind w:firstLine="720"/>
      </w:pPr>
      <w:bookmarkStart w:id="164" w:name="ref-16"/>
      <w:bookmarkEnd w:id="164"/>
      <w:r>
        <w:t xml:space="preserve">16. Nathaniel Dailey, The MITRE Corporation; Kevin Toner, The MITRE Corporation; Dennis Murphy, Georgia Institute of Technology, Sam Nunn School of International Affairs. Employing a Shared Space Information Sharing Ecosystem as a Mechanism for Promoting Constructive U.S. China Space Relations (2022).</w:t>
      </w:r>
    </w:p>
    <w:p>
      <w:pPr>
        <w:pStyle w:val="BodyText"/>
        <w:spacing w:line="480" w:lineRule="auto"/>
        <w:ind w:firstLine="720"/>
      </w:pPr>
      <w:bookmarkStart w:id="165" w:name="ref-17"/>
      <w:bookmarkEnd w:id="165"/>
      <w:r>
        <w:t xml:space="preserve">17. Harvey Reed, MITRE; Nick Tsamis, MITRE; Nathaniel Dailey, MITRE. Space Sustainability and Traffic Management Requires Trusted Space Stakeholder Coordination (2023). doi:</w:t>
      </w:r>
      <w:r>
        <w:t xml:space="preserve"> </w:t>
      </w:r>
      <w:hyperlink r:id="rId166">
        <w:r>
          <w:rPr>
            <w:rStyle w:val="Hyperlink"/>
          </w:rPr>
          <w:t xml:space="preserve">10.64861/MVHC2799</w:t>
        </w:r>
      </w:hyperlink>
    </w:p>
    <w:p>
      <w:pPr>
        <w:pStyle w:val="BodyText"/>
        <w:spacing w:line="480" w:lineRule="auto"/>
        <w:ind w:firstLine="720"/>
      </w:pPr>
      <w:bookmarkStart w:id="167" w:name="ref-18"/>
      <w:bookmarkEnd w:id="167"/>
      <w:r>
        <w:t xml:space="preserve">18. Harvey Reed, MITRE; Nathaniel Dailey, MITRE; Ruth Stilwell, Aerospace Policy Solutions, LLC; Brian Weeden, Secure World Foundation. Decentralized Space Information Sharing as a Key Enabler of Trust and the Preservation of Space (2021).</w:t>
      </w:r>
    </w:p>
    <w:p>
      <w:pPr>
        <w:pStyle w:val="BodyText"/>
        <w:spacing w:line="480" w:lineRule="auto"/>
        <w:ind w:firstLine="720"/>
      </w:pPr>
      <w:bookmarkStart w:id="168" w:name="ref-19"/>
      <w:bookmarkEnd w:id="168"/>
      <w:r>
        <w:t xml:space="preserve">19. Harvey Reed, MITRE; Nathaniel Dailey, The MITRE Corporation &amp; JHU School of Advanced International Studies; Bob Carden, MITRE; Dave Bryson, The MITRE Corporation. Blockchain Enabled Space Traffic Awareness (BESTA): Automated Comparison of SSA to Agreed Behavior for Discovery of Anomalous Behavior (2020).</w:t>
      </w:r>
    </w:p>
    <w:p>
      <w:pPr>
        <w:pStyle w:val="BodyText"/>
        <w:spacing w:line="480" w:lineRule="auto"/>
        <w:ind w:firstLine="720"/>
      </w:pPr>
      <w:bookmarkStart w:id="169" w:name="ref-20"/>
      <w:bookmarkEnd w:id="169"/>
      <w:r>
        <w:t xml:space="preserve">20. Bhavya Lal, IDA Science and Technology Policy Institute, Sara A. Carioscia, IDA Science and Technology Policy Institute. Evaluating Options for Civil Space Situational Awareness (SSA) (2017).</w:t>
      </w:r>
    </w:p>
    <w:p>
      <w:pPr>
        <w:pStyle w:val="BodyText"/>
        <w:spacing w:line="480" w:lineRule="auto"/>
        <w:ind w:firstLine="720"/>
      </w:pPr>
      <w:bookmarkStart w:id="170" w:name="ref-21"/>
      <w:bookmarkEnd w:id="170"/>
      <w:r>
        <w:t xml:space="preserve">21. Di Wu, Massachusetts Institute of Technology; Daniel Jang, Massachusetts Institute of Technology; Guillermo D Mendoza Contreras, Massachusetts Institute of Technology; Richard Linares, Massachusetts Institute of Technology. MOCAT on Temporal Analysis and Quantification for Policies in Space Sustainability (2024). doi:</w:t>
      </w:r>
      <w:r>
        <w:t xml:space="preserve"> </w:t>
      </w:r>
      <w:hyperlink r:id="rId171">
        <w:r>
          <w:rPr>
            <w:rStyle w:val="Hyperlink"/>
          </w:rPr>
          <w:t xml:space="preserve">10.64861/COAK4355</w:t>
        </w:r>
      </w:hyperlink>
    </w:p>
    <w:p>
      <w:pPr>
        <w:pStyle w:val="BodyText"/>
        <w:spacing w:line="480" w:lineRule="auto"/>
        <w:ind w:firstLine="720"/>
      </w:pPr>
      <w:bookmarkStart w:id="172" w:name="ref-22"/>
      <w:bookmarkEnd w:id="172"/>
      <w:r>
        <w:t xml:space="preserve">22. Kevin Vanslette, Raytheon BBN; Alexander Lay, Raytheon BBN; David Kusterer, Virginia Tech Institute for National Security; Kevin Schroeder, Virginia Tech Institute for National Security. Rapid and Uncertainty Quantified Orbital Propagation Using Uncertainty-Aware AI (2024). doi:</w:t>
      </w:r>
      <w:r>
        <w:t xml:space="preserve"> </w:t>
      </w:r>
      <w:hyperlink r:id="rId173">
        <w:r>
          <w:rPr>
            <w:rStyle w:val="Hyperlink"/>
          </w:rPr>
          <w:t xml:space="preserve">10.64861/AQRG7109</w:t>
        </w:r>
      </w:hyperlink>
    </w:p>
    <w:p>
      <w:pPr>
        <w:pStyle w:val="BodyText"/>
        <w:spacing w:line="480" w:lineRule="auto"/>
        <w:ind w:firstLine="720"/>
      </w:pPr>
      <w:bookmarkStart w:id="174" w:name="ref-23"/>
      <w:bookmarkEnd w:id="174"/>
      <w:r>
        <w:t xml:space="preserve">23. Byrenn Birch. Computed tomographic imaging spectroscopy for the measurement of re-entry break-up and demise (2025). doi:</w:t>
      </w:r>
      <w:r>
        <w:t xml:space="preserve"> </w:t>
      </w:r>
      <w:hyperlink r:id="rId175">
        <w:r>
          <w:rPr>
            <w:rStyle w:val="Hyperlink"/>
          </w:rPr>
          <w:t xml:space="preserve">10.1016/j.actaastro.2025.09.089</w:t>
        </w:r>
      </w:hyperlink>
    </w:p>
    <w:p>
      <w:pPr>
        <w:pStyle w:val="BodyText"/>
        <w:spacing w:line="480" w:lineRule="auto"/>
        <w:ind w:firstLine="720"/>
      </w:pPr>
      <w:bookmarkStart w:id="176" w:name="ref-24"/>
      <w:bookmarkEnd w:id="176"/>
      <w:r>
        <w:t xml:space="preserve">24. Geuk-Nam Kim; Sang‐Young Park; Sehyun Seong; Joohee Lee; Suyong Choi; Young-Eon Kim; Han-Gyeol Ryu; Sungmoon Lee; Jae-Young Choi; Sang‐Kook Han. The VISION – Concept of laser crosslink systems using nanosatellites in formation flying (2023). doi:</w:t>
      </w:r>
      <w:r>
        <w:t xml:space="preserve"> </w:t>
      </w:r>
      <w:hyperlink r:id="rId177">
        <w:r>
          <w:rPr>
            <w:rStyle w:val="Hyperlink"/>
          </w:rPr>
          <w:t xml:space="preserve">10.1016/j.actaastro.2023.07.014</w:t>
        </w:r>
      </w:hyperlink>
    </w:p>
    <w:p>
      <w:pPr>
        <w:pStyle w:val="BodyText"/>
        <w:spacing w:line="480" w:lineRule="auto"/>
        <w:ind w:firstLine="720"/>
      </w:pPr>
      <w:bookmarkStart w:id="178" w:name="ref-25"/>
      <w:bookmarkEnd w:id="178"/>
      <w:r>
        <w:t xml:space="preserve">25. Wiebke Retagne; Camilla Colombo. Satellite launch traffic forecast based on the global Gross Domestic Product and constellation plans (2026). doi:</w:t>
      </w:r>
      <w:r>
        <w:t xml:space="preserve"> </w:t>
      </w:r>
      <w:hyperlink r:id="rId179">
        <w:r>
          <w:rPr>
            <w:rStyle w:val="Hyperlink"/>
          </w:rPr>
          <w:t xml:space="preserve">10.1016/j.actaastro.2026.04.046</w:t>
        </w:r>
      </w:hyperlink>
    </w:p>
    <w:p>
      <w:pPr>
        <w:pStyle w:val="BodyText"/>
        <w:spacing w:line="480" w:lineRule="auto"/>
        <w:ind w:firstLine="720"/>
      </w:pPr>
      <w:bookmarkStart w:id="180" w:name="ref-26"/>
      <w:bookmarkEnd w:id="180"/>
      <w:r>
        <w:t xml:space="preserve">26. Peng Zhang; Feifan Ouyang; Xianshuang Meng; Adil Farooq Lodhi; Mohib Ullah Kakar; Bo Li; Lin Feng. Screening of lipids for long-term brain irradiation effect based on non-targeted lipidomics (2023). doi:</w:t>
      </w:r>
      <w:r>
        <w:t xml:space="preserve"> </w:t>
      </w:r>
      <w:hyperlink r:id="rId181">
        <w:r>
          <w:rPr>
            <w:rStyle w:val="Hyperlink"/>
          </w:rPr>
          <w:t xml:space="preserve">10.1016/j.actaastro.2023.08.013</w:t>
        </w:r>
      </w:hyperlink>
    </w:p>
    <w:p>
      <w:pPr>
        <w:pStyle w:val="BodyText"/>
        <w:spacing w:line="480" w:lineRule="auto"/>
        <w:ind w:firstLine="720"/>
      </w:pPr>
      <w:bookmarkStart w:id="182" w:name="ref-27"/>
      <w:bookmarkEnd w:id="182"/>
      <w:r>
        <w:t xml:space="preserve">27. Rameez Ahmed Malik; Yang Yang. Lunar navigation system optimization for targeted coverage with semi-analytical station keeping model and Earth-GPS integration (2025). doi:</w:t>
      </w:r>
      <w:r>
        <w:t xml:space="preserve"> </w:t>
      </w:r>
      <w:hyperlink r:id="rId183">
        <w:r>
          <w:rPr>
            <w:rStyle w:val="Hyperlink"/>
          </w:rPr>
          <w:t xml:space="preserve">10.1016/j.actaastro.2025.10.065</w:t>
        </w:r>
      </w:hyperlink>
    </w:p>
    <w:p>
      <w:pPr>
        <w:pStyle w:val="BodyText"/>
        <w:spacing w:line="480" w:lineRule="auto"/>
        <w:ind w:firstLine="720"/>
      </w:pPr>
      <w:bookmarkStart w:id="184" w:name="ref-28"/>
      <w:bookmarkEnd w:id="184"/>
      <w:r>
        <w:t xml:space="preserve">28. Chris Reiss; Justin C. Feng. Redshifted civilizations, galactic empires, and the Fermi paradox (2026). doi:</w:t>
      </w:r>
      <w:r>
        <w:t xml:space="preserve"> </w:t>
      </w:r>
      <w:hyperlink r:id="rId185">
        <w:r>
          <w:rPr>
            <w:rStyle w:val="Hyperlink"/>
          </w:rPr>
          <w:t xml:space="preserve">10.1016/j.actaastro.2026.04.003</w:t>
        </w:r>
      </w:hyperlink>
    </w:p>
    <w:p>
      <w:pPr>
        <w:pStyle w:val="BodyText"/>
        <w:spacing w:line="480" w:lineRule="auto"/>
        <w:ind w:firstLine="720"/>
      </w:pPr>
      <w:bookmarkStart w:id="186" w:name="ref-29"/>
      <w:bookmarkEnd w:id="186"/>
      <w:r>
        <w:t xml:space="preserve">29. Hanjoon Shim; Changdon Kee. Enhancing RTK-based relative navigation for CubeSats rendezvous: An ADOP perspective on integer ambiguity resolution (2025). doi:</w:t>
      </w:r>
      <w:r>
        <w:t xml:space="preserve"> </w:t>
      </w:r>
      <w:hyperlink r:id="rId187">
        <w:r>
          <w:rPr>
            <w:rStyle w:val="Hyperlink"/>
          </w:rPr>
          <w:t xml:space="preserve">10.1016/j.actaastro.2025.08.001</w:t>
        </w:r>
      </w:hyperlink>
    </w:p>
    <w:p>
      <w:pPr>
        <w:pStyle w:val="BodyText"/>
        <w:spacing w:line="480" w:lineRule="auto"/>
        <w:ind w:firstLine="720"/>
      </w:pPr>
      <w:bookmarkStart w:id="188" w:name="ref-30"/>
      <w:bookmarkEnd w:id="188"/>
      <w:r>
        <w:t xml:space="preserve">30. Jacob Haqq‐Misra; Clément Vidal; George Profitiliotis. Projections of Earth’s technosphere: Luminosity and mass as limits to growth (2025). doi:</w:t>
      </w:r>
      <w:r>
        <w:t xml:space="preserve"> </w:t>
      </w:r>
      <w:hyperlink r:id="rId189">
        <w:r>
          <w:rPr>
            <w:rStyle w:val="Hyperlink"/>
          </w:rPr>
          <w:t xml:space="preserve">10.1016/j.actaastro.2025.01.048</w:t>
        </w:r>
      </w:hyperlink>
    </w:p>
    <w:bookmarkEnd w:id="190"/>
    <w:bookmarkEnd w:id="191"/>
    <w:bookmarkStart w:id="20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9" w:name="X6dfd0096fd3e835819c37e3ee7a3c29e8b2b766"/>
    <w:p>
      <w:pPr>
        <w:pStyle w:val="Heading2"/>
        <w:spacing w:line="480" w:lineRule="auto"/>
      </w:pPr>
      <w:r>
        <w:t xml:space="preserve">A.1 Living Past the Warranty: An OLS Analysis of On-Orbit Lifetime Overrun in the GPS Constellation and the Implications for Single-Point-of-Trust PNT</w:t>
      </w:r>
    </w:p>
    <w:p>
      <w:pPr>
        <w:pStyle w:val="FirstParagraph"/>
        <w:spacing w:line="480" w:lineRule="auto"/>
      </w:pPr>
      <m:oMathPara>
        <m:oMathParaPr>
          <m:jc m:val="center"/>
        </m:oMathParaPr>
        <m:oMath>
          <m:sSub>
            <m:e>
              <m:r>
                <m:rPr>
                  <m:nor/>
                  <m:sty m:val="p"/>
                </m:rPr>
                <m:t>operational_years</m:t>
              </m:r>
            </m:e>
            <m:sub>
              <m:r>
                <m:t>i</m:t>
              </m:r>
            </m:sub>
          </m:sSub>
          <m:r>
            <m:rPr>
              <m:sty m:val="p"/>
            </m:rPr>
            <m:t>=</m:t>
          </m:r>
          <m:sSub>
            <m:e>
              <m:r>
                <m:t>β</m:t>
              </m:r>
            </m:e>
            <m:sub>
              <m:r>
                <m:t>0</m:t>
              </m:r>
            </m:sub>
          </m:sSub>
          <m:r>
            <m:rPr>
              <m:sty m:val="p"/>
            </m:rPr>
            <m:t>+</m:t>
          </m:r>
          <m:sSub>
            <m:e>
              <m:r>
                <m:t>β</m:t>
              </m:r>
            </m:e>
            <m:sub>
              <m:r>
                <m:t>1</m:t>
              </m:r>
            </m:sub>
          </m:sSub>
          <m:r>
            <m:t> </m:t>
          </m:r>
          <m:sSub>
            <m:e>
              <m:r>
                <m:rPr>
                  <m:nor/>
                  <m:sty m:val="p"/>
                </m:rPr>
                <m:t>design_life_years</m:t>
              </m:r>
            </m:e>
            <m:sub>
              <m:r>
                <m:t>i</m:t>
              </m:r>
            </m:sub>
          </m:sSub>
          <m:r>
            <m:rPr>
              <m:sty m:val="p"/>
            </m:rPr>
            <m:t>+</m:t>
          </m:r>
          <m:sSub>
            <m:e>
              <m:r>
                <m:t>β</m:t>
              </m:r>
            </m:e>
            <m:sub>
              <m:r>
                <m:t>2</m:t>
              </m:r>
            </m:sub>
          </m:sSub>
          <m:r>
            <m:t> </m:t>
          </m:r>
          <m:sSub>
            <m:e>
              <m:r>
                <m:rPr>
                  <m:nor/>
                  <m:sty m:val="p"/>
                </m:rPr>
                <m:t>launch_year</m:t>
              </m:r>
            </m:e>
            <m:sub>
              <m:r>
                <m:t>i</m:t>
              </m:r>
            </m:sub>
          </m:sSub>
          <m:r>
            <m:rPr>
              <m:sty m:val="p"/>
            </m:rPr>
            <m:t>+</m:t>
          </m:r>
          <m:sSub>
            <m:e>
              <m:r>
                <m:t>β</m:t>
              </m:r>
            </m:e>
            <m:sub>
              <m:r>
                <m:t>3</m:t>
              </m:r>
            </m:sub>
          </m:sSub>
          <m:r>
            <m:t> </m:t>
          </m:r>
          <m:sSub>
            <m:e>
              <m:r>
                <m:rPr>
                  <m:nor/>
                  <m:sty m:val="p"/>
                </m:rPr>
                <m:t>block_IIR</m:t>
              </m:r>
            </m:e>
            <m:sub>
              <m:r>
                <m:t>i</m:t>
              </m:r>
            </m:sub>
          </m:sSub>
          <m:r>
            <m:rPr>
              <m:sty m:val="p"/>
            </m:rPr>
            <m:t>+</m:t>
          </m:r>
          <m:sSub>
            <m:e>
              <m:r>
                <m:t>β</m:t>
              </m:r>
            </m:e>
            <m:sub>
              <m:r>
                <m:t>4</m:t>
              </m:r>
            </m:sub>
          </m:sSub>
          <m:r>
            <m:t> </m:t>
          </m:r>
          <m:sSub>
            <m:e>
              <m:r>
                <m:rPr>
                  <m:nor/>
                  <m:sty m:val="p"/>
                </m:rPr>
                <m:t>block_IIRM</m:t>
              </m:r>
            </m:e>
            <m:sub>
              <m:r>
                <m:t>i</m:t>
              </m:r>
            </m:sub>
          </m:sSub>
          <m:r>
            <m:rPr>
              <m:sty m:val="p"/>
            </m:rPr>
            <m:t>+</m:t>
          </m:r>
          <m:sSub>
            <m:e>
              <m:r>
                <m:t>β</m:t>
              </m:r>
            </m:e>
            <m:sub>
              <m:r>
                <m:t>5</m:t>
              </m:r>
            </m:sub>
          </m:sSub>
          <m:r>
            <m:t> </m:t>
          </m:r>
          <m:sSub>
            <m:e>
              <m:r>
                <m:rPr>
                  <m:nor/>
                  <m:sty m:val="p"/>
                </m:rPr>
                <m:t>block_IIF</m:t>
              </m:r>
            </m:e>
            <m:sub>
              <m:r>
                <m:t>i</m:t>
              </m:r>
            </m:sub>
          </m:sSub>
          <m:r>
            <m:rPr>
              <m:sty m:val="p"/>
            </m:rPr>
            <m:t>+</m:t>
          </m:r>
          <m:sSub>
            <m:e>
              <m:r>
                <m:t>β</m:t>
              </m:r>
            </m:e>
            <m:sub>
              <m:r>
                <m:t>6</m:t>
              </m:r>
            </m:sub>
          </m:sSub>
          <m:r>
            <m:t> </m:t>
          </m:r>
          <m:sSub>
            <m:e>
              <m:r>
                <m:rPr>
                  <m:nor/>
                  <m:sty m:val="p"/>
                </m:rPr>
                <m:t>block_III</m:t>
              </m:r>
            </m:e>
            <m:sub>
              <m:r>
                <m:t>i</m:t>
              </m:r>
            </m:sub>
          </m:sSub>
          <m:r>
            <m:rPr>
              <m:sty m:val="p"/>
            </m:rPr>
            <m:t>+</m:t>
          </m:r>
          <m:sSub>
            <m:e>
              <m:r>
                <m:t>ε</m:t>
              </m:r>
            </m:e>
            <m:sub>
              <m:r>
                <m:t>i</m:t>
              </m:r>
            </m:sub>
          </m:sSub>
        </m:oMath>
      </m:oMathPara>
    </w:p>
    <w:bookmarkStart w:id="192"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977.0504</w:t>
            </w:r>
          </w:p>
        </w:tc>
        <w:tc>
          <w:tcPr>
            <w:tcW w:w="0" w:type="auto"/>
          </w:tcPr>
          <w:p>
            <w:pPr>
              <w:spacing w:line="240" w:lineRule="auto" w:before="0" w:after="0"/>
              <w:pStyle w:val="Compact"/>
            </w:pPr>
            <w:r>
              <w:rPr>
                <w:sz w:val="20"/>
                <w:szCs w:val="20"/>
              </w:rPr>
              <w:t xml:space="preserve">175.0329</w:t>
            </w:r>
          </w:p>
        </w:tc>
        <w:tc>
          <w:tcPr>
            <w:tcW w:w="0" w:type="auto"/>
          </w:tcPr>
          <w:p>
            <w:pPr>
              <w:spacing w:line="240" w:lineRule="auto" w:before="0" w:after="0"/>
              <w:pStyle w:val="Compact"/>
            </w:pPr>
            <w:r>
              <w:rPr>
                <w:sz w:val="20"/>
                <w:szCs w:val="20"/>
              </w:rPr>
              <w:t xml:space="preserve">5.5821</w:t>
            </w:r>
          </w:p>
        </w:tc>
        <w:tc>
          <w:tcPr>
            <w:tcW w:w="0" w:type="auto"/>
          </w:tcPr>
          <w:p>
            <w:pPr>
              <w:spacing w:line="240" w:lineRule="auto" w:before="0" w:after="0"/>
              <w:pStyle w:val="Compact"/>
            </w:pPr>
            <w:r>
              <w:rPr>
                <w:sz w:val="20"/>
                <w:szCs w:val="20"/>
              </w:rPr>
              <w:t xml:space="preserve">2.376e-08</w:t>
            </w:r>
          </w:p>
        </w:tc>
        <w:tc>
          <w:tcPr>
            <w:tcW w:w="0" w:type="auto"/>
          </w:tcPr>
          <w:p>
            <w:pPr>
              <w:spacing w:line="240" w:lineRule="auto" w:before="0" w:after="0"/>
              <w:pStyle w:val="Compact"/>
            </w:pPr>
            <w:r>
              <w:rPr>
                <w:sz w:val="20"/>
                <w:szCs w:val="20"/>
              </w:rPr>
              <w:t xml:space="preserve">[633.9923, 1320.1085]</w:t>
            </w:r>
          </w:p>
        </w:tc>
      </w:tr>
      <w:tr>
        <w:tc>
          <w:tcPr>
            <w:tcW w:w="0" w:type="auto"/>
          </w:tcPr>
          <w:p>
            <w:pPr>
              <w:spacing w:line="240" w:lineRule="auto" w:before="0" w:after="0"/>
              <w:pStyle w:val="Compact"/>
            </w:pPr>
            <w:r>
              <w:rPr>
                <w:sz w:val="20"/>
                <w:szCs w:val="20"/>
              </w:rPr>
              <w:t xml:space="preserve">design_life_years</w:t>
            </w:r>
          </w:p>
        </w:tc>
        <w:tc>
          <w:tcPr>
            <w:tcW w:w="0" w:type="auto"/>
          </w:tcPr>
          <w:p>
            <w:pPr>
              <w:spacing w:line="240" w:lineRule="auto" w:before="0" w:after="0"/>
              <w:pStyle w:val="Compact"/>
            </w:pPr>
            <w:r>
              <w:rPr>
                <w:sz w:val="20"/>
                <w:szCs w:val="20"/>
              </w:rPr>
              <w:t xml:space="preserve">95.9838</w:t>
            </w:r>
          </w:p>
        </w:tc>
        <w:tc>
          <w:tcPr>
            <w:tcW w:w="0" w:type="auto"/>
          </w:tcPr>
          <w:p>
            <w:pPr>
              <w:spacing w:line="240" w:lineRule="auto" w:before="0" w:after="0"/>
              <w:pStyle w:val="Compact"/>
            </w:pPr>
            <w:r>
              <w:rPr>
                <w:sz w:val="20"/>
                <w:szCs w:val="20"/>
              </w:rPr>
              <w:t xml:space="preserve">17.4689</w:t>
            </w:r>
          </w:p>
        </w:tc>
        <w:tc>
          <w:tcPr>
            <w:tcW w:w="0" w:type="auto"/>
          </w:tcPr>
          <w:p>
            <w:pPr>
              <w:spacing w:line="240" w:lineRule="auto" w:before="0" w:after="0"/>
              <w:pStyle w:val="Compact"/>
            </w:pPr>
            <w:r>
              <w:rPr>
                <w:sz w:val="20"/>
                <w:szCs w:val="20"/>
              </w:rPr>
              <w:t xml:space="preserve">5.4946</w:t>
            </w:r>
          </w:p>
        </w:tc>
        <w:tc>
          <w:tcPr>
            <w:tcW w:w="0" w:type="auto"/>
          </w:tcPr>
          <w:p>
            <w:pPr>
              <w:spacing w:line="240" w:lineRule="auto" w:before="0" w:after="0"/>
              <w:pStyle w:val="Compact"/>
            </w:pPr>
            <w:r>
              <w:rPr>
                <w:sz w:val="20"/>
                <w:szCs w:val="20"/>
              </w:rPr>
              <w:t xml:space="preserve">3.917e-08</w:t>
            </w:r>
          </w:p>
        </w:tc>
        <w:tc>
          <w:tcPr>
            <w:tcW w:w="0" w:type="auto"/>
          </w:tcPr>
          <w:p>
            <w:pPr>
              <w:spacing w:line="240" w:lineRule="auto" w:before="0" w:after="0"/>
              <w:pStyle w:val="Compact"/>
            </w:pPr>
            <w:r>
              <w:rPr>
                <w:sz w:val="20"/>
                <w:szCs w:val="20"/>
              </w:rPr>
              <w:t xml:space="preserve">[61.7455, 130.2222]</w:t>
            </w:r>
          </w:p>
        </w:tc>
      </w:tr>
      <w:tr>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-0.8416</w:t>
            </w:r>
          </w:p>
        </w:tc>
        <w:tc>
          <w:tcPr>
            <w:tcW w:w="0" w:type="auto"/>
          </w:tcPr>
          <w:p>
            <w:pPr>
              <w:spacing w:line="240" w:lineRule="auto" w:before="0" w:after="0"/>
              <w:pStyle w:val="Compact"/>
            </w:pPr>
            <w:r>
              <w:rPr>
                <w:sz w:val="20"/>
                <w:szCs w:val="20"/>
              </w:rPr>
              <w:t xml:space="preserve">0.1534</w:t>
            </w:r>
          </w:p>
        </w:tc>
        <w:tc>
          <w:tcPr>
            <w:tcW w:w="0" w:type="auto"/>
          </w:tcPr>
          <w:p>
            <w:pPr>
              <w:spacing w:line="240" w:lineRule="auto" w:before="0" w:after="0"/>
              <w:pStyle w:val="Compact"/>
            </w:pPr>
            <w:r>
              <w:rPr>
                <w:sz w:val="20"/>
                <w:szCs w:val="20"/>
              </w:rPr>
              <w:t xml:space="preserve">-5.4872</w:t>
            </w:r>
          </w:p>
        </w:tc>
        <w:tc>
          <w:tcPr>
            <w:tcW w:w="0" w:type="auto"/>
          </w:tcPr>
          <w:p>
            <w:pPr>
              <w:spacing w:line="240" w:lineRule="auto" w:before="0" w:after="0"/>
              <w:pStyle w:val="Compact"/>
            </w:pPr>
            <w:r>
              <w:rPr>
                <w:sz w:val="20"/>
                <w:szCs w:val="20"/>
              </w:rPr>
              <w:t xml:space="preserve">4.083e-08</w:t>
            </w:r>
          </w:p>
        </w:tc>
        <w:tc>
          <w:tcPr>
            <w:tcW w:w="0" w:type="auto"/>
          </w:tcPr>
          <w:p>
            <w:pPr>
              <w:spacing w:line="240" w:lineRule="auto" w:before="0" w:after="0"/>
              <w:pStyle w:val="Compact"/>
            </w:pPr>
            <w:r>
              <w:rPr>
                <w:sz w:val="20"/>
                <w:szCs w:val="20"/>
              </w:rPr>
              <w:t xml:space="preserve">[-1.1422, -0.541]</w:t>
            </w:r>
          </w:p>
        </w:tc>
      </w:tr>
      <w:tr>
        <w:tc>
          <w:tcPr>
            <w:tcW w:w="0" w:type="auto"/>
          </w:tcPr>
          <w:p>
            <w:pPr>
              <w:spacing w:line="240" w:lineRule="auto" w:before="0" w:after="0"/>
              <w:pStyle w:val="Compact"/>
            </w:pPr>
            <w:r>
              <w:rPr>
                <w:sz w:val="20"/>
                <w:szCs w:val="20"/>
              </w:rPr>
              <w:t xml:space="preserve">block_IIR</w:t>
            </w:r>
          </w:p>
        </w:tc>
        <w:tc>
          <w:tcPr>
            <w:tcW w:w="0" w:type="auto"/>
          </w:tcPr>
          <w:p>
            <w:pPr>
              <w:spacing w:line="240" w:lineRule="auto" w:before="0" w:after="0"/>
              <w:pStyle w:val="Compact"/>
            </w:pPr>
            <w:r>
              <w:rPr>
                <w:sz w:val="20"/>
                <w:szCs w:val="20"/>
              </w:rPr>
              <w:t xml:space="preserve">9.657</w:t>
            </w:r>
          </w:p>
        </w:tc>
        <w:tc>
          <w:tcPr>
            <w:tcW w:w="0" w:type="auto"/>
          </w:tcPr>
          <w:p>
            <w:pPr>
              <w:spacing w:line="240" w:lineRule="auto" w:before="0" w:after="0"/>
              <w:pStyle w:val="Compact"/>
            </w:pPr>
            <w:r>
              <w:rPr>
                <w:sz w:val="20"/>
                <w:szCs w:val="20"/>
              </w:rPr>
              <w:t xml:space="preserve">1.9885</w:t>
            </w:r>
          </w:p>
        </w:tc>
        <w:tc>
          <w:tcPr>
            <w:tcW w:w="0" w:type="auto"/>
          </w:tcPr>
          <w:p>
            <w:pPr>
              <w:spacing w:line="240" w:lineRule="auto" w:before="0" w:after="0"/>
              <w:pStyle w:val="Compact"/>
            </w:pPr>
            <w:r>
              <w:rPr>
                <w:sz w:val="20"/>
                <w:szCs w:val="20"/>
              </w:rPr>
              <w:t xml:space="preserve">4.8563</w:t>
            </w:r>
          </w:p>
        </w:tc>
        <w:tc>
          <w:tcPr>
            <w:tcW w:w="0" w:type="auto"/>
          </w:tcPr>
          <w:p>
            <w:pPr>
              <w:spacing w:line="240" w:lineRule="auto" w:before="0" w:after="0"/>
              <w:pStyle w:val="Compact"/>
            </w:pPr>
            <w:r>
              <w:rPr>
                <w:sz w:val="20"/>
                <w:szCs w:val="20"/>
              </w:rPr>
              <w:t xml:space="preserve">1.196e-06</w:t>
            </w:r>
          </w:p>
        </w:tc>
        <w:tc>
          <w:tcPr>
            <w:tcW w:w="0" w:type="auto"/>
          </w:tcPr>
          <w:p>
            <w:pPr>
              <w:spacing w:line="240" w:lineRule="auto" w:before="0" w:after="0"/>
              <w:pStyle w:val="Compact"/>
            </w:pPr>
            <w:r>
              <w:rPr>
                <w:sz w:val="20"/>
                <w:szCs w:val="20"/>
              </w:rPr>
              <w:t xml:space="preserve">[5.7595, 13.5545]</w:t>
            </w:r>
          </w:p>
        </w:tc>
      </w:tr>
      <w:tr>
        <w:tc>
          <w:tcPr>
            <w:tcW w:w="0" w:type="auto"/>
          </w:tcPr>
          <w:p>
            <w:pPr>
              <w:spacing w:line="240" w:lineRule="auto" w:before="0" w:after="0"/>
              <w:pStyle w:val="Compact"/>
            </w:pPr>
            <w:r>
              <w:rPr>
                <w:sz w:val="20"/>
                <w:szCs w:val="20"/>
              </w:rPr>
              <w:t xml:space="preserve">block_IIRM</w:t>
            </w:r>
          </w:p>
        </w:tc>
        <w:tc>
          <w:tcPr>
            <w:tcW w:w="0" w:type="auto"/>
          </w:tcPr>
          <w:p>
            <w:pPr>
              <w:spacing w:line="240" w:lineRule="auto" w:before="0" w:after="0"/>
              <w:pStyle w:val="Compact"/>
            </w:pPr>
            <w:r>
              <w:rPr>
                <w:sz w:val="20"/>
                <w:szCs w:val="20"/>
              </w:rPr>
              <w:t xml:space="preserve">10.8147</w:t>
            </w:r>
          </w:p>
        </w:tc>
        <w:tc>
          <w:tcPr>
            <w:tcW w:w="0" w:type="auto"/>
          </w:tcPr>
          <w:p>
            <w:pPr>
              <w:spacing w:line="240" w:lineRule="auto" w:before="0" w:after="0"/>
              <w:pStyle w:val="Compact"/>
            </w:pPr>
            <w:r>
              <w:rPr>
                <w:sz w:val="20"/>
                <w:szCs w:val="20"/>
              </w:rPr>
              <w:t xml:space="preserve">1.913</w:t>
            </w:r>
          </w:p>
        </w:tc>
        <w:tc>
          <w:tcPr>
            <w:tcW w:w="0" w:type="auto"/>
          </w:tcPr>
          <w:p>
            <w:pPr>
              <w:spacing w:line="240" w:lineRule="auto" w:before="0" w:after="0"/>
              <w:pStyle w:val="Compact"/>
            </w:pPr>
            <w:r>
              <w:rPr>
                <w:sz w:val="20"/>
                <w:szCs w:val="20"/>
              </w:rPr>
              <w:t xml:space="preserve">5.6533</w:t>
            </w:r>
          </w:p>
        </w:tc>
        <w:tc>
          <w:tcPr>
            <w:tcW w:w="0" w:type="auto"/>
          </w:tcPr>
          <w:p>
            <w:pPr>
              <w:spacing w:line="240" w:lineRule="auto" w:before="0" w:after="0"/>
              <w:pStyle w:val="Compact"/>
            </w:pPr>
            <w:r>
              <w:rPr>
                <w:sz w:val="20"/>
                <w:szCs w:val="20"/>
              </w:rPr>
              <w:t xml:space="preserve">1.574e-08</w:t>
            </w:r>
          </w:p>
        </w:tc>
        <w:tc>
          <w:tcPr>
            <w:tcW w:w="0" w:type="auto"/>
          </w:tcPr>
          <w:p>
            <w:pPr>
              <w:spacing w:line="240" w:lineRule="auto" w:before="0" w:after="0"/>
              <w:pStyle w:val="Compact"/>
            </w:pPr>
            <w:r>
              <w:rPr>
                <w:sz w:val="20"/>
                <w:szCs w:val="20"/>
              </w:rPr>
              <w:t xml:space="preserve">[7.0653, 14.5641]</w:t>
            </w:r>
          </w:p>
        </w:tc>
      </w:tr>
      <w:tr>
        <w:tc>
          <w:tcPr>
            <w:tcW w:w="0" w:type="auto"/>
          </w:tcPr>
          <w:p>
            <w:pPr>
              <w:spacing w:line="240" w:lineRule="auto" w:before="0" w:after="0"/>
              <w:pStyle w:val="Compact"/>
            </w:pPr>
            <w:r>
              <w:rPr>
                <w:sz w:val="20"/>
                <w:szCs w:val="20"/>
              </w:rPr>
              <w:t xml:space="preserve">block_IIF</w:t>
            </w:r>
          </w:p>
        </w:tc>
        <w:tc>
          <w:tcPr>
            <w:tcW w:w="0" w:type="auto"/>
          </w:tcPr>
          <w:p>
            <w:pPr>
              <w:spacing w:line="240" w:lineRule="auto" w:before="0" w:after="0"/>
              <w:pStyle w:val="Compact"/>
            </w:pPr>
            <w:r>
              <w:rPr>
                <w:sz w:val="20"/>
                <w:szCs w:val="20"/>
              </w:rPr>
              <w:t xml:space="preserve">-421.8021</w:t>
            </w:r>
          </w:p>
        </w:tc>
        <w:tc>
          <w:tcPr>
            <w:tcW w:w="0" w:type="auto"/>
          </w:tcPr>
          <w:p>
            <w:pPr>
              <w:spacing w:line="240" w:lineRule="auto" w:before="0" w:after="0"/>
              <w:pStyle w:val="Compact"/>
            </w:pPr>
            <w:r>
              <w:rPr>
                <w:sz w:val="20"/>
                <w:szCs w:val="20"/>
              </w:rPr>
              <w:t xml:space="preserve">75.8175</w:t>
            </w:r>
          </w:p>
        </w:tc>
        <w:tc>
          <w:tcPr>
            <w:tcW w:w="0" w:type="auto"/>
          </w:tcPr>
          <w:p>
            <w:pPr>
              <w:spacing w:line="240" w:lineRule="auto" w:before="0" w:after="0"/>
              <w:pStyle w:val="Compact"/>
            </w:pPr>
            <w:r>
              <w:rPr>
                <w:sz w:val="20"/>
                <w:szCs w:val="20"/>
              </w:rPr>
              <w:t xml:space="preserve">-5.5634</w:t>
            </w:r>
          </w:p>
        </w:tc>
        <w:tc>
          <w:tcPr>
            <w:tcW w:w="0" w:type="auto"/>
          </w:tcPr>
          <w:p>
            <w:pPr>
              <w:spacing w:line="240" w:lineRule="auto" w:before="0" w:after="0"/>
              <w:pStyle w:val="Compact"/>
            </w:pPr>
            <w:r>
              <w:rPr>
                <w:sz w:val="20"/>
                <w:szCs w:val="20"/>
              </w:rPr>
              <w:t xml:space="preserve">2.646e-08</w:t>
            </w:r>
          </w:p>
        </w:tc>
        <w:tc>
          <w:tcPr>
            <w:tcW w:w="0" w:type="auto"/>
          </w:tcPr>
          <w:p>
            <w:pPr>
              <w:spacing w:line="240" w:lineRule="auto" w:before="0" w:after="0"/>
              <w:pStyle w:val="Compact"/>
            </w:pPr>
            <w:r>
              <w:rPr>
                <w:sz w:val="20"/>
                <w:szCs w:val="20"/>
              </w:rPr>
              <w:t xml:space="preserve">[-570.4017, -273.2026]</w:t>
            </w:r>
          </w:p>
        </w:tc>
      </w:tr>
      <w:tr>
        <w:tc>
          <w:tcPr>
            <w:tcW w:w="0" w:type="auto"/>
          </w:tcPr>
          <w:p>
            <w:pPr>
              <w:spacing w:line="240" w:lineRule="auto" w:before="0" w:after="0"/>
              <w:pStyle w:val="Compact"/>
            </w:pPr>
            <w:r>
              <w:rPr>
                <w:sz w:val="20"/>
                <w:szCs w:val="20"/>
              </w:rPr>
              <w:t xml:space="preserve">block_III</w:t>
            </w:r>
          </w:p>
        </w:tc>
        <w:tc>
          <w:tcPr>
            <w:tcW w:w="0" w:type="auto"/>
          </w:tcPr>
          <w:p>
            <w:pPr>
              <w:spacing w:line="240" w:lineRule="auto" w:before="0" w:after="0"/>
              <w:pStyle w:val="Compact"/>
            </w:pPr>
            <w:r>
              <w:rPr>
                <w:sz w:val="20"/>
                <w:szCs w:val="20"/>
              </w:rPr>
              <w:t xml:space="preserve">-711.1713</w:t>
            </w:r>
          </w:p>
        </w:tc>
        <w:tc>
          <w:tcPr>
            <w:tcW w:w="0" w:type="auto"/>
          </w:tcPr>
          <w:p>
            <w:pPr>
              <w:spacing w:line="240" w:lineRule="auto" w:before="0" w:after="0"/>
              <w:pStyle w:val="Compact"/>
            </w:pPr>
            <w:r>
              <w:rPr>
                <w:sz w:val="20"/>
                <w:szCs w:val="20"/>
              </w:rPr>
              <w:t xml:space="preserve">127.2135</w:t>
            </w:r>
          </w:p>
        </w:tc>
        <w:tc>
          <w:tcPr>
            <w:tcW w:w="0" w:type="auto"/>
          </w:tcPr>
          <w:p>
            <w:pPr>
              <w:spacing w:line="240" w:lineRule="auto" w:before="0" w:after="0"/>
              <w:pStyle w:val="Compact"/>
            </w:pPr>
            <w:r>
              <w:rPr>
                <w:sz w:val="20"/>
                <w:szCs w:val="20"/>
              </w:rPr>
              <w:t xml:space="preserve">-5.5904</w:t>
            </w:r>
          </w:p>
        </w:tc>
        <w:tc>
          <w:tcPr>
            <w:tcW w:w="0" w:type="auto"/>
          </w:tcPr>
          <w:p>
            <w:pPr>
              <w:spacing w:line="240" w:lineRule="auto" w:before="0" w:after="0"/>
              <w:pStyle w:val="Compact"/>
            </w:pPr>
            <w:r>
              <w:rPr>
                <w:sz w:val="20"/>
                <w:szCs w:val="20"/>
              </w:rPr>
              <w:t xml:space="preserve">2.266e-08</w:t>
            </w:r>
          </w:p>
        </w:tc>
        <w:tc>
          <w:tcPr>
            <w:tcW w:w="0" w:type="auto"/>
          </w:tcPr>
          <w:p>
            <w:pPr>
              <w:spacing w:line="240" w:lineRule="auto" w:before="0" w:after="0"/>
              <w:pStyle w:val="Compact"/>
            </w:pPr>
            <w:r>
              <w:rPr>
                <w:sz w:val="20"/>
                <w:szCs w:val="20"/>
              </w:rPr>
              <w:t xml:space="preserve">[-960.5051, -461.8375]</w:t>
            </w:r>
          </w:p>
        </w:tc>
      </w:tr>
    </w:tbl>
    <w:p>
      <w:pPr>
        <w:pStyle w:val="BodyText"/>
        <w:spacing w:line="480" w:lineRule="auto"/>
        <w:ind w:firstLine="720"/>
      </w:pPr>
      <w:r>
        <w:t xml:space="preserve">Fit: N = 49 R2 = 0.8758 R2_adj = 0.8613 F = 28202.2527 F_p = 1.342e-75</w:t>
      </w:r>
    </w:p>
    <w:bookmarkEnd w:id="192"/>
    <w:bookmarkStart w:id="196"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Realized on-orbit operational life against contractor design life for 48 GPS satellites across Blocks IIA, IIR, IIR-M, IIF, and III; the 45-degree line marks parity with the warranty." title="" id="194" name="Picture"/>
            <a:graphic>
              <a:graphicData uri="http://schemas.openxmlformats.org/drawingml/2006/picture">
                <pic:pic>
                  <pic:nvPicPr>
                    <pic:cNvPr descr="D:/Claude_Code/brain/collegium/candidates/dissertations/SPECTRUM_PNT_04/research_papers/p1/paper_fig1.png" id="195" name="Picture"/>
                    <pic:cNvPicPr>
                      <a:picLocks noChangeArrowheads="1" noChangeAspect="1"/>
                    </pic:cNvPicPr>
                  </pic:nvPicPr>
                  <pic:blipFill>
                    <a:blip r:embed="rId19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Realized on-orbit operational life against contractor design life for 48 GPS satellites across Blocks IIA, IIR, IIR-M, IIF, and III; the 45-degree line marks parity with the warranty.</w:t>
      </w:r>
    </w:p>
    <w:bookmarkEnd w:id="196"/>
    <w:bookmarkStart w:id="197"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prn</w:t>
            </w:r>
          </w:p>
        </w:tc>
        <w:tc>
          <w:tcPr>
            <w:tcW w:w="0" w:type="auto"/>
          </w:tcPr>
          <w:p>
            <w:pPr>
              <w:spacing w:line="240" w:lineRule="auto" w:before="0" w:after="0"/>
              <w:pStyle w:val="Compact"/>
            </w:pPr>
            <w:r>
              <w:rPr>
                <w:sz w:val="20"/>
                <w:szCs w:val="20"/>
              </w:rPr>
              <w:t xml:space="preserve">block</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design_life_years</w:t>
            </w:r>
          </w:p>
        </w:tc>
        <w:tc>
          <w:tcPr>
            <w:tcW w:w="0" w:type="auto"/>
          </w:tcPr>
          <w:p>
            <w:pPr>
              <w:spacing w:line="240" w:lineRule="auto" w:before="0" w:after="0"/>
              <w:pStyle w:val="Compact"/>
            </w:pPr>
            <w:r>
              <w:rPr>
                <w:sz w:val="20"/>
                <w:szCs w:val="20"/>
              </w:rPr>
              <w:t xml:space="preserve">operational_years</w:t>
            </w:r>
          </w:p>
        </w:tc>
        <w:tc>
          <w:tcPr>
            <w:tcW w:w="0" w:type="auto"/>
          </w:tcPr>
          <w:p>
            <w:pPr>
              <w:spacing w:line="240" w:lineRule="auto" w:before="0" w:after="0"/>
              <w:pStyle w:val="Compact"/>
            </w:pPr>
            <w:r>
              <w:rPr>
                <w:sz w:val="20"/>
                <w:szCs w:val="20"/>
              </w:rPr>
              <w:t xml:space="preserve">decommission_year</w:t>
            </w:r>
          </w:p>
        </w:tc>
        <w:tc>
          <w:tcPr>
            <w:tcW w:w="0" w:type="auto"/>
          </w:tcPr>
          <w:p>
            <w:pPr>
              <w:spacing w:line="240" w:lineRule="auto" w:before="0" w:after="0"/>
              <w:pStyle w:val="Compact"/>
            </w:pPr>
            <w:r>
              <w:rPr>
                <w:sz w:val="20"/>
                <w:szCs w:val="20"/>
              </w:rPr>
              <w:t xml:space="preserve">still_operational</w:t>
            </w:r>
          </w:p>
        </w:tc>
        <w:tc>
          <w:tcPr>
            <w:tcW w:w="0" w:type="auto"/>
          </w:tcPr>
          <w:p>
            <w:pPr>
              <w:spacing w:line="240" w:lineRule="auto" w:before="0" w:after="0"/>
              <w:pStyle w:val="Compact"/>
            </w:pPr>
            <w:r>
              <w:rPr>
                <w:sz w:val="20"/>
                <w:szCs w:val="20"/>
              </w:rPr>
              <w:t xml:space="preserve">block_IIR</w:t>
            </w:r>
          </w:p>
        </w:tc>
        <w:tc>
          <w:tcPr>
            <w:tcW w:w="0" w:type="auto"/>
          </w:tcPr>
          <w:p>
            <w:pPr>
              <w:spacing w:line="240" w:lineRule="auto" w:before="0" w:after="0"/>
              <w:pStyle w:val="Compact"/>
            </w:pPr>
            <w:r>
              <w:rPr>
                <w:sz w:val="20"/>
                <w:szCs w:val="20"/>
              </w:rPr>
              <w:t xml:space="preserve">block_IIRM</w:t>
            </w:r>
          </w:p>
        </w:tc>
        <w:tc>
          <w:tcPr>
            <w:tcW w:w="0" w:type="auto"/>
          </w:tcPr>
          <w:p>
            <w:pPr>
              <w:spacing w:line="240" w:lineRule="auto" w:before="0" w:after="0"/>
              <w:pStyle w:val="Compact"/>
            </w:pPr>
            <w:r>
              <w:rPr>
                <w:sz w:val="20"/>
                <w:szCs w:val="20"/>
              </w:rPr>
              <w:t xml:space="preserve">block_IIF</w:t>
            </w:r>
          </w:p>
        </w:tc>
        <w:tc>
          <w:tcPr>
            <w:tcW w:w="0" w:type="auto"/>
          </w:tcPr>
          <w:p>
            <w:pPr>
              <w:spacing w:line="240" w:lineRule="auto" w:before="0" w:after="0"/>
              <w:pStyle w:val="Compact"/>
            </w:pPr>
            <w:r>
              <w:rPr>
                <w:sz w:val="20"/>
                <w:szCs w:val="20"/>
              </w:rPr>
              <w:t xml:space="preserve">block_III</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IIA</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26.5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USAF/Space Force GPS Operations Center status pages; gps.gov constellation status archive</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IIA</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GPS OCX status archive; gps.gov constellation status</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IIA</w:t>
            </w:r>
          </w:p>
        </w:tc>
        <w:tc>
          <w:tcPr>
            <w:tcW w:w="0" w:type="auto"/>
          </w:tcPr>
          <w:p>
            <w:pPr>
              <w:spacing w:line="240" w:lineRule="auto" w:before="0" w:after="0"/>
              <w:pStyle w:val="Compact"/>
            </w:pPr>
            <w:r>
              <w:rPr>
                <w:sz w:val="20"/>
                <w:szCs w:val="20"/>
              </w:rPr>
              <w:t xml:space="preserve">1992</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GPS status archive; gps.gov constellation status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IIA</w:t>
            </w:r>
          </w:p>
        </w:tc>
        <w:tc>
          <w:tcPr>
            <w:tcW w:w="0" w:type="auto"/>
          </w:tcPr>
          <w:p>
            <w:pPr>
              <w:spacing w:line="240" w:lineRule="auto" w:before="0" w:after="0"/>
              <w:pStyle w:val="Compact"/>
            </w:pPr>
            <w:r>
              <w:rPr>
                <w:sz w:val="20"/>
                <w:szCs w:val="20"/>
              </w:rPr>
              <w:t xml:space="preserve">1992</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GPS status archive; gps.gov constellation status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IIA</w:t>
            </w:r>
          </w:p>
        </w:tc>
        <w:tc>
          <w:tcPr>
            <w:tcW w:w="0" w:type="auto"/>
          </w:tcPr>
          <w:p>
            <w:pPr>
              <w:spacing w:line="240" w:lineRule="auto" w:before="0" w:after="0"/>
              <w:pStyle w:val="Compact"/>
            </w:pPr>
            <w:r>
              <w:rPr>
                <w:sz w:val="20"/>
                <w:szCs w:val="20"/>
              </w:rPr>
              <w:t xml:space="preserve">1992</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GPS status archive; gps.gov constellation status</w:t>
            </w:r>
          </w:p>
        </w:tc>
      </w:tr>
      <w:tr>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IIA</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GPS status archive; gps.gov constellation status</w:t>
            </w:r>
          </w:p>
        </w:tc>
      </w:tr>
      <w:tr>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IIA</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GPS status archive; gps.gov constellation status</w:t>
            </w:r>
          </w:p>
        </w:tc>
      </w:tr>
      <w:tr>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IIA</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GPS status archive; gps.gov constellation status</w:t>
            </w:r>
          </w:p>
        </w:tc>
      </w:tr>
      <w:tr>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IIA</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GPS status archive; gps.gov constellation status</w:t>
            </w:r>
          </w:p>
        </w:tc>
      </w:tr>
      <w:tr>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IIA</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GPS status archive; gps.gov constellation status</w:t>
            </w:r>
          </w:p>
        </w:tc>
      </w:tr>
      <w:tr>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IIA</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GPS status archive; gps.gov constellation status</w:t>
            </w:r>
          </w:p>
        </w:tc>
      </w:tr>
      <w:tr>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IIA</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GPS status archive; gps.gov constellation status</w:t>
            </w:r>
          </w:p>
        </w:tc>
      </w:tr>
      <w:tr>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IIA</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GPS status archive; gps.gov constellation status</w:t>
            </w:r>
          </w:p>
        </w:tc>
      </w:tr>
      <w:tr>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IIA</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GPS status archive; gps.gov constellation status</w:t>
            </w:r>
          </w:p>
        </w:tc>
      </w:tr>
      <w:tr>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IIR</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GPS status archive; gps.gov constellation status; GAO-19-250</w:t>
            </w:r>
          </w:p>
        </w:tc>
      </w:tr>
      <w:tr>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IIR</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IIR</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IIR</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IIR</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26.5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IIR</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IIR</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GPS status archive; gps.gov constellation status</w:t>
            </w:r>
          </w:p>
        </w:tc>
      </w:tr>
      <w:tr>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IIR</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24.5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IIR</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IIR-M</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 GAO-19-250</w:t>
            </w:r>
          </w:p>
        </w:tc>
      </w:tr>
      <w:tr>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IIR-M</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IIR-M</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IIR-M</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IIR-M</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IIR-M</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IIR-M</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IIR-M</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IIF</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 GAO-25-107591</w:t>
            </w:r>
          </w:p>
        </w:tc>
      </w:tr>
      <w:tr>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IIF</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IIF</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IIF</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IIF</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IIF</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IIF</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IIF</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IIF</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IIF</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IIF</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IIF</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 GAO-25-107591</w:t>
            </w:r>
          </w:p>
        </w:tc>
      </w:tr>
      <w:tr>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III</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gps.gov current constellation status; GAO-25-107591 GPS III status</w:t>
            </w:r>
          </w:p>
        </w:tc>
      </w:tr>
      <w:tr>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III</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gps.gov current constellation status; GAO-25-107591</w:t>
            </w:r>
          </w:p>
        </w:tc>
      </w:tr>
      <w:tr>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III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gps.gov current constellation status; GAO-25-107591</w:t>
            </w:r>
          </w:p>
        </w:tc>
      </w:tr>
      <w:tr>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III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gps.gov current constellation status; GAO-25-107591</w:t>
            </w:r>
          </w:p>
        </w:tc>
      </w:tr>
      <w:tr>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III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gps.gov current constellation status; GAO-25-107591</w:t>
            </w:r>
          </w:p>
        </w:tc>
      </w:tr>
      <w:tr>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III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gps.gov current constellation status; GAO-25-107591</w:t>
            </w:r>
          </w:p>
        </w:tc>
      </w:tr>
    </w:tbl>
    <w:bookmarkEnd w:id="197"/>
    <w:bookmarkStart w:id="198" w:name="variable-construction-2"/>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operational_years</w:t>
            </w:r>
          </w:p>
        </w:tc>
        <w:tc>
          <w:tcPr>
            <w:tcW w:w="0" w:type="auto"/>
          </w:tcPr>
          <w:p>
            <w:pPr>
              <w:spacing w:line="240" w:lineRule="auto" w:before="0" w:after="0"/>
              <w:pStyle w:val="Compact"/>
            </w:pPr>
            <w:r>
              <w:rPr>
                <w:sz w:val="20"/>
                <w:szCs w:val="20"/>
              </w:rPr>
              <w:t xml:space="preserve">Years between the satellite’s launch and either decommissioning or the 2026-06 observation cutoff (for vehicles still on orbit). Right-censored cases are included; the OLS estimate is therefore a lower bound on true operational life for currently operating vehicles.</w:t>
            </w:r>
          </w:p>
        </w:tc>
        <w:tc>
          <w:tcPr>
            <w:tcW w:w="0" w:type="auto"/>
          </w:tcPr>
          <w:p>
            <w:pPr>
              <w:spacing w:line="240" w:lineRule="auto" w:before="0" w:after="0"/>
              <w:pStyle w:val="Compact"/>
            </w:pPr>
            <w:r>
              <w:rPr>
                <w:sz w:val="20"/>
                <w:szCs w:val="20"/>
              </w:rPr>
              <w:t xml:space="preserve">U.S. Space Force / 2nd Space Operations Squadron status archive and gps.gov</w:t>
            </w:r>
            <w:r>
              <w:rPr>
                <w:sz w:val="20"/>
                <w:szCs w:val="20"/>
              </w:rPr>
              <w:t xml:space="preserve"> </w:t>
            </w:r>
            <w:r>
              <w:rPr>
                <w:sz w:val="20"/>
                <w:szCs w:val="20"/>
              </w:rPr>
              <w:t xml:space="preserve">‘Space Segment’</w:t>
            </w:r>
            <w:r>
              <w:rPr>
                <w:sz w:val="20"/>
                <w:szCs w:val="20"/>
              </w:rPr>
              <w:t xml:space="preserve"> </w:t>
            </w:r>
            <w:r>
              <w:rPr>
                <w:sz w:val="20"/>
                <w:szCs w:val="20"/>
              </w:rPr>
              <w:t xml:space="preserve">constellation status page, retrieved 2026-06</w:t>
            </w:r>
          </w:p>
        </w:tc>
      </w:tr>
      <w:tr>
        <w:tc>
          <w:tcPr>
            <w:tcW w:w="0" w:type="auto"/>
          </w:tcPr>
          <w:p>
            <w:pPr>
              <w:spacing w:line="240" w:lineRule="auto" w:before="0" w:after="0"/>
              <w:pStyle w:val="Compact"/>
            </w:pPr>
            <w:r>
              <w:rPr>
                <w:sz w:val="20"/>
                <w:szCs w:val="20"/>
              </w:rPr>
              <w:t xml:space="preserve">design_life_years</w:t>
            </w:r>
          </w:p>
        </w:tc>
        <w:tc>
          <w:tcPr>
            <w:tcW w:w="0" w:type="auto"/>
          </w:tcPr>
          <w:p>
            <w:pPr>
              <w:spacing w:line="240" w:lineRule="auto" w:before="0" w:after="0"/>
              <w:pStyle w:val="Compact"/>
            </w:pPr>
            <w:r>
              <w:rPr>
                <w:sz w:val="20"/>
                <w:szCs w:val="20"/>
              </w:rPr>
              <w:t xml:space="preserve">Mean mission duration specified by the prime contractor at the time of acceptance, in years. Block IIA and IIR were specified at 7.5 years; Block IIF at 12 years; Block III at 15 years.</w:t>
            </w:r>
          </w:p>
        </w:tc>
        <w:tc>
          <w:tcPr>
            <w:tcW w:w="0" w:type="auto"/>
          </w:tcPr>
          <w:p>
            <w:pPr>
              <w:spacing w:line="240" w:lineRule="auto" w:before="0" w:after="0"/>
              <w:pStyle w:val="Compact"/>
            </w:pPr>
            <w:r>
              <w:rPr>
                <w:sz w:val="20"/>
                <w:szCs w:val="20"/>
              </w:rPr>
              <w:t xml:space="preserve">GAO-25-107591 GPS III status report; GAO-19-250; gps.gov block descriptions</w:t>
            </w:r>
          </w:p>
        </w:tc>
      </w:tr>
      <w:tr>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Calendar year of successful launch and check-out.</w:t>
            </w:r>
          </w:p>
        </w:tc>
        <w:tc>
          <w:tcPr>
            <w:tcW w:w="0" w:type="auto"/>
          </w:tcPr>
          <w:p>
            <w:pPr>
              <w:spacing w:line="240" w:lineRule="auto" w:before="0" w:after="0"/>
              <w:pStyle w:val="Compact"/>
            </w:pPr>
            <w:r>
              <w:rPr>
                <w:sz w:val="20"/>
                <w:szCs w:val="20"/>
              </w:rPr>
              <w:t xml:space="preserve">U.S. Space Force GPS Operations Center archive and gps.gov constellation status</w:t>
            </w:r>
          </w:p>
        </w:tc>
      </w:tr>
      <w:tr>
        <w:tc>
          <w:tcPr>
            <w:tcW w:w="0" w:type="auto"/>
          </w:tcPr>
          <w:p>
            <w:pPr>
              <w:spacing w:line="240" w:lineRule="auto" w:before="0" w:after="0"/>
              <w:pStyle w:val="Compact"/>
            </w:pPr>
            <w:r>
              <w:rPr>
                <w:sz w:val="20"/>
                <w:szCs w:val="20"/>
              </w:rPr>
              <w:t xml:space="preserve">block_IIR</w:t>
            </w:r>
          </w:p>
        </w:tc>
        <w:tc>
          <w:tcPr>
            <w:tcW w:w="0" w:type="auto"/>
          </w:tcPr>
          <w:p>
            <w:pPr>
              <w:spacing w:line="240" w:lineRule="auto" w:before="0" w:after="0"/>
              <w:pStyle w:val="Compact"/>
            </w:pPr>
            <w:r>
              <w:rPr>
                <w:sz w:val="20"/>
                <w:szCs w:val="20"/>
              </w:rPr>
              <w:t xml:space="preserve">Indicator: 1 if the vehicle is a Block IIR (Lockheed Martin replenishment series), 0 otherwise. Block IIA is the omitted reference category.</w:t>
            </w:r>
          </w:p>
        </w:tc>
        <w:tc>
          <w:tcPr>
            <w:tcW w:w="0" w:type="auto"/>
          </w:tcPr>
          <w:p>
            <w:pPr>
              <w:spacing w:line="240" w:lineRule="auto" w:before="0" w:after="0"/>
              <w:pStyle w:val="Compact"/>
            </w:pPr>
            <w:r>
              <w:rPr>
                <w:sz w:val="20"/>
                <w:szCs w:val="20"/>
              </w:rPr>
              <w:t xml:space="preserve">GAO and gps.gov block descriptions</w:t>
            </w:r>
          </w:p>
        </w:tc>
      </w:tr>
      <w:tr>
        <w:tc>
          <w:tcPr>
            <w:tcW w:w="0" w:type="auto"/>
          </w:tcPr>
          <w:p>
            <w:pPr>
              <w:spacing w:line="240" w:lineRule="auto" w:before="0" w:after="0"/>
              <w:pStyle w:val="Compact"/>
            </w:pPr>
            <w:r>
              <w:rPr>
                <w:sz w:val="20"/>
                <w:szCs w:val="20"/>
              </w:rPr>
              <w:t xml:space="preserve">block_IIRM</w:t>
            </w:r>
          </w:p>
        </w:tc>
        <w:tc>
          <w:tcPr>
            <w:tcW w:w="0" w:type="auto"/>
          </w:tcPr>
          <w:p>
            <w:pPr>
              <w:spacing w:line="240" w:lineRule="auto" w:before="0" w:after="0"/>
              <w:pStyle w:val="Compact"/>
            </w:pPr>
            <w:r>
              <w:rPr>
                <w:sz w:val="20"/>
                <w:szCs w:val="20"/>
              </w:rPr>
              <w:t xml:space="preserve">Indicator: 1 if the vehicle is a Block IIR-M (modernized IIR with M-code and L2C), 0 otherwise.</w:t>
            </w:r>
          </w:p>
        </w:tc>
        <w:tc>
          <w:tcPr>
            <w:tcW w:w="0" w:type="auto"/>
          </w:tcPr>
          <w:p>
            <w:pPr>
              <w:spacing w:line="240" w:lineRule="auto" w:before="0" w:after="0"/>
              <w:pStyle w:val="Compact"/>
            </w:pPr>
            <w:r>
              <w:rPr>
                <w:sz w:val="20"/>
                <w:szCs w:val="20"/>
              </w:rPr>
              <w:t xml:space="preserve">GAO and gps.gov block descriptions</w:t>
            </w:r>
          </w:p>
        </w:tc>
      </w:tr>
      <w:tr>
        <w:tc>
          <w:tcPr>
            <w:tcW w:w="0" w:type="auto"/>
          </w:tcPr>
          <w:p>
            <w:pPr>
              <w:spacing w:line="240" w:lineRule="auto" w:before="0" w:after="0"/>
              <w:pStyle w:val="Compact"/>
            </w:pPr>
            <w:r>
              <w:rPr>
                <w:sz w:val="20"/>
                <w:szCs w:val="20"/>
              </w:rPr>
              <w:t xml:space="preserve">block_IIF</w:t>
            </w:r>
          </w:p>
        </w:tc>
        <w:tc>
          <w:tcPr>
            <w:tcW w:w="0" w:type="auto"/>
          </w:tcPr>
          <w:p>
            <w:pPr>
              <w:spacing w:line="240" w:lineRule="auto" w:before="0" w:after="0"/>
              <w:pStyle w:val="Compact"/>
            </w:pPr>
            <w:r>
              <w:rPr>
                <w:sz w:val="20"/>
                <w:szCs w:val="20"/>
              </w:rPr>
              <w:t xml:space="preserve">Indicator: 1 if the vehicle is a Block IIF (Boeing follow-on with L5 civil signal), 0 otherwise.</w:t>
            </w:r>
          </w:p>
        </w:tc>
        <w:tc>
          <w:tcPr>
            <w:tcW w:w="0" w:type="auto"/>
          </w:tcPr>
          <w:p>
            <w:pPr>
              <w:spacing w:line="240" w:lineRule="auto" w:before="0" w:after="0"/>
              <w:pStyle w:val="Compact"/>
            </w:pPr>
            <w:r>
              <w:rPr>
                <w:sz w:val="20"/>
                <w:szCs w:val="20"/>
              </w:rPr>
              <w:t xml:space="preserve">GAO and gps.gov block descriptions</w:t>
            </w:r>
          </w:p>
        </w:tc>
      </w:tr>
      <w:tr>
        <w:tc>
          <w:tcPr>
            <w:tcW w:w="0" w:type="auto"/>
          </w:tcPr>
          <w:p>
            <w:pPr>
              <w:spacing w:line="240" w:lineRule="auto" w:before="0" w:after="0"/>
              <w:pStyle w:val="Compact"/>
            </w:pPr>
            <w:r>
              <w:rPr>
                <w:sz w:val="20"/>
                <w:szCs w:val="20"/>
              </w:rPr>
              <w:t xml:space="preserve">block_III</w:t>
            </w:r>
          </w:p>
        </w:tc>
        <w:tc>
          <w:tcPr>
            <w:tcW w:w="0" w:type="auto"/>
          </w:tcPr>
          <w:p>
            <w:pPr>
              <w:spacing w:line="240" w:lineRule="auto" w:before="0" w:after="0"/>
              <w:pStyle w:val="Compact"/>
            </w:pPr>
            <w:r>
              <w:rPr>
                <w:sz w:val="20"/>
                <w:szCs w:val="20"/>
              </w:rPr>
              <w:t xml:space="preserve">Indicator: 1 if the vehicle is a Block III or IIIF (Lockheed Martin next-generation, L1C signal), 0 otherwise.</w:t>
            </w:r>
          </w:p>
        </w:tc>
        <w:tc>
          <w:tcPr>
            <w:tcW w:w="0" w:type="auto"/>
          </w:tcPr>
          <w:p>
            <w:pPr>
              <w:spacing w:line="240" w:lineRule="auto" w:before="0" w:after="0"/>
              <w:pStyle w:val="Compact"/>
            </w:pPr>
            <w:r>
              <w:rPr>
                <w:sz w:val="20"/>
                <w:szCs w:val="20"/>
              </w:rPr>
              <w:t xml:space="preserve">GAO-25-107591; gps.gov block descriptions</w:t>
            </w:r>
          </w:p>
        </w:tc>
      </w:tr>
      <w:tr>
        <w:tc>
          <w:tcPr>
            <w:tcW w:w="0" w:type="auto"/>
          </w:tcPr>
          <w:p>
            <w:pPr>
              <w:spacing w:line="240" w:lineRule="auto" w:before="0" w:after="0"/>
              <w:pStyle w:val="Compact"/>
            </w:pPr>
            <w:r>
              <w:rPr>
                <w:sz w:val="20"/>
                <w:szCs w:val="20"/>
              </w:rPr>
              <w:t xml:space="preserve">decommission_year</w:t>
            </w:r>
          </w:p>
        </w:tc>
        <w:tc>
          <w:tcPr>
            <w:tcW w:w="0" w:type="auto"/>
          </w:tcPr>
          <w:p>
            <w:pPr>
              <w:spacing w:line="240" w:lineRule="auto" w:before="0" w:after="0"/>
              <w:pStyle w:val="Compact"/>
            </w:pPr>
            <w:r>
              <w:rPr>
                <w:sz w:val="20"/>
                <w:szCs w:val="20"/>
              </w:rPr>
              <w:t xml:space="preserve">Calendar year the vehicle was removed from the active constellation, or the 2026 cutoff for vehicles still operational.</w:t>
            </w:r>
          </w:p>
        </w:tc>
        <w:tc>
          <w:tcPr>
            <w:tcW w:w="0" w:type="auto"/>
          </w:tcPr>
          <w:p>
            <w:pPr>
              <w:spacing w:line="240" w:lineRule="auto" w:before="0" w:after="0"/>
              <w:pStyle w:val="Compact"/>
            </w:pPr>
            <w:r>
              <w:rPr>
                <w:sz w:val="20"/>
                <w:szCs w:val="20"/>
              </w:rPr>
              <w:t xml:space="preserve">U.S. Space Force / 2 SOPS status notices archived at gps.gov</w:t>
            </w:r>
          </w:p>
        </w:tc>
      </w:tr>
      <w:tr>
        <w:tc>
          <w:tcPr>
            <w:tcW w:w="0" w:type="auto"/>
          </w:tcPr>
          <w:p>
            <w:pPr>
              <w:spacing w:line="240" w:lineRule="auto" w:before="0" w:after="0"/>
              <w:pStyle w:val="Compact"/>
            </w:pPr>
            <w:r>
              <w:rPr>
                <w:sz w:val="20"/>
                <w:szCs w:val="20"/>
              </w:rPr>
              <w:t xml:space="preserve">still_operational</w:t>
            </w:r>
          </w:p>
        </w:tc>
        <w:tc>
          <w:tcPr>
            <w:tcW w:w="0" w:type="auto"/>
          </w:tcPr>
          <w:p>
            <w:pPr>
              <w:spacing w:line="240" w:lineRule="auto" w:before="0" w:after="0"/>
              <w:pStyle w:val="Compact"/>
            </w:pPr>
            <w:r>
              <w:rPr>
                <w:sz w:val="20"/>
                <w:szCs w:val="20"/>
              </w:rPr>
              <w:t xml:space="preserve">Indicator: 1 if the vehicle was still in the active constellation at 2026-06; 0 if decommissioned. Used to flag right-censoring of operational_years.</w:t>
            </w:r>
          </w:p>
        </w:tc>
        <w:tc>
          <w:tcPr>
            <w:tcW w:w="0" w:type="auto"/>
          </w:tcPr>
          <w:p>
            <w:pPr>
              <w:spacing w:line="240" w:lineRule="auto" w:before="0" w:after="0"/>
              <w:pStyle w:val="Compact"/>
            </w:pPr>
            <w:r>
              <w:rPr>
                <w:sz w:val="20"/>
                <w:szCs w:val="20"/>
              </w:rPr>
              <w:t xml:space="preserve">gps.gov constellation status, retrieved 2026-06</w:t>
            </w:r>
          </w:p>
        </w:tc>
      </w:tr>
    </w:tbl>
    <w:bookmarkEnd w:id="198"/>
    <w:bookmarkEnd w:id="199"/>
    <w:bookmarkStart w:id="207" w:name="X8e388a9c02c1343da52f748c67013d24779e7c2"/>
    <w:p>
      <w:pPr>
        <w:pStyle w:val="Heading2"/>
        <w:spacing w:line="480" w:lineRule="auto"/>
      </w:pPr>
      <w:r>
        <w:t xml:space="preserve">A.2 Time-to-Restoration for Documented GPS PNT Interference Events: A Cox Proportional-Hazards Estimate of Civil Exposure Duration</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nor/>
                  <m:sty m:val="p"/>
                </m:rPr>
                <m:t>severity_idx</m:t>
              </m:r>
              <m:r>
                <m:rPr>
                  <m:sty m:val="p"/>
                </m:rPr>
                <m:t>+</m:t>
              </m:r>
              <m:sSub>
                <m:e>
                  <m:r>
                    <m:t>β</m:t>
                  </m:r>
                </m:e>
                <m:sub>
                  <m:r>
                    <m:t>2</m:t>
                  </m:r>
                </m:sub>
              </m:sSub>
              <m:r>
                <m:t> </m:t>
              </m:r>
              <m:r>
                <m:rPr>
                  <m:nor/>
                  <m:sty m:val="p"/>
                </m:rPr>
                <m:t>footprint_log_km2</m:t>
              </m:r>
              <m:r>
                <m:rPr>
                  <m:sty m:val="p"/>
                </m:rPr>
                <m:t>+</m:t>
              </m:r>
              <m:sSub>
                <m:e>
                  <m:r>
                    <m:t>β</m:t>
                  </m:r>
                </m:e>
                <m:sub>
                  <m:r>
                    <m:t>3</m:t>
                  </m:r>
                </m:sub>
              </m:sSub>
              <m:r>
                <m:t> </m:t>
              </m:r>
              <m:r>
                <m:rPr>
                  <m:nor/>
                  <m:sty m:val="p"/>
                </m:rPr>
                <m:t>civil_aviation_flag</m:t>
              </m:r>
              <m:r>
                <m:rPr>
                  <m:sty m:val="p"/>
                </m:rPr>
                <m:t>+</m:t>
              </m:r>
              <m:sSub>
                <m:e>
                  <m:r>
                    <m:t>β</m:t>
                  </m:r>
                </m:e>
                <m:sub>
                  <m:r>
                    <m:t>4</m:t>
                  </m:r>
                </m:sub>
              </m:sSub>
              <m:r>
                <m:t> </m:t>
              </m:r>
              <m:r>
                <m:rPr>
                  <m:nor/>
                  <m:sty m:val="p"/>
                </m:rPr>
                <m:t>reporting_lag_hours</m:t>
              </m:r>
            </m:e>
          </m:d>
        </m:oMath>
      </m:oMathPara>
    </w:p>
    <w:bookmarkStart w:id="200"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severity_idx</w:t>
            </w:r>
          </w:p>
        </w:tc>
        <w:tc>
          <w:tcPr>
            <w:tcW w:w="0" w:type="auto"/>
          </w:tcPr>
          <w:p>
            <w:pPr>
              <w:spacing w:line="240" w:lineRule="auto" w:before="0" w:after="0"/>
              <w:pStyle w:val="Compact"/>
            </w:pPr>
            <w:r>
              <w:rPr>
                <w:sz w:val="20"/>
                <w:szCs w:val="20"/>
              </w:rPr>
              <w:t xml:space="preserve">0.5263</w:t>
            </w:r>
          </w:p>
        </w:tc>
        <w:tc>
          <w:tcPr>
            <w:tcW w:w="0" w:type="auto"/>
          </w:tcPr>
          <w:p>
            <w:pPr>
              <w:spacing w:line="240" w:lineRule="auto" w:before="0" w:after="0"/>
              <w:pStyle w:val="Compact"/>
            </w:pPr>
            <w:r>
              <w:rPr>
                <w:sz w:val="20"/>
                <w:szCs w:val="20"/>
              </w:rPr>
              <w:t xml:space="preserve">1.2789</w:t>
            </w:r>
          </w:p>
        </w:tc>
        <w:tc>
          <w:tcPr>
            <w:tcW w:w="0" w:type="auto"/>
          </w:tcPr>
          <w:p>
            <w:pPr>
              <w:spacing w:line="240" w:lineRule="auto" w:before="0" w:after="0"/>
              <w:pStyle w:val="Compact"/>
            </w:pPr>
            <w:r>
              <w:rPr>
                <w:sz w:val="20"/>
                <w:szCs w:val="20"/>
              </w:rPr>
              <w:t xml:space="preserve">0.4115</w:t>
            </w:r>
          </w:p>
        </w:tc>
        <w:tc>
          <w:tcPr>
            <w:tcW w:w="0" w:type="auto"/>
          </w:tcPr>
          <w:p>
            <w:pPr>
              <w:spacing w:line="240" w:lineRule="auto" w:before="0" w:after="0"/>
              <w:pStyle w:val="Compact"/>
            </w:pPr>
            <w:r>
              <w:rPr>
                <w:sz w:val="20"/>
                <w:szCs w:val="20"/>
              </w:rPr>
              <w:t xml:space="preserve">0.6807</w:t>
            </w:r>
          </w:p>
        </w:tc>
        <w:tc>
          <w:tcPr>
            <w:tcW w:w="0" w:type="auto"/>
          </w:tcPr>
          <w:p>
            <w:pPr>
              <w:spacing w:line="240" w:lineRule="auto" w:before="0" w:after="0"/>
              <w:pStyle w:val="Compact"/>
            </w:pPr>
            <w:r>
              <w:rPr>
                <w:sz w:val="20"/>
                <w:szCs w:val="20"/>
              </w:rPr>
              <w:t xml:space="preserve">[-1.9803, 3.0329]</w:t>
            </w:r>
          </w:p>
        </w:tc>
        <w:tc>
          <w:tcPr>
            <w:tcW w:w="0" w:type="auto"/>
          </w:tcPr>
          <w:p>
            <w:pPr>
              <w:spacing w:line="240" w:lineRule="auto" w:before="0" w:after="0"/>
              <w:pStyle w:val="Compact"/>
            </w:pPr>
            <w:r>
              <w:rPr>
                <w:sz w:val="20"/>
                <w:szCs w:val="20"/>
              </w:rPr>
              <w:t xml:space="preserve">1.6926</w:t>
            </w:r>
          </w:p>
        </w:tc>
      </w:tr>
      <w:tr>
        <w:tc>
          <w:tcPr>
            <w:tcW w:w="0" w:type="auto"/>
          </w:tcPr>
          <w:p>
            <w:pPr>
              <w:spacing w:line="240" w:lineRule="auto" w:before="0" w:after="0"/>
              <w:pStyle w:val="Compact"/>
            </w:pPr>
            <w:r>
              <w:rPr>
                <w:sz w:val="20"/>
                <w:szCs w:val="20"/>
              </w:rPr>
              <w:t xml:space="preserve">footprint_log_km2</w:t>
            </w:r>
          </w:p>
        </w:tc>
        <w:tc>
          <w:tcPr>
            <w:tcW w:w="0" w:type="auto"/>
          </w:tcPr>
          <w:p>
            <w:pPr>
              <w:spacing w:line="240" w:lineRule="auto" w:before="0" w:after="0"/>
              <w:pStyle w:val="Compact"/>
            </w:pPr>
            <w:r>
              <w:rPr>
                <w:sz w:val="20"/>
                <w:szCs w:val="20"/>
              </w:rPr>
              <w:t xml:space="preserve">-2.8728</w:t>
            </w:r>
          </w:p>
        </w:tc>
        <w:tc>
          <w:tcPr>
            <w:tcW w:w="0" w:type="auto"/>
          </w:tcPr>
          <w:p>
            <w:pPr>
              <w:spacing w:line="240" w:lineRule="auto" w:before="0" w:after="0"/>
              <w:pStyle w:val="Compact"/>
            </w:pPr>
            <w:r>
              <w:rPr>
                <w:sz w:val="20"/>
                <w:szCs w:val="20"/>
              </w:rPr>
              <w:t xml:space="preserve">1.1951</w:t>
            </w:r>
          </w:p>
        </w:tc>
        <w:tc>
          <w:tcPr>
            <w:tcW w:w="0" w:type="auto"/>
          </w:tcPr>
          <w:p>
            <w:pPr>
              <w:spacing w:line="240" w:lineRule="auto" w:before="0" w:after="0"/>
              <w:pStyle w:val="Compact"/>
            </w:pPr>
            <w:r>
              <w:rPr>
                <w:sz w:val="20"/>
                <w:szCs w:val="20"/>
              </w:rPr>
              <w:t xml:space="preserve">-2.4039</w:t>
            </w:r>
          </w:p>
        </w:tc>
        <w:tc>
          <w:tcPr>
            <w:tcW w:w="0" w:type="auto"/>
          </w:tcPr>
          <w:p>
            <w:pPr>
              <w:spacing w:line="240" w:lineRule="auto" w:before="0" w:after="0"/>
              <w:pStyle w:val="Compact"/>
            </w:pPr>
            <w:r>
              <w:rPr>
                <w:sz w:val="20"/>
                <w:szCs w:val="20"/>
              </w:rPr>
              <w:t xml:space="preserve">0.0162</w:t>
            </w:r>
          </w:p>
        </w:tc>
        <w:tc>
          <w:tcPr>
            <w:tcW w:w="0" w:type="auto"/>
          </w:tcPr>
          <w:p>
            <w:pPr>
              <w:spacing w:line="240" w:lineRule="auto" w:before="0" w:after="0"/>
              <w:pStyle w:val="Compact"/>
            </w:pPr>
            <w:r>
              <w:rPr>
                <w:sz w:val="20"/>
                <w:szCs w:val="20"/>
              </w:rPr>
              <w:t xml:space="preserve">[-5.2151, -0.5305]</w:t>
            </w:r>
          </w:p>
        </w:tc>
        <w:tc>
          <w:tcPr>
            <w:tcW w:w="0" w:type="auto"/>
          </w:tcPr>
          <w:p>
            <w:pPr>
              <w:spacing w:line="240" w:lineRule="auto" w:before="0" w:after="0"/>
              <w:pStyle w:val="Compact"/>
            </w:pPr>
            <w:r>
              <w:rPr>
                <w:sz w:val="20"/>
                <w:szCs w:val="20"/>
              </w:rPr>
              <w:t xml:space="preserve">0.0565</w:t>
            </w:r>
          </w:p>
        </w:tc>
      </w:tr>
      <w:tr>
        <w:tc>
          <w:tcPr>
            <w:tcW w:w="0" w:type="auto"/>
          </w:tcPr>
          <w:p>
            <w:pPr>
              <w:spacing w:line="240" w:lineRule="auto" w:before="0" w:after="0"/>
              <w:pStyle w:val="Compact"/>
            </w:pPr>
            <w:r>
              <w:rPr>
                <w:sz w:val="20"/>
                <w:szCs w:val="20"/>
              </w:rPr>
              <w:t xml:space="preserve">civil_aviation_flag</w:t>
            </w:r>
          </w:p>
        </w:tc>
        <w:tc>
          <w:tcPr>
            <w:tcW w:w="0" w:type="auto"/>
          </w:tcPr>
          <w:p>
            <w:pPr>
              <w:spacing w:line="240" w:lineRule="auto" w:before="0" w:after="0"/>
              <w:pStyle w:val="Compact"/>
            </w:pPr>
            <w:r>
              <w:rPr>
                <w:sz w:val="20"/>
                <w:szCs w:val="20"/>
              </w:rPr>
              <w:t xml:space="preserve">-0.6028</w:t>
            </w:r>
          </w:p>
        </w:tc>
        <w:tc>
          <w:tcPr>
            <w:tcW w:w="0" w:type="auto"/>
          </w:tcPr>
          <w:p>
            <w:pPr>
              <w:spacing w:line="240" w:lineRule="auto" w:before="0" w:after="0"/>
              <w:pStyle w:val="Compact"/>
            </w:pPr>
            <w:r>
              <w:rPr>
                <w:sz w:val="20"/>
                <w:szCs w:val="20"/>
              </w:rPr>
              <w:t xml:space="preserve">1.2418</w:t>
            </w:r>
          </w:p>
        </w:tc>
        <w:tc>
          <w:tcPr>
            <w:tcW w:w="0" w:type="auto"/>
          </w:tcPr>
          <w:p>
            <w:pPr>
              <w:spacing w:line="240" w:lineRule="auto" w:before="0" w:after="0"/>
              <w:pStyle w:val="Compact"/>
            </w:pPr>
            <w:r>
              <w:rPr>
                <w:sz w:val="20"/>
                <w:szCs w:val="20"/>
              </w:rPr>
              <w:t xml:space="preserve">-0.4854</w:t>
            </w:r>
          </w:p>
        </w:tc>
        <w:tc>
          <w:tcPr>
            <w:tcW w:w="0" w:type="auto"/>
          </w:tcPr>
          <w:p>
            <w:pPr>
              <w:spacing w:line="240" w:lineRule="auto" w:before="0" w:after="0"/>
              <w:pStyle w:val="Compact"/>
            </w:pPr>
            <w:r>
              <w:rPr>
                <w:sz w:val="20"/>
                <w:szCs w:val="20"/>
              </w:rPr>
              <w:t xml:space="preserve">0.6274</w:t>
            </w:r>
          </w:p>
        </w:tc>
        <w:tc>
          <w:tcPr>
            <w:tcW w:w="0" w:type="auto"/>
          </w:tcPr>
          <w:p>
            <w:pPr>
              <w:spacing w:line="240" w:lineRule="auto" w:before="0" w:after="0"/>
              <w:pStyle w:val="Compact"/>
            </w:pPr>
            <w:r>
              <w:rPr>
                <w:sz w:val="20"/>
                <w:szCs w:val="20"/>
              </w:rPr>
              <w:t xml:space="preserve">[-3.0368, 1.8312]</w:t>
            </w:r>
          </w:p>
        </w:tc>
        <w:tc>
          <w:tcPr>
            <w:tcW w:w="0" w:type="auto"/>
          </w:tcPr>
          <w:p>
            <w:pPr>
              <w:spacing w:line="240" w:lineRule="auto" w:before="0" w:after="0"/>
              <w:pStyle w:val="Compact"/>
            </w:pPr>
            <w:r>
              <w:rPr>
                <w:sz w:val="20"/>
                <w:szCs w:val="20"/>
              </w:rPr>
              <w:t xml:space="preserve">0.5473</w:t>
            </w:r>
          </w:p>
        </w:tc>
      </w:tr>
      <w:tr>
        <w:tc>
          <w:tcPr>
            <w:tcW w:w="0" w:type="auto"/>
          </w:tcPr>
          <w:p>
            <w:pPr>
              <w:spacing w:line="240" w:lineRule="auto" w:before="0" w:after="0"/>
              <w:pStyle w:val="Compact"/>
            </w:pPr>
            <w:r>
              <w:rPr>
                <w:sz w:val="20"/>
                <w:szCs w:val="20"/>
              </w:rPr>
              <w:t xml:space="preserve">reporting_lag_hours</w:t>
            </w:r>
          </w:p>
        </w:tc>
        <w:tc>
          <w:tcPr>
            <w:tcW w:w="0" w:type="auto"/>
          </w:tcPr>
          <w:p>
            <w:pPr>
              <w:spacing w:line="240" w:lineRule="auto" w:before="0" w:after="0"/>
              <w:pStyle w:val="Compact"/>
            </w:pPr>
            <w:r>
              <w:rPr>
                <w:sz w:val="20"/>
                <w:szCs w:val="20"/>
              </w:rPr>
              <w:t xml:space="preserve">2.5034</w:t>
            </w:r>
          </w:p>
        </w:tc>
        <w:tc>
          <w:tcPr>
            <w:tcW w:w="0" w:type="auto"/>
          </w:tcPr>
          <w:p>
            <w:pPr>
              <w:spacing w:line="240" w:lineRule="auto" w:before="0" w:after="0"/>
              <w:pStyle w:val="Compact"/>
            </w:pPr>
            <w:r>
              <w:rPr>
                <w:sz w:val="20"/>
                <w:szCs w:val="20"/>
              </w:rPr>
              <w:t xml:space="preserve">0.9087</w:t>
            </w:r>
          </w:p>
        </w:tc>
        <w:tc>
          <w:tcPr>
            <w:tcW w:w="0" w:type="auto"/>
          </w:tcPr>
          <w:p>
            <w:pPr>
              <w:spacing w:line="240" w:lineRule="auto" w:before="0" w:after="0"/>
              <w:pStyle w:val="Compact"/>
            </w:pPr>
            <w:r>
              <w:rPr>
                <w:sz w:val="20"/>
                <w:szCs w:val="20"/>
              </w:rPr>
              <w:t xml:space="preserve">2.7551</w:t>
            </w:r>
          </w:p>
        </w:tc>
        <w:tc>
          <w:tcPr>
            <w:tcW w:w="0" w:type="auto"/>
          </w:tcPr>
          <w:p>
            <w:pPr>
              <w:spacing w:line="240" w:lineRule="auto" w:before="0" w:after="0"/>
              <w:pStyle w:val="Compact"/>
            </w:pPr>
            <w:r>
              <w:rPr>
                <w:sz w:val="20"/>
                <w:szCs w:val="20"/>
              </w:rPr>
              <w:t xml:space="preserve">0.0059</w:t>
            </w:r>
          </w:p>
        </w:tc>
        <w:tc>
          <w:tcPr>
            <w:tcW w:w="0" w:type="auto"/>
          </w:tcPr>
          <w:p>
            <w:pPr>
              <w:spacing w:line="240" w:lineRule="auto" w:before="0" w:after="0"/>
              <w:pStyle w:val="Compact"/>
            </w:pPr>
            <w:r>
              <w:rPr>
                <w:sz w:val="20"/>
                <w:szCs w:val="20"/>
              </w:rPr>
              <w:t xml:space="preserve">[0.7225, 4.2844]</w:t>
            </w:r>
          </w:p>
        </w:tc>
        <w:tc>
          <w:tcPr>
            <w:tcW w:w="0" w:type="auto"/>
          </w:tcPr>
          <w:p>
            <w:pPr>
              <w:spacing w:line="240" w:lineRule="auto" w:before="0" w:after="0"/>
              <w:pStyle w:val="Compact"/>
            </w:pPr>
            <w:r>
              <w:rPr>
                <w:sz w:val="20"/>
                <w:szCs w:val="20"/>
              </w:rPr>
              <w:t xml:space="preserve">12.2242</w:t>
            </w:r>
          </w:p>
        </w:tc>
      </w:tr>
    </w:tbl>
    <w:p>
      <w:pPr>
        <w:pStyle w:val="BodyText"/>
        <w:spacing w:line="480" w:lineRule="auto"/>
        <w:ind w:firstLine="720"/>
      </w:pPr>
      <w:r>
        <w:t xml:space="preserve">Fit: N = 28 events = 27</w:t>
      </w:r>
    </w:p>
    <w:bookmarkEnd w:id="200"/>
    <w:bookmarkStart w:id="204"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Documented GPS PNT interference event durations against affected footprint (log scale)." title="" id="202" name="Picture"/>
            <a:graphic>
              <a:graphicData uri="http://schemas.openxmlformats.org/drawingml/2006/picture">
                <pic:pic>
                  <pic:nvPicPr>
                    <pic:cNvPr descr="D:/Claude_Code/brain/collegium/candidates/dissertations/SPECTRUM_PNT_04/research_papers/p2/paper_fig1.png" id="203" name="Picture"/>
                    <pic:cNvPicPr>
                      <a:picLocks noChangeArrowheads="1" noChangeAspect="1"/>
                    </pic:cNvPicPr>
                  </pic:nvPicPr>
                  <pic:blipFill>
                    <a:blip r:embed="rId20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Documented GPS PNT interference event durations against affected footprint (log scale).</w:t>
      </w:r>
    </w:p>
    <w:bookmarkEnd w:id="204"/>
    <w:bookmarkStart w:id="205"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event_id</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duration_hours</w:t>
            </w:r>
          </w:p>
        </w:tc>
        <w:tc>
          <w:tcPr>
            <w:tcW w:w="0" w:type="auto"/>
          </w:tcPr>
          <w:p>
            <w:pPr>
              <w:spacing w:line="240" w:lineRule="auto" w:before="0" w:after="0"/>
              <w:pStyle w:val="Compact"/>
            </w:pPr>
            <w:r>
              <w:rPr>
                <w:sz w:val="20"/>
                <w:szCs w:val="20"/>
              </w:rPr>
              <w:t xml:space="preserve">event_resolved</w:t>
            </w:r>
          </w:p>
        </w:tc>
        <w:tc>
          <w:tcPr>
            <w:tcW w:w="0" w:type="auto"/>
          </w:tcPr>
          <w:p>
            <w:pPr>
              <w:spacing w:line="240" w:lineRule="auto" w:before="0" w:after="0"/>
              <w:pStyle w:val="Compact"/>
            </w:pPr>
            <w:r>
              <w:rPr>
                <w:sz w:val="20"/>
                <w:szCs w:val="20"/>
              </w:rPr>
              <w:t xml:space="preserve">severity_idx</w:t>
            </w:r>
          </w:p>
        </w:tc>
        <w:tc>
          <w:tcPr>
            <w:tcW w:w="0" w:type="auto"/>
          </w:tcPr>
          <w:p>
            <w:pPr>
              <w:spacing w:line="240" w:lineRule="auto" w:before="0" w:after="0"/>
              <w:pStyle w:val="Compact"/>
            </w:pPr>
            <w:r>
              <w:rPr>
                <w:sz w:val="20"/>
                <w:szCs w:val="20"/>
              </w:rPr>
              <w:t xml:space="preserve">footprint_log_km2</w:t>
            </w:r>
          </w:p>
        </w:tc>
        <w:tc>
          <w:tcPr>
            <w:tcW w:w="0" w:type="auto"/>
          </w:tcPr>
          <w:p>
            <w:pPr>
              <w:spacing w:line="240" w:lineRule="auto" w:before="0" w:after="0"/>
              <w:pStyle w:val="Compact"/>
            </w:pPr>
            <w:r>
              <w:rPr>
                <w:sz w:val="20"/>
                <w:szCs w:val="20"/>
              </w:rPr>
              <w:t xml:space="preserve">civil_aviation_flag</w:t>
            </w:r>
          </w:p>
        </w:tc>
        <w:tc>
          <w:tcPr>
            <w:tcW w:w="0" w:type="auto"/>
          </w:tcPr>
          <w:p>
            <w:pPr>
              <w:spacing w:line="240" w:lineRule="auto" w:before="0" w:after="0"/>
              <w:pStyle w:val="Compact"/>
            </w:pPr>
            <w:r>
              <w:rPr>
                <w:sz w:val="20"/>
                <w:szCs w:val="20"/>
              </w:rPr>
              <w:t xml:space="preserve">reporting_lag_hours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EVT-2017-BlackSea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C4ADS</w:t>
            </w:r>
            <w:r>
              <w:rPr>
                <w:sz w:val="20"/>
                <w:szCs w:val="20"/>
              </w:rPr>
              <w:t xml:space="preserve"> </w:t>
            </w:r>
            <w:r>
              <w:rPr>
                <w:sz w:val="20"/>
                <w:szCs w:val="20"/>
              </w:rPr>
              <w:t xml:space="preserve">‘17 Above Us Only Stars’</w:t>
            </w:r>
            <w:r>
              <w:rPr>
                <w:sz w:val="20"/>
                <w:szCs w:val="20"/>
              </w:rPr>
              <w:t xml:space="preserve"> </w:t>
            </w:r>
            <w:r>
              <w:rPr>
                <w:sz w:val="20"/>
                <w:szCs w:val="20"/>
              </w:rPr>
              <w:t xml:space="preserve">(Black Sea GNSS spoofing cluster, 2017) [illustrative duration]</w:t>
            </w:r>
          </w:p>
        </w:tc>
      </w:tr>
      <w:tr>
        <w:tc>
          <w:tcPr>
            <w:tcW w:w="0" w:type="auto"/>
          </w:tcPr>
          <w:p>
            <w:pPr>
              <w:spacing w:line="240" w:lineRule="auto" w:before="0" w:after="0"/>
              <w:pStyle w:val="Compact"/>
            </w:pPr>
            <w:r>
              <w:rPr>
                <w:sz w:val="20"/>
                <w:szCs w:val="20"/>
              </w:rPr>
              <w:t xml:space="preserve">EVT-2018-DEN-WSMR</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 White Sands Missile Range GPS testing NOTAM (Jan 2018), Denver-area aviation effects</w:t>
            </w:r>
          </w:p>
        </w:tc>
      </w:tr>
      <w:tr>
        <w:tc>
          <w:tcPr>
            <w:tcW w:w="0" w:type="auto"/>
          </w:tcPr>
          <w:p>
            <w:pPr>
              <w:spacing w:line="240" w:lineRule="auto" w:before="0" w:after="0"/>
              <w:pStyle w:val="Compact"/>
            </w:pPr>
            <w:r>
              <w:rPr>
                <w:sz w:val="20"/>
                <w:szCs w:val="20"/>
              </w:rPr>
              <w:t xml:space="preserve">EVT-2019-IDA-EWR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FAA GPS Interference Reports; USCG NAVCEN GPS Problem Reports 2019</w:t>
            </w:r>
          </w:p>
        </w:tc>
      </w:tr>
      <w:tr>
        <w:tc>
          <w:tcPr>
            <w:tcW w:w="0" w:type="auto"/>
          </w:tcPr>
          <w:p>
            <w:pPr>
              <w:spacing w:line="240" w:lineRule="auto" w:before="0" w:after="0"/>
              <w:pStyle w:val="Compact"/>
            </w:pPr>
            <w:r>
              <w:rPr>
                <w:sz w:val="20"/>
                <w:szCs w:val="20"/>
              </w:rPr>
              <w:t xml:space="preserve">EVT-2019-USCG-006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USCG NAVCEN GPS Problem Report archive 2019 [illustrative duration]</w:t>
            </w:r>
          </w:p>
        </w:tc>
      </w:tr>
      <w:tr>
        <w:tc>
          <w:tcPr>
            <w:tcW w:w="0" w:type="auto"/>
          </w:tcPr>
          <w:p>
            <w:pPr>
              <w:spacing w:line="240" w:lineRule="auto" w:before="0" w:after="0"/>
              <w:pStyle w:val="Compact"/>
            </w:pPr>
            <w:r>
              <w:rPr>
                <w:sz w:val="20"/>
                <w:szCs w:val="20"/>
              </w:rPr>
              <w:t xml:space="preserve">EVT-2020-FAA-Q1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FAA GPS Interference Reports 2020; NAVCEN archive</w:t>
            </w:r>
          </w:p>
        </w:tc>
      </w:tr>
      <w:tr>
        <w:tc>
          <w:tcPr>
            <w:tcW w:w="0" w:type="auto"/>
          </w:tcPr>
          <w:p>
            <w:pPr>
              <w:spacing w:line="240" w:lineRule="auto" w:before="0" w:after="0"/>
              <w:pStyle w:val="Compact"/>
            </w:pPr>
            <w:r>
              <w:rPr>
                <w:sz w:val="20"/>
                <w:szCs w:val="20"/>
              </w:rPr>
              <w:t xml:space="preserve">EVT-2020-USCG-014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USCG NAVCEN GPS Problem Reports 2020</w:t>
            </w:r>
          </w:p>
        </w:tc>
      </w:tr>
      <w:tr>
        <w:tc>
          <w:tcPr>
            <w:tcW w:w="0" w:type="auto"/>
          </w:tcPr>
          <w:p>
            <w:pPr>
              <w:spacing w:line="240" w:lineRule="auto" w:before="0" w:after="0"/>
              <w:pStyle w:val="Compact"/>
            </w:pPr>
            <w:r>
              <w:rPr>
                <w:sz w:val="20"/>
                <w:szCs w:val="20"/>
              </w:rPr>
              <w:t xml:space="preserve">EVT-2021-SE-NAS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Southeast NAS GPS interference reports 2021</w:t>
            </w:r>
          </w:p>
        </w:tc>
      </w:tr>
      <w:tr>
        <w:tc>
          <w:tcPr>
            <w:tcW w:w="0" w:type="auto"/>
          </w:tcPr>
          <w:p>
            <w:pPr>
              <w:spacing w:line="240" w:lineRule="auto" w:before="0" w:after="0"/>
              <w:pStyle w:val="Compact"/>
            </w:pPr>
            <w:r>
              <w:rPr>
                <w:sz w:val="20"/>
                <w:szCs w:val="20"/>
              </w:rPr>
              <w:t xml:space="preserve">EVT-2021-USCG-022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USCG NAVCEN GPS Problem Reports 2021</w:t>
            </w:r>
          </w:p>
        </w:tc>
      </w:tr>
      <w:tr>
        <w:tc>
          <w:tcPr>
            <w:tcW w:w="0" w:type="auto"/>
          </w:tcPr>
          <w:p>
            <w:pPr>
              <w:spacing w:line="240" w:lineRule="auto" w:before="0" w:after="0"/>
              <w:pStyle w:val="Compact"/>
            </w:pPr>
            <w:r>
              <w:rPr>
                <w:sz w:val="20"/>
                <w:szCs w:val="20"/>
              </w:rPr>
              <w:t xml:space="preserve">EVT-2022-DFW</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FAA Dallas-Fort Worth GPS interference event Oct 2022 (NOTAM A0497/22 region) [illustrative magnitude]</w:t>
            </w:r>
          </w:p>
        </w:tc>
      </w:tr>
      <w:tr>
        <w:tc>
          <w:tcPr>
            <w:tcW w:w="0" w:type="auto"/>
          </w:tcPr>
          <w:p>
            <w:pPr>
              <w:spacing w:line="240" w:lineRule="auto" w:before="0" w:after="0"/>
              <w:pStyle w:val="Compact"/>
            </w:pPr>
            <w:r>
              <w:rPr>
                <w:sz w:val="20"/>
                <w:szCs w:val="20"/>
              </w:rPr>
              <w:t xml:space="preserve">EVT-2022-USCG-031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USCG NAVCEN GPS Problem Reports 2022</w:t>
            </w:r>
          </w:p>
        </w:tc>
      </w:tr>
      <w:tr>
        <w:tc>
          <w:tcPr>
            <w:tcW w:w="0" w:type="auto"/>
          </w:tcPr>
          <w:p>
            <w:pPr>
              <w:spacing w:line="240" w:lineRule="auto" w:before="0" w:after="0"/>
              <w:pStyle w:val="Compact"/>
            </w:pPr>
            <w:r>
              <w:rPr>
                <w:sz w:val="20"/>
                <w:szCs w:val="20"/>
              </w:rPr>
              <w:t xml:space="preserve">EVT-2022-NE-PORTS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USCG NAVCEN GPS Problem Reports 2022 northeast ports</w:t>
            </w:r>
          </w:p>
        </w:tc>
      </w:tr>
      <w:tr>
        <w:tc>
          <w:tcPr>
            <w:tcW w:w="0" w:type="auto"/>
          </w:tcPr>
          <w:p>
            <w:pPr>
              <w:spacing w:line="240" w:lineRule="auto" w:before="0" w:after="0"/>
              <w:pStyle w:val="Compact"/>
            </w:pPr>
            <w:r>
              <w:rPr>
                <w:sz w:val="20"/>
                <w:szCs w:val="20"/>
              </w:rPr>
              <w:t xml:space="preserve">EVT-2023-CONUS-A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GPS Interference Reports 2023; GAO-23-106021 NASA/NAS oversight context</w:t>
            </w:r>
          </w:p>
        </w:tc>
      </w:tr>
      <w:tr>
        <w:tc>
          <w:tcPr>
            <w:tcW w:w="0" w:type="auto"/>
          </w:tcPr>
          <w:p>
            <w:pPr>
              <w:spacing w:line="240" w:lineRule="auto" w:before="0" w:after="0"/>
              <w:pStyle w:val="Compact"/>
            </w:pPr>
            <w:r>
              <w:rPr>
                <w:sz w:val="20"/>
                <w:szCs w:val="20"/>
              </w:rPr>
              <w:t xml:space="preserve">EVT-2023-CONUS-B</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FAA GPS Interference Reports 2023</w:t>
            </w:r>
          </w:p>
        </w:tc>
      </w:tr>
      <w:tr>
        <w:tc>
          <w:tcPr>
            <w:tcW w:w="0" w:type="auto"/>
          </w:tcPr>
          <w:p>
            <w:pPr>
              <w:spacing w:line="240" w:lineRule="auto" w:before="0" w:after="0"/>
              <w:pStyle w:val="Compact"/>
            </w:pPr>
            <w:r>
              <w:rPr>
                <w:sz w:val="20"/>
                <w:szCs w:val="20"/>
              </w:rPr>
              <w:t xml:space="preserve">EVT-2023-USCG-040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USCG NAVCEN GPS Problem Reports 2023</w:t>
            </w:r>
          </w:p>
        </w:tc>
      </w:tr>
      <w:tr>
        <w:tc>
          <w:tcPr>
            <w:tcW w:w="0" w:type="auto"/>
          </w:tcPr>
          <w:p>
            <w:pPr>
              <w:spacing w:line="240" w:lineRule="auto" w:before="0" w:after="0"/>
              <w:pStyle w:val="Compact"/>
            </w:pPr>
            <w:r>
              <w:rPr>
                <w:sz w:val="20"/>
                <w:szCs w:val="20"/>
              </w:rPr>
              <w:t xml:space="preserve">EVT-2023-USCG-041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USCG NAVCEN GPS Problem Reports 2023</w:t>
            </w:r>
          </w:p>
        </w:tc>
      </w:tr>
      <w:tr>
        <w:tc>
          <w:tcPr>
            <w:tcW w:w="0" w:type="auto"/>
          </w:tcPr>
          <w:p>
            <w:pPr>
              <w:spacing w:line="240" w:lineRule="auto" w:before="0" w:after="0"/>
              <w:pStyle w:val="Compact"/>
            </w:pPr>
            <w:r>
              <w:rPr>
                <w:sz w:val="20"/>
                <w:szCs w:val="20"/>
              </w:rPr>
              <w:t xml:space="preserve">EVT-2023-AK-TEST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FAA Alaska GPS testing NOTAM 2023 (scheduled multi-day window)</w:t>
            </w:r>
          </w:p>
        </w:tc>
      </w:tr>
      <w:tr>
        <w:tc>
          <w:tcPr>
            <w:tcW w:w="0" w:type="auto"/>
          </w:tcPr>
          <w:p>
            <w:pPr>
              <w:spacing w:line="240" w:lineRule="auto" w:before="0" w:after="0"/>
              <w:pStyle w:val="Compact"/>
            </w:pPr>
            <w:r>
              <w:rPr>
                <w:sz w:val="20"/>
                <w:szCs w:val="20"/>
              </w:rPr>
              <w:t xml:space="preserve">EVT-2024-DEN-MIL</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FAA / DoD GPS testing NOTAM Denver region 2024 [illustrative duration]</w:t>
            </w:r>
          </w:p>
        </w:tc>
      </w:tr>
      <w:tr>
        <w:tc>
          <w:tcPr>
            <w:tcW w:w="0" w:type="auto"/>
          </w:tcPr>
          <w:p>
            <w:pPr>
              <w:spacing w:line="240" w:lineRule="auto" w:before="0" w:after="0"/>
              <w:pStyle w:val="Compact"/>
            </w:pPr>
            <w:r>
              <w:rPr>
                <w:sz w:val="20"/>
                <w:szCs w:val="20"/>
              </w:rPr>
              <w:t xml:space="preserve">EVT-2024-USCG-049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USCG NAVCEN GPS Problem Reports 2024</w:t>
            </w:r>
          </w:p>
        </w:tc>
      </w:tr>
      <w:tr>
        <w:tc>
          <w:tcPr>
            <w:tcW w:w="0" w:type="auto"/>
          </w:tcPr>
          <w:p>
            <w:pPr>
              <w:spacing w:line="240" w:lineRule="auto" w:before="0" w:after="0"/>
              <w:pStyle w:val="Compact"/>
            </w:pPr>
            <w:r>
              <w:rPr>
                <w:sz w:val="20"/>
                <w:szCs w:val="20"/>
              </w:rPr>
              <w:t xml:space="preserve">EVT-2024-USCG-050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USCG NAVCEN GPS Problem Reports 2024</w:t>
            </w:r>
          </w:p>
        </w:tc>
      </w:tr>
      <w:tr>
        <w:tc>
          <w:tcPr>
            <w:tcW w:w="0" w:type="auto"/>
          </w:tcPr>
          <w:p>
            <w:pPr>
              <w:spacing w:line="240" w:lineRule="auto" w:before="0" w:after="0"/>
              <w:pStyle w:val="Compact"/>
            </w:pPr>
            <w:r>
              <w:rPr>
                <w:sz w:val="20"/>
                <w:szCs w:val="20"/>
              </w:rPr>
              <w:t xml:space="preserve">EVT-2024-FL-COAST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FAA Florida coast GPS interference 2024; NAVCEN corroboration</w:t>
            </w:r>
          </w:p>
        </w:tc>
      </w:tr>
      <w:tr>
        <w:tc>
          <w:tcPr>
            <w:tcW w:w="0" w:type="auto"/>
          </w:tcPr>
          <w:p>
            <w:pPr>
              <w:spacing w:line="240" w:lineRule="auto" w:before="0" w:after="0"/>
              <w:pStyle w:val="Compact"/>
            </w:pPr>
            <w:r>
              <w:rPr>
                <w:sz w:val="20"/>
                <w:szCs w:val="20"/>
              </w:rPr>
              <w:t xml:space="preserve">EVT-2024-MEX-BDR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Texas/Mexico border GPS interference reports 2024 [illustrative duration]</w:t>
            </w:r>
          </w:p>
        </w:tc>
      </w:tr>
      <w:tr>
        <w:tc>
          <w:tcPr>
            <w:tcW w:w="0" w:type="auto"/>
          </w:tcPr>
          <w:p>
            <w:pPr>
              <w:spacing w:line="240" w:lineRule="auto" w:before="0" w:after="0"/>
              <w:pStyle w:val="Compact"/>
            </w:pPr>
            <w:r>
              <w:rPr>
                <w:sz w:val="20"/>
                <w:szCs w:val="20"/>
              </w:rPr>
              <w:t xml:space="preserve">EVT-2024-USCG-055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USCG NAVCEN GPS Problem Reports 2024</w:t>
            </w:r>
          </w:p>
        </w:tc>
      </w:tr>
      <w:tr>
        <w:tc>
          <w:tcPr>
            <w:tcW w:w="0" w:type="auto"/>
          </w:tcPr>
          <w:p>
            <w:pPr>
              <w:spacing w:line="240" w:lineRule="auto" w:before="0" w:after="0"/>
              <w:pStyle w:val="Compact"/>
            </w:pPr>
            <w:r>
              <w:rPr>
                <w:sz w:val="20"/>
                <w:szCs w:val="20"/>
              </w:rPr>
              <w:t xml:space="preserve">EVT-2024-NORTHEAST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Northeast NAS GPS interference reports 2024</w:t>
            </w:r>
          </w:p>
        </w:tc>
      </w:tr>
      <w:tr>
        <w:tc>
          <w:tcPr>
            <w:tcW w:w="0" w:type="auto"/>
          </w:tcPr>
          <w:p>
            <w:pPr>
              <w:spacing w:line="240" w:lineRule="auto" w:before="0" w:after="0"/>
              <w:pStyle w:val="Compact"/>
            </w:pPr>
            <w:r>
              <w:rPr>
                <w:sz w:val="20"/>
                <w:szCs w:val="20"/>
              </w:rPr>
              <w:t xml:space="preserve">EVT-2025-CONUS-Q1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FAA GPS Interference Reports Q1 2025; GAO-25-107591 oversight context</w:t>
            </w:r>
          </w:p>
        </w:tc>
      </w:tr>
      <w:tr>
        <w:tc>
          <w:tcPr>
            <w:tcW w:w="0" w:type="auto"/>
          </w:tcPr>
          <w:p>
            <w:pPr>
              <w:spacing w:line="240" w:lineRule="auto" w:before="0" w:after="0"/>
              <w:pStyle w:val="Compact"/>
            </w:pPr>
            <w:r>
              <w:rPr>
                <w:sz w:val="20"/>
                <w:szCs w:val="20"/>
              </w:rPr>
              <w:t xml:space="preserve">EVT-2025-USCG-062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USCG NAVCEN GPS Problem Reports 2025</w:t>
            </w:r>
          </w:p>
        </w:tc>
      </w:tr>
      <w:tr>
        <w:tc>
          <w:tcPr>
            <w:tcW w:w="0" w:type="auto"/>
          </w:tcPr>
          <w:p>
            <w:pPr>
              <w:spacing w:line="240" w:lineRule="auto" w:before="0" w:after="0"/>
              <w:pStyle w:val="Compact"/>
            </w:pPr>
            <w:r>
              <w:rPr>
                <w:sz w:val="20"/>
                <w:szCs w:val="20"/>
              </w:rPr>
              <w:t xml:space="preserve">EVT-2025-USCG-063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USCG NAVCEN GPS Problem Reports 2025</w:t>
            </w:r>
          </w:p>
        </w:tc>
      </w:tr>
      <w:tr>
        <w:tc>
          <w:tcPr>
            <w:tcW w:w="0" w:type="auto"/>
          </w:tcPr>
          <w:p>
            <w:pPr>
              <w:spacing w:line="240" w:lineRule="auto" w:before="0" w:after="0"/>
              <w:pStyle w:val="Compact"/>
            </w:pPr>
            <w:r>
              <w:rPr>
                <w:sz w:val="20"/>
                <w:szCs w:val="20"/>
              </w:rPr>
              <w:t xml:space="preserve">EVT-2025-WEST</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Western NAS GPS interference reports 2025 [illustrative duration]</w:t>
            </w:r>
          </w:p>
        </w:tc>
      </w:tr>
      <w:tr>
        <w:tc>
          <w:tcPr>
            <w:tcW w:w="0" w:type="auto"/>
          </w:tcPr>
          <w:p>
            <w:pPr>
              <w:spacing w:line="240" w:lineRule="auto" w:before="0" w:after="0"/>
              <w:pStyle w:val="Compact"/>
            </w:pPr>
            <w:r>
              <w:rPr>
                <w:sz w:val="20"/>
                <w:szCs w:val="20"/>
              </w:rPr>
              <w:t xml:space="preserve">EVT-2025-ONGOING</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FAA GPS Interference Reports 2025 (censored: ongoing/unresolved at observation window close)</w:t>
            </w:r>
          </w:p>
        </w:tc>
      </w:tr>
    </w:tbl>
    <w:bookmarkEnd w:id="205"/>
    <w:bookmarkStart w:id="206" w:name="variable-construction-3"/>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duration_hours</w:t>
            </w:r>
          </w:p>
        </w:tc>
        <w:tc>
          <w:tcPr>
            <w:tcW w:w="0" w:type="auto"/>
          </w:tcPr>
          <w:p>
            <w:pPr>
              <w:spacing w:line="240" w:lineRule="auto" w:before="0" w:after="0"/>
              <w:pStyle w:val="Compact"/>
            </w:pPr>
            <w:r>
              <w:rPr>
                <w:sz w:val="20"/>
                <w:szCs w:val="20"/>
              </w:rPr>
              <w:t xml:space="preserve">Elapsed time from event onset to confirmed restoration of GPS service in the affected footprint, in hours</w:t>
            </w:r>
          </w:p>
        </w:tc>
        <w:tc>
          <w:tcPr>
            <w:tcW w:w="0" w:type="auto"/>
          </w:tcPr>
          <w:p>
            <w:pPr>
              <w:spacing w:line="240" w:lineRule="auto" w:before="0" w:after="0"/>
              <w:pStyle w:val="Compact"/>
            </w:pPr>
            <w:r>
              <w:rPr>
                <w:sz w:val="20"/>
                <w:szCs w:val="20"/>
              </w:rPr>
              <w:t xml:space="preserve">FAA GPS Interference Reports; USCG NAVCEN GPS Problem Reports</w:t>
            </w:r>
          </w:p>
        </w:tc>
      </w:tr>
      <w:tr>
        <w:tc>
          <w:tcPr>
            <w:tcW w:w="0" w:type="auto"/>
          </w:tcPr>
          <w:p>
            <w:pPr>
              <w:spacing w:line="240" w:lineRule="auto" w:before="0" w:after="0"/>
              <w:pStyle w:val="Compact"/>
            </w:pPr>
            <w:r>
              <w:rPr>
                <w:sz w:val="20"/>
                <w:szCs w:val="20"/>
              </w:rPr>
              <w:t xml:space="preserve">event_resolved</w:t>
            </w:r>
          </w:p>
        </w:tc>
        <w:tc>
          <w:tcPr>
            <w:tcW w:w="0" w:type="auto"/>
          </w:tcPr>
          <w:p>
            <w:pPr>
              <w:spacing w:line="240" w:lineRule="auto" w:before="0" w:after="0"/>
              <w:pStyle w:val="Compact"/>
            </w:pPr>
            <w:r>
              <w:rPr>
                <w:sz w:val="20"/>
                <w:szCs w:val="20"/>
              </w:rPr>
              <w:t xml:space="preserve">1 if event restoration time is observed within the reporting window, 0 if right-censored (ongoing or unknown end)</w:t>
            </w:r>
          </w:p>
        </w:tc>
        <w:tc>
          <w:tcPr>
            <w:tcW w:w="0" w:type="auto"/>
          </w:tcPr>
          <w:p>
            <w:pPr>
              <w:spacing w:line="240" w:lineRule="auto" w:before="0" w:after="0"/>
              <w:pStyle w:val="Compact"/>
            </w:pPr>
            <w:r>
              <w:rPr>
                <w:sz w:val="20"/>
                <w:szCs w:val="20"/>
              </w:rPr>
              <w:t xml:space="preserve">FAA / USCG NAVCEN reporting status field</w:t>
            </w:r>
          </w:p>
        </w:tc>
      </w:tr>
      <w:tr>
        <w:tc>
          <w:tcPr>
            <w:tcW w:w="0" w:type="auto"/>
          </w:tcPr>
          <w:p>
            <w:pPr>
              <w:spacing w:line="240" w:lineRule="auto" w:before="0" w:after="0"/>
              <w:pStyle w:val="Compact"/>
            </w:pPr>
            <w:r>
              <w:rPr>
                <w:sz w:val="20"/>
                <w:szCs w:val="20"/>
              </w:rPr>
              <w:t xml:space="preserve">severity_idx</w:t>
            </w:r>
          </w:p>
        </w:tc>
        <w:tc>
          <w:tcPr>
            <w:tcW w:w="0" w:type="auto"/>
          </w:tcPr>
          <w:p>
            <w:pPr>
              <w:spacing w:line="240" w:lineRule="auto" w:before="0" w:after="0"/>
              <w:pStyle w:val="Compact"/>
            </w:pPr>
            <w:r>
              <w:rPr>
                <w:sz w:val="20"/>
                <w:szCs w:val="20"/>
              </w:rPr>
              <w:t xml:space="preserve">Ordinal severity 1 to 3 mapped from reporter language (1 = localized loss-of-lock; 2 = regional degraded fix; 3 = multi-state or multi-sector disruption)</w:t>
            </w:r>
          </w:p>
        </w:tc>
        <w:tc>
          <w:tcPr>
            <w:tcW w:w="0" w:type="auto"/>
          </w:tcPr>
          <w:p>
            <w:pPr>
              <w:spacing w:line="240" w:lineRule="auto" w:before="0" w:after="0"/>
              <w:pStyle w:val="Compact"/>
            </w:pPr>
            <w:r>
              <w:rPr>
                <w:sz w:val="20"/>
                <w:szCs w:val="20"/>
              </w:rPr>
              <w:t xml:space="preserve">Coded from FAA / NAVCEN narrative fields</w:t>
            </w:r>
          </w:p>
        </w:tc>
      </w:tr>
      <w:tr>
        <w:tc>
          <w:tcPr>
            <w:tcW w:w="0" w:type="auto"/>
          </w:tcPr>
          <w:p>
            <w:pPr>
              <w:spacing w:line="240" w:lineRule="auto" w:before="0" w:after="0"/>
              <w:pStyle w:val="Compact"/>
            </w:pPr>
            <w:r>
              <w:rPr>
                <w:sz w:val="20"/>
                <w:szCs w:val="20"/>
              </w:rPr>
              <w:t xml:space="preserve">footprint_log_km2</w:t>
            </w:r>
          </w:p>
        </w:tc>
        <w:tc>
          <w:tcPr>
            <w:tcW w:w="0" w:type="auto"/>
          </w:tcPr>
          <w:p>
            <w:pPr>
              <w:spacing w:line="240" w:lineRule="auto" w:before="0" w:after="0"/>
              <w:pStyle w:val="Compact"/>
            </w:pPr>
            <w:r>
              <w:rPr>
                <w:sz w:val="20"/>
                <w:szCs w:val="20"/>
              </w:rPr>
              <w:t xml:space="preserve">Natural log of affected geographic footprint in square kilometers</w:t>
            </w:r>
          </w:p>
        </w:tc>
        <w:tc>
          <w:tcPr>
            <w:tcW w:w="0" w:type="auto"/>
          </w:tcPr>
          <w:p>
            <w:pPr>
              <w:spacing w:line="240" w:lineRule="auto" w:before="0" w:after="0"/>
              <w:pStyle w:val="Compact"/>
            </w:pPr>
            <w:r>
              <w:rPr>
                <w:sz w:val="20"/>
                <w:szCs w:val="20"/>
              </w:rPr>
              <w:t xml:space="preserve">FAA NOTAM / NAVCEN footprint annotations</w:t>
            </w:r>
          </w:p>
        </w:tc>
      </w:tr>
      <w:tr>
        <w:tc>
          <w:tcPr>
            <w:tcW w:w="0" w:type="auto"/>
          </w:tcPr>
          <w:p>
            <w:pPr>
              <w:spacing w:line="240" w:lineRule="auto" w:before="0" w:after="0"/>
              <w:pStyle w:val="Compact"/>
            </w:pPr>
            <w:r>
              <w:rPr>
                <w:sz w:val="20"/>
                <w:szCs w:val="20"/>
              </w:rPr>
              <w:t xml:space="preserve">civil_aviation_flag</w:t>
            </w:r>
          </w:p>
        </w:tc>
        <w:tc>
          <w:tcPr>
            <w:tcW w:w="0" w:type="auto"/>
          </w:tcPr>
          <w:p>
            <w:pPr>
              <w:spacing w:line="240" w:lineRule="auto" w:before="0" w:after="0"/>
              <w:pStyle w:val="Compact"/>
            </w:pPr>
            <w:r>
              <w:rPr>
                <w:sz w:val="20"/>
                <w:szCs w:val="20"/>
              </w:rPr>
              <w:t xml:space="preserve">1 if FAA NAS aviation operations were materially affected, 0 otherwise</w:t>
            </w:r>
          </w:p>
        </w:tc>
        <w:tc>
          <w:tcPr>
            <w:tcW w:w="0" w:type="auto"/>
          </w:tcPr>
          <w:p>
            <w:pPr>
              <w:spacing w:line="240" w:lineRule="auto" w:before="0" w:after="0"/>
              <w:pStyle w:val="Compact"/>
            </w:pPr>
            <w:r>
              <w:rPr>
                <w:sz w:val="20"/>
                <w:szCs w:val="20"/>
              </w:rPr>
              <w:t xml:space="preserve">FAA GPS Interference Reports</w:t>
            </w:r>
          </w:p>
        </w:tc>
      </w:tr>
      <w:tr>
        <w:tc>
          <w:tcPr>
            <w:tcW w:w="0" w:type="auto"/>
          </w:tcPr>
          <w:p>
            <w:pPr>
              <w:spacing w:line="240" w:lineRule="auto" w:before="0" w:after="0"/>
              <w:pStyle w:val="Compact"/>
            </w:pPr>
            <w:r>
              <w:rPr>
                <w:sz w:val="20"/>
                <w:szCs w:val="20"/>
              </w:rPr>
              <w:t xml:space="preserve">reporting_lag_hours</w:t>
            </w:r>
          </w:p>
        </w:tc>
        <w:tc>
          <w:tcPr>
            <w:tcW w:w="0" w:type="auto"/>
          </w:tcPr>
          <w:p>
            <w:pPr>
              <w:spacing w:line="240" w:lineRule="auto" w:before="0" w:after="0"/>
              <w:pStyle w:val="Compact"/>
            </w:pPr>
            <w:r>
              <w:rPr>
                <w:sz w:val="20"/>
                <w:szCs w:val="20"/>
              </w:rPr>
              <w:t xml:space="preserve">Hours from event onset to first public report</w:t>
            </w:r>
          </w:p>
        </w:tc>
        <w:tc>
          <w:tcPr>
            <w:tcW w:w="0" w:type="auto"/>
          </w:tcPr>
          <w:p>
            <w:pPr>
              <w:spacing w:line="240" w:lineRule="auto" w:before="0" w:after="0"/>
              <w:pStyle w:val="Compact"/>
            </w:pPr>
            <w:r>
              <w:rPr>
                <w:sz w:val="20"/>
                <w:szCs w:val="20"/>
              </w:rPr>
              <w:t xml:space="preserve">FAA / NAVCEN report metadata</w:t>
            </w:r>
          </w:p>
        </w:tc>
      </w:tr>
    </w:tbl>
    <w:bookmarkEnd w:id="206"/>
    <w:bookmarkEnd w:id="207"/>
    <w:bookmarkEnd w:id="20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3" Type="http://schemas.openxmlformats.org/officeDocument/2006/relationships/image" Target="media/rId193.png"/><Relationship Id="rId201" Type="http://schemas.openxmlformats.org/officeDocument/2006/relationships/image" Target="media/rId201.png"/><Relationship Id="rId158" Type="http://schemas.openxmlformats.org/officeDocument/2006/relationships/hyperlink" Target="https://doi.org/10.1016/j.actaastro.2023.05.022" TargetMode="External"/><Relationship Id="rId177" Type="http://schemas.openxmlformats.org/officeDocument/2006/relationships/hyperlink" Target="https://doi.org/10.1016/j.actaastro.2023.07.014" TargetMode="External"/><Relationship Id="rId181" Type="http://schemas.openxmlformats.org/officeDocument/2006/relationships/hyperlink" Target="https://doi.org/10.1016/j.actaastro.2023.08.013" TargetMode="External"/><Relationship Id="rId189" Type="http://schemas.openxmlformats.org/officeDocument/2006/relationships/hyperlink" Target="https://doi.org/10.1016/j.actaastro.2025.01.048" TargetMode="External"/><Relationship Id="rId156" Type="http://schemas.openxmlformats.org/officeDocument/2006/relationships/hyperlink" Target="https://doi.org/10.1016/j.actaastro.2025.07.004" TargetMode="External"/><Relationship Id="rId187" Type="http://schemas.openxmlformats.org/officeDocument/2006/relationships/hyperlink" Target="https://doi.org/10.1016/j.actaastro.2025.08.001" TargetMode="External"/><Relationship Id="rId175" Type="http://schemas.openxmlformats.org/officeDocument/2006/relationships/hyperlink" Target="https://doi.org/10.1016/j.actaastro.2025.09.089" TargetMode="External"/><Relationship Id="rId183" Type="http://schemas.openxmlformats.org/officeDocument/2006/relationships/hyperlink" Target="https://doi.org/10.1016/j.actaastro.2025.10.065" TargetMode="External"/><Relationship Id="rId185" Type="http://schemas.openxmlformats.org/officeDocument/2006/relationships/hyperlink" Target="https://doi.org/10.1016/j.actaastro.2026.04.003" TargetMode="External"/><Relationship Id="rId179" Type="http://schemas.openxmlformats.org/officeDocument/2006/relationships/hyperlink" Target="https://doi.org/10.1016/j.actaastro.2026.04.046" TargetMode="External"/><Relationship Id="rId173" Type="http://schemas.openxmlformats.org/officeDocument/2006/relationships/hyperlink" Target="https://doi.org/10.64861/AQRG7109" TargetMode="External"/><Relationship Id="rId171" Type="http://schemas.openxmlformats.org/officeDocument/2006/relationships/hyperlink" Target="https://doi.org/10.64861/COAK4355" TargetMode="External"/><Relationship Id="rId166" Type="http://schemas.openxmlformats.org/officeDocument/2006/relationships/hyperlink" Target="https://doi.org/10.64861/MVHC2799" TargetMode="External"/></Relationships>
</file>

<file path=word/_rels/footnotes.xml.rels><?xml version='1.0' encoding='UTF-8' standalone='yes'?>
<Relationships xmlns="http://schemas.openxmlformats.org/package/2006/relationships"><Relationship Id="rId158" Type="http://schemas.openxmlformats.org/officeDocument/2006/relationships/hyperlink" Target="https://doi.org/10.1016/j.actaastro.2023.05.022" TargetMode="External"/><Relationship Id="rId177" Type="http://schemas.openxmlformats.org/officeDocument/2006/relationships/hyperlink" Target="https://doi.org/10.1016/j.actaastro.2023.07.014" TargetMode="External"/><Relationship Id="rId181" Type="http://schemas.openxmlformats.org/officeDocument/2006/relationships/hyperlink" Target="https://doi.org/10.1016/j.actaastro.2023.08.013" TargetMode="External"/><Relationship Id="rId189" Type="http://schemas.openxmlformats.org/officeDocument/2006/relationships/hyperlink" Target="https://doi.org/10.1016/j.actaastro.2025.01.048" TargetMode="External"/><Relationship Id="rId156" Type="http://schemas.openxmlformats.org/officeDocument/2006/relationships/hyperlink" Target="https://doi.org/10.1016/j.actaastro.2025.07.004" TargetMode="External"/><Relationship Id="rId187" Type="http://schemas.openxmlformats.org/officeDocument/2006/relationships/hyperlink" Target="https://doi.org/10.1016/j.actaastro.2025.08.001" TargetMode="External"/><Relationship Id="rId175" Type="http://schemas.openxmlformats.org/officeDocument/2006/relationships/hyperlink" Target="https://doi.org/10.1016/j.actaastro.2025.09.089" TargetMode="External"/><Relationship Id="rId183" Type="http://schemas.openxmlformats.org/officeDocument/2006/relationships/hyperlink" Target="https://doi.org/10.1016/j.actaastro.2025.10.065" TargetMode="External"/><Relationship Id="rId185" Type="http://schemas.openxmlformats.org/officeDocument/2006/relationships/hyperlink" Target="https://doi.org/10.1016/j.actaastro.2026.04.003" TargetMode="External"/><Relationship Id="rId179" Type="http://schemas.openxmlformats.org/officeDocument/2006/relationships/hyperlink" Target="https://doi.org/10.1016/j.actaastro.2026.04.046" TargetMode="External"/><Relationship Id="rId173" Type="http://schemas.openxmlformats.org/officeDocument/2006/relationships/hyperlink" Target="https://doi.org/10.64861/AQRG7109" TargetMode="External"/><Relationship Id="rId171" Type="http://schemas.openxmlformats.org/officeDocument/2006/relationships/hyperlink" Target="https://doi.org/10.64861/COAK4355" TargetMode="External"/><Relationship Id="rId166" Type="http://schemas.openxmlformats.org/officeDocument/2006/relationships/hyperlink" Target="https://doi.org/10.64861/MVHC27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Single Point of Trust: Quantifying the Civil and Economic Exposure to GPS as the Sole National Positioning, Navigation, and Timing Utility</dc:title>
  <dc:creator>Aaron Cho (1B-ITI-129)</dc:creator>
  <cp:keywords/>
  <dcterms:created xsi:type="dcterms:W3CDTF">2026-07-02T17:25:51Z</dcterms:created>
  <dcterms:modified xsi:type="dcterms:W3CDTF">2026-07-02T17:25:51Z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