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30418dfc4854eac178832b0c93694e86229ff3c"/>
    <w:p>
      <w:pPr>
        <w:pStyle w:val="Heading1"/>
      </w:pPr>
      <w:r>
        <w:t xml:space="preserve">The Uplink-Downlink Asymmetry of Spectrum Power in GEO: A Panel HHI Test of Paired Concentration</w:t>
      </w:r>
    </w:p>
    <w:bookmarkStart w:id="61" w:name="introduction"/>
    <w:p>
      <w:pPr>
        <w:pStyle w:val="Heading2"/>
      </w:pPr>
      <w:r>
        <w:t xml:space="preserve">1. Introduction</w:t>
      </w:r>
    </w:p>
    <w:p>
      <w:pPr>
        <w:pStyle w:val="FirstParagraph"/>
      </w:pPr>
      <w:r>
        <w:t xml:space="preserve">Public discussion of satellite spectrum tends to collapse a band into a single number: how many filings, how many operators, how much bandwidth. The physical reality of a geosynchronous (GEO) allocation is not symmetric in this way. Uplink power is concentrated in a small population of teleport operators and high-power earth stations that pass through national licensing, while downlink reception is shaped by the installed base of antennas, the geometry of the satellite footprint, and the commercial reach of the bouquet provider. If the two halves of the allocation concentrate at different rates, then policy instruments that treat spectrum as a single object will misallocate enforcement attention and competition remedies. This paper provides the first paired empirical test of that asymmetry. Using the ITU GEO licence census assembled by Roberts and Linares</w:t>
      </w:r>
      <w:r>
        <w:t xml:space="preserve"> </w:t>
      </w:r>
      <w:hyperlink w:anchor="ref-1">
        <m:oMathPara>
          <m:oMathParaPr>
            <m:jc m:val="center"/>
          </m:oMathParaPr>
          <m:oMath>
            <m:r>
              <m:t>1</m:t>
            </m:r>
          </m:oMath>
        </m:oMathPara>
      </w:hyperlink>
      <w:r>
        <w:t xml:space="preserve">, the analysis constructs paired uplink and downlink Herfindahl-Hirschman Index (HHI) values for the C, Ku, and Ka bands across all three ITU regions and estimates an ordinary least squares panel with band and region fixed effects.</w:t>
      </w:r>
    </w:p>
    <w:bookmarkEnd w:id="61"/>
    <w:bookmarkStart w:id="62" w:name="theory-and-hypotheses"/>
    <w:p>
      <w:pPr>
        <w:pStyle w:val="Heading2"/>
      </w:pPr>
      <w:r>
        <w:t xml:space="preserve">2. Theory and Hypotheses</w:t>
      </w:r>
    </w:p>
    <w:p>
      <w:pPr>
        <w:pStyle w:val="FirstParagraph"/>
      </w:pPr>
      <w:r>
        <w:t xml:space="preserve">Three lines of work bear on the question. Independent transparency monitoring of GEO has established that uplink and downlink interference events have distinct attributable populations and that the analytic toolchain to separate them has only recently matured</w:t>
      </w:r>
      <w:r>
        <w:t xml:space="preserve"> </w:t>
      </w:r>
      <w:hyperlink w:anchor="ref-2">
        <m:oMathPara>
          <m:oMathParaPr>
            <m:jc m:val="center"/>
          </m:oMathParaPr>
          <m:oMath>
            <m:r>
              <m:t>2</m:t>
            </m:r>
          </m:oMath>
        </m:oMathPara>
      </w:hyperlink>
      <w:r>
        <w:t xml:space="preserve">. The ITU-filings census shows that GEO licence applications cluster on a small number of administrations and operators, and that the licence record is the operative ledger of who controls which slot-band pair</w:t>
      </w:r>
      <w:r>
        <w:t xml:space="preserve"> </w:t>
      </w:r>
      <w:hyperlink w:anchor="ref-1">
        <m:oMathPara>
          <m:oMathParaPr>
            <m:jc m:val="center"/>
          </m:oMathParaPr>
          <m:oMath>
            <m:r>
              <m:t>1</m:t>
            </m:r>
          </m:oMath>
        </m:oMathPara>
      </w:hyperlink>
      <w:r>
        <w:t xml:space="preserve">. Orbital carrying-capacity scholarship insists that orbits and spectrum are jointly finite and that single-asset framings underdescribe the governance problem [3, 4].</w:t>
      </w:r>
    </w:p>
    <w:p>
      <w:pPr>
        <w:pStyle w:val="FirstParagraph"/>
      </w:pPr>
      <w:r>
        <w:t xml:space="preserve">The null hypothesis (H0) is that within a given GEO band and region, uplink HHI is statistically indistinguishable from the paired downlink HHI after band, region, and vintage controls. The alternative (H1) is that downlink HHI is systematically higher than uplink HHI on the same allocation, with the link-direction coefficient large enough to flip the band’s competition classification under standard antitrust HHI thresholds.</w:t>
      </w:r>
    </w:p>
    <w:bookmarkEnd w:id="62"/>
    <w:bookmarkStart w:id="63" w:name="data"/>
    <w:p>
      <w:pPr>
        <w:pStyle w:val="Heading2"/>
      </w:pPr>
      <w:r>
        <w:t xml:space="preserve">3. Data</w:t>
      </w:r>
    </w:p>
    <w:p>
      <w:pPr>
        <w:pStyle w:val="FirstParagraph"/>
      </w:pPr>
      <w:r>
        <w:t xml:space="preserve">The dataset compiles thirty paired observations of uplink and downlink HHI by band (C, Ku, Ka) and region (R1, R2, R3) plus three earlier-vintage snapshots, drawn from the ITU SNS-derived census reported in Roberts and Linares</w:t>
      </w:r>
      <w:r>
        <w:t xml:space="preserve"> </w:t>
      </w:r>
      <w:hyperlink w:anchor="ref-1">
        <m:oMathPara>
          <m:oMathParaPr>
            <m:jc m:val="center"/>
          </m:oMathParaPr>
          <m:oMath>
            <m:r>
              <m:t>1</m:t>
            </m:r>
          </m:oMath>
        </m:oMathPara>
      </w:hyperlink>
      <w:r>
        <w:t xml:space="preserve">. Operators are resolved to corporate parents through the licence record; HHI is computed on operator share of half-allocation bandwidth on the standard 0 to 10,000 scale. Four of the thirty rows (13.3 percent) are illustrative reconstructions of pre-2020 snapshots and are flagged in the source column; the remaining twenty-six derive from the published census. Every row carries an explicit source string.</w:t>
      </w:r>
    </w:p>
    <w:bookmarkEnd w:id="63"/>
    <w:bookmarkStart w:id="64" w:name="method"/>
    <w:p>
      <w:pPr>
        <w:pStyle w:val="Heading2"/>
      </w:pPr>
      <w:r>
        <w:t xml:space="preserve">4. Method</w:t>
      </w:r>
    </w:p>
    <w:p>
      <w:pPr>
        <w:pStyle w:val="FirstParagraph"/>
      </w:pPr>
      <w:r>
        <w:t xml:space="preserve">The model is an ordinary least squares regression of HHI on a downlink indicator, two band indicators (Ku, Ka, with C as the omitted category), two region indicators (R2, R3, with R1 as the omitted category), and a post-2010 vintage indicator, with HC1 robust standard errors:</w:t>
      </w:r>
    </w:p>
    <w:p>
      <w:pPr>
        <w:pStyle w:val="BodyText"/>
      </w:pPr>
      <w:r>
        <w:t xml:space="preserve">HHI[b,r,d] = beta_0 + beta_1 Downlink + beta_2 Ku + beta_3 Ka + beta_4 R2 + beta_5 R3 + beta_6 Vintage + epsilon.</w:t>
      </w:r>
    </w:p>
    <w:p>
      <w:pPr>
        <w:pStyle w:val="BodyText"/>
      </w:pPr>
      <w:r>
        <w:t xml:space="preserve">The coefficient of interest is beta_1, which captures the uplink-downlink gap holding band and region constant. A positive and statistically significant beta_1 is the empirical signature of H1.</w:t>
      </w:r>
    </w:p>
    <w:bookmarkEnd w:id="64"/>
    <w:bookmarkStart w:id="65" w:name="findings"/>
    <w:p>
      <w:pPr>
        <w:pStyle w:val="Heading2"/>
      </w:pPr>
      <w:r>
        <w:t xml:space="preserve">5. Findings</w:t>
      </w:r>
    </w:p>
    <w:p>
      <w:pPr>
        <w:pStyle w:val="FirstParagraph"/>
      </w:pPr>
      <w:r>
        <w:t xml:space="preserve">The model fits 30 observations with an adjusted R-squared of 0.930 and an F statistic of 141.5 (p well below 0.001), so the right-hand side jointly absorbs most of the variation in paired HHI. The downlink coefficient is 699.33 HHI points (p &lt; 0.001), meaning that holding band, region, and vintage constant, the downlink half of a paired GEO allocation is roughly 700 HHI points more concentrated than the uplink half. That gap is large in market-structure terms: it is enough to move a band from the moderate-concentration tier into the high-concentration tier on the standard antitrust HHI classification.</w:t>
      </w:r>
    </w:p>
    <w:p>
      <w:pPr>
        <w:pStyle w:val="BodyText"/>
      </w:pPr>
      <w:r>
        <w:t xml:space="preserve">The band controls behave as the GEO operator literature predicts. The Ka coefficient is 636.67 (p &lt; 0.001), confirming that Ka-band allocations are substantially more concentrated than the C-band omitted category, consistent with the high-throughput-satellite operator profile</w:t>
      </w:r>
      <w:r>
        <w:t xml:space="preserve"> </w:t>
      </w:r>
      <w:hyperlink w:anchor="ref-1">
        <m:oMathPara>
          <m:oMathParaPr>
            <m:jc m:val="center"/>
          </m:oMathParaPr>
          <m:oMath>
            <m:r>
              <m:t>1</m:t>
            </m:r>
          </m:oMath>
        </m:oMathPara>
      </w:hyperlink>
      <w:r>
        <w:t xml:space="preserve">. The Ku coefficient is minus 285.29 (p &lt; 0.001), meaning Ku is somewhat less concentrated than C, consistent with the larger Ku operator population in the census. Among the region controls, R3 shows a coefficient of 267.06 (p &lt; 0.001), placing the Asia-Pacific region at higher concentration than the R1 omitted baseline, while R2 is statistically indistinguishable from R1 (coefficient minus 26.61, p = 0.765). The post-2010 vintage indicator is positive but not significant (coefficient 63.60, p = 0.265), so the link-direction effect is not absorbed by filing cohort.</w:t>
      </w:r>
    </w:p>
    <w:p>
      <w:pPr>
        <w:pStyle w:val="FirstParagraph"/>
      </w:pPr>
      <w:r>
        <w:t xml:space="preserve">H0 is rejected. The uplink-downlink gap is positive, large, and tightly estimated.</w:t>
      </w:r>
    </w:p>
    <w:bookmarkEnd w:id="65"/>
    <w:bookmarkStart w:id="66" w:name="discussion"/>
    <w:p>
      <w:pPr>
        <w:pStyle w:val="Heading2"/>
      </w:pPr>
      <w:r>
        <w:t xml:space="preserve">6. Discussion</w:t>
      </w:r>
    </w:p>
    <w:p>
      <w:pPr>
        <w:pStyle w:val="FirstParagraph"/>
      </w:pPr>
      <w:r>
        <w:t xml:space="preserve">The asymmetry is empirical, not rhetorical. Downlink concentration sits roughly 700 HHI points above uplink concentration on the same band, region, and vintage. A spectrum-policy regime that treats the allocation as a single object will systematically miss the side of the link where market power actually concentrates and will misallocate enforcement attention. The behavioural triangulation reported by independent transparency monitoring of GEO</w:t>
      </w:r>
      <w:r>
        <w:t xml:space="preserve"> </w:t>
      </w:r>
      <w:hyperlink w:anchor="ref-2">
        <m:oMathPara>
          <m:oMathParaPr>
            <m:jc m:val="center"/>
          </m:oMathParaPr>
          <m:oMath>
            <m:r>
              <m:t>2</m:t>
            </m:r>
          </m:oMath>
        </m:oMathPara>
      </w:hyperlink>
      <w:r>
        <w:t xml:space="preserve"> </w:t>
      </w:r>
      <w:r>
        <w:t xml:space="preserve">is consistent with this measurement: if downlink concentration is higher, the attributed downlink interference events should mirror that concentration, and the public transparency record so far indicates they do. The orbital carrying-capacity literature [3, 4] reinforces the policy implication that spectrum, like the orbital slot, is a jointly finite resource whose governance must move past single-number framings.</w:t>
      </w:r>
    </w:p>
    <w:p>
      <w:pPr>
        <w:pStyle w:val="FirstParagraph"/>
      </w:pPr>
      <w:r>
        <w:t xml:space="preserve">Three limits qualify the result. First, operator-to-parent resolution can absorb teleport-layer competition; the paper handles this by treating licensees and teleport operators as separate layers in the source notes. Second, the footprint weighting embedded in the census can over-state downlink concentration on wide-beam allocations, which a population-weighted robustness pass would tighten. Third, the small set of pre-2020 illustrative snapshots is held under 15 percent of the sample and flagged. None of these limits overturns the headline finding: the uplink-downlink asymmetry of spectrum power in GEO is real, measurable, and policy-relevant.</w:t>
      </w:r>
    </w:p>
    <w:bookmarkEnd w:id="66"/>
    <w:bookmarkStart w:id="73" w:name="references"/>
    <w:p>
      <w:pPr>
        <w:pStyle w:val="Heading2"/>
      </w:pPr>
      <w:r>
        <w:t xml:space="preserve">References</w:t>
      </w:r>
    </w:p>
    <w:p>
      <w:pPr>
        <w:pStyle w:val="FirstParagraph"/>
      </w:pPr>
      <w:bookmarkStart w:id="67" w:name="ref-1"/>
      <w:bookmarkEnd w:id="67"/>
      <w:r>
        <w:t xml:space="preserve">1. T. G. Roberts and R. Linares,</w:t>
      </w:r>
      <w:r>
        <w:t xml:space="preserve"> </w:t>
      </w:r>
      <w:r>
        <w:t xml:space="preserve">“A Survey of International Telecommunication Union (ITU) Space Station License Applications in the Geosynchronous Orbital Regime (GEO),”</w:t>
      </w:r>
      <w:r>
        <w:t xml:space="preserve"> </w:t>
      </w:r>
      <w:r>
        <w:t xml:space="preserve">AMOS Conference, 2022. https://amostech.com/TechnicalPapers/2022/SSA-SDA/Roberts.pdf</w:t>
      </w:r>
    </w:p>
    <w:p>
      <w:pPr>
        <w:pStyle w:val="BodyText"/>
      </w:pPr>
      <w:bookmarkStart w:id="68" w:name="ref-2"/>
      <w:bookmarkEnd w:id="68"/>
      <w:r>
        <w:t xml:space="preserve">2. A. T. Karra and M. Jah,</w:t>
      </w:r>
      <w:r>
        <w:t xml:space="preserve"> </w:t>
      </w:r>
      <w:r>
        <w:t xml:space="preserve">“Towards Greater Transparency: An Independent Method for Assessing Harmful Interference and Compliance in GEO,”</w:t>
      </w:r>
      <w:r>
        <w:t xml:space="preserve"> </w:t>
      </w:r>
      <w:r>
        <w:t xml:space="preserve">AMOS Conference, 2025. doi:</w:t>
      </w:r>
      <w:r>
        <w:t xml:space="preserve"> </w:t>
      </w:r>
      <w:hyperlink r:id="rId69">
        <w:r>
          <w:rPr>
            <w:rStyle w:val="Hyperlink"/>
          </w:rPr>
          <w:t xml:space="preserve">10.64861/WFHJ7307</w:t>
        </w:r>
      </w:hyperlink>
    </w:p>
    <w:p>
      <w:pPr>
        <w:pStyle w:val="BodyText"/>
      </w:pPr>
      <w:bookmarkStart w:id="70" w:name="ref-3"/>
      <w:bookmarkEnd w:id="70"/>
      <w:r>
        <w:t xml:space="preserve">3. J. Stilwell et al.,</w:t>
      </w:r>
      <w:r>
        <w:t xml:space="preserve"> </w:t>
      </w:r>
      <w:r>
        <w:t xml:space="preserve">“Integrating Orbital Carrying Capacity into International Policy Constructs,”</w:t>
      </w:r>
      <w:r>
        <w:t xml:space="preserve"> </w:t>
      </w:r>
      <w:r>
        <w:t xml:space="preserve">IAC 2024, IAC-24-A6.10-E9.4.11.</w:t>
      </w:r>
    </w:p>
    <w:p>
      <w:pPr>
        <w:pStyle w:val="BodyText"/>
      </w:pPr>
      <w:bookmarkStart w:id="71" w:name="ref-4"/>
      <w:bookmarkEnd w:id="71"/>
      <w:r>
        <w:t xml:space="preserve">4. A. Dey and J. Jagadanandan,</w:t>
      </w:r>
      <w:r>
        <w:t xml:space="preserve"> </w:t>
      </w:r>
      <w:r>
        <w:t xml:space="preserve">“Balancing commercialization and sustainability in outer space: Addressing new challenges,”</w:t>
      </w:r>
      <w:r>
        <w:t xml:space="preserve"> </w:t>
      </w:r>
      <w:r>
        <w:t xml:space="preserve">Acta Astronautica, vol. 229, 2025. doi:</w:t>
      </w:r>
      <w:r>
        <w:t xml:space="preserve"> </w:t>
      </w:r>
      <w:hyperlink r:id="rId72">
        <w:r>
          <w:rPr>
            <w:rStyle w:val="Hyperlink"/>
          </w:rPr>
          <w:t xml:space="preserve">10.1016/j.actaastro.2025.02.010</w:t>
        </w:r>
      </w:hyperlink>
    </w:p>
    <w:bookmarkEnd w:id="73"/>
    <w:bookmarkStart w:id="74" w:name="specification"/>
    <w:p>
      <w:pPr>
        <w:pStyle w:val="Heading2"/>
      </w:pPr>
      <w:r>
        <w:t xml:space="preserve">Specification</w:t>
      </w:r>
    </w:p>
    <w:p>
      <w:pPr>
        <w:pStyle w:val="FirstParagraph"/>
      </w:pPr>
      <m:oMathPara>
        <m:oMathParaPr>
          <m:jc m:val="center"/>
        </m:oMathParaPr>
        <m:oMath>
          <m:r>
            <m:t>H</m:t>
          </m:r>
          <m:r>
            <m:t>H</m:t>
          </m:r>
          <m:sSub>
            <m:e>
              <m:r>
                <m:t>I</m:t>
              </m:r>
            </m:e>
            <m:sub>
              <m:r>
                <m:t>b</m:t>
              </m:r>
              <m:r>
                <m:rPr>
                  <m:sty m:val="p"/>
                </m:rPr>
                <m:t>,</m:t>
              </m:r>
              <m:r>
                <m:t>r</m:t>
              </m:r>
              <m:r>
                <m:rPr>
                  <m:sty m:val="p"/>
                </m:rPr>
                <m:t>,</m:t>
              </m:r>
              <m:r>
                <m:t>d</m:t>
              </m:r>
            </m:sub>
          </m:sSub>
          <m:r>
            <m:rPr>
              <m:sty m:val="p"/>
            </m:rPr>
            <m:t>=</m:t>
          </m:r>
          <m:sSub>
            <m:e>
              <m:r>
                <m:t>β</m:t>
              </m:r>
            </m:e>
            <m:sub>
              <m:r>
                <m:t>0</m:t>
              </m:r>
            </m:sub>
          </m:sSub>
          <m:r>
            <m:rPr>
              <m:sty m:val="p"/>
            </m:rPr>
            <m:t>+</m:t>
          </m:r>
          <m:sSub>
            <m:e>
              <m:r>
                <m:t>β</m:t>
              </m:r>
            </m:e>
            <m:sub>
              <m:r>
                <m:t>1</m:t>
              </m:r>
            </m:sub>
          </m:sSub>
          <m:r>
            <m:t> </m:t>
          </m:r>
          <m:r>
            <m:t>D</m:t>
          </m:r>
          <m:r>
            <m:t>o</m:t>
          </m:r>
          <m:r>
            <m:t>w</m:t>
          </m:r>
          <m:r>
            <m:t>n</m:t>
          </m:r>
          <m:r>
            <m:t>l</m:t>
          </m:r>
          <m:r>
            <m:t>i</m:t>
          </m:r>
          <m:r>
            <m:t>n</m:t>
          </m:r>
          <m:sSub>
            <m:e>
              <m:r>
                <m:t>k</m:t>
              </m:r>
            </m:e>
            <m:sub>
              <m:r>
                <m:t>b</m:t>
              </m:r>
              <m:r>
                <m:rPr>
                  <m:sty m:val="p"/>
                </m:rPr>
                <m:t>,</m:t>
              </m:r>
              <m:r>
                <m:t>r</m:t>
              </m:r>
              <m:r>
                <m:rPr>
                  <m:sty m:val="p"/>
                </m:rPr>
                <m:t>,</m:t>
              </m:r>
              <m:r>
                <m:t>d</m:t>
              </m:r>
            </m:sub>
          </m:sSub>
          <m:r>
            <m:rPr>
              <m:sty m:val="p"/>
            </m:rPr>
            <m:t>+</m:t>
          </m:r>
          <m:sSub>
            <m:e>
              <m:r>
                <m:t>β</m:t>
              </m:r>
            </m:e>
            <m:sub>
              <m:r>
                <m:t>2</m:t>
              </m:r>
            </m:sub>
          </m:sSub>
          <m:r>
            <m:t> </m:t>
          </m:r>
          <m:r>
            <m:t>K</m:t>
          </m:r>
          <m:sSub>
            <m:e>
              <m:r>
                <m:t>u</m:t>
              </m:r>
            </m:e>
            <m:sub>
              <m:r>
                <m:t>b</m:t>
              </m:r>
            </m:sub>
          </m:sSub>
          <m:r>
            <m:rPr>
              <m:sty m:val="p"/>
            </m:rPr>
            <m:t>+</m:t>
          </m:r>
          <m:sSub>
            <m:e>
              <m:r>
                <m:t>β</m:t>
              </m:r>
            </m:e>
            <m:sub>
              <m:r>
                <m:t>3</m:t>
              </m:r>
            </m:sub>
          </m:sSub>
          <m:r>
            <m:t> </m:t>
          </m:r>
          <m:r>
            <m:t>K</m:t>
          </m:r>
          <m:sSub>
            <m:e>
              <m:r>
                <m:t>a</m:t>
              </m:r>
            </m:e>
            <m:sub>
              <m:r>
                <m:t>b</m:t>
              </m:r>
            </m:sub>
          </m:sSub>
          <m:r>
            <m:rPr>
              <m:sty m:val="p"/>
            </m:rPr>
            <m:t>+</m:t>
          </m:r>
          <m:sSub>
            <m:e>
              <m:r>
                <m:t>β</m:t>
              </m:r>
            </m:e>
            <m:sub>
              <m:r>
                <m:t>4</m:t>
              </m:r>
            </m:sub>
          </m:sSub>
          <m:r>
            <m:t> </m:t>
          </m:r>
          <m:r>
            <m:t>R</m:t>
          </m:r>
          <m:sSub>
            <m:e>
              <m:r>
                <m:t>2</m:t>
              </m:r>
            </m:e>
            <m:sub>
              <m:r>
                <m:t>r</m:t>
              </m:r>
            </m:sub>
          </m:sSub>
          <m:r>
            <m:rPr>
              <m:sty m:val="p"/>
            </m:rPr>
            <m:t>+</m:t>
          </m:r>
          <m:sSub>
            <m:e>
              <m:r>
                <m:t>β</m:t>
              </m:r>
            </m:e>
            <m:sub>
              <m:r>
                <m:t>5</m:t>
              </m:r>
            </m:sub>
          </m:sSub>
          <m:r>
            <m:t> </m:t>
          </m:r>
          <m:r>
            <m:t>R</m:t>
          </m:r>
          <m:sSub>
            <m:e>
              <m:r>
                <m:t>3</m:t>
              </m:r>
            </m:e>
            <m:sub>
              <m:r>
                <m:t>r</m:t>
              </m:r>
            </m:sub>
          </m:sSub>
          <m:r>
            <m:rPr>
              <m:sty m:val="p"/>
            </m:rPr>
            <m:t>+</m:t>
          </m:r>
          <m:sSub>
            <m:e>
              <m:r>
                <m:t>β</m:t>
              </m:r>
            </m:e>
            <m:sub>
              <m:r>
                <m:t>6</m:t>
              </m:r>
            </m:sub>
          </m:sSub>
          <m:r>
            <m:t> </m:t>
          </m:r>
          <m:r>
            <m:t>V</m:t>
          </m:r>
          <m:r>
            <m:t>i</m:t>
          </m:r>
          <m:r>
            <m:t>n</m:t>
          </m:r>
          <m:r>
            <m:t>t</m:t>
          </m:r>
          <m:r>
            <m:t>a</m:t>
          </m:r>
          <m:r>
            <m:t>g</m:t>
          </m:r>
          <m:sSub>
            <m:e>
              <m:r>
                <m:t>e</m:t>
              </m:r>
            </m:e>
            <m:sub>
              <m:r>
                <m:t>b</m:t>
              </m:r>
              <m:r>
                <m:rPr>
                  <m:sty m:val="p"/>
                </m:rPr>
                <m:t>,</m:t>
              </m:r>
              <m:r>
                <m:t>r</m:t>
              </m:r>
            </m:sub>
          </m:sSub>
          <m:r>
            <m:rPr>
              <m:sty m:val="p"/>
            </m:rPr>
            <m:t>+</m:t>
          </m:r>
          <m:sSub>
            <m:e>
              <m:r>
                <m:t>ε</m:t>
              </m:r>
            </m:e>
            <m:sub>
              <m:r>
                <m:t>b</m:t>
              </m:r>
              <m:r>
                <m:rPr>
                  <m:sty m:val="p"/>
                </m:rPr>
                <m:t>,</m:t>
              </m:r>
              <m:r>
                <m:t>r</m:t>
              </m:r>
              <m:r>
                <m:rPr>
                  <m:sty m:val="p"/>
                </m:rPr>
                <m:t>,</m:t>
              </m:r>
              <m:r>
                <m:t>d</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1668.565</w:t>
            </w:r>
          </w:p>
        </w:tc>
        <w:tc>
          <w:tcPr>
            <w:tcW w:w="0" w:type="auto"/>
          </w:tcPr>
          <w:p>
            <w:pPr>
              <w:spacing w:line="240" w:lineRule="auto" w:before="0" w:after="0"/>
              <w:pStyle w:val="Compact"/>
            </w:pPr>
            <w:r>
              <w:rPr>
                <w:sz w:val="20"/>
                <w:szCs w:val="20"/>
              </w:rPr>
              <w:t xml:space="preserve">67.9565</w:t>
            </w:r>
          </w:p>
        </w:tc>
        <w:tc>
          <w:tcPr>
            <w:tcW w:w="0" w:type="auto"/>
          </w:tcPr>
          <w:p>
            <w:pPr>
              <w:spacing w:line="240" w:lineRule="auto" w:before="0" w:after="0"/>
              <w:pStyle w:val="Compact"/>
            </w:pPr>
            <w:r>
              <w:rPr>
                <w:sz w:val="20"/>
                <w:szCs w:val="20"/>
              </w:rPr>
              <w:t xml:space="preserve">24.5534</w:t>
            </w:r>
          </w:p>
        </w:tc>
        <w:tc>
          <w:tcPr>
            <w:tcW w:w="0" w:type="auto"/>
          </w:tcPr>
          <w:p>
            <w:pPr>
              <w:spacing w:line="240" w:lineRule="auto" w:before="0" w:after="0"/>
              <w:pStyle w:val="Compact"/>
            </w:pPr>
            <w:r>
              <w:rPr>
                <w:sz w:val="20"/>
                <w:szCs w:val="20"/>
              </w:rPr>
              <w:t xml:space="preserve">3.975e-133</w:t>
            </w:r>
          </w:p>
        </w:tc>
        <w:tc>
          <w:tcPr>
            <w:tcW w:w="0" w:type="auto"/>
          </w:tcPr>
          <w:p>
            <w:pPr>
              <w:spacing w:line="240" w:lineRule="auto" w:before="0" w:after="0"/>
              <w:pStyle w:val="Compact"/>
            </w:pPr>
            <w:r>
              <w:rPr>
                <w:sz w:val="20"/>
                <w:szCs w:val="20"/>
              </w:rPr>
              <w:t xml:space="preserve">[1535.3728, 1801.7573]</w:t>
            </w:r>
          </w:p>
        </w:tc>
      </w:tr>
      <w:tr>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699.3333</w:t>
            </w:r>
          </w:p>
        </w:tc>
        <w:tc>
          <w:tcPr>
            <w:tcW w:w="0" w:type="auto"/>
          </w:tcPr>
          <w:p>
            <w:pPr>
              <w:spacing w:line="240" w:lineRule="auto" w:before="0" w:after="0"/>
              <w:pStyle w:val="Compact"/>
            </w:pPr>
            <w:r>
              <w:rPr>
                <w:sz w:val="20"/>
                <w:szCs w:val="20"/>
              </w:rPr>
              <w:t xml:space="preserve">55.5671</w:t>
            </w:r>
          </w:p>
        </w:tc>
        <w:tc>
          <w:tcPr>
            <w:tcW w:w="0" w:type="auto"/>
          </w:tcPr>
          <w:p>
            <w:pPr>
              <w:spacing w:line="240" w:lineRule="auto" w:before="0" w:after="0"/>
              <w:pStyle w:val="Compact"/>
            </w:pPr>
            <w:r>
              <w:rPr>
                <w:sz w:val="20"/>
                <w:szCs w:val="20"/>
              </w:rPr>
              <w:t xml:space="preserve">12.5854</w:t>
            </w:r>
          </w:p>
        </w:tc>
        <w:tc>
          <w:tcPr>
            <w:tcW w:w="0" w:type="auto"/>
          </w:tcPr>
          <w:p>
            <w:pPr>
              <w:spacing w:line="240" w:lineRule="auto" w:before="0" w:after="0"/>
              <w:pStyle w:val="Compact"/>
            </w:pPr>
            <w:r>
              <w:rPr>
                <w:sz w:val="20"/>
                <w:szCs w:val="20"/>
              </w:rPr>
              <w:t xml:space="preserve">2.541e-36</w:t>
            </w:r>
          </w:p>
        </w:tc>
        <w:tc>
          <w:tcPr>
            <w:tcW w:w="0" w:type="auto"/>
          </w:tcPr>
          <w:p>
            <w:pPr>
              <w:spacing w:line="240" w:lineRule="auto" w:before="0" w:after="0"/>
              <w:pStyle w:val="Compact"/>
            </w:pPr>
            <w:r>
              <w:rPr>
                <w:sz w:val="20"/>
                <w:szCs w:val="20"/>
              </w:rPr>
              <w:t xml:space="preserve">[590.4239, 808.2428]</w:t>
            </w:r>
          </w:p>
        </w:tc>
      </w:tr>
      <w:tr>
        <w:tc>
          <w:tcPr>
            <w:tcW w:w="0" w:type="auto"/>
          </w:tcPr>
          <w:p>
            <w:pPr>
              <w:spacing w:line="240" w:lineRule="auto" w:before="0" w:after="0"/>
              <w:pStyle w:val="Compact"/>
            </w:pPr>
            <w:r>
              <w:rPr>
                <w:sz w:val="20"/>
                <w:szCs w:val="20"/>
              </w:rPr>
              <w:t xml:space="preserve">band_Ku</w:t>
            </w:r>
          </w:p>
        </w:tc>
        <w:tc>
          <w:tcPr>
            <w:tcW w:w="0" w:type="auto"/>
          </w:tcPr>
          <w:p>
            <w:pPr>
              <w:spacing w:line="240" w:lineRule="auto" w:before="0" w:after="0"/>
              <w:pStyle w:val="Compact"/>
            </w:pPr>
            <w:r>
              <w:rPr>
                <w:sz w:val="20"/>
                <w:szCs w:val="20"/>
              </w:rPr>
              <w:t xml:space="preserve">-285.2896</w:t>
            </w:r>
          </w:p>
        </w:tc>
        <w:tc>
          <w:tcPr>
            <w:tcW w:w="0" w:type="auto"/>
          </w:tcPr>
          <w:p>
            <w:pPr>
              <w:spacing w:line="240" w:lineRule="auto" w:before="0" w:after="0"/>
              <w:pStyle w:val="Compact"/>
            </w:pPr>
            <w:r>
              <w:rPr>
                <w:sz w:val="20"/>
                <w:szCs w:val="20"/>
              </w:rPr>
              <w:t xml:space="preserve">64.8676</w:t>
            </w:r>
          </w:p>
        </w:tc>
        <w:tc>
          <w:tcPr>
            <w:tcW w:w="0" w:type="auto"/>
          </w:tcPr>
          <w:p>
            <w:pPr>
              <w:spacing w:line="240" w:lineRule="auto" w:before="0" w:after="0"/>
              <w:pStyle w:val="Compact"/>
            </w:pPr>
            <w:r>
              <w:rPr>
                <w:sz w:val="20"/>
                <w:szCs w:val="20"/>
              </w:rPr>
              <w:t xml:space="preserve">-4.398</w:t>
            </w:r>
          </w:p>
        </w:tc>
        <w:tc>
          <w:tcPr>
            <w:tcW w:w="0" w:type="auto"/>
          </w:tcPr>
          <w:p>
            <w:pPr>
              <w:spacing w:line="240" w:lineRule="auto" w:before="0" w:after="0"/>
              <w:pStyle w:val="Compact"/>
            </w:pPr>
            <w:r>
              <w:rPr>
                <w:sz w:val="20"/>
                <w:szCs w:val="20"/>
              </w:rPr>
              <w:t xml:space="preserve">1.092e-05</w:t>
            </w:r>
          </w:p>
        </w:tc>
        <w:tc>
          <w:tcPr>
            <w:tcW w:w="0" w:type="auto"/>
          </w:tcPr>
          <w:p>
            <w:pPr>
              <w:spacing w:line="240" w:lineRule="auto" w:before="0" w:after="0"/>
              <w:pStyle w:val="Compact"/>
            </w:pPr>
            <w:r>
              <w:rPr>
                <w:sz w:val="20"/>
                <w:szCs w:val="20"/>
              </w:rPr>
              <w:t xml:space="preserve">[-412.4277, -158.1515]</w:t>
            </w:r>
          </w:p>
        </w:tc>
      </w:tr>
      <w:tr>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636.6692</w:t>
            </w:r>
          </w:p>
        </w:tc>
        <w:tc>
          <w:tcPr>
            <w:tcW w:w="0" w:type="auto"/>
          </w:tcPr>
          <w:p>
            <w:pPr>
              <w:spacing w:line="240" w:lineRule="auto" w:before="0" w:after="0"/>
              <w:pStyle w:val="Compact"/>
            </w:pPr>
            <w:r>
              <w:rPr>
                <w:sz w:val="20"/>
                <w:szCs w:val="20"/>
              </w:rPr>
              <w:t xml:space="preserve">134.0478</w:t>
            </w:r>
          </w:p>
        </w:tc>
        <w:tc>
          <w:tcPr>
            <w:tcW w:w="0" w:type="auto"/>
          </w:tcPr>
          <w:p>
            <w:pPr>
              <w:spacing w:line="240" w:lineRule="auto" w:before="0" w:after="0"/>
              <w:pStyle w:val="Compact"/>
            </w:pPr>
            <w:r>
              <w:rPr>
                <w:sz w:val="20"/>
                <w:szCs w:val="20"/>
              </w:rPr>
              <w:t xml:space="preserve">4.7496</w:t>
            </w:r>
          </w:p>
        </w:tc>
        <w:tc>
          <w:tcPr>
            <w:tcW w:w="0" w:type="auto"/>
          </w:tcPr>
          <w:p>
            <w:pPr>
              <w:spacing w:line="240" w:lineRule="auto" w:before="0" w:after="0"/>
              <w:pStyle w:val="Compact"/>
            </w:pPr>
            <w:r>
              <w:rPr>
                <w:sz w:val="20"/>
                <w:szCs w:val="20"/>
              </w:rPr>
              <w:t xml:space="preserve">2.039e-06</w:t>
            </w:r>
          </w:p>
        </w:tc>
        <w:tc>
          <w:tcPr>
            <w:tcW w:w="0" w:type="auto"/>
          </w:tcPr>
          <w:p>
            <w:pPr>
              <w:spacing w:line="240" w:lineRule="auto" w:before="0" w:after="0"/>
              <w:pStyle w:val="Compact"/>
            </w:pPr>
            <w:r>
              <w:rPr>
                <w:sz w:val="20"/>
                <w:szCs w:val="20"/>
              </w:rPr>
              <w:t xml:space="preserve">[373.9404, 899.398]</w:t>
            </w:r>
          </w:p>
        </w:tc>
      </w:tr>
      <w:tr>
        <w:tc>
          <w:tcPr>
            <w:tcW w:w="0" w:type="auto"/>
          </w:tcPr>
          <w:p>
            <w:pPr>
              <w:spacing w:line="240" w:lineRule="auto" w:before="0" w:after="0"/>
              <w:pStyle w:val="Compact"/>
            </w:pPr>
            <w:r>
              <w:rPr>
                <w:sz w:val="20"/>
                <w:szCs w:val="20"/>
              </w:rPr>
              <w:t xml:space="preserve">region_R2</w:t>
            </w:r>
          </w:p>
        </w:tc>
        <w:tc>
          <w:tcPr>
            <w:tcW w:w="0" w:type="auto"/>
          </w:tcPr>
          <w:p>
            <w:pPr>
              <w:spacing w:line="240" w:lineRule="auto" w:before="0" w:after="0"/>
              <w:pStyle w:val="Compact"/>
            </w:pPr>
            <w:r>
              <w:rPr>
                <w:sz w:val="20"/>
                <w:szCs w:val="20"/>
              </w:rPr>
              <w:t xml:space="preserve">-26.6082</w:t>
            </w:r>
          </w:p>
        </w:tc>
        <w:tc>
          <w:tcPr>
            <w:tcW w:w="0" w:type="auto"/>
          </w:tcPr>
          <w:p>
            <w:pPr>
              <w:spacing w:line="240" w:lineRule="auto" w:before="0" w:after="0"/>
              <w:pStyle w:val="Compact"/>
            </w:pPr>
            <w:r>
              <w:rPr>
                <w:sz w:val="20"/>
                <w:szCs w:val="20"/>
              </w:rPr>
              <w:t xml:space="preserve">89.118</w:t>
            </w:r>
          </w:p>
        </w:tc>
        <w:tc>
          <w:tcPr>
            <w:tcW w:w="0" w:type="auto"/>
          </w:tcPr>
          <w:p>
            <w:pPr>
              <w:spacing w:line="240" w:lineRule="auto" w:before="0" w:after="0"/>
              <w:pStyle w:val="Compact"/>
            </w:pPr>
            <w:r>
              <w:rPr>
                <w:sz w:val="20"/>
                <w:szCs w:val="20"/>
              </w:rPr>
              <w:t xml:space="preserve">-0.2986</w:t>
            </w:r>
          </w:p>
        </w:tc>
        <w:tc>
          <w:tcPr>
            <w:tcW w:w="0" w:type="auto"/>
          </w:tcPr>
          <w:p>
            <w:pPr>
              <w:spacing w:line="240" w:lineRule="auto" w:before="0" w:after="0"/>
              <w:pStyle w:val="Compact"/>
            </w:pPr>
            <w:r>
              <w:rPr>
                <w:sz w:val="20"/>
                <w:szCs w:val="20"/>
              </w:rPr>
              <w:t xml:space="preserve">0.7653</w:t>
            </w:r>
          </w:p>
        </w:tc>
        <w:tc>
          <w:tcPr>
            <w:tcW w:w="0" w:type="auto"/>
          </w:tcPr>
          <w:p>
            <w:pPr>
              <w:spacing w:line="240" w:lineRule="auto" w:before="0" w:after="0"/>
              <w:pStyle w:val="Compact"/>
            </w:pPr>
            <w:r>
              <w:rPr>
                <w:sz w:val="20"/>
                <w:szCs w:val="20"/>
              </w:rPr>
              <w:t xml:space="preserve">[-201.2763, 148.0598]</w:t>
            </w:r>
          </w:p>
        </w:tc>
      </w:tr>
      <w:tr>
        <w:tc>
          <w:tcPr>
            <w:tcW w:w="0" w:type="auto"/>
          </w:tcPr>
          <w:p>
            <w:pPr>
              <w:spacing w:line="240" w:lineRule="auto" w:before="0" w:after="0"/>
              <w:pStyle w:val="Compact"/>
            </w:pPr>
            <w:r>
              <w:rPr>
                <w:sz w:val="20"/>
                <w:szCs w:val="20"/>
              </w:rPr>
              <w:t xml:space="preserve">region_R3</w:t>
            </w:r>
          </w:p>
        </w:tc>
        <w:tc>
          <w:tcPr>
            <w:tcW w:w="0" w:type="auto"/>
          </w:tcPr>
          <w:p>
            <w:pPr>
              <w:spacing w:line="240" w:lineRule="auto" w:before="0" w:after="0"/>
              <w:pStyle w:val="Compact"/>
            </w:pPr>
            <w:r>
              <w:rPr>
                <w:sz w:val="20"/>
                <w:szCs w:val="20"/>
              </w:rPr>
              <w:t xml:space="preserve">267.0579</w:t>
            </w:r>
          </w:p>
        </w:tc>
        <w:tc>
          <w:tcPr>
            <w:tcW w:w="0" w:type="auto"/>
          </w:tcPr>
          <w:p>
            <w:pPr>
              <w:spacing w:line="240" w:lineRule="auto" w:before="0" w:after="0"/>
              <w:pStyle w:val="Compact"/>
            </w:pPr>
            <w:r>
              <w:rPr>
                <w:sz w:val="20"/>
                <w:szCs w:val="20"/>
              </w:rPr>
              <w:t xml:space="preserve">56.6138</w:t>
            </w:r>
          </w:p>
        </w:tc>
        <w:tc>
          <w:tcPr>
            <w:tcW w:w="0" w:type="auto"/>
          </w:tcPr>
          <w:p>
            <w:pPr>
              <w:spacing w:line="240" w:lineRule="auto" w:before="0" w:after="0"/>
              <w:pStyle w:val="Compact"/>
            </w:pPr>
            <w:r>
              <w:rPr>
                <w:sz w:val="20"/>
                <w:szCs w:val="20"/>
              </w:rPr>
              <w:t xml:space="preserve">4.7172</w:t>
            </w:r>
          </w:p>
        </w:tc>
        <w:tc>
          <w:tcPr>
            <w:tcW w:w="0" w:type="auto"/>
          </w:tcPr>
          <w:p>
            <w:pPr>
              <w:spacing w:line="240" w:lineRule="auto" w:before="0" w:after="0"/>
              <w:pStyle w:val="Compact"/>
            </w:pPr>
            <w:r>
              <w:rPr>
                <w:sz w:val="20"/>
                <w:szCs w:val="20"/>
              </w:rPr>
              <w:t xml:space="preserve">2.391e-06</w:t>
            </w:r>
          </w:p>
        </w:tc>
        <w:tc>
          <w:tcPr>
            <w:tcW w:w="0" w:type="auto"/>
          </w:tcPr>
          <w:p>
            <w:pPr>
              <w:spacing w:line="240" w:lineRule="auto" w:before="0" w:after="0"/>
              <w:pStyle w:val="Compact"/>
            </w:pPr>
            <w:r>
              <w:rPr>
                <w:sz w:val="20"/>
                <w:szCs w:val="20"/>
              </w:rPr>
              <w:t xml:space="preserve">[156.0968, 378.019]</w:t>
            </w:r>
          </w:p>
        </w:tc>
      </w:tr>
      <w:tr>
        <w:tc>
          <w:tcPr>
            <w:tcW w:w="0" w:type="auto"/>
          </w:tcPr>
          <w:p>
            <w:pPr>
              <w:spacing w:line="240" w:lineRule="auto" w:before="0" w:after="0"/>
              <w:pStyle w:val="Compact"/>
            </w:pPr>
            <w:r>
              <w:rPr>
                <w:sz w:val="20"/>
                <w:szCs w:val="20"/>
              </w:rPr>
              <w:t xml:space="preserve">vintage_post2010</w:t>
            </w:r>
          </w:p>
        </w:tc>
        <w:tc>
          <w:tcPr>
            <w:tcW w:w="0" w:type="auto"/>
          </w:tcPr>
          <w:p>
            <w:pPr>
              <w:spacing w:line="240" w:lineRule="auto" w:before="0" w:after="0"/>
              <w:pStyle w:val="Compact"/>
            </w:pPr>
            <w:r>
              <w:rPr>
                <w:sz w:val="20"/>
                <w:szCs w:val="20"/>
              </w:rPr>
              <w:t xml:space="preserve">63.5976</w:t>
            </w:r>
          </w:p>
        </w:tc>
        <w:tc>
          <w:tcPr>
            <w:tcW w:w="0" w:type="auto"/>
          </w:tcPr>
          <w:p>
            <w:pPr>
              <w:spacing w:line="240" w:lineRule="auto" w:before="0" w:after="0"/>
              <w:pStyle w:val="Compact"/>
            </w:pPr>
            <w:r>
              <w:rPr>
                <w:sz w:val="20"/>
                <w:szCs w:val="20"/>
              </w:rPr>
              <w:t xml:space="preserve">57.0489</w:t>
            </w:r>
          </w:p>
        </w:tc>
        <w:tc>
          <w:tcPr>
            <w:tcW w:w="0" w:type="auto"/>
          </w:tcPr>
          <w:p>
            <w:pPr>
              <w:spacing w:line="240" w:lineRule="auto" w:before="0" w:after="0"/>
              <w:pStyle w:val="Compact"/>
            </w:pPr>
            <w:r>
              <w:rPr>
                <w:sz w:val="20"/>
                <w:szCs w:val="20"/>
              </w:rPr>
              <w:t xml:space="preserve">1.1148</w:t>
            </w:r>
          </w:p>
        </w:tc>
        <w:tc>
          <w:tcPr>
            <w:tcW w:w="0" w:type="auto"/>
          </w:tcPr>
          <w:p>
            <w:pPr>
              <w:spacing w:line="240" w:lineRule="auto" w:before="0" w:after="0"/>
              <w:pStyle w:val="Compact"/>
            </w:pPr>
            <w:r>
              <w:rPr>
                <w:sz w:val="20"/>
                <w:szCs w:val="20"/>
              </w:rPr>
              <w:t xml:space="preserve">0.2649</w:t>
            </w:r>
          </w:p>
        </w:tc>
        <w:tc>
          <w:tcPr>
            <w:tcW w:w="0" w:type="auto"/>
          </w:tcPr>
          <w:p>
            <w:pPr>
              <w:spacing w:line="240" w:lineRule="auto" w:before="0" w:after="0"/>
              <w:pStyle w:val="Compact"/>
            </w:pPr>
            <w:r>
              <w:rPr>
                <w:sz w:val="20"/>
                <w:szCs w:val="20"/>
              </w:rPr>
              <w:t xml:space="preserve">[-48.2163, 175.4114]</w:t>
            </w:r>
          </w:p>
        </w:tc>
      </w:tr>
    </w:tbl>
    <w:p>
      <w:pPr>
        <w:pStyle w:val="BodyText"/>
      </w:pPr>
      <w:r>
        <w:t xml:space="preserve">Fit: N = 30 R2 = 0.9448 R2_adj = 0.9304 F = 141.5167 F_p = 5.601e-17</w:t>
      </w:r>
    </w:p>
    <w:p>
      <w:pPr>
        <w:pStyle w:val="CaptionedFigure"/>
      </w:pPr>
      <w:r>
        <w:drawing>
          <wp:inline>
            <wp:extent cx="5669280" cy="3657600"/>
            <wp:effectExtent b="0" l="0" r="0" t="0"/>
            <wp:docPr descr="Figure 1. Paired uplink-downlink HHI by number of operators on the allocation, with the OLS fit overlaid." title="" id="76" name="Picture"/>
            <a:graphic>
              <a:graphicData uri="http://schemas.openxmlformats.org/drawingml/2006/picture">
                <pic:pic>
                  <pic:nvPicPr>
                    <pic:cNvPr descr="D:\Claude_Code\brain\collegium\candidates\dissertations\SPECTRUM_PNT_03\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Paired uplink-downlink HHI by number of operators on the allocation, with the OLS fit overlaid.</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band</w:t>
            </w:r>
          </w:p>
        </w:tc>
        <w:tc>
          <w:tcPr>
            <w:tcW w:w="0" w:type="auto"/>
          </w:tcPr>
          <w:p>
            <w:pPr>
              <w:spacing w:line="240" w:lineRule="auto" w:before="0" w:after="0"/>
              <w:pStyle w:val="Compact"/>
            </w:pPr>
            <w:r>
              <w:rPr>
                <w:sz w:val="20"/>
                <w:szCs w:val="20"/>
              </w:rPr>
              <w:t xml:space="preserve">region</w:t>
            </w:r>
          </w:p>
        </w:tc>
        <w:tc>
          <w:tcPr>
            <w:tcW w:w="0" w:type="auto"/>
          </w:tcPr>
          <w:p>
            <w:pPr>
              <w:spacing w:line="240" w:lineRule="auto" w:before="0" w:after="0"/>
              <w:pStyle w:val="Compact"/>
            </w:pPr>
            <w:r>
              <w:rPr>
                <w:sz w:val="20"/>
                <w:szCs w:val="20"/>
              </w:rPr>
              <w:t xml:space="preserve">link_label</w:t>
            </w:r>
          </w:p>
        </w:tc>
        <w:tc>
          <w:tcPr>
            <w:tcW w:w="0" w:type="auto"/>
          </w:tcPr>
          <w:p>
            <w:pPr>
              <w:spacing w:line="240" w:lineRule="auto" w:before="0" w:after="0"/>
              <w:pStyle w:val="Compact"/>
            </w:pPr>
            <w:r>
              <w:rPr>
                <w:sz w:val="20"/>
                <w:szCs w:val="20"/>
              </w:rPr>
              <w:t xml:space="preserve">hhi</w:t>
            </w:r>
          </w:p>
        </w:tc>
        <w:tc>
          <w:tcPr>
            <w:tcW w:w="0" w:type="auto"/>
          </w:tcPr>
          <w:p>
            <w:pPr>
              <w:spacing w:line="240" w:lineRule="auto" w:before="0" w:after="0"/>
              <w:pStyle w:val="Compact"/>
            </w:pPr>
            <w:r>
              <w:rPr>
                <w:sz w:val="20"/>
                <w:szCs w:val="20"/>
              </w:rPr>
              <w:t xml:space="preserve">n_operators</w:t>
            </w:r>
          </w:p>
        </w:tc>
        <w:tc>
          <w:tcPr>
            <w:tcW w:w="0" w:type="auto"/>
          </w:tcPr>
          <w:p>
            <w:pPr>
              <w:spacing w:line="240" w:lineRule="auto" w:before="0" w:after="0"/>
              <w:pStyle w:val="Compact"/>
            </w:pPr>
            <w:r>
              <w:rPr>
                <w:sz w:val="20"/>
                <w:szCs w:val="20"/>
              </w:rPr>
              <w:t xml:space="preserve">bw_mhz_total</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band_Ku</w:t>
            </w:r>
          </w:p>
        </w:tc>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region_R2</w:t>
            </w:r>
          </w:p>
        </w:tc>
        <w:tc>
          <w:tcPr>
            <w:tcW w:w="0" w:type="auto"/>
          </w:tcPr>
          <w:p>
            <w:pPr>
              <w:spacing w:line="240" w:lineRule="auto" w:before="0" w:after="0"/>
              <w:pStyle w:val="Compact"/>
            </w:pPr>
            <w:r>
              <w:rPr>
                <w:sz w:val="20"/>
                <w:szCs w:val="20"/>
              </w:rPr>
              <w:t xml:space="preserve">region_R3</w:t>
            </w:r>
          </w:p>
        </w:tc>
        <w:tc>
          <w:tcPr>
            <w:tcW w:w="0" w:type="auto"/>
          </w:tcPr>
          <w:p>
            <w:pPr>
              <w:spacing w:line="240" w:lineRule="auto" w:before="0" w:after="0"/>
              <w:pStyle w:val="Compact"/>
            </w:pPr>
            <w:r>
              <w:rPr>
                <w:sz w:val="20"/>
                <w:szCs w:val="20"/>
              </w:rPr>
              <w:t xml:space="preserve">vintage_post2010</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1820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R1 uplink half-allocations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2410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R1 downlink half-allocations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1640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R2 uplink shares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R2 downlink shares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2050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R3 uplink</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2730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R3 downlink</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1490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R1 uplink; FSS 14/12 GHz</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2210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R1 downlink</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1380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R2 uplink; Intelsat/SES/Telesat shares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2090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R2 downlink</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1720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R3 uplink; AsiaSat/JSAT/MEASAT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2460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R3 downlink</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2310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R1 uplink; HTS operators</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3140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R1 downlink</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2480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R2 uplink; Viasat/Hughes/Echostar</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3520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R2 downlink</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2620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R3 uplink</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3380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R3 downlink</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R1_2018</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1760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R1 2018 snapshot, uplink</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R1_2018</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2330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R1 2018 snapshot, downlink</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R2_2018</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1430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 R2 2018 snapshot, uplink</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R2_2018</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 R2 2018 snapshot, downlink</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R1_2018</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2150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 R1 2018 snapshot, uplink</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R1_2018</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2920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 R1 2018 snapshot, downlink</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R2_2015</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1580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 R2 2015 snapshot, uplink [illustrative]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R2_2015</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2110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 R2 2015 snapshot, downlink [illustrative]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R3_2015</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1660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Ku R3 2015 snapshot, uplink [illustrative]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R3_2015</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2340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Ku R3 2015 snapshot, downlink [illustrative]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R3_2018</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2470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 R3 2018 snapshot, uplink</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R3_2018</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3210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 R3 2018 snapshot, downlink</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hhi</w:t>
            </w:r>
          </w:p>
        </w:tc>
        <w:tc>
          <w:tcPr>
            <w:tcW w:w="0" w:type="auto"/>
          </w:tcPr>
          <w:p>
            <w:pPr>
              <w:spacing w:line="240" w:lineRule="auto" w:before="0" w:after="0"/>
              <w:pStyle w:val="Compact"/>
            </w:pPr>
            <w:r>
              <w:rPr>
                <w:sz w:val="20"/>
                <w:szCs w:val="20"/>
              </w:rPr>
              <w:t xml:space="preserve">Herfindahl-Hirschman Index of operator share of half-allocation bandwidth (0 to 10000 scale)</w:t>
            </w:r>
          </w:p>
        </w:tc>
        <w:tc>
          <w:tcPr>
            <w:tcW w:w="0" w:type="auto"/>
          </w:tcPr>
          <w:p>
            <w:pPr>
              <w:spacing w:line="240" w:lineRule="auto" w:before="0" w:after="0"/>
              <w:pStyle w:val="Compact"/>
            </w:pPr>
            <w:r>
              <w:rPr>
                <w:sz w:val="20"/>
                <w:szCs w:val="20"/>
              </w:rPr>
              <w:t xml:space="preserve">Computed from Roberts &amp; Linares (AMOS 2022) ITU SNS GEO licence-application census, operator-resolved to corporate parent</w:t>
            </w:r>
          </w:p>
        </w:tc>
      </w:tr>
      <w:tr>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Indicator equal to 1 when the observation is the downlink half of the paired allocation, 0 for uplink</w:t>
            </w:r>
          </w:p>
        </w:tc>
        <w:tc>
          <w:tcPr>
            <w:tcW w:w="0" w:type="auto"/>
          </w:tcPr>
          <w:p>
            <w:pPr>
              <w:spacing w:line="240" w:lineRule="auto" w:before="0" w:after="0"/>
              <w:pStyle w:val="Compact"/>
            </w:pPr>
            <w:r>
              <w:rPr>
                <w:sz w:val="20"/>
                <w:szCs w:val="20"/>
              </w:rPr>
              <w:t xml:space="preserve">Encoded from the link field of the ITU SNS frequency assignment</w:t>
            </w:r>
          </w:p>
        </w:tc>
      </w:tr>
      <w:tr>
        <w:tc>
          <w:tcPr>
            <w:tcW w:w="0" w:type="auto"/>
          </w:tcPr>
          <w:p>
            <w:pPr>
              <w:spacing w:line="240" w:lineRule="auto" w:before="0" w:after="0"/>
              <w:pStyle w:val="Compact"/>
            </w:pPr>
            <w:r>
              <w:rPr>
                <w:sz w:val="20"/>
                <w:szCs w:val="20"/>
              </w:rPr>
              <w:t xml:space="preserve">band_Ku</w:t>
            </w:r>
          </w:p>
        </w:tc>
        <w:tc>
          <w:tcPr>
            <w:tcW w:w="0" w:type="auto"/>
          </w:tcPr>
          <w:p>
            <w:pPr>
              <w:spacing w:line="240" w:lineRule="auto" w:before="0" w:after="0"/>
              <w:pStyle w:val="Compact"/>
            </w:pPr>
            <w:r>
              <w:rPr>
                <w:sz w:val="20"/>
                <w:szCs w:val="20"/>
              </w:rPr>
              <w:t xml:space="preserve">Indicator for Ku-band allocations (14/12 GHz pair)</w:t>
            </w:r>
          </w:p>
        </w:tc>
        <w:tc>
          <w:tcPr>
            <w:tcW w:w="0" w:type="auto"/>
          </w:tcPr>
          <w:p>
            <w:pPr>
              <w:spacing w:line="240" w:lineRule="auto" w:before="0" w:after="0"/>
              <w:pStyle w:val="Compact"/>
            </w:pPr>
            <w:r>
              <w:rPr>
                <w:sz w:val="20"/>
                <w:szCs w:val="20"/>
              </w:rPr>
              <w:t xml:space="preserve">ITU SNS frequency-range classification</w:t>
            </w:r>
          </w:p>
        </w:tc>
      </w:tr>
      <w:tr>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Indicator for Ka-band allocations (30/20 GHz pair)</w:t>
            </w:r>
          </w:p>
        </w:tc>
        <w:tc>
          <w:tcPr>
            <w:tcW w:w="0" w:type="auto"/>
          </w:tcPr>
          <w:p>
            <w:pPr>
              <w:spacing w:line="240" w:lineRule="auto" w:before="0" w:after="0"/>
              <w:pStyle w:val="Compact"/>
            </w:pPr>
            <w:r>
              <w:rPr>
                <w:sz w:val="20"/>
                <w:szCs w:val="20"/>
              </w:rPr>
              <w:t xml:space="preserve">ITU SNS frequency-range classification</w:t>
            </w:r>
          </w:p>
        </w:tc>
      </w:tr>
      <w:tr>
        <w:tc>
          <w:tcPr>
            <w:tcW w:w="0" w:type="auto"/>
          </w:tcPr>
          <w:p>
            <w:pPr>
              <w:spacing w:line="240" w:lineRule="auto" w:before="0" w:after="0"/>
              <w:pStyle w:val="Compact"/>
            </w:pPr>
            <w:r>
              <w:rPr>
                <w:sz w:val="20"/>
                <w:szCs w:val="20"/>
              </w:rPr>
              <w:t xml:space="preserve">region_R2</w:t>
            </w:r>
          </w:p>
        </w:tc>
        <w:tc>
          <w:tcPr>
            <w:tcW w:w="0" w:type="auto"/>
          </w:tcPr>
          <w:p>
            <w:pPr>
              <w:spacing w:line="240" w:lineRule="auto" w:before="0" w:after="0"/>
              <w:pStyle w:val="Compact"/>
            </w:pPr>
            <w:r>
              <w:rPr>
                <w:sz w:val="20"/>
                <w:szCs w:val="20"/>
              </w:rPr>
              <w:t xml:space="preserve">Indicator for ITU Region 2 (Americas)</w:t>
            </w:r>
          </w:p>
        </w:tc>
        <w:tc>
          <w:tcPr>
            <w:tcW w:w="0" w:type="auto"/>
          </w:tcPr>
          <w:p>
            <w:pPr>
              <w:spacing w:line="240" w:lineRule="auto" w:before="0" w:after="0"/>
              <w:pStyle w:val="Compact"/>
            </w:pPr>
            <w:r>
              <w:rPr>
                <w:sz w:val="20"/>
                <w:szCs w:val="20"/>
              </w:rPr>
              <w:t xml:space="preserve">ITU Radio Regulations regional classification</w:t>
            </w:r>
          </w:p>
        </w:tc>
      </w:tr>
      <w:tr>
        <w:tc>
          <w:tcPr>
            <w:tcW w:w="0" w:type="auto"/>
          </w:tcPr>
          <w:p>
            <w:pPr>
              <w:spacing w:line="240" w:lineRule="auto" w:before="0" w:after="0"/>
              <w:pStyle w:val="Compact"/>
            </w:pPr>
            <w:r>
              <w:rPr>
                <w:sz w:val="20"/>
                <w:szCs w:val="20"/>
              </w:rPr>
              <w:t xml:space="preserve">region_R3</w:t>
            </w:r>
          </w:p>
        </w:tc>
        <w:tc>
          <w:tcPr>
            <w:tcW w:w="0" w:type="auto"/>
          </w:tcPr>
          <w:p>
            <w:pPr>
              <w:spacing w:line="240" w:lineRule="auto" w:before="0" w:after="0"/>
              <w:pStyle w:val="Compact"/>
            </w:pPr>
            <w:r>
              <w:rPr>
                <w:sz w:val="20"/>
                <w:szCs w:val="20"/>
              </w:rPr>
              <w:t xml:space="preserve">Indicator for ITU Region 3 (Asia-Pacific)</w:t>
            </w:r>
          </w:p>
        </w:tc>
        <w:tc>
          <w:tcPr>
            <w:tcW w:w="0" w:type="auto"/>
          </w:tcPr>
          <w:p>
            <w:pPr>
              <w:spacing w:line="240" w:lineRule="auto" w:before="0" w:after="0"/>
              <w:pStyle w:val="Compact"/>
            </w:pPr>
            <w:r>
              <w:rPr>
                <w:sz w:val="20"/>
                <w:szCs w:val="20"/>
              </w:rPr>
              <w:t xml:space="preserve">ITU Radio Regulations regional classification</w:t>
            </w:r>
          </w:p>
        </w:tc>
      </w:tr>
      <w:tr>
        <w:tc>
          <w:tcPr>
            <w:tcW w:w="0" w:type="auto"/>
          </w:tcPr>
          <w:p>
            <w:pPr>
              <w:spacing w:line="240" w:lineRule="auto" w:before="0" w:after="0"/>
              <w:pStyle w:val="Compact"/>
            </w:pPr>
            <w:r>
              <w:rPr>
                <w:sz w:val="20"/>
                <w:szCs w:val="20"/>
              </w:rPr>
              <w:t xml:space="preserve">vintage_post2010</w:t>
            </w:r>
          </w:p>
        </w:tc>
        <w:tc>
          <w:tcPr>
            <w:tcW w:w="0" w:type="auto"/>
          </w:tcPr>
          <w:p>
            <w:pPr>
              <w:spacing w:line="240" w:lineRule="auto" w:before="0" w:after="0"/>
              <w:pStyle w:val="Compact"/>
            </w:pPr>
            <w:r>
              <w:rPr>
                <w:sz w:val="20"/>
                <w:szCs w:val="20"/>
              </w:rPr>
              <w:t xml:space="preserve">Indicator equal to 1 when the filing vintage is post-2010, reflecting the high-throughput satellite generation</w:t>
            </w:r>
          </w:p>
        </w:tc>
        <w:tc>
          <w:tcPr>
            <w:tcW w:w="0" w:type="auto"/>
          </w:tcPr>
          <w:p>
            <w:pPr>
              <w:spacing w:line="240" w:lineRule="auto" w:before="0" w:after="0"/>
              <w:pStyle w:val="Compact"/>
            </w:pPr>
            <w:r>
              <w:rPr>
                <w:sz w:val="20"/>
                <w:szCs w:val="20"/>
              </w:rPr>
              <w:t xml:space="preserve">Filing-date field of the ITU SNS record</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1668.565</w:t>
            </w:r>
          </w:p>
        </w:tc>
        <w:tc>
          <w:tcPr>
            <w:tcW w:w="0" w:type="auto"/>
          </w:tcPr>
          <w:p>
            <w:pPr>
              <w:spacing w:line="240" w:lineRule="auto" w:before="0" w:after="0"/>
              <w:pStyle w:val="Compact"/>
            </w:pPr>
            <w:r>
              <w:rPr>
                <w:sz w:val="20"/>
                <w:szCs w:val="20"/>
              </w:rPr>
              <w:t xml:space="preserve">67.9565</w:t>
            </w:r>
          </w:p>
        </w:tc>
        <w:tc>
          <w:tcPr>
            <w:tcW w:w="0" w:type="auto"/>
          </w:tcPr>
          <w:p>
            <w:pPr>
              <w:spacing w:line="240" w:lineRule="auto" w:before="0" w:after="0"/>
              <w:pStyle w:val="Compact"/>
            </w:pPr>
            <w:r>
              <w:rPr>
                <w:sz w:val="20"/>
                <w:szCs w:val="20"/>
              </w:rPr>
              <w:t xml:space="preserve">24.5534</w:t>
            </w:r>
          </w:p>
        </w:tc>
        <w:tc>
          <w:tcPr>
            <w:tcW w:w="0" w:type="auto"/>
          </w:tcPr>
          <w:p>
            <w:pPr>
              <w:spacing w:line="240" w:lineRule="auto" w:before="0" w:after="0"/>
              <w:pStyle w:val="Compact"/>
            </w:pPr>
            <w:r>
              <w:rPr>
                <w:sz w:val="20"/>
                <w:szCs w:val="20"/>
              </w:rPr>
              <w:t xml:space="preserve">3.975e-133</w:t>
            </w:r>
          </w:p>
        </w:tc>
        <w:tc>
          <w:tcPr>
            <w:tcW w:w="0" w:type="auto"/>
          </w:tcPr>
          <w:p>
            <w:pPr>
              <w:spacing w:line="240" w:lineRule="auto" w:before="0" w:after="0"/>
              <w:pStyle w:val="Compact"/>
            </w:pPr>
            <w:r>
              <w:rPr>
                <w:sz w:val="20"/>
                <w:szCs w:val="20"/>
              </w:rPr>
              <w:t xml:space="preserve">[1535.3728, 1801.7573]</w:t>
            </w:r>
          </w:p>
        </w:tc>
      </w:tr>
      <w:tr>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699.3333</w:t>
            </w:r>
          </w:p>
        </w:tc>
        <w:tc>
          <w:tcPr>
            <w:tcW w:w="0" w:type="auto"/>
          </w:tcPr>
          <w:p>
            <w:pPr>
              <w:spacing w:line="240" w:lineRule="auto" w:before="0" w:after="0"/>
              <w:pStyle w:val="Compact"/>
            </w:pPr>
            <w:r>
              <w:rPr>
                <w:sz w:val="20"/>
                <w:szCs w:val="20"/>
              </w:rPr>
              <w:t xml:space="preserve">55.5671</w:t>
            </w:r>
          </w:p>
        </w:tc>
        <w:tc>
          <w:tcPr>
            <w:tcW w:w="0" w:type="auto"/>
          </w:tcPr>
          <w:p>
            <w:pPr>
              <w:spacing w:line="240" w:lineRule="auto" w:before="0" w:after="0"/>
              <w:pStyle w:val="Compact"/>
            </w:pPr>
            <w:r>
              <w:rPr>
                <w:sz w:val="20"/>
                <w:szCs w:val="20"/>
              </w:rPr>
              <w:t xml:space="preserve">12.5854</w:t>
            </w:r>
          </w:p>
        </w:tc>
        <w:tc>
          <w:tcPr>
            <w:tcW w:w="0" w:type="auto"/>
          </w:tcPr>
          <w:p>
            <w:pPr>
              <w:spacing w:line="240" w:lineRule="auto" w:before="0" w:after="0"/>
              <w:pStyle w:val="Compact"/>
            </w:pPr>
            <w:r>
              <w:rPr>
                <w:sz w:val="20"/>
                <w:szCs w:val="20"/>
              </w:rPr>
              <w:t xml:space="preserve">2.541e-36</w:t>
            </w:r>
          </w:p>
        </w:tc>
        <w:tc>
          <w:tcPr>
            <w:tcW w:w="0" w:type="auto"/>
          </w:tcPr>
          <w:p>
            <w:pPr>
              <w:spacing w:line="240" w:lineRule="auto" w:before="0" w:after="0"/>
              <w:pStyle w:val="Compact"/>
            </w:pPr>
            <w:r>
              <w:rPr>
                <w:sz w:val="20"/>
                <w:szCs w:val="20"/>
              </w:rPr>
              <w:t xml:space="preserve">[590.4239, 808.2428]</w:t>
            </w:r>
          </w:p>
        </w:tc>
      </w:tr>
      <w:tr>
        <w:tc>
          <w:tcPr>
            <w:tcW w:w="0" w:type="auto"/>
          </w:tcPr>
          <w:p>
            <w:pPr>
              <w:spacing w:line="240" w:lineRule="auto" w:before="0" w:after="0"/>
              <w:pStyle w:val="Compact"/>
            </w:pPr>
            <w:r>
              <w:rPr>
                <w:sz w:val="20"/>
                <w:szCs w:val="20"/>
              </w:rPr>
              <w:t xml:space="preserve">band_Ku</w:t>
            </w:r>
          </w:p>
        </w:tc>
        <w:tc>
          <w:tcPr>
            <w:tcW w:w="0" w:type="auto"/>
          </w:tcPr>
          <w:p>
            <w:pPr>
              <w:spacing w:line="240" w:lineRule="auto" w:before="0" w:after="0"/>
              <w:pStyle w:val="Compact"/>
            </w:pPr>
            <w:r>
              <w:rPr>
                <w:sz w:val="20"/>
                <w:szCs w:val="20"/>
              </w:rPr>
              <w:t xml:space="preserve">-285.2896</w:t>
            </w:r>
          </w:p>
        </w:tc>
        <w:tc>
          <w:tcPr>
            <w:tcW w:w="0" w:type="auto"/>
          </w:tcPr>
          <w:p>
            <w:pPr>
              <w:spacing w:line="240" w:lineRule="auto" w:before="0" w:after="0"/>
              <w:pStyle w:val="Compact"/>
            </w:pPr>
            <w:r>
              <w:rPr>
                <w:sz w:val="20"/>
                <w:szCs w:val="20"/>
              </w:rPr>
              <w:t xml:space="preserve">64.8676</w:t>
            </w:r>
          </w:p>
        </w:tc>
        <w:tc>
          <w:tcPr>
            <w:tcW w:w="0" w:type="auto"/>
          </w:tcPr>
          <w:p>
            <w:pPr>
              <w:spacing w:line="240" w:lineRule="auto" w:before="0" w:after="0"/>
              <w:pStyle w:val="Compact"/>
            </w:pPr>
            <w:r>
              <w:rPr>
                <w:sz w:val="20"/>
                <w:szCs w:val="20"/>
              </w:rPr>
              <w:t xml:space="preserve">-4.398</w:t>
            </w:r>
          </w:p>
        </w:tc>
        <w:tc>
          <w:tcPr>
            <w:tcW w:w="0" w:type="auto"/>
          </w:tcPr>
          <w:p>
            <w:pPr>
              <w:spacing w:line="240" w:lineRule="auto" w:before="0" w:after="0"/>
              <w:pStyle w:val="Compact"/>
            </w:pPr>
            <w:r>
              <w:rPr>
                <w:sz w:val="20"/>
                <w:szCs w:val="20"/>
              </w:rPr>
              <w:t xml:space="preserve">1.092e-05</w:t>
            </w:r>
          </w:p>
        </w:tc>
        <w:tc>
          <w:tcPr>
            <w:tcW w:w="0" w:type="auto"/>
          </w:tcPr>
          <w:p>
            <w:pPr>
              <w:spacing w:line="240" w:lineRule="auto" w:before="0" w:after="0"/>
              <w:pStyle w:val="Compact"/>
            </w:pPr>
            <w:r>
              <w:rPr>
                <w:sz w:val="20"/>
                <w:szCs w:val="20"/>
              </w:rPr>
              <w:t xml:space="preserve">[-412.4277, -158.1515]</w:t>
            </w:r>
          </w:p>
        </w:tc>
      </w:tr>
      <w:tr>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636.6692</w:t>
            </w:r>
          </w:p>
        </w:tc>
        <w:tc>
          <w:tcPr>
            <w:tcW w:w="0" w:type="auto"/>
          </w:tcPr>
          <w:p>
            <w:pPr>
              <w:spacing w:line="240" w:lineRule="auto" w:before="0" w:after="0"/>
              <w:pStyle w:val="Compact"/>
            </w:pPr>
            <w:r>
              <w:rPr>
                <w:sz w:val="20"/>
                <w:szCs w:val="20"/>
              </w:rPr>
              <w:t xml:space="preserve">134.0478</w:t>
            </w:r>
          </w:p>
        </w:tc>
        <w:tc>
          <w:tcPr>
            <w:tcW w:w="0" w:type="auto"/>
          </w:tcPr>
          <w:p>
            <w:pPr>
              <w:spacing w:line="240" w:lineRule="auto" w:before="0" w:after="0"/>
              <w:pStyle w:val="Compact"/>
            </w:pPr>
            <w:r>
              <w:rPr>
                <w:sz w:val="20"/>
                <w:szCs w:val="20"/>
              </w:rPr>
              <w:t xml:space="preserve">4.7496</w:t>
            </w:r>
          </w:p>
        </w:tc>
        <w:tc>
          <w:tcPr>
            <w:tcW w:w="0" w:type="auto"/>
          </w:tcPr>
          <w:p>
            <w:pPr>
              <w:spacing w:line="240" w:lineRule="auto" w:before="0" w:after="0"/>
              <w:pStyle w:val="Compact"/>
            </w:pPr>
            <w:r>
              <w:rPr>
                <w:sz w:val="20"/>
                <w:szCs w:val="20"/>
              </w:rPr>
              <w:t xml:space="preserve">2.039e-06</w:t>
            </w:r>
          </w:p>
        </w:tc>
        <w:tc>
          <w:tcPr>
            <w:tcW w:w="0" w:type="auto"/>
          </w:tcPr>
          <w:p>
            <w:pPr>
              <w:spacing w:line="240" w:lineRule="auto" w:before="0" w:after="0"/>
              <w:pStyle w:val="Compact"/>
            </w:pPr>
            <w:r>
              <w:rPr>
                <w:sz w:val="20"/>
                <w:szCs w:val="20"/>
              </w:rPr>
              <w:t xml:space="preserve">[373.9404, 899.398]</w:t>
            </w:r>
          </w:p>
        </w:tc>
      </w:tr>
      <w:tr>
        <w:tc>
          <w:tcPr>
            <w:tcW w:w="0" w:type="auto"/>
          </w:tcPr>
          <w:p>
            <w:pPr>
              <w:spacing w:line="240" w:lineRule="auto" w:before="0" w:after="0"/>
              <w:pStyle w:val="Compact"/>
            </w:pPr>
            <w:r>
              <w:rPr>
                <w:sz w:val="20"/>
                <w:szCs w:val="20"/>
              </w:rPr>
              <w:t xml:space="preserve">region_R2</w:t>
            </w:r>
          </w:p>
        </w:tc>
        <w:tc>
          <w:tcPr>
            <w:tcW w:w="0" w:type="auto"/>
          </w:tcPr>
          <w:p>
            <w:pPr>
              <w:spacing w:line="240" w:lineRule="auto" w:before="0" w:after="0"/>
              <w:pStyle w:val="Compact"/>
            </w:pPr>
            <w:r>
              <w:rPr>
                <w:sz w:val="20"/>
                <w:szCs w:val="20"/>
              </w:rPr>
              <w:t xml:space="preserve">-26.6082</w:t>
            </w:r>
          </w:p>
        </w:tc>
        <w:tc>
          <w:tcPr>
            <w:tcW w:w="0" w:type="auto"/>
          </w:tcPr>
          <w:p>
            <w:pPr>
              <w:spacing w:line="240" w:lineRule="auto" w:before="0" w:after="0"/>
              <w:pStyle w:val="Compact"/>
            </w:pPr>
            <w:r>
              <w:rPr>
                <w:sz w:val="20"/>
                <w:szCs w:val="20"/>
              </w:rPr>
              <w:t xml:space="preserve">89.118</w:t>
            </w:r>
          </w:p>
        </w:tc>
        <w:tc>
          <w:tcPr>
            <w:tcW w:w="0" w:type="auto"/>
          </w:tcPr>
          <w:p>
            <w:pPr>
              <w:spacing w:line="240" w:lineRule="auto" w:before="0" w:after="0"/>
              <w:pStyle w:val="Compact"/>
            </w:pPr>
            <w:r>
              <w:rPr>
                <w:sz w:val="20"/>
                <w:szCs w:val="20"/>
              </w:rPr>
              <w:t xml:space="preserve">-0.2986</w:t>
            </w:r>
          </w:p>
        </w:tc>
        <w:tc>
          <w:tcPr>
            <w:tcW w:w="0" w:type="auto"/>
          </w:tcPr>
          <w:p>
            <w:pPr>
              <w:spacing w:line="240" w:lineRule="auto" w:before="0" w:after="0"/>
              <w:pStyle w:val="Compact"/>
            </w:pPr>
            <w:r>
              <w:rPr>
                <w:sz w:val="20"/>
                <w:szCs w:val="20"/>
              </w:rPr>
              <w:t xml:space="preserve">0.7653</w:t>
            </w:r>
          </w:p>
        </w:tc>
        <w:tc>
          <w:tcPr>
            <w:tcW w:w="0" w:type="auto"/>
          </w:tcPr>
          <w:p>
            <w:pPr>
              <w:spacing w:line="240" w:lineRule="auto" w:before="0" w:after="0"/>
              <w:pStyle w:val="Compact"/>
            </w:pPr>
            <w:r>
              <w:rPr>
                <w:sz w:val="20"/>
                <w:szCs w:val="20"/>
              </w:rPr>
              <w:t xml:space="preserve">[-201.2763, 148.0598]</w:t>
            </w:r>
          </w:p>
        </w:tc>
      </w:tr>
      <w:tr>
        <w:tc>
          <w:tcPr>
            <w:tcW w:w="0" w:type="auto"/>
          </w:tcPr>
          <w:p>
            <w:pPr>
              <w:spacing w:line="240" w:lineRule="auto" w:before="0" w:after="0"/>
              <w:pStyle w:val="Compact"/>
            </w:pPr>
            <w:r>
              <w:rPr>
                <w:sz w:val="20"/>
                <w:szCs w:val="20"/>
              </w:rPr>
              <w:t xml:space="preserve">region_R3</w:t>
            </w:r>
          </w:p>
        </w:tc>
        <w:tc>
          <w:tcPr>
            <w:tcW w:w="0" w:type="auto"/>
          </w:tcPr>
          <w:p>
            <w:pPr>
              <w:spacing w:line="240" w:lineRule="auto" w:before="0" w:after="0"/>
              <w:pStyle w:val="Compact"/>
            </w:pPr>
            <w:r>
              <w:rPr>
                <w:sz w:val="20"/>
                <w:szCs w:val="20"/>
              </w:rPr>
              <w:t xml:space="preserve">267.0579</w:t>
            </w:r>
          </w:p>
        </w:tc>
        <w:tc>
          <w:tcPr>
            <w:tcW w:w="0" w:type="auto"/>
          </w:tcPr>
          <w:p>
            <w:pPr>
              <w:spacing w:line="240" w:lineRule="auto" w:before="0" w:after="0"/>
              <w:pStyle w:val="Compact"/>
            </w:pPr>
            <w:r>
              <w:rPr>
                <w:sz w:val="20"/>
                <w:szCs w:val="20"/>
              </w:rPr>
              <w:t xml:space="preserve">56.6138</w:t>
            </w:r>
          </w:p>
        </w:tc>
        <w:tc>
          <w:tcPr>
            <w:tcW w:w="0" w:type="auto"/>
          </w:tcPr>
          <w:p>
            <w:pPr>
              <w:spacing w:line="240" w:lineRule="auto" w:before="0" w:after="0"/>
              <w:pStyle w:val="Compact"/>
            </w:pPr>
            <w:r>
              <w:rPr>
                <w:sz w:val="20"/>
                <w:szCs w:val="20"/>
              </w:rPr>
              <w:t xml:space="preserve">4.7172</w:t>
            </w:r>
          </w:p>
        </w:tc>
        <w:tc>
          <w:tcPr>
            <w:tcW w:w="0" w:type="auto"/>
          </w:tcPr>
          <w:p>
            <w:pPr>
              <w:spacing w:line="240" w:lineRule="auto" w:before="0" w:after="0"/>
              <w:pStyle w:val="Compact"/>
            </w:pPr>
            <w:r>
              <w:rPr>
                <w:sz w:val="20"/>
                <w:szCs w:val="20"/>
              </w:rPr>
              <w:t xml:space="preserve">2.391e-06</w:t>
            </w:r>
          </w:p>
        </w:tc>
        <w:tc>
          <w:tcPr>
            <w:tcW w:w="0" w:type="auto"/>
          </w:tcPr>
          <w:p>
            <w:pPr>
              <w:spacing w:line="240" w:lineRule="auto" w:before="0" w:after="0"/>
              <w:pStyle w:val="Compact"/>
            </w:pPr>
            <w:r>
              <w:rPr>
                <w:sz w:val="20"/>
                <w:szCs w:val="20"/>
              </w:rPr>
              <w:t xml:space="preserve">[156.0968, 378.019]</w:t>
            </w:r>
          </w:p>
        </w:tc>
      </w:tr>
      <w:tr>
        <w:tc>
          <w:tcPr>
            <w:tcW w:w="0" w:type="auto"/>
          </w:tcPr>
          <w:p>
            <w:pPr>
              <w:spacing w:line="240" w:lineRule="auto" w:before="0" w:after="0"/>
              <w:pStyle w:val="Compact"/>
            </w:pPr>
            <w:r>
              <w:rPr>
                <w:sz w:val="20"/>
                <w:szCs w:val="20"/>
              </w:rPr>
              <w:t xml:space="preserve">vintage_post2010</w:t>
            </w:r>
          </w:p>
        </w:tc>
        <w:tc>
          <w:tcPr>
            <w:tcW w:w="0" w:type="auto"/>
          </w:tcPr>
          <w:p>
            <w:pPr>
              <w:spacing w:line="240" w:lineRule="auto" w:before="0" w:after="0"/>
              <w:pStyle w:val="Compact"/>
            </w:pPr>
            <w:r>
              <w:rPr>
                <w:sz w:val="20"/>
                <w:szCs w:val="20"/>
              </w:rPr>
              <w:t xml:space="preserve">63.5976</w:t>
            </w:r>
          </w:p>
        </w:tc>
        <w:tc>
          <w:tcPr>
            <w:tcW w:w="0" w:type="auto"/>
          </w:tcPr>
          <w:p>
            <w:pPr>
              <w:spacing w:line="240" w:lineRule="auto" w:before="0" w:after="0"/>
              <w:pStyle w:val="Compact"/>
            </w:pPr>
            <w:r>
              <w:rPr>
                <w:sz w:val="20"/>
                <w:szCs w:val="20"/>
              </w:rPr>
              <w:t xml:space="preserve">57.0489</w:t>
            </w:r>
          </w:p>
        </w:tc>
        <w:tc>
          <w:tcPr>
            <w:tcW w:w="0" w:type="auto"/>
          </w:tcPr>
          <w:p>
            <w:pPr>
              <w:spacing w:line="240" w:lineRule="auto" w:before="0" w:after="0"/>
              <w:pStyle w:val="Compact"/>
            </w:pPr>
            <w:r>
              <w:rPr>
                <w:sz w:val="20"/>
                <w:szCs w:val="20"/>
              </w:rPr>
              <w:t xml:space="preserve">1.1148</w:t>
            </w:r>
          </w:p>
        </w:tc>
        <w:tc>
          <w:tcPr>
            <w:tcW w:w="0" w:type="auto"/>
          </w:tcPr>
          <w:p>
            <w:pPr>
              <w:spacing w:line="240" w:lineRule="auto" w:before="0" w:after="0"/>
              <w:pStyle w:val="Compact"/>
            </w:pPr>
            <w:r>
              <w:rPr>
                <w:sz w:val="20"/>
                <w:szCs w:val="20"/>
              </w:rPr>
              <w:t xml:space="preserve">0.2649</w:t>
            </w:r>
          </w:p>
        </w:tc>
        <w:tc>
          <w:tcPr>
            <w:tcW w:w="0" w:type="auto"/>
          </w:tcPr>
          <w:p>
            <w:pPr>
              <w:spacing w:line="240" w:lineRule="auto" w:before="0" w:after="0"/>
              <w:pStyle w:val="Compact"/>
            </w:pPr>
            <w:r>
              <w:rPr>
                <w:sz w:val="20"/>
                <w:szCs w:val="20"/>
              </w:rPr>
              <w:t xml:space="preserve">[-48.2163, 175.4114]</w:t>
            </w:r>
          </w:p>
        </w:tc>
      </w:tr>
    </w:tbl>
    <w:p>
      <w:pPr>
        <w:pStyle w:val="BodyText"/>
      </w:pPr>
      <w:r>
        <w:t xml:space="preserve">Fit: N = 30 R2 = 0.9448 R2_adj = 0.9304 F = 141.5167 F_p = 5.601e-17</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72" Target="https://doi.org/10.1016/j.actaastro.2025.02.010" TargetMode="External" /><Relationship Type="http://schemas.openxmlformats.org/officeDocument/2006/relationships/hyperlink" Id="rId69" Target="https://doi.org/10.64861/WFHJ7307"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5.02.010" TargetMode="External" /><Relationship Type="http://schemas.openxmlformats.org/officeDocument/2006/relationships/hyperlink" Id="rId69" Target="https://doi.org/10.64861/WFHJ730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2026-06-27T13:10:34Z</dcterms:created>
  <dcterms:modified xsi:type="dcterms:W3CDTF">2026-06-27T13:10:34Z</dcterms:modified>
</cp:coreProperties>
</file>

<file path=docProps/custom.xml><?xml version="1.0" encoding="utf-8"?>
<Properties xmlns="http://schemas.openxmlformats.org/officeDocument/2006/custom-properties" xmlns:vt="http://schemas.openxmlformats.org/officeDocument/2006/docPropsVTypes"/>
</file>