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UPLINK-DOWNLINK ASYMMETRY OF SPECTRUM POWER: MAPPING CHOKEPOINT CONCENTRATION</w:t>
      </w:r>
    </w:p>
    <w:p>
      <w:pPr>
        <w:jc w:val="center"/>
      </w:pPr>
    </w:p>
    <w:p>
      <w:pPr>
        <w:jc w:val="center"/>
      </w:pPr>
      <w:r>
        <w:rPr>
          <w:rFonts w:ascii="Times New Roman" w:hAnsi="Times New Roman"/>
          <w:sz w:val="24"/>
        </w:rPr>
        <w:t>by</w:t>
      </w:r>
    </w:p>
    <w:p>
      <w:pPr>
        <w:jc w:val="center"/>
      </w:pPr>
      <w:r>
        <w:rPr>
          <w:rFonts w:ascii="Times New Roman" w:hAnsi="Times New Roman"/>
          <w:b/>
          <w:sz w:val="28"/>
        </w:rPr>
        <w:t>Lorenzo Mbeki</w:t>
      </w:r>
    </w:p>
    <w:p>
      <w:pPr>
        <w:jc w:val="center"/>
      </w:pPr>
      <w:r>
        <w:rPr>
          <w:rFonts w:ascii="Times New Roman" w:hAnsi="Times New Roman"/>
          <w:sz w:val="24"/>
        </w:rPr>
        <w:t>1B-ITI-128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Satellite spectrum is the substrate of every space-based service that the United States civil space programme depends upon, and yet the public policy conversation typically treats a band as a single number. Analysts count filings, count operators, count megahertz, and compare the totals across a band as if the allocation were a homogeneous good. The physical reality of a geostationary (GEO) frequency assignment is not symmetric in this way. The uplink half of an allocation and the downlink half of the same allocation are governed by different physical, regulatory, and commercial constraints, and they aggregate into different market structures. Uplink power is concentrated in a small population of teleport operators and high-power earth stations that must pass through national licensing review, while downlink reception is shaped by the installed base of receive antennas, the geometry of the satellite footprint, and the commercial reach of the bouquet provider whose signal lands inside that footprint. The two halves of the allocation are joined at the satellite payload, but they are unjoined at every other point in the value chain.</w:t>
      </w:r>
    </w:p>
    <w:p>
      <w:pPr>
        <w:pStyle w:val="BodyText"/>
        <w:spacing w:line="480" w:lineRule="auto"/>
        <w:ind w:firstLine="720"/>
      </w:pPr>
      <w:r>
        <w:t xml:space="preserve">If the two halves concentrate at different rates, then every policy instrument that treats the allocation as a single object is structurally mis-specified. Competition remedies grounded in a single Herfindahl-Hirschman Index (HHI) per band will misidentify the side of the link where market power actually resides. Interference enforcement that does not separate uplink events from downlink events will mis-direct the limited investigative capacity of the International Telecommunication Union (ITU) Bureau of Radiocommunication and of national regulators. Coordination negotiations that aggregate the two halves into a single bargaining position will trade against the wrong margin. The empirical question of whether the asymmetry is real, and of how large it is, is therefore not a technical curiosity about spectrum engineering. It is a prior question that conditions the validity of every downstream governance instrument.</w:t>
      </w:r>
    </w:p>
    <w:p>
      <w:pPr>
        <w:pStyle w:val="BodyText"/>
        <w:spacing w:line="480" w:lineRule="auto"/>
        <w:ind w:firstLine="720"/>
      </w:pPr>
      <w:r>
        <w:t xml:space="preserve">The motivating evidence that the asymmetry is detectable, rather than merely conjectural, comes from three distinct empirical programmes. The independent transparency methodology developed by Karra and Jah for GEO shows that uplink interference and downlink interference are separable events with separable attributable populations, and that the analytic toolchain to perform that separation has only recently matured to the point of supporting external accountability [1, 13]. The ITU GEO licence census assembled by Roberts and Linares shows that filing concentration in the geosynchronous regime is already non-trivial, that the licence record is the operative ledger of who controls which slot-band pair, and that the underlying Space Network Systems (SNS) database carries the uplink and downlink frequency ranges as separate fields available for paired analysis</w:t>
      </w:r>
      <w:r>
        <w:t xml:space="preserve"> </w:t>
      </w:r>
      <w:hyperlink w:anchor="ref-4">
        <w:r>
          <w:rPr>
            <w:rStyle w:val="Hyperlink"/>
          </w:rPr>
          <w:t xml:space="preserve">[4]</w:t>
        </w:r>
      </w:hyperlink>
      <w:r>
        <w:t xml:space="preserve">. The KARI operational planning record, reported in two AMOS conference papers, demonstrates that a national space agency already treats uplink and downlink as separable risk surfaces inside its own prediction-and-avoidance pipeline, with the implication that the operational community has reached this conclusion ahead of the policy community [2, 3]. Independent sensor measurements from the LUME-1 CubeSat in the 437 MHz amateur band [8, 21] and earlier work on broadcast-satellite uplink interference [9, 22] both establish that uplink interference is measurable as a distinct phenomenon at the physical layer. The asymmetry, in other words, is not a hypothesis without supporting infrastructure. The infrastructure exists. What is missing is a population-level econometric measurement that converts the infrastructure into a market-structure finding.</w:t>
      </w:r>
    </w:p>
    <w:bookmarkEnd w:id="61"/>
    <w:bookmarkStart w:id="62" w:name="X75239aac2e8b9e214a46c3a6161f02e737ac065"/>
    <w:p>
      <w:pPr>
        <w:pStyle w:val="Heading2"/>
        <w:spacing w:line="480" w:lineRule="auto"/>
      </w:pPr>
      <w:r>
        <w:t xml:space="preserve">1.2 Stakes for NASA and the Jet Propulsion Laboratory</w:t>
      </w:r>
    </w:p>
    <w:p>
      <w:pPr>
        <w:pStyle w:val="FirstParagraph"/>
        <w:spacing w:line="480" w:lineRule="auto"/>
      </w:pPr>
      <w:r>
        <w:t xml:space="preserve">The stakes are highest where the United States civil space programme depends on spectrum access that crosses both the uplink and the downlink boundaries of densely contested bands. The Ka-band uplink and downlink that carry the bulk of high-throughput communications and high-resolution radar telemetry is the most exposed surface. The Goddard, Kennedy, and Jet Propulsion Laboratory (JPL) work on phased-array uplink and on real-time atmospheric phase fluctuation correction for Ka-band radar [15, 16, 17, 18] proceeds on the operating assumption that the uplink half of the band is available to a federal mission at the power levels and the geographic dispersion that the phased-array architecture requires. If commercial Ka-band uplink concentration is in fact lower than commercial Ka-band downlink concentration, the federal coordination calculus is benign on the uplink side, because the U.S. administration can negotiate with a smaller and more identifiable counterparty population. If, however, downlink concentration is high in the same band, then the federal mission is operating in a band whose receive-side market structure is concentrated even when the transmit-side market structure is not, and the policy instruments that have historically protected federal access through allocation footnotes and bilateral coordination are pointed at the wrong half of the link.</w:t>
      </w:r>
    </w:p>
    <w:p>
      <w:pPr>
        <w:pStyle w:val="BodyText"/>
        <w:spacing w:line="480" w:lineRule="auto"/>
        <w:ind w:firstLine="720"/>
      </w:pPr>
      <w:r>
        <w:t xml:space="preserve">JPL is the centre of mass for this exposure. The Deep Space Network, the planetary science instrument set, and the X-band and Ka-band experimental work on phased-array uplink and on adaptive optics all rest on the assumption that the supporting spectrum is governed by a coordination process in which the principal counterparties are identifiable and finite [16, 17, 18, 20]. The KaBOOM project at Kennedy Space Center, with JPL participation, was an early demonstration of the operational dependence of NASA radar on a coordinated Ka-band environment</w:t>
      </w:r>
      <w:r>
        <w:t xml:space="preserve"> </w:t>
      </w:r>
      <w:hyperlink w:anchor="ref-17">
        <w:r>
          <w:rPr>
            <w:rStyle w:val="Hyperlink"/>
          </w:rPr>
          <w:t xml:space="preserve">[17]</w:t>
        </w:r>
      </w:hyperlink>
      <w:r>
        <w:t xml:space="preserve">. The free-space quantum communication link work at Australian National University, which uses adaptive optics to compensate atmospheric distortion on optical downlinks, points at a near-future regime in which the spectrum problem migrates upward into optical bands and the same uplink-downlink decomposition will need to be repeated for free-space optical</w:t>
      </w:r>
      <w:r>
        <w:t xml:space="preserve"> </w:t>
      </w:r>
      <w:hyperlink w:anchor="ref-14">
        <w:r>
          <w:rPr>
            <w:rStyle w:val="Hyperlink"/>
          </w:rPr>
          <w:t xml:space="preserve">[14]</w:t>
        </w:r>
      </w:hyperlink>
      <w:r>
        <w:t xml:space="preserve">. The high-resolution radar programme for space situational awareness, jointly executed by NASA Headquarters, JPL, Goddard, and Kennedy, is explicitly described by its authors as a programme whose performance depends on Ka-band phase coherence across widely separated antenna sites</w:t>
      </w:r>
      <w:r>
        <w:t xml:space="preserve"> </w:t>
      </w:r>
      <w:hyperlink w:anchor="ref-15">
        <w:r>
          <w:rPr>
            <w:rStyle w:val="Hyperlink"/>
          </w:rPr>
          <w:t xml:space="preserve">[15]</w:t>
        </w:r>
      </w:hyperlink>
      <w:r>
        <w:t xml:space="preserve">. Each of these programmes is implicitly exposed to the uplink-downlink asymmetry on the band in which it operates.</w:t>
      </w:r>
    </w:p>
    <w:p>
      <w:pPr>
        <w:pStyle w:val="BodyText"/>
        <w:spacing w:line="480" w:lineRule="auto"/>
        <w:ind w:firstLine="720"/>
      </w:pPr>
      <w:r>
        <w:t xml:space="preserve">The Government Accountability Office (GAO) Major Project Assessment series provides the institutional ledger of how that exposure shows up in NASA cost and schedule</w:t>
      </w:r>
      <w:r>
        <w:t xml:space="preserve"> </w:t>
      </w:r>
      <w:hyperlink w:anchor="ref-12">
        <w:r>
          <w:rPr>
            <w:rStyle w:val="Hyperlink"/>
          </w:rPr>
          <w:t xml:space="preserve">[12]</w:t>
        </w:r>
      </w:hyperlink>
      <w:r>
        <w:t xml:space="preserve">. The GAO record across the 2023 to 2025 cycle documents repeated schedule pressure on major NASA flight programmes whose communications architectures depend on the contested bands. The dissertation does not claim a causal link from spectrum concentration to GAO-recorded cost growth. It claims a weaker but operationally consequential link: that the GAO record establishes the institutional cost of getting communications architecture wrong, that the architecture decisions are made under the assumption that spectrum is a single-asset good, and that a measurement of the uplink-downlink asymmetry is the empirical input that the architecture community currently lacks. The dissertation supplies that input.</w:t>
      </w:r>
    </w:p>
    <w:p>
      <w:pPr>
        <w:pStyle w:val="BodyText"/>
        <w:spacing w:line="480" w:lineRule="auto"/>
        <w:ind w:firstLine="720"/>
      </w:pPr>
      <w:r>
        <w:t xml:space="preserve">The Space Systems Center work on hosted payloads for future space domain awareness reinforces the same conclusion from a different direction</w:t>
      </w:r>
      <w:r>
        <w:t xml:space="preserve"> </w:t>
      </w:r>
      <w:hyperlink w:anchor="ref-19">
        <w:r>
          <w:rPr>
            <w:rStyle w:val="Hyperlink"/>
          </w:rPr>
          <w:t xml:space="preserve">[19]</w:t>
        </w:r>
      </w:hyperlink>
      <w:r>
        <w:t xml:space="preserve">. The hosted-payload model is attractive precisely because it lowers the marginal cost of placing a federal sensor in orbit, but it does so by riding on commercial communications spectrum that the federal mission does not control. The asymmetric concentration of that commercial spectrum is therefore directly material to the hosted-payload value proposition. The Space Systems Center programme assumes that the band on which the host is operating is governable. If the downlink side of that band is concentrated where the uplink side is not, the governability assumption is half-true.</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Three bodies of work converge on the spectrum question and none of them closes it. The first is the AMOS-anchored satellite domain awareness (SDA) literature on harmful interference, which has matured an independent transparency methodology for GEO, has begun to attribute uplink and downlink events to specific geometries, and has produced the analytic toolchain that the dissertation rests on for its behavioural triangulation [1, 13]. This literature is empirically precise at the event level but does not aggregate events into a market-structure measurement. It tells the reader what is happening on a specific allocation at a specific time, but it does not tell the reader whether the population of allocations exhibits a systematic asymmetry in concentration between uplink and downlink. The unit of analysis is the interference event, not the band.</w:t>
      </w:r>
    </w:p>
    <w:p>
      <w:pPr>
        <w:pStyle w:val="BodyText"/>
        <w:spacing w:line="480" w:lineRule="auto"/>
        <w:ind w:firstLine="720"/>
      </w:pPr>
      <w:r>
        <w:t xml:space="preserve">The second body of work is the ITU-filings literature anchored by Roberts and Linares, which produced the most complete public catalogue of GEO licence applications, identified the coordination implications of dense filings, and made the structural argument that the licence record is the operative ledger of orbital access</w:t>
      </w:r>
      <w:r>
        <w:t xml:space="preserve"> </w:t>
      </w:r>
      <w:hyperlink w:anchor="ref-4">
        <w:r>
          <w:rPr>
            <w:rStyle w:val="Hyperlink"/>
          </w:rPr>
          <w:t xml:space="preserve">[4]</w:t>
        </w:r>
      </w:hyperlink>
      <w:r>
        <w:t xml:space="preserve">. This literature treats the filing as the unit of analysis. It computes filing-level concentration and identifies the administrations and operators whose filings dominate the record. It does not, however, decompose the granted bandwidth into its uplink and downlink halves and compute paired operator shares on the two halves. The infrastructure for that decomposition exists inside the SNS database fields that the census already uses, but the decomposition itself is not in the published record.</w:t>
      </w:r>
    </w:p>
    <w:p>
      <w:pPr>
        <w:pStyle w:val="BodyText"/>
        <w:spacing w:line="480" w:lineRule="auto"/>
        <w:ind w:firstLine="720"/>
      </w:pPr>
      <w:r>
        <w:t xml:space="preserve">The third body of work is the orbital carrying-capacity tradition advanced by Stilwell and colleagues [5, 6] and by Dey and Jagadanandan in Acta Astronautica</w:t>
      </w:r>
      <w:r>
        <w:t xml:space="preserve"> </w:t>
      </w:r>
      <w:hyperlink w:anchor="ref-7">
        <w:r>
          <w:rPr>
            <w:rStyle w:val="Hyperlink"/>
          </w:rPr>
          <w:t xml:space="preserve">[7]</w:t>
        </w:r>
      </w:hyperlink>
      <w:r>
        <w:t xml:space="preserve">. This literature insists that orbits and spectrum are jointly finite resources, that single-asset framings underdescribe the governance problem, and that the instruments of governance must move beyond satellite counts and altitude bands. It supplies the conceptual frame within which the dissertation’s measurement matters, but its instruments are designed around collision risk and altitude bands rather than around spectrum-segment concentration. The carrying-capacity literature, in other words, says that the dissertation’s measurement matters; it does not perform the measurement.</w:t>
      </w:r>
    </w:p>
    <w:p>
      <w:pPr>
        <w:pStyle w:val="BodyText"/>
        <w:spacing w:line="480" w:lineRule="auto"/>
        <w:ind w:firstLine="720"/>
      </w:pPr>
      <w:r>
        <w:t xml:space="preserve">The gap across the three literatures is a measurement gap with policy consequences. There is no published operator-by-band concentration index that distinguishes uplink from downlink for the same allocation. There is no empirical test of whether the two halves diverge. There is no panel specification with band, region, and vintage controls that estimates the size of the uplink-downlink gap on the same population. There is, separately, no published binary-outcome model of filing contestation that decomposes contestation probability into constellation size, regime, operator class, and downlink band. The domain literature has the infrastructure to support these econometric specifications. The econometric specifications themselves are absent.</w:t>
      </w:r>
    </w:p>
    <w:p>
      <w:pPr>
        <w:pStyle w:val="BodyText"/>
        <w:spacing w:line="480" w:lineRule="auto"/>
        <w:ind w:firstLine="720"/>
      </w:pPr>
      <w:r>
        <w:t xml:space="preserve">The absence is not accidental. The disciplinary boundary between space-domain monitoring and applied econometrics is a real institutional fact. Satellite engineers publish in the AMOS proceedings and in Acta Astronautica. Industrial-organisation econometricians publish in different journals, attend different conferences, and rarely encounter the SNS database in a form that supports operator-share computation on the uplink and downlink halves of an allocation. The dissertation is positioned at the seam between these two communities. It carries the SNS-derived census forward into a paired HHI specification with fixed effects, it carries the FCC IBFS filing record forward into a logit specification with size and band terms, and it reports the resulting estimates with the standard errors and the diagnostic statistics that the econometric community expects.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one falsifiable contribution, stated precisely. Within a given GEO band among the C, Ku, and Ka bands and within a given ITU region among the three regions, the Herfindahl-Hirschman concentration of operators on the downlink half of a paired allocation is systematically higher than the concentration on the paired uplink half of the same allocation, by a margin that is statistically significant under HC1 robust standard errors and large enough in magnitude to flip at least one band’s competition classification under the standard United States Department of Justice HHI thresholds, after controlling for band, region, and filing vintage.</w:t>
      </w:r>
    </w:p>
    <w:p>
      <w:pPr>
        <w:pStyle w:val="BodyText"/>
        <w:spacing w:line="480" w:lineRule="auto"/>
        <w:ind w:firstLine="720"/>
      </w:pPr>
      <w:r>
        <w:t xml:space="preserve">The null hypothesis (H0) is that within a given band and region, uplink HHI is statistically indistinguishable from the paired downlink HHI after band, region, and vintage controls. The alternative hypothesis (H1) is that the downlink coefficient in a panel HHI specification with band and region fixed effects is positive, statistically distinguishable from zero at conventional levels, and large enough in HHI points to move at least one band across the moderate-to-high concentration boundary.</w:t>
      </w:r>
    </w:p>
    <w:p>
      <w:pPr>
        <w:pStyle w:val="BodyText"/>
        <w:spacing w:line="480" w:lineRule="auto"/>
        <w:ind w:firstLine="720"/>
      </w:pPr>
      <w:r>
        <w:t xml:space="preserve">The contribution is falsifiable in the technical sense that it can be defeated by data. If the published GEO licence census, decomposed into paired uplink and downlink operator shares and fitted with band and region fixed effects, produces a downlink coefficient that is not distinguishable from zero, or that is distinguishable from zero but small enough to leave every band on the same side of the antitrust threshold, the contribution fails. The research papers that accompany this dissertation, summarised in chapters that follow, report the actual estimates. The panel HHI specification on thirty paired observations from the SNS-derived census returns a downlink coefficient of 699.33 HHI points with a p-value well below 0.001 and an adjusted R-squared of 0.930, large enough to move a band from the moderate-concentration tier into the high-concentration tier on the standard antitrust classification. The logit specification on thirty-five FCC IBFS filings returns a constellation-size coefficient at the boundary of conventional significance and a band-frequency coefficient that is positive and approaches significance, with the operator-class indicator absorbed into size and band. The composite finding is that the uplink-downlink asymmetry is real, that its measurement is dominated by constellation size and band frequency rather than by operator class once size and band are held fixed, and that the policy instrument set that has historically treated commercial actors as the categorical source of friction is reading the chokepoint in the wrong dimension.</w:t>
      </w:r>
    </w:p>
    <w:p>
      <w:pPr>
        <w:pStyle w:val="BodyText"/>
        <w:spacing w:line="480" w:lineRule="auto"/>
        <w:ind w:firstLine="720"/>
      </w:pPr>
      <w:r>
        <w:t xml:space="preserve">The boundaries of the contribution are also stated precisely. The dissertation does not claim that the asymmetry exists in every band, in every region, and in every vintage. It claims that it exists in the GEO population covered by the SNS-derived census, at the panel-average level, with the variation absorbed by the fixed effects reported in the body chapters. It does not claim a causal link from the asymmetry to NASA cost or schedule outcomes. It claims that the asymmetry is the prior empirical fact that downstream causal modelling will need to incorporate. It does not claim that the qualitative interview arm of the design is yet complete; the interview programme is part of the dissertation’s onward work and is described in the methods chapter.</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organised as follows. Chapter 2 develops the theoretical apparatus. It works through the physical-layer argument that uplink and downlink behave as separable chokepoints, the regulatory argument that the two halves are governed by different licensing processes, and the industrial-organisation argument that paired HHI on the two halves is the correct measurement object. It situates the apparatus inside the orbital carrying-capacity tradition [5, 6, 7] and inside the AMOS interference-transparency tradition [1, 13]. Chapter 3 sets out the data architecture. It documents the SNS-derived GEO licence census as used by Roberts and Linares</w:t>
      </w:r>
      <w:r>
        <w:t xml:space="preserve"> </w:t>
      </w:r>
      <w:hyperlink w:anchor="ref-4">
        <w:r>
          <w:rPr>
            <w:rStyle w:val="Hyperlink"/>
          </w:rPr>
          <w:t xml:space="preserve">[4]</w:t>
        </w:r>
      </w:hyperlink>
      <w:r>
        <w:t xml:space="preserve">, the FCC IBFS docket entries used in the contestation model</w:t>
      </w:r>
      <w:r>
        <w:t xml:space="preserve"> </w:t>
      </w:r>
      <w:hyperlink w:anchor="ref-10">
        <w:r>
          <w:rPr>
            <w:rStyle w:val="Hyperlink"/>
          </w:rPr>
          <w:t xml:space="preserve">[10]</w:t>
        </w:r>
      </w:hyperlink>
      <w:r>
        <w:t xml:space="preserve">, the BR IFIC notifications and Master International Frequency Register entries that anchor the operator-to-parent resolution</w:t>
      </w:r>
      <w:r>
        <w:t xml:space="preserve"> </w:t>
      </w:r>
      <w:hyperlink w:anchor="ref-11">
        <w:r>
          <w:rPr>
            <w:rStyle w:val="Hyperlink"/>
          </w:rPr>
          <w:t xml:space="preserve">[11]</w:t>
        </w:r>
      </w:hyperlink>
      <w:r>
        <w:t xml:space="preserve">, the GAO Major Project Assessment series that supplies the institutional ledger of NASA exposure</w:t>
      </w:r>
      <w:r>
        <w:t xml:space="preserve"> </w:t>
      </w:r>
      <w:hyperlink w:anchor="ref-12">
        <w:r>
          <w:rPr>
            <w:rStyle w:val="Hyperlink"/>
          </w:rPr>
          <w:t xml:space="preserve">[12]</w:t>
        </w:r>
      </w:hyperlink>
      <w:r>
        <w:t xml:space="preserve">, and the AMOS conference record that supplies the interference behavioural check [1, 2, 3, 13]. The supporting Acta Astronautica record on uplink interference at the physical layer [8, 9, 21, 22] is documented as the calibration anchor for the population-level finding.</w:t>
      </w:r>
    </w:p>
    <w:p>
      <w:pPr>
        <w:pStyle w:val="BodyText"/>
        <w:spacing w:line="480" w:lineRule="auto"/>
        <w:ind w:firstLine="720"/>
      </w:pPr>
      <w:r>
        <w:t xml:space="preserve">Chapter 4 specifies the paired HHI panel. The dependent variable is HHI on the standard zero-to-ten-thousand scale, computed separately on the uplink and downlink halves of each band-region-vintage cell. The regressors are a downlink indicator, two band indicators with C as the omitted category, two region indicators with Region 1 as the omitted category, and a post-2010 vintage indicator. The estimator is ordinary least squares with HC1 robust standard errors. The coefficient of interest is the downlink indicator. Chapter 4 reports the estimate, the diagnostic statistics, and the robustness checks against the population-weighted alternative and against the inclusion or exclusion of pre-2020 illustrative snapshots.</w:t>
      </w:r>
    </w:p>
    <w:p>
      <w:pPr>
        <w:pStyle w:val="BodyText"/>
        <w:spacing w:line="480" w:lineRule="auto"/>
        <w:ind w:firstLine="720"/>
      </w:pPr>
      <w:r>
        <w:t xml:space="preserve">Chapter 5 specifies the contestation logit. The dependent variable is the binary indicator of whether a filing carries a recorded objection, denial, modification order responding to protest, or documented coordination dispute in the FCC IBFS docket</w:t>
      </w:r>
      <w:r>
        <w:t xml:space="preserve"> </w:t>
      </w:r>
      <w:hyperlink w:anchor="ref-10">
        <w:r>
          <w:rPr>
            <w:rStyle w:val="Hyperlink"/>
          </w:rPr>
          <w:t xml:space="preserve">[10]</w:t>
        </w:r>
      </w:hyperlink>
      <w:r>
        <w:t xml:space="preserve"> </w:t>
      </w:r>
      <w:r>
        <w:t xml:space="preserve">or in the BR IFIC notification record</w:t>
      </w:r>
      <w:r>
        <w:t xml:space="preserve"> </w:t>
      </w:r>
      <w:hyperlink w:anchor="ref-11">
        <w:r>
          <w:rPr>
            <w:rStyle w:val="Hyperlink"/>
          </w:rPr>
          <w:t xml:space="preserve">[11]</w:t>
        </w:r>
      </w:hyperlink>
      <w:r>
        <w:t xml:space="preserve">. The regressors are authorised constellation size, the low-Earth-orbit (LEO) regime indicator, the commercial-operator indicator, and the downlink centre frequency in gigahertz. The estimator is maximum-likelihood binary logit. Chapter 5 reports the coefficients, the standard errors, the McFadden pseudo R-squared, and the sensitivity check that drops the two illustrative rows in the sample.</w:t>
      </w:r>
    </w:p>
    <w:p>
      <w:pPr>
        <w:pStyle w:val="BodyText"/>
        <w:spacing w:line="480" w:lineRule="auto"/>
        <w:ind w:firstLine="720"/>
      </w:pPr>
      <w:r>
        <w:t xml:space="preserve">Chapter 6 returns the two estimates to the policy frame. It works through the implications of the asymmetry for ITU coordination practice, for harmful-interference adjudication under the Radio Regulations, and for national licensing posture at the FCC, the National Telecommunications and Information Administration, and the foreign administrations whose filings populate Regions 2 and 3 of the SNS-derived census. It identifies the operational pathway by which the finding enters the JPL communications architecture community, the Goddard radio frequency interference process, and the GAO Major Project Assessment ledger. It distinguishes the implications that the measurement supports from the implications that the measurement does not support, and it reserves the causal claims for the onward work flagged in chapter 7.</w:t>
      </w:r>
    </w:p>
    <w:p>
      <w:pPr>
        <w:pStyle w:val="BodyText"/>
        <w:spacing w:line="480" w:lineRule="auto"/>
        <w:ind w:firstLine="720"/>
      </w:pPr>
      <w:r>
        <w:t xml:space="preserve">Chapter 7 addresses limits and onward work. It documents the operator-to-parent resolution risk, the footprint-weighting risk, the SNS-ledger-lag risk, and the orbital-spectrum interaction risk that the prospectus identified, and it explains the robustness pass that handles each. It describes the structured-interview programme with national regulators and ITU coordination practitioners that the mixed-method design requires, sets out the protocol, and lists the validation checks that the interview record will be measured against. It identifies the natural extensions to the LEO regime and to the optical-band regime</w:t>
      </w:r>
      <w:r>
        <w:t xml:space="preserve"> </w:t>
      </w:r>
      <w:hyperlink w:anchor="ref-14">
        <w:r>
          <w:rPr>
            <w:rStyle w:val="Hyperlink"/>
          </w:rPr>
          <w:t xml:space="preserve">[14]</w:t>
        </w:r>
      </w:hyperlink>
      <w:r>
        <w:t xml:space="preserve">, and it states the conditions under which the panel-HHI specification can be carried forward to the LEO population once the underlying filing record is rich enough to support paired uplink and downlink decomposition.</w:t>
      </w:r>
    </w:p>
    <w:p>
      <w:pPr>
        <w:pStyle w:val="BodyText"/>
        <w:spacing w:line="480" w:lineRule="auto"/>
        <w:ind w:firstLine="720"/>
      </w:pPr>
      <w:r>
        <w:t xml:space="preserve">The thread that runs through the chapters is a single empirical commitment. The dissertation measures the uplink-downlink asymmetry on a population for which the measurement infrastructure exists, reports the estimate with the standard errors and the diagnostic statistics, and returns the estimate to the policy frame in which it matters. It does not claim more than the data support. It does claim that, on this population, the asymmetry is real, that its size is large enough to matter for competition classification, and that the JPL and NASA mission communities have a direct operational interest in the result.</w:t>
      </w:r>
    </w:p>
    <w:bookmarkEnd w:id="65"/>
    <w:bookmarkEnd w:id="66"/>
    <w:bookmarkStart w:id="88"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The dissertation sits at the intersection of two scholarly conversations that have, to date, proceeded in parallel without speaking to one another. The first is a technical and policy literature on satellite spectrum, orbital regulation, and the engineering reality of harmful interference in the geostationary and low Earth orbit regimes. This literature is rich in physical mechanism, attentive to the architecture of the International Telecommunication Union (ITU) coordination system, and increasingly sophisticated about how operators predict and avoid radio-frequency interference inside their planning systems [1, 2, 3]. The second is a cliometric and econometric methodology literature on market structure, concentration measurement, and the empirical estimation of contestation outcomes in regulated industries. This literature is rich in identification strategy, attentive to the dangers of single-asset framing, and now widely deployed across infrastructure sectors where finite, licence-mediated resources are allocated to private operators.</w:t>
      </w:r>
    </w:p>
    <w:p>
      <w:pPr>
        <w:pStyle w:val="BodyText"/>
        <w:spacing w:line="480" w:lineRule="auto"/>
        <w:ind w:firstLine="720"/>
      </w:pPr>
      <w:r>
        <w:t xml:space="preserve">The two literatures have not joined. The technical literature on satellite spectrum has produced the canonical ledger of who holds which slot-band pair</w:t>
      </w:r>
      <w:r>
        <w:t xml:space="preserve"> </w:t>
      </w:r>
      <w:hyperlink w:anchor="ref-4">
        <w:r>
          <w:rPr>
            <w:rStyle w:val="Hyperlink"/>
          </w:rPr>
          <w:t xml:space="preserve">[4]</w:t>
        </w:r>
      </w:hyperlink>
      <w:r>
        <w:t xml:space="preserve"> </w:t>
      </w:r>
      <w:r>
        <w:t xml:space="preserve">and the canonical methodology for attributing GEO interference events to specific geometries</w:t>
      </w:r>
      <w:r>
        <w:t xml:space="preserve"> </w:t>
      </w:r>
      <w:hyperlink w:anchor="ref-1">
        <w:r>
          <w:rPr>
            <w:rStyle w:val="Hyperlink"/>
          </w:rPr>
          <w:t xml:space="preserve">[1]</w:t>
        </w:r>
      </w:hyperlink>
      <w:r>
        <w:t xml:space="preserve">, but it has not adopted the standard concentration measures of industrial organisation. The cliometric and econometric literature on concentration and contestation has produced robust paired and panel estimators for asymmetric market structure, but it has not been brought to bear on the uplink and downlink halves of a satellite allocation. The result is a measurement gap with policy consequences: the operative ledger of spectrum power exists in a form that does not yet speak the language of the discipline that is best equipped to interrogate it. This chapter reviews both literatures in turn, identifies the precise points at which they fail to connect, and motivates the synthesis that the dissertation undertakes.</w:t>
      </w:r>
    </w:p>
    <w:bookmarkEnd w:id="67"/>
    <w:bookmarkStart w:id="74" w:name="the-domain-technical-literature"/>
    <w:p>
      <w:pPr>
        <w:pStyle w:val="Heading2"/>
        <w:spacing w:line="480" w:lineRule="auto"/>
      </w:pPr>
      <w:r>
        <w:t xml:space="preserve">2.2 The Domain Technical Literature</w:t>
      </w:r>
    </w:p>
    <w:bookmarkStart w:id="68" w:name="X50be3b6d00c4318b7272d23eecd11dd2e8c089c"/>
    <w:p>
      <w:pPr>
        <w:pStyle w:val="Heading3"/>
        <w:spacing w:line="480" w:lineRule="auto"/>
      </w:pPr>
      <w:r>
        <w:t xml:space="preserve">2.2.1 The Harmful Interference Tradition and the Asymmetry of Attribution</w:t>
      </w:r>
    </w:p>
    <w:p>
      <w:pPr>
        <w:pStyle w:val="FirstParagraph"/>
        <w:spacing w:line="480" w:lineRule="auto"/>
      </w:pPr>
      <w:r>
        <w:t xml:space="preserve">The domain technical literature begins, for present purposes, with the maturation of an independent transparency methodology for the geostationary orbital regime. Karra and Jah present the most fully developed treatment to date, drawing on multi-modal observations and an attribution model that separates uplink interference events from downlink interference events as distinct objects of analysis with distinct attributable populations [1, 13]. The contribution is not merely the empirical catalogue of interference incidents but the explicit recognition that uplink and downlink are not interchangeable surfaces. An uplink interference event is traced to the geometry of a terrestrial transmitter and the licensing record of a high-power earth station; a downlink interference event is traced to satellite emission and the geometry of the footprint over the receiver population. The two attribution chains overlap only in name. The methodology is reproducible, externally validated, and explicitly designed to support adjudication of harmful-interference filings under ITU Radio Regulations.</w:t>
      </w:r>
    </w:p>
    <w:p>
      <w:pPr>
        <w:pStyle w:val="BodyText"/>
        <w:spacing w:line="480" w:lineRule="auto"/>
        <w:ind w:firstLine="720"/>
      </w:pPr>
      <w:r>
        <w:t xml:space="preserve">This separability of uplink and downlink as analytic surfaces is reinforced by the operator-side planning literature. Seong and colleagues describe the Korea Aerospace Research Institute (KARI) pipeline for predicting and avoiding radio-frequency interference, a system that decomposes the link budget into uplink and downlink risk surfaces before flagging operational conflicts</w:t>
      </w:r>
      <w:r>
        <w:t xml:space="preserve"> </w:t>
      </w:r>
      <w:hyperlink w:anchor="ref-2">
        <w:r>
          <w:rPr>
            <w:rStyle w:val="Hyperlink"/>
          </w:rPr>
          <w:t xml:space="preserve">[2]</w:t>
        </w:r>
      </w:hyperlink>
      <w:r>
        <w:t xml:space="preserve">. Ryu and colleagues extend this approach through SPACEMAP, which applies a dynamic Voronoi partition to the prediction-and-avoidance problem and again treats the uplink and downlink halves as separable inputs to the decision rule</w:t>
      </w:r>
      <w:r>
        <w:t xml:space="preserve"> </w:t>
      </w:r>
      <w:hyperlink w:anchor="ref-3">
        <w:r>
          <w:rPr>
            <w:rStyle w:val="Hyperlink"/>
          </w:rPr>
          <w:t xml:space="preserve">[3]</w:t>
        </w:r>
      </w:hyperlink>
      <w:r>
        <w:t xml:space="preserve">. The two papers together establish that the asymmetry between uplink and downlink is not a curiosity of after-the-fact attribution but is built into the operational planning pipeline of a national space agency. If practitioners separate uplink and downlink at the planning stage, the measurement system that describes the resulting market structure should do the same.</w:t>
      </w:r>
    </w:p>
    <w:p>
      <w:pPr>
        <w:pStyle w:val="BodyText"/>
        <w:spacing w:line="480" w:lineRule="auto"/>
        <w:ind w:firstLine="720"/>
      </w:pPr>
      <w:r>
        <w:t xml:space="preserve">A closely related strand of the technical literature examines uplink interference as a free-standing measurement problem. Quintana-Díaz and colleagues report direct in-orbit observation of uplink interference in the 437 MHz UHF amateur band from the LUME-1 mission, providing one of the rare empirical baselines for what uplink interference looks like as a measured quantity rather than as an inferred outcome [8, 21]. Briskman and Akturan offer a complementary treatment focused on interference into radio broadcast satellite uplinks, arguing that the uplink direction is the more analytically tractable side of the link for incumbents who must protect a defined service tier from harmful interference by new entrants [9, 22]. Both papers proceed from the premise that uplink is a measurable physical surface and that the population of emitters that can drive an uplink event is, in any given band and footprint, a small and identifiable group.</w:t>
      </w:r>
    </w:p>
    <w:bookmarkEnd w:id="68"/>
    <w:bookmarkStart w:id="69" w:name="X81640dfda493f9b5083b15167a53e4dd311fca0"/>
    <w:p>
      <w:pPr>
        <w:pStyle w:val="Heading3"/>
        <w:spacing w:line="480" w:lineRule="auto"/>
      </w:pPr>
      <w:r>
        <w:t xml:space="preserve">2.2.2 The ITU Filings and Licence Census Tradition</w:t>
      </w:r>
    </w:p>
    <w:p>
      <w:pPr>
        <w:pStyle w:val="FirstParagraph"/>
        <w:spacing w:line="480" w:lineRule="auto"/>
      </w:pPr>
      <w:r>
        <w:t xml:space="preserve">The second strand of the domain literature is the ITU filings and licence census tradition. Roberts and Linares provide the most complete public catalogue of GEO licence applications, drawn from the ITU Space Network Systems (SNS) database, and describe in detail the operative coordination implications of the dense filing record</w:t>
      </w:r>
      <w:r>
        <w:t xml:space="preserve"> </w:t>
      </w:r>
      <w:hyperlink w:anchor="ref-4">
        <w:r>
          <w:rPr>
            <w:rStyle w:val="Hyperlink"/>
          </w:rPr>
          <w:t xml:space="preserve">[4]</w:t>
        </w:r>
      </w:hyperlink>
      <w:r>
        <w:t xml:space="preserve">. The paper is canonical for the present dissertation: it is the source of the operator-by-band frame that the empirical analysis builds upon, and it is the principal demonstration that the licence record is the operative ledger of who controls which slot-band pair. The Roberts and Linares treatment also flags, in language that does not yet invoke the vocabulary of industrial organisation, the structural concentration of GEO filings on a small number of administrations and operators. The descriptive observation is in the paper; the concentration measurement is not.</w:t>
      </w:r>
    </w:p>
    <w:p>
      <w:pPr>
        <w:pStyle w:val="BodyText"/>
        <w:spacing w:line="480" w:lineRule="auto"/>
        <w:ind w:firstLine="720"/>
      </w:pPr>
      <w:r>
        <w:t xml:space="preserve">The ITU and national-licensing records are not, on their own, a sufficient measurement frame. The ITU Bureau of Radiocommunication notifications recorded in the BR International Frequency Information Circular (BR IFIC) constitute the operative international ledger</w:t>
      </w:r>
      <w:r>
        <w:t xml:space="preserve"> </w:t>
      </w:r>
      <w:hyperlink w:anchor="ref-11">
        <w:r>
          <w:rPr>
            <w:rStyle w:val="Hyperlink"/>
          </w:rPr>
          <w:t xml:space="preserve">[11]</w:t>
        </w:r>
      </w:hyperlink>
      <w:r>
        <w:t xml:space="preserve">, and the U.S. Federal Communications Commission International Bureau Filing System (IBFS) constitutes the operative national ledger for U.S.-licensed earth stations and satellites</w:t>
      </w:r>
      <w:r>
        <w:t xml:space="preserve"> </w:t>
      </w:r>
      <w:hyperlink w:anchor="ref-10">
        <w:r>
          <w:rPr>
            <w:rStyle w:val="Hyperlink"/>
          </w:rPr>
          <w:t xml:space="preserve">[10]</w:t>
        </w:r>
      </w:hyperlink>
      <w:r>
        <w:t xml:space="preserve">. Both records are public, both are organised by filing rather than by operator, and both require nontrivial resolution work to map a filing to the corporate parent that ultimately controls the slot-band pair. The U.S. Government Accountability Office reports in the NASA Major Project Assessment series provide a third reference layer for federal PNT and civil-space filings whose contestation outcomes are documented in the public record</w:t>
      </w:r>
      <w:r>
        <w:t xml:space="preserve"> </w:t>
      </w:r>
      <w:hyperlink w:anchor="ref-12">
        <w:r>
          <w:rPr>
            <w:rStyle w:val="Hyperlink"/>
          </w:rPr>
          <w:t xml:space="preserve">[12]</w:t>
        </w:r>
      </w:hyperlink>
      <w:r>
        <w:t xml:space="preserve">.</w:t>
      </w:r>
    </w:p>
    <w:bookmarkEnd w:id="69"/>
    <w:bookmarkStart w:id="70" w:name="the-orbital-carrying-capacity-tradition"/>
    <w:p>
      <w:pPr>
        <w:pStyle w:val="Heading3"/>
        <w:spacing w:line="480" w:lineRule="auto"/>
      </w:pPr>
      <w:r>
        <w:t xml:space="preserve">2.2.3 The Orbital Carrying-Capacity Tradition</w:t>
      </w:r>
    </w:p>
    <w:p>
      <w:pPr>
        <w:pStyle w:val="FirstParagraph"/>
        <w:spacing w:line="480" w:lineRule="auto"/>
      </w:pPr>
      <w:r>
        <w:t xml:space="preserve">A third strand of the technical literature, increasingly influential since 2024, treats orbital slots and spectrum as jointly finite resources whose governance must move beyond satellite counts. Stilwell and colleagues offer the most developed treatment in the IAC 2024 paper on integrating orbital carrying capacity into international policy constructs, arguing that the orbital regime is best understood as a multi-asset commons in which the binding constraint at any given altitude is the combination of physical slot, spectrum allocation, and footprint geometry</w:t>
      </w:r>
      <w:r>
        <w:t xml:space="preserve"> </w:t>
      </w:r>
      <w:hyperlink w:anchor="ref-5">
        <w:r>
          <w:rPr>
            <w:rStyle w:val="Hyperlink"/>
          </w:rPr>
          <w:t xml:space="preserve">[5]</w:t>
        </w:r>
      </w:hyperlink>
      <w:r>
        <w:t xml:space="preserve">. The companion ASCEND 2025 paper on orbital classification refines the typology and provides the analytic vocabulary that aligns slot, band, and footprint as three faces of a single allocation decision</w:t>
      </w:r>
      <w:r>
        <w:t xml:space="preserve"> </w:t>
      </w:r>
      <w:hyperlink w:anchor="ref-6">
        <w:r>
          <w:rPr>
            <w:rStyle w:val="Hyperlink"/>
          </w:rPr>
          <w:t xml:space="preserve">[6]</w:t>
        </w:r>
      </w:hyperlink>
      <w:r>
        <w:t xml:space="preserve">. Dey and Jagadanandan extend this framework into a broader treatment of commercialisation and sustainability in outer space, arguing that the regulatory pinch point in the contemporary regime is no longer physical access but spectral access, and that commercial actors face contestation rates that single-asset framings do not adequately explain</w:t>
      </w:r>
      <w:r>
        <w:t xml:space="preserve"> </w:t>
      </w:r>
      <w:hyperlink w:anchor="ref-7">
        <w:r>
          <w:rPr>
            <w:rStyle w:val="Hyperlink"/>
          </w:rPr>
          <w:t xml:space="preserve">[7]</w:t>
        </w:r>
      </w:hyperlink>
      <w:r>
        <w:t xml:space="preserve">.</w:t>
      </w:r>
    </w:p>
    <w:p>
      <w:pPr>
        <w:pStyle w:val="BodyText"/>
        <w:spacing w:line="480" w:lineRule="auto"/>
        <w:ind w:firstLine="720"/>
      </w:pPr>
      <w:r>
        <w:t xml:space="preserve">The carrying-capacity tradition is significant for the present dissertation in two respects. First, it provides the conceptual warrant for treating spectrum as a finite resource amenable to concentration measurement, on the same footing as the orbital slot. Second, it warns that any pure spectrum-only measurement will absorb orbital scarcity effects unless orbital-slot fixed effects are explicitly modelled. The implication for the empirical strategy of the dissertation is direct: a within-band paired comparison must include slot-level controls to avoid attributing orbital congestion to spectral concentration, and a sensitivity analysis must report results under both pure spectrum framing and joint slot-band framing.</w:t>
      </w:r>
    </w:p>
    <w:bookmarkEnd w:id="70"/>
    <w:bookmarkStart w:id="71" w:name="X0bea012373c6c160363c0e59b00596eaafd9d16"/>
    <w:p>
      <w:pPr>
        <w:pStyle w:val="Heading3"/>
        <w:spacing w:line="480" w:lineRule="auto"/>
      </w:pPr>
      <w:r>
        <w:t xml:space="preserve">2.2.4 The Constellation Architecture and Inter-Satellite Communication Strand</w:t>
      </w:r>
    </w:p>
    <w:p>
      <w:pPr>
        <w:pStyle w:val="FirstParagraph"/>
        <w:spacing w:line="480" w:lineRule="auto"/>
      </w:pPr>
      <w:r>
        <w:t xml:space="preserve">A further strand of the technical literature, less central to the dissertation but relevant to the contestation analysis in the second working paper, examines the architecture of CubeSat constellations and inter-satellite communication. Osipova and colleagues offer a two-part treatment of constellation architecting for messaging service that documents how aggregate emitter density scales with constellation size and how the spectrum implications of that scaling are shaped by the inter-satellite link topology [24, 26]. Anttonen and colleagues examine space-debris detection over inter-satellite communication signals, providing one of the rare empirical treatments of how communication infrastructure doubles as a sensing surface, with implications for which operators control the joint communications-and-sensing capability</w:t>
      </w:r>
      <w:r>
        <w:t xml:space="preserve"> </w:t>
      </w:r>
      <w:hyperlink w:anchor="ref-27">
        <w:r>
          <w:rPr>
            <w:rStyle w:val="Hyperlink"/>
          </w:rPr>
          <w:t xml:space="preserve">[27]</w:t>
        </w:r>
      </w:hyperlink>
      <w:r>
        <w:t xml:space="preserve">. Turan and colleagues review autonomous navigation for deep-space small satellites and document the spectrum dependencies of the navigation function, again reinforcing the observation that spectrum is the substrate of an increasingly broad portfolio of mission functions</w:t>
      </w:r>
      <w:r>
        <w:t xml:space="preserve"> </w:t>
      </w:r>
      <w:hyperlink w:anchor="ref-28">
        <w:r>
          <w:rPr>
            <w:rStyle w:val="Hyperlink"/>
          </w:rPr>
          <w:t xml:space="preserve">[28]</w:t>
        </w:r>
      </w:hyperlink>
      <w:r>
        <w:t xml:space="preserve">. Traub and colleagues report in-flight results from the BEESAT-4 CubeSat on aerodynamic collision avoidance manoeuvres, contributing to the literature on operational constraints in dense constellation environments</w:t>
      </w:r>
      <w:r>
        <w:t xml:space="preserve"> </w:t>
      </w:r>
      <w:hyperlink w:anchor="ref-23">
        <w:r>
          <w:rPr>
            <w:rStyle w:val="Hyperlink"/>
          </w:rPr>
          <w:t xml:space="preserve">[23]</w:t>
        </w:r>
      </w:hyperlink>
      <w:r>
        <w:t xml:space="preserve">. Rajan and colleagues survey applications of intelligent swarms for magnetospheric studies, illustrating the spectrum implications of swarm-scale missions</w:t>
      </w:r>
      <w:r>
        <w:t xml:space="preserve"> </w:t>
      </w:r>
      <w:hyperlink w:anchor="ref-25">
        <w:r>
          <w:rPr>
            <w:rStyle w:val="Hyperlink"/>
          </w:rPr>
          <w:t xml:space="preserve">[25]</w:t>
        </w:r>
      </w:hyperlink>
      <w:r>
        <w:t xml:space="preserve">.</w:t>
      </w:r>
    </w:p>
    <w:p>
      <w:pPr>
        <w:pStyle w:val="BodyText"/>
        <w:spacing w:line="480" w:lineRule="auto"/>
        <w:ind w:firstLine="720"/>
      </w:pPr>
      <w:r>
        <w:t xml:space="preserve">The relevance of this strand to the present dissertation is that constellation size enters directly as a covariate in the contestation logit reported in the second working paper, and the technical literature provides the engineering basis for the prediction that aggregate emitter density is the proximate driver of objection from co-frequency and adjacent-band incumbents</w:t>
      </w:r>
      <w:r>
        <w:t xml:space="preserve"> </w:t>
      </w:r>
      <w:hyperlink w:anchor="ref-8">
        <w:r>
          <w:rPr>
            <w:rStyle w:val="Hyperlink"/>
          </w:rPr>
          <w:t xml:space="preserve">[8]</w:t>
        </w:r>
      </w:hyperlink>
      <w:r>
        <w:t xml:space="preserve">.</w:t>
      </w:r>
    </w:p>
    <w:bookmarkEnd w:id="71"/>
    <w:bookmarkStart w:id="72" w:name="Xc6e11991a5a3c8e8c03947c252c18d74546a841"/>
    <w:p>
      <w:pPr>
        <w:pStyle w:val="Heading3"/>
        <w:spacing w:line="480" w:lineRule="auto"/>
      </w:pPr>
      <w:r>
        <w:t xml:space="preserve">2.2.5 The Adaptive Optics and Phased-Array Uplink Tradition</w:t>
      </w:r>
    </w:p>
    <w:p>
      <w:pPr>
        <w:pStyle w:val="FirstParagraph"/>
        <w:spacing w:line="480" w:lineRule="auto"/>
      </w:pPr>
      <w:r>
        <w:t xml:space="preserve">A final strand of the domain technical literature concerns the engineering frontier of uplink power and uplink coherence, with implications for the population of operators that can credibly enter the uplink half of a high-frequency allocation. Geldzahler and colleagues report a sustained programme of research on coherent uplink from phased arrays of widely separated antennas, including X-band results, Ka-band progress, and the KaBOOM observation-and-monitoring programme [15, 16, 17, 18]. The implication of this body of work is that the engineering barrier to entry on the uplink side is non-trivial and is rising as bands move higher; only a small population of operators command the capital stock required to drive a coherent uplink at high frequency. Bennet and colleagues report on free-space quantum communication links with adaptive optics, documenting a related frontier in which uplink coherence is the binding engineering constraint</w:t>
      </w:r>
      <w:r>
        <w:t xml:space="preserve"> </w:t>
      </w:r>
      <w:hyperlink w:anchor="ref-14">
        <w:r>
          <w:rPr>
            <w:rStyle w:val="Hyperlink"/>
          </w:rPr>
          <w:t xml:space="preserve">[14]</w:t>
        </w:r>
      </w:hyperlink>
      <w:r>
        <w:t xml:space="preserve">. Dekany and colleagues provide a Palomar Observatory treatment of high-angular-resolution adaptive optics that, while astronomical in primary intent, illustrates the technical depth of the adaptive-optics stack that frontier uplink systems share</w:t>
      </w:r>
      <w:r>
        <w:t xml:space="preserve"> </w:t>
      </w:r>
      <w:hyperlink w:anchor="ref-20">
        <w:r>
          <w:rPr>
            <w:rStyle w:val="Hyperlink"/>
          </w:rPr>
          <w:t xml:space="preserve">[20]</w:t>
        </w:r>
      </w:hyperlink>
      <w:r>
        <w:t xml:space="preserve">. Cardona and colleagues describe the Space Systems Center advanced-technology-integration programme for hosted payloads in the space-domain-awareness mission area, illustrating how uplink and downlink capabilities are bundled into hosted-payload architectures whose operator class is institutionally distinct from the GEO bouquet-provider model</w:t>
      </w:r>
      <w:r>
        <w:t xml:space="preserve"> </w:t>
      </w:r>
      <w:hyperlink w:anchor="ref-19">
        <w:r>
          <w:rPr>
            <w:rStyle w:val="Hyperlink"/>
          </w:rPr>
          <w:t xml:space="preserve">[19]</w:t>
        </w:r>
      </w:hyperlink>
      <w:r>
        <w:t xml:space="preserve">.</w:t>
      </w:r>
    </w:p>
    <w:p>
      <w:pPr>
        <w:pStyle w:val="BodyText"/>
        <w:spacing w:line="480" w:lineRule="auto"/>
        <w:ind w:firstLine="720"/>
      </w:pPr>
      <w:r>
        <w:t xml:space="preserve">Taken together, these papers reinforce the core observation that uplink and downlink occupy structurally different positions in the engineering and capital stack. The uplink side concentrates in a small population of operators with the antenna, power-amplifier, and adaptive-optics capability to drive the link; the downlink side concentrates in a different small population of operators with the satellite-emission and footprint-distribution capability. The two populations overlap only partially, and the operator identities on one side of the link do not determine the operator identities on the other.</w:t>
      </w:r>
    </w:p>
    <w:bookmarkEnd w:id="72"/>
    <w:bookmarkStart w:id="73" w:name="Xb1fded8d6f20e48b66c8dbd0d92450789dc67ce"/>
    <w:p>
      <w:pPr>
        <w:pStyle w:val="Heading3"/>
        <w:spacing w:line="480" w:lineRule="auto"/>
      </w:pPr>
      <w:r>
        <w:t xml:space="preserve">2.2.6 Summary of the Domain Technical Literature</w:t>
      </w:r>
    </w:p>
    <w:p>
      <w:pPr>
        <w:pStyle w:val="FirstParagraph"/>
        <w:spacing w:line="480" w:lineRule="auto"/>
      </w:pPr>
      <w:r>
        <w:t xml:space="preserve">The domain technical literature establishes four propositions that are essential to the dissertation. First, uplink and downlink are analytically separable surfaces, both in the attribution of harmful-interference events [1, 13] and in the operational planning pipelines of national space agencies [2, 3]. Second, the ITU SNS-derived licence record is the canonical ledger of who controls which slot-band pair, and it is structurally concentrated on a small number of administrations and operators [4, 10, 11]. Third, orbital slots and spectrum are jointly finite resources whose governance must move beyond single-asset framings [5, 6, 7]. Fourth, the engineering capital stack required to operate on the uplink and downlink halves of a high-frequency allocation is structurally distinct, and the operator populations on the two sides only partially overlap [14, 15, 16, 17, 18, 19, 20]. What the domain literature does not provide is a market-structure measurement of the resulting asymmetry. The concentration calculation, the paired comparison, and the contestation model are all absent.</w:t>
      </w:r>
    </w:p>
    <w:bookmarkEnd w:id="73"/>
    <w:bookmarkEnd w:id="74"/>
    <w:bookmarkStart w:id="82" w:name="X07fe73e594277fc276c6392b9242153367417e1"/>
    <w:p>
      <w:pPr>
        <w:pStyle w:val="Heading2"/>
        <w:spacing w:line="480" w:lineRule="auto"/>
      </w:pPr>
      <w:r>
        <w:t xml:space="preserve">2.3 The Cliometric and Econometric Methodology Literature</w:t>
      </w:r>
    </w:p>
    <w:bookmarkStart w:id="75" w:name="X659dcbc11ac5664ecc65691e804405ea7a775c5"/>
    <w:p>
      <w:pPr>
        <w:pStyle w:val="Heading3"/>
        <w:spacing w:line="480" w:lineRule="auto"/>
      </w:pPr>
      <w:r>
        <w:t xml:space="preserve">2.3.1 The Herfindahl-Hirschman Index and Paired Concentration Measurement</w:t>
      </w:r>
    </w:p>
    <w:p>
      <w:pPr>
        <w:pStyle w:val="FirstParagraph"/>
        <w:spacing w:line="480" w:lineRule="auto"/>
      </w:pPr>
      <w:r>
        <w:t xml:space="preserve">The cliometric and econometric methodology literature contributes the measurement and identification apparatus that the domain literature lacks. The Herfindahl-Hirschman Index (HHI) is the standard concentration measure across regulated infrastructure industries and is operationalised on the 0 to 10,000 scale that underpins the U.S. Department of Justice antitrust thresholds. Its application to satellite spectrum is the natural extension of the operator-by-band frame already established by Roberts and Linares</w:t>
      </w:r>
      <w:r>
        <w:t xml:space="preserve"> </w:t>
      </w:r>
      <w:hyperlink w:anchor="ref-4">
        <w:r>
          <w:rPr>
            <w:rStyle w:val="Hyperlink"/>
          </w:rPr>
          <w:t xml:space="preserve">[4]</w:t>
        </w:r>
      </w:hyperlink>
      <w:r>
        <w:t xml:space="preserve">. The methodological move that the dissertation requires is the construction of paired HHI values for the uplink and downlink halves of the same allocation, a paired design that the domain literature has not previously attempted.</w:t>
      </w:r>
    </w:p>
    <w:p>
      <w:pPr>
        <w:pStyle w:val="BodyText"/>
        <w:spacing w:line="480" w:lineRule="auto"/>
        <w:ind w:firstLine="720"/>
      </w:pPr>
      <w:r>
        <w:t xml:space="preserve">The paired-comparison logic is well established in the broader cliometric literature on asymmetric market structure. The standard within-unit paired design controls for unit-level unobservables by comparing two outcomes measured on the same unit at the same time, and the resulting estimator is robust to a broad class of operator-level confounders that would otherwise contaminate a cross-sectional comparison. In the satellite spectrum case, the unit is the band-region pair, the two outcomes are uplink HHI and downlink HHI, and the within-unit paired comparison absorbs band-specific and region-specific structural factors that would otherwise be confounded with the link-direction effect. The first working paper of the dissertation operationalises this design through an ordinary least squares panel with band and region fixed effects, recovering a downlink coefficient of 699.33 HHI points with HC1 robust standard errors and an adjusted R-squared of 0.930 on thirty paired observations.</w:t>
      </w:r>
    </w:p>
    <w:bookmarkEnd w:id="75"/>
    <w:bookmarkStart w:id="76" w:name="X3e7e73d66e388fe486fe22446f83d897935cb4a"/>
    <w:p>
      <w:pPr>
        <w:pStyle w:val="Heading3"/>
        <w:spacing w:line="480" w:lineRule="auto"/>
      </w:pPr>
      <w:r>
        <w:t xml:space="preserve">2.3.2 The Logit and Probit Tradition for Contestation Outcomes</w:t>
      </w:r>
    </w:p>
    <w:p>
      <w:pPr>
        <w:pStyle w:val="FirstParagraph"/>
        <w:spacing w:line="480" w:lineRule="auto"/>
      </w:pPr>
      <w:r>
        <w:t xml:space="preserve">A second strand of the cliometric methodology literature concerns the estimation of binary contestation outcomes through logit and probit models. The contestation flag is a natural binary outcome variable: a filing is either contested in the public record or it is not. The standard maximum-likelihood logit estimator recovers the latent-utility coefficients on the covariates of interest, and the McFadden pseudo R-squared provides the standard goodness-of-fit summary. The second working paper of the dissertation operationalises this design on thirty-five satellite-network filings drawn from the FCC IBFS public docket, ITU BR IFIC notifications, and GAO Major Project Assessment reports [10, 11, 12], recovering a McFadden pseudo R-squared of 0.711 and a log-likelihood of negative 6.96.</w:t>
      </w:r>
    </w:p>
    <w:p>
      <w:pPr>
        <w:pStyle w:val="BodyText"/>
        <w:spacing w:line="480" w:lineRule="auto"/>
        <w:ind w:firstLine="720"/>
      </w:pPr>
      <w:r>
        <w:t xml:space="preserve">The substantive contribution of the logit design is to translate the engineering observation that aggregate emitter density drives objection from co-frequency incumbents</w:t>
      </w:r>
      <w:r>
        <w:t xml:space="preserve"> </w:t>
      </w:r>
      <w:hyperlink w:anchor="ref-8">
        <w:r>
          <w:rPr>
            <w:rStyle w:val="Hyperlink"/>
          </w:rPr>
          <w:t xml:space="preserve">[8]</w:t>
        </w:r>
      </w:hyperlink>
      <w:r>
        <w:t xml:space="preserve"> </w:t>
      </w:r>
      <w:r>
        <w:t xml:space="preserve">into a parameterised estimate of how much each additional authorised satellite raises the log-odds of contestation. The estimated coefficient of 0.0567 per authorised satellite, with a p-value of 0.057, is the kind of quantity that the domain technical literature does not produce and that the cliometric literature is uniquely equipped to deliver.</w:t>
      </w:r>
    </w:p>
    <w:bookmarkEnd w:id="76"/>
    <w:bookmarkStart w:id="77" w:name="Xd84a3c2b66f29a6874593b77b2f84ed777d3b32"/>
    <w:p>
      <w:pPr>
        <w:pStyle w:val="Heading3"/>
        <w:spacing w:line="480" w:lineRule="auto"/>
      </w:pPr>
      <w:r>
        <w:t xml:space="preserve">2.3.3 The Placebo Test and Identification Strategy Literature</w:t>
      </w:r>
    </w:p>
    <w:p>
      <w:pPr>
        <w:pStyle w:val="FirstParagraph"/>
        <w:spacing w:line="480" w:lineRule="auto"/>
      </w:pPr>
      <w:r>
        <w:t xml:space="preserve">A third strand of the cliometric methodology literature, central to the validity of the dissertation’s main result, concerns the use of placebo tests and randomised re-pairing procedures to establish the null distribution of an estimator. The standard placebo design randomly re-pairs the uplink and downlink labels across the sample and re-estimates the coefficient under the null that link direction carries no signal, building up an empirical null distribution against which the observed coefficient can be evaluated. The dissertation incorporates a placebo test of this form in the second-stage identification strategy, providing a behavioural check that the observed uplink-downlink gap is not an artefact of the band, region, or vintage classification.</w:t>
      </w:r>
    </w:p>
    <w:p>
      <w:pPr>
        <w:pStyle w:val="BodyText"/>
        <w:spacing w:line="480" w:lineRule="auto"/>
        <w:ind w:firstLine="720"/>
      </w:pPr>
      <w:r>
        <w:t xml:space="preserve">The placebo logic is reinforced by triangulation against an independent behavioural record. If the measured concentration on the downlink side is higher than on the uplink side, the distribution of attributed downlink interference events in the public transparency record should reflect that concentration [1, 13]. The triangulation is a form of out-of-sample validation that the cliometric methodology literature treats as the standard defence against mechanical artefacts in a paired estimator, and the domain technical literature provides the behavioural data that makes the triangulation possible.</w:t>
      </w:r>
    </w:p>
    <w:bookmarkEnd w:id="77"/>
    <w:bookmarkStart w:id="78" w:name="X3e283083e009a16115b3ac0ca861fd270b2195e"/>
    <w:p>
      <w:pPr>
        <w:pStyle w:val="Heading3"/>
        <w:spacing w:line="480" w:lineRule="auto"/>
      </w:pPr>
      <w:r>
        <w:t xml:space="preserve">2.3.4 The Fixed-Effects and Panel Identification Literature</w:t>
      </w:r>
    </w:p>
    <w:p>
      <w:pPr>
        <w:pStyle w:val="FirstParagraph"/>
        <w:spacing w:line="480" w:lineRule="auto"/>
      </w:pPr>
      <w:r>
        <w:t xml:space="preserve">A fourth strand of the cliometric methodology literature concerns the use of fixed effects to absorb unit-level unobservables in panel data. The dissertation’s empirical strategy uses band and region fixed effects in the first working paper and motivates an extension to operator-year fixed effects in the longitudinal panel that the second working paper foreshadows. The fixed-effects design is the standard answer to the cliometric question of whether a measured association survives the absorption of plausible confounders, and its application to the satellite spectrum case is the natural extension of the operator-by-band frame already in the domain literature</w:t>
      </w:r>
      <w:r>
        <w:t xml:space="preserve"> </w:t>
      </w:r>
      <w:hyperlink w:anchor="ref-4">
        <w:r>
          <w:rPr>
            <w:rStyle w:val="Hyperlink"/>
          </w:rPr>
          <w:t xml:space="preserve">[4]</w:t>
        </w:r>
      </w:hyperlink>
      <w:r>
        <w:t xml:space="preserve">.</w:t>
      </w:r>
    </w:p>
    <w:p>
      <w:pPr>
        <w:pStyle w:val="BodyText"/>
        <w:spacing w:line="480" w:lineRule="auto"/>
        <w:ind w:firstLine="720"/>
      </w:pPr>
      <w:r>
        <w:t xml:space="preserve">The vintage indicator deployed in the first working paper is a further methodological move drawn from the panel-identification literature. The concern is that filing cohort may be confounded with link-direction effect: if early filings systematically privileged the uplink direction and later filings systematically expanded the downlink direction, the link-direction coefficient could simply be picking up cohort effects. The vintage control absorbs this concern, and the reported coefficient of 63.60 with a p-value of 0.265 establishes that the link-direction effect is not absorbed by filing cohort.</w:t>
      </w:r>
    </w:p>
    <w:bookmarkEnd w:id="78"/>
    <w:bookmarkStart w:id="79" w:name="X9bb5499fe75f29a10c92e8b23baacd14e9805bb"/>
    <w:p>
      <w:pPr>
        <w:pStyle w:val="Heading3"/>
        <w:spacing w:line="480" w:lineRule="auto"/>
      </w:pPr>
      <w:r>
        <w:t xml:space="preserve">2.3.5 The Operator-to-Parent Resolution Problem</w:t>
      </w:r>
    </w:p>
    <w:p>
      <w:pPr>
        <w:pStyle w:val="FirstParagraph"/>
        <w:spacing w:line="480" w:lineRule="auto"/>
      </w:pPr>
      <w:r>
        <w:t xml:space="preserve">A fifth strand of the methodology literature, less often discussed in the textbook treatment of paired estimators but central to the satellite-spectrum application, concerns the operator-to-parent resolution problem. The cliometric concentration measure requires that each filing be mapped to the corporate parent that ultimately controls the slot-band pair, and the mapping is not trivial when teleport operators and licensees are distinct legal entities. The methodology literature on industry concentration in regulated sectors has developed standard procedures for handling this layered ownership structure, including the treatment of teleport operators and licensees as separate layers and the reporting of HHI values under both layer treatments. The dissertation adopts this two-layer reporting convention to bound the resulting concentration estimates and to address the threat to validity that operator-to-parent resolution can collapse genuine market structure.</w:t>
      </w:r>
    </w:p>
    <w:bookmarkEnd w:id="79"/>
    <w:bookmarkStart w:id="80" w:name="X5b71d526435018c9c3e88d7ea1484e4c6b7e348"/>
    <w:p>
      <w:pPr>
        <w:pStyle w:val="Heading3"/>
        <w:spacing w:line="480" w:lineRule="auto"/>
      </w:pPr>
      <w:r>
        <w:t xml:space="preserve">2.3.6 The Footprint-Weighting and Population-Weighting Tradition</w:t>
      </w:r>
    </w:p>
    <w:p>
      <w:pPr>
        <w:pStyle w:val="FirstParagraph"/>
        <w:spacing w:line="480" w:lineRule="auto"/>
      </w:pPr>
      <w:r>
        <w:t xml:space="preserve">A sixth strand of the methodology literature concerns the weighting of share calculations in industries where the relevant denominator is itself a heterogeneous quantity. In retail concentration analysis, the standard move is to weight share calculations by population served or sales volume rather than by store count. In satellite spectrum, the analogous move is to weight share calculations by footprint population rather than by assigned bandwidth alone. The methodology literature establishes that weighting choices can materially change the resulting concentration estimate and that the appropriate defence is to report results under both weighted and unweighted schemes. The dissertation adopts this convention, reporting both unweighted HHI values and footprint-population-weighted HHI values to bound the result.</w:t>
      </w:r>
    </w:p>
    <w:bookmarkEnd w:id="80"/>
    <w:bookmarkStart w:id="81" w:name="Xb0c101a8f0bee221276ea356980e1253bfd77fe"/>
    <w:p>
      <w:pPr>
        <w:pStyle w:val="Heading3"/>
        <w:spacing w:line="480" w:lineRule="auto"/>
      </w:pPr>
      <w:r>
        <w:t xml:space="preserve">2.3.7 Summary of the Cliometric and Econometric Methodology Literature</w:t>
      </w:r>
    </w:p>
    <w:p>
      <w:pPr>
        <w:pStyle w:val="FirstParagraph"/>
        <w:spacing w:line="480" w:lineRule="auto"/>
      </w:pPr>
      <w:r>
        <w:t xml:space="preserve">The cliometric and econometric methodology literature establishes six methodological propositions that are essential to the dissertation. First, the HHI on the 0 to 10,000 scale is the standard concentration measure for regulated infrastructure industries. Second, the paired within-unit design absorbs unit-level unobservables and is the natural estimator for asymmetric outcomes measured on the same allocation. Third, binary contestation outcomes are appropriately estimated by maximum-likelihood logit with McFadden pseudo R-squared as the standard goodness-of-fit summary. Fourth, placebo tests and triangulation against independent behavioural records are the standard defences against mechanical artefacts. Fifth, fixed-effects panel designs absorb plausible confounders and support the identification of link-direction effects net of band, region, and vintage. Sixth, layered ownership structures require two-layer reporting conventions and weighting choices require both weighted and unweighted reporting. What the cliometric and econometric literature does not provide is a substantive application of these methods to the satellite spectrum case. The HHI calculation on uplink and downlink halves, the paired panel on band-region observations, and the contestation logit on operator-filing data are all absent from the published cliometric record.</w:t>
      </w:r>
    </w:p>
    <w:bookmarkEnd w:id="81"/>
    <w:bookmarkEnd w:id="82"/>
    <w:bookmarkStart w:id="86" w:name="the-gap-and-the-synthesis"/>
    <w:p>
      <w:pPr>
        <w:pStyle w:val="Heading2"/>
        <w:spacing w:line="480" w:lineRule="auto"/>
      </w:pPr>
      <w:r>
        <w:t xml:space="preserve">2.4 The Gap and the Synthesis</w:t>
      </w:r>
    </w:p>
    <w:bookmarkStart w:id="83" w:name="the-joint-gap"/>
    <w:p>
      <w:pPr>
        <w:pStyle w:val="Heading3"/>
        <w:spacing w:line="480" w:lineRule="auto"/>
      </w:pPr>
      <w:r>
        <w:t xml:space="preserve">2.4.1 The Joint Gap</w:t>
      </w:r>
    </w:p>
    <w:p>
      <w:pPr>
        <w:pStyle w:val="FirstParagraph"/>
        <w:spacing w:line="480" w:lineRule="auto"/>
      </w:pPr>
      <w:r>
        <w:t xml:space="preserve">The two literatures fail to join at three precise points. First, the harmful-interference attribution methodology of Karra and Jah separates uplink and downlink as analytic surfaces [1, 13] but does not aggregate the attributions into a market-structure measurement. The cliometric literature has the aggregation apparatus; the domain literature has the attribution data. They have not been combined. Second, the ITU GEO licence census of Roberts and Linares provides operator-by-band frame</w:t>
      </w:r>
      <w:r>
        <w:t xml:space="preserve"> </w:t>
      </w:r>
      <w:hyperlink w:anchor="ref-4">
        <w:r>
          <w:rPr>
            <w:rStyle w:val="Hyperlink"/>
          </w:rPr>
          <w:t xml:space="preserve">[4]</w:t>
        </w:r>
      </w:hyperlink>
      <w:r>
        <w:t xml:space="preserve"> </w:t>
      </w:r>
      <w:r>
        <w:t xml:space="preserve">but does not decompose the granted bandwidth into its uplink and downlink halves or compute a paired HHI on the decomposition. The cliometric literature has the paired HHI estimator; the domain literature has the licence ledger. They have not been combined. Third, the orbital carrying-capacity literature warns that orbits and spectrum are jointly finite [5, 6, 7] but its instruments are designed around collision risk and altitude bands rather than around spectrum-segment concentration. The cliometric literature has the fixed-effects panel estimator that can absorb orbital scarcity into a spectrum concentration measurement; the domain literature has the carrying-capacity framework that motivates the need to do so. They have not been combined.</w:t>
      </w:r>
    </w:p>
    <w:p>
      <w:pPr>
        <w:pStyle w:val="BodyText"/>
        <w:spacing w:line="480" w:lineRule="auto"/>
        <w:ind w:firstLine="720"/>
      </w:pPr>
      <w:r>
        <w:t xml:space="preserve">The composite gap is therefore not the absence of either literature but the absence of their integration. A reader of the domain technical literature alone would conclude that uplink and downlink are different physical surfaces and would have no language for the market-structure consequences. A reader of the cliometric and econometric methodology literature alone would conclude that paired HHI and logit contestation estimators are well understood and would have no purchase on the satellite spectrum case where they have not been applied. The dissertation closes the gap by importing the cliometric estimators into the domain data, with explicit attention to the threats to validity that the layered ownership structure, the carrying-capacity warning, and the footprint-weighting tradition raise.</w:t>
      </w:r>
    </w:p>
    <w:bookmarkEnd w:id="83"/>
    <w:bookmarkStart w:id="84" w:name="the-synthesis-pathway"/>
    <w:p>
      <w:pPr>
        <w:pStyle w:val="Heading3"/>
        <w:spacing w:line="480" w:lineRule="auto"/>
      </w:pPr>
      <w:r>
        <w:t xml:space="preserve">2.4.2 The Synthesis Pathway</w:t>
      </w:r>
    </w:p>
    <w:p>
      <w:pPr>
        <w:pStyle w:val="FirstParagraph"/>
        <w:spacing w:line="480" w:lineRule="auto"/>
      </w:pPr>
      <w:r>
        <w:t xml:space="preserve">The synthesis pathway proceeds in three steps. First, the ITU SNS-derived licence census</w:t>
      </w:r>
      <w:r>
        <w:t xml:space="preserve"> </w:t>
      </w:r>
      <w:hyperlink w:anchor="ref-4">
        <w:r>
          <w:rPr>
            <w:rStyle w:val="Hyperlink"/>
          </w:rPr>
          <w:t xml:space="preserve">[4]</w:t>
        </w:r>
      </w:hyperlink>
      <w:r>
        <w:t xml:space="preserve"> </w:t>
      </w:r>
      <w:r>
        <w:t xml:space="preserve">is decomposed into paired uplink and downlink frequency assignments and operators are resolved to corporate parents through the licence record [10, 11]. Second, paired HHI values are computed on the decomposition under both unweighted and footprint-population-weighted schemes, and the paired comparison is estimated through an ordinary least squares panel with band, region, and vintage fixed effects. Third, the contestation outcome is modelled through a maximum-likelihood logit on operator-filing data drawn from FCC IBFS, ITU BR IFIC, and GAO Major Project Assessment sources [10, 11, 12]. Each step draws explicitly on both literatures: the data are domain-technical and the estimators are cliometric. The contribution is the joint deployment.</w:t>
      </w:r>
    </w:p>
    <w:p>
      <w:pPr>
        <w:pStyle w:val="BodyText"/>
        <w:spacing w:line="480" w:lineRule="auto"/>
        <w:ind w:firstLine="720"/>
      </w:pPr>
      <w:r>
        <w:t xml:space="preserve">The synthesis is policy-consequential. If the paired HHI shows that downlink concentration systematically exceeds uplink concentration by a margin large enough to flip the band’s competition classification under standard antitrust HHI thresholds, the policy implication is that single-number spectrum policy is structurally mis-specified. If the contestation logit shows that constellation size and band-frequency are the proximate drivers of contestation, the policy implication is that the operator-class distinction between commercial and government PNT is a proxy for size and band rather than a separable driver. Both implications are reachable only through the synthesis of the two literatures, and neither is reachable through either literature alone.</w:t>
      </w:r>
    </w:p>
    <w:bookmarkEnd w:id="84"/>
    <w:bookmarkStart w:id="85" w:name="Xb64615bdb5da13a97511faaf9a0ff47892d354a"/>
    <w:p>
      <w:pPr>
        <w:pStyle w:val="Heading3"/>
        <w:spacing w:line="480" w:lineRule="auto"/>
      </w:pPr>
      <w:r>
        <w:t xml:space="preserve">2.4.3 Anticipated Objections and the Position of the Dissertation</w:t>
      </w:r>
    </w:p>
    <w:p>
      <w:pPr>
        <w:pStyle w:val="FirstParagraph"/>
        <w:spacing w:line="480" w:lineRule="auto"/>
      </w:pPr>
      <w:r>
        <w:t xml:space="preserve">Three anticipated objections to the synthesis deserve explicit acknowledgement. The first is that the domain technical literature already implicitly treats the asymmetry through the operational planning pipelines of national space agencies [2, 3] and the attribution methodology of independent transparency monitors [1, 13], and that a formal cliometric measurement adds little. The dissertation responds that operational separability at the planning stage is not the same as market-structure measurement at the regulatory stage, and that the policy instruments operate on market-structure measurement rather than on planning separability. The second objection is that the cliometric and econometric methodology literature is industry-agnostic and that its application to satellite spectrum is a routine extension. The dissertation responds that the operator-to-parent resolution problem, the footprint-weighting tradition, and the carrying-capacity warning each require non-trivial substantive judgement about how the cliometric apparatus is deployed in this particular case, and that the joint deployment is not automatic. The third objection is that the licence record lags actual deployment and that a filing-based concentration measure can mis-state operating concentration. The dissertation responds through the behavioural triangulation against the independent GEO interference catalogue [1, 13], which provides the out-of-sample validation that the cliometric methodology literature treats as the standard defence.</w:t>
      </w:r>
    </w:p>
    <w:p>
      <w:pPr>
        <w:pStyle w:val="BodyText"/>
        <w:spacing w:line="480" w:lineRule="auto"/>
        <w:ind w:firstLine="720"/>
      </w:pPr>
      <w:r>
        <w:t xml:space="preserve">The position of the dissertation is therefore that the joint deployment of the two literatures is both necessary and non-trivial, that the gap between them is precisely identifiable and policy-consequential, and that the empirical results reported in the first and second working papers constitute the first published demonstration that the synthesis can be carried through to a falsifiable test. The remainder of the dissertation operationalises this synthesis at the scale required to support the H0 and H1 stated in the prospectus.</w:t>
      </w:r>
    </w:p>
    <w:bookmarkEnd w:id="85"/>
    <w:bookmarkEnd w:id="86"/>
    <w:bookmarkStart w:id="87" w:name="chapter-summary"/>
    <w:p>
      <w:pPr>
        <w:pStyle w:val="Heading2"/>
        <w:spacing w:line="480" w:lineRule="auto"/>
      </w:pPr>
      <w:r>
        <w:t xml:space="preserve">2.5 Chapter Summary</w:t>
      </w:r>
    </w:p>
    <w:p>
      <w:pPr>
        <w:pStyle w:val="FirstParagraph"/>
        <w:spacing w:line="480" w:lineRule="auto"/>
      </w:pPr>
      <w:r>
        <w:t xml:space="preserve">The domain technical literature on satellite spectrum has matured a sophisticated treatment of uplink and downlink as analytically separable surfaces, an operative ledger of GEO licence applications that documents structural concentration on a small number of administrations and operators, a carrying-capacity framework that treats orbits and spectrum as jointly finite, and an engineering record that documents the structurally distinct capital stacks required to operate on the two halves of a high-frequency allocation [1, 2, 3, 4, 5, 6, 7, 8, 9, 13, 14, 15, 16, 17, 18, 19, 20, 21, 22, 23, 24, 25, 26, 27, 28]. The cliometric and econometric methodology literature has matured the HHI concentration measure, the paired within-unit design, the maximum-likelihood logit contestation estimator, the placebo and triangulation defences, the fixed-effects panel design, the operator-to-parent resolution convention, and the footprint-weighting tradition. The two literatures have not joined. The dissertation closes the gap by importing the cliometric estimators into the domain data and reporting the paired HHI and contestation logit results that the joint deployment produces. The remainder of the dissertation develops the data construction, the identification strategy, the empirical results, and the policy implications at the scale required to support a falsifiable test of the uplink-downlink asymmetry of spectrum power in the geostationary orbital regime.</w:t>
      </w:r>
    </w:p>
    <w:bookmarkEnd w:id="87"/>
    <w:bookmarkEnd w:id="88"/>
    <w:bookmarkStart w:id="98" w:name="Xcfcc00a3ded59aed0c781c16bfc121f2a509603"/>
    <w:p>
      <w:pPr>
        <w:pStyle w:val="Heading1"/>
        <w:spacing w:line="480" w:lineRule="auto"/>
      </w:pPr>
      <w:r>
        <w:t xml:space="preserve">Chapter 3. Theoretical Framework and Hypotheses</w:t>
      </w:r>
    </w:p>
    <w:bookmarkStart w:id="89" w:name="orientation-1"/>
    <w:p>
      <w:pPr>
        <w:pStyle w:val="Heading2"/>
        <w:spacing w:line="480" w:lineRule="auto"/>
      </w:pPr>
      <w:r>
        <w:t xml:space="preserve">3.1 Orientation</w:t>
      </w:r>
    </w:p>
    <w:p>
      <w:pPr>
        <w:pStyle w:val="FirstParagraph"/>
        <w:spacing w:line="480" w:lineRule="auto"/>
      </w:pPr>
      <w:r>
        <w:t xml:space="preserve">The empirical contribution of this dissertation rests on a theoretical claim that has not, to the candidate’s knowledge, been articulated in the published literature on satellite spectrum governance. The claim is that a geosynchronous spectrum allocation is not one chokepoint but two, that the two are governed by physically and institutionally distinct constraints, and that the resulting concentration profiles diverge in a direction and by a magnitude that single-asset regulatory framings cannot represent. This chapter develops that claim. It begins by identifying the three bodies of scholarship from which the framework draws, specifies the causal mechanism that links uplink and downlink chokepoints to operator-level concentration, and ends with the formal null and alternative hypotheses that the empirical chapters test.</w:t>
      </w:r>
    </w:p>
    <w:p>
      <w:pPr>
        <w:pStyle w:val="BodyText"/>
        <w:spacing w:line="480" w:lineRule="auto"/>
        <w:ind w:firstLine="720"/>
      </w:pPr>
      <w:r>
        <w:t xml:space="preserve">The framework is constructed at the level of the band-region-link cell, that is, the smallest unit at which uplink and downlink can be observed as paired but separable objects. The unit of measurement is the Herfindahl-Hirschman concentration index computed on operator share of half-allocation bandwidth within that cell. The unit of theoretical interest, however, is not the index value on its own; it is the gap between the uplink index and the downlink index on the same allocation. That gap is the quantity that the framework predicts, that the hypotheses formalise, and that the panel test reported in the candidate’s first companion paper estimates at approximately 699 HHI points after band, region, and vintage controls are absorbed.</w:t>
      </w:r>
    </w:p>
    <w:bookmarkEnd w:id="89"/>
    <w:bookmarkStart w:id="90" w:name="three-bodies-of-antecedent-scholarship"/>
    <w:p>
      <w:pPr>
        <w:pStyle w:val="Heading2"/>
        <w:spacing w:line="480" w:lineRule="auto"/>
      </w:pPr>
      <w:r>
        <w:t xml:space="preserve">3.2 Three Bodies of Antecedent Scholarship</w:t>
      </w:r>
    </w:p>
    <w:p>
      <w:pPr>
        <w:pStyle w:val="FirstParagraph"/>
        <w:spacing w:line="480" w:lineRule="auto"/>
      </w:pPr>
      <w:r>
        <w:t xml:space="preserve">The framework draws on three distinct research traditions that have, so far, run in parallel rather than in conversation.</w:t>
      </w:r>
    </w:p>
    <w:p>
      <w:pPr>
        <w:pStyle w:val="BodyText"/>
        <w:spacing w:line="480" w:lineRule="auto"/>
        <w:ind w:firstLine="720"/>
      </w:pPr>
      <w:r>
        <w:t xml:space="preserve">The first is the harmful-interference transparency tradition, exemplified in the geosynchronous regime by the independent monitoring methodology developed at the University of Texas at Austin and reported at the AMOS conference [1, 13]. The contribution of that tradition is the operational demonstration that uplink and downlink interference events are attributable to distinct geometries and to distinct populations of emitters and receivers, and that the analytic toolchain to separate them has matured to the point where independent observation is feasible without proprietary access to operator telemetry. The Korean Aerospace Research Institute prediction-and-avoidance pipeline reinforces the same point from the operator side: practitioners build their planning systems around uplink and downlink as separable risk surfaces because the two halves of the link present different threat geometries [2, 3]. The transparency tradition supplies the empirical proof that the two halves are operationally distinct. It does not, however, aggregate that distinction into a market-structure measurement.</w:t>
      </w:r>
    </w:p>
    <w:p>
      <w:pPr>
        <w:pStyle w:val="BodyText"/>
        <w:spacing w:line="480" w:lineRule="auto"/>
        <w:ind w:firstLine="720"/>
      </w:pPr>
      <w:r>
        <w:t xml:space="preserve">Second comes the ITU filings literature, in which the Roberts and Linares survey of geosynchronous space-station licence applications provides the most complete public catalogue of which administrations and operators hold which slot-band pairs</w:t>
      </w:r>
      <w:r>
        <w:t xml:space="preserve"> </w:t>
      </w:r>
      <w:hyperlink w:anchor="ref-4">
        <w:r>
          <w:rPr>
            <w:rStyle w:val="Hyperlink"/>
          </w:rPr>
          <w:t xml:space="preserve">[4]</w:t>
        </w:r>
      </w:hyperlink>
      <w:r>
        <w:t xml:space="preserve">. That tradition treats the filing as the unit of analysis. It establishes that filing concentration in the geosynchronous regime is non-trivial, that the licence record is the operative ledger of who controls which allocation, and that the Space Network Systems database of the ITU Radiocommunication Bureau is the canonical real and obtainable source for paired uplink and downlink assignments. The filings literature supplies the ledger from which paired concentration indices can be constructed. It does not, however, decompose the granted bandwidth into its uplink and downlink halves and does not produce paired indices on the operator dimension.</w:t>
      </w:r>
    </w:p>
    <w:p>
      <w:pPr>
        <w:pStyle w:val="BodyText"/>
        <w:spacing w:line="480" w:lineRule="auto"/>
        <w:ind w:firstLine="720"/>
      </w:pPr>
      <w:r>
        <w:t xml:space="preserve">Third is the orbital carrying-capacity literature, in which orbits and spectrum are theorised jointly as finite resources whose governance must move past satellite counts and single-band aggregates [5, 6, 7]. That tradition supplies the theoretical warrant for treating spectrum as a market-structure object rather than a purely engineering object. It argues, persuasively, that the governance instruments designed around collision risk and altitude bands are insufficient when the binding constraint shifts from physical access to spectral access. The carrying-capacity literature, however, has not yet produced the paired uplink-downlink instruments that its own logic demands; its measurements remain organised around collision risk and altitude bands rather than around spectrum-segment concentration.</w:t>
      </w:r>
    </w:p>
    <w:p>
      <w:pPr>
        <w:pStyle w:val="BodyText"/>
        <w:spacing w:line="480" w:lineRule="auto"/>
        <w:ind w:firstLine="720"/>
      </w:pPr>
      <w:r>
        <w:t xml:space="preserve">The framework developed here joins the three. It takes the operational separability of uplink and downlink from the transparency tradition, the operator-by-band ledger from the filings tradition, and the joint-finiteness warrant from the carrying-capacity tradition, and it asks a question that none of the three has answered: do the uplink and downlink halves of the same allocation concentrate at different rates, and if so, in which direction,</w:t>
      </w:r>
    </w:p>
    <w:bookmarkEnd w:id="90"/>
    <w:bookmarkStart w:id="91" w:name="the-causal-mechanism"/>
    <w:p>
      <w:pPr>
        <w:pStyle w:val="Heading2"/>
        <w:spacing w:line="480" w:lineRule="auto"/>
      </w:pPr>
      <w:r>
        <w:t xml:space="preserve">3.3 The Causal Mechanism</w:t>
      </w:r>
    </w:p>
    <w:p>
      <w:pPr>
        <w:pStyle w:val="FirstParagraph"/>
        <w:spacing w:line="480" w:lineRule="auto"/>
      </w:pPr>
      <w:r>
        <w:t xml:space="preserve">The mechanism the framework specifies is asymmetric chokepoint formation. The two halves of a geosynchronous allocation form chokepoints through distinct processes and at distinct rates, and the two processes produce the same qualitative outcome, namely operator concentration, at materially different quantitative levels.</w:t>
      </w:r>
    </w:p>
    <w:p>
      <w:pPr>
        <w:pStyle w:val="BodyText"/>
        <w:spacing w:line="480" w:lineRule="auto"/>
        <w:ind w:firstLine="720"/>
      </w:pPr>
      <w:r>
        <w:t xml:space="preserve">The uplink chokepoint is shaped, at the proximate margin, by the national licensing of high-power earth stations and by the capital intensity of teleport operations. To transmit into a geosynchronous spacecraft at commercial power levels, an operator must either own or lease a licensed teleport facility with the antenna aperture, transmit chain, and authorised power flux density required for that band. The licensing layer is institutionally permissive in the sense that more than one administration can authorise a teleport into the same band-region cell, and the teleport industry has historically been competitive at the facility layer because earth-station economics reward replication where traffic justifies it. The result is that the uplink layer of a given allocation tends to be populated by a non-trivial number of distinct teleport operators, with the further consequence that the operator share of uplink bandwidth, computed on the licence record, tends toward a moderate level of concentration rather than toward a monopoly. The amateur and broadcast uplink literatures provide convergent corroboration that the uplink chokepoint is observable and measurable on the engineering side [8, 9, 21, 22], and that operators behave as if the uplink layer is contestable in the engineering sense even where commercial concentration exists.</w:t>
      </w:r>
    </w:p>
    <w:p>
      <w:pPr>
        <w:pStyle w:val="BodyText"/>
        <w:spacing w:line="480" w:lineRule="auto"/>
        <w:ind w:firstLine="720"/>
      </w:pPr>
      <w:r>
        <w:t xml:space="preserve">A different set of constraints shapes the downlink chokepoint. Reception in a geosynchronous band is governed not by transmit licensing but by three factors that compound rather than substitute. The first is the geometry of the satellite footprint, which is a property of the spacecraft and the assigned orbital slot and which the regulator does not redistribute once the licence has been granted. The second is the installed base of receiving antennas, which is a property of the commercial bouquet and of the historical investment of the end-user population, and which therefore rewards the incumbent operator who already serves that footprint. The third is the bilateral commercial relationship between the satellite operator and the distribution network, which rewards exclusivity and which institutionalises customer lock-in at the receiver layer. The three factors compound in the direction of concentration: the operator who controls the footprint also benefits from the installed base, and the operator who benefits from the installed base also captures the distribution exclusivity. The result is that the downlink layer of a given allocation tends to be populated by a smaller number of effectively dominant operators within the footprint, with the further consequence that the operator share of downlink bandwidth, computed on the same licence record, tends toward a higher level of concentration than the uplink share on the same allocation.</w:t>
      </w:r>
    </w:p>
    <w:p>
      <w:pPr>
        <w:pStyle w:val="BodyText"/>
        <w:spacing w:line="480" w:lineRule="auto"/>
        <w:ind w:firstLine="720"/>
      </w:pPr>
      <w:r>
        <w:t xml:space="preserve">The mechanism is therefore not symmetric. Uplink concentration is bounded above by the contestability of the teleport layer and by the willingness of administrations to authorise additional earth stations. Downlink concentration is bounded above only by the joint capacity of footprint geometry, installed base, and commercial exclusivity to compound, and those three factors compound in the same direction. The framework predicts, therefore, that downlink concentration will systematically exceed uplink concentration on the same band-region cell, holding orbital slot, footprint, and licence vintage constant. The independent transparency record offers a behavioural cross-check: if downlink concentration is in fact higher, then the distribution of attributed downlink interference events should mirror that concentration, and the published transparency record so far suggests that it does [1, 13].</w:t>
      </w:r>
    </w:p>
    <w:bookmarkEnd w:id="91"/>
    <w:bookmarkStart w:id="92" w:name="why-single-asset-framing-fails"/>
    <w:p>
      <w:pPr>
        <w:pStyle w:val="Heading2"/>
        <w:spacing w:line="480" w:lineRule="auto"/>
      </w:pPr>
      <w:r>
        <w:t xml:space="preserve">3.4 Why Single-Asset Framing Fails</w:t>
      </w:r>
    </w:p>
    <w:p>
      <w:pPr>
        <w:pStyle w:val="FirstParagraph"/>
        <w:spacing w:line="480" w:lineRule="auto"/>
      </w:pPr>
      <w:r>
        <w:t xml:space="preserve">The mechanism just specified has immediate consequences for the framing of spectrum policy. A regulator who treats a band as a single chokepoint, indexed by filing count or by aggregate bandwidth, has aggregated across two chokepoints whose concentration profiles differ. If the two profiles differ in the direction the mechanism predicts, then the aggregate index will lie somewhere between the uplink value and the downlink value, with the consequence that the band’s competition classification under any standard antitrust threshold can be incorrect on both halves at once. The uplink half will be classified as more concentrated than it is, because the aggregate is pulled upward by the downlink. The downlink half will be classified as less concentrated than it is, because the aggregate is pulled downward by the uplink. A policy instrument calibrated to the aggregate will therefore over-regulate competitive teleport entry on the uplink side and under-regulate dominant footprint operators on the downlink side. Both errors will occur simultaneously and from the same single-number index.</w:t>
      </w:r>
    </w:p>
    <w:p>
      <w:pPr>
        <w:pStyle w:val="BodyText"/>
        <w:spacing w:line="480" w:lineRule="auto"/>
        <w:ind w:firstLine="720"/>
      </w:pPr>
      <w:r>
        <w:t xml:space="preserve">The framing failure compounds at the level of harmful-interference adjudication and ITU coordination. The transparency literature has shown that uplink and downlink interference events are attributable to distinct populations [1, 13], and the operator-side planning literature has shown that uplink and downlink are treated as separable risk surfaces inside operator planning systems [2, 3]. If the regulatory and adjudicative layers continue to treat the allocation as a single object, the enforcement record will be misaligned with the operational record. The framework therefore predicts not only that the two halves diverge in concentration but that the divergence is policy-relevant, in the strict sense that it changes the antitrust classification of at least one band in the population studied.</w:t>
      </w:r>
    </w:p>
    <w:p>
      <w:pPr>
        <w:pStyle w:val="BodyText"/>
        <w:spacing w:line="480" w:lineRule="auto"/>
        <w:ind w:firstLine="720"/>
      </w:pPr>
      <w:r>
        <w:t xml:space="preserve">The orbital carrying-capacity literature anticipates the general shape of this failure mode by insisting that orbits and spectrum are jointly finite and that single-asset framings underdescribe the governance problem [5, 6, 7]. The framework developed here is, in that sense, an instantiation of the carrying-capacity argument inside the spectrum domain. It identifies the specific axis along which the single-asset framing fails, which is the uplink-downlink axis, and it produces the specific measurement, which is the paired Herfindahl-Hirschman index, that allows the failure to be observed.</w:t>
      </w:r>
    </w:p>
    <w:bookmarkEnd w:id="92"/>
    <w:bookmarkStart w:id="93" w:name="scope-conditions"/>
    <w:p>
      <w:pPr>
        <w:pStyle w:val="Heading2"/>
        <w:spacing w:line="480" w:lineRule="auto"/>
      </w:pPr>
      <w:r>
        <w:t xml:space="preserve">3.5 Scope Conditions</w:t>
      </w:r>
    </w:p>
    <w:p>
      <w:pPr>
        <w:pStyle w:val="FirstParagraph"/>
        <w:spacing w:line="480" w:lineRule="auto"/>
      </w:pPr>
      <w:r>
        <w:t xml:space="preserve">The framework applies under three scope conditions, and the empirical design respects each.</w:t>
      </w:r>
    </w:p>
    <w:p>
      <w:pPr>
        <w:pStyle w:val="BodyText"/>
        <w:spacing w:line="480" w:lineRule="auto"/>
        <w:ind w:firstLine="720"/>
      </w:pPr>
      <w:r>
        <w:t xml:space="preserve">The first scope condition is the geosynchronous orbital regime. The mechanism specified above is grounded in the engineering and licensing reality of geostationary allocations, in which orbital slot, footprint, and licence vintage are well defined and in which the ITU SNS ledger is the operative record</w:t>
      </w:r>
      <w:r>
        <w:t xml:space="preserve"> </w:t>
      </w:r>
      <w:hyperlink w:anchor="ref-4">
        <w:r>
          <w:rPr>
            <w:rStyle w:val="Hyperlink"/>
          </w:rPr>
          <w:t xml:space="preserve">[4]</w:t>
        </w:r>
      </w:hyperlink>
      <w:r>
        <w:t xml:space="preserve">. Non-geosynchronous regimes, in particular the rapidly expanding low-Earth-orbit constellations, present different physical and licensing conditions and a different set of binding constraints, including filing contestation dynamics that the candidate’s second companion paper investigates separately and at the filing-outcome layer rather than at the concentration layer. The framework does not claim, and the empirical chapters do not test, that the same uplink-downlink asymmetry holds in non-geosynchronous regimes; that extension is left to future work.</w:t>
      </w:r>
    </w:p>
    <w:p>
      <w:pPr>
        <w:pStyle w:val="BodyText"/>
        <w:spacing w:line="480" w:lineRule="auto"/>
        <w:ind w:firstLine="720"/>
      </w:pPr>
      <w:r>
        <w:t xml:space="preserve">The second scope condition is the C, Ku, and Ka commercial bands, which together constitute the bulk of the commercial GEO licence record and for which the SNS ledger is most complete</w:t>
      </w:r>
      <w:r>
        <w:t xml:space="preserve"> </w:t>
      </w:r>
      <w:hyperlink w:anchor="ref-4">
        <w:r>
          <w:rPr>
            <w:rStyle w:val="Hyperlink"/>
          </w:rPr>
          <w:t xml:space="preserve">[4]</w:t>
        </w:r>
      </w:hyperlink>
      <w:r>
        <w:t xml:space="preserve">. The framework is silent on amateur, broadcasting-satellite, and federal positioning-navigation-timing bands except as cross-checks. The amateur and broadcast uplink literatures are used as engineering corroboration that the uplink chokepoint is real and measurable [8, 9, 21, 22], not as parts of the test population.</w:t>
      </w:r>
    </w:p>
    <w:p>
      <w:pPr>
        <w:pStyle w:val="BodyText"/>
        <w:spacing w:line="480" w:lineRule="auto"/>
        <w:ind w:firstLine="720"/>
      </w:pPr>
      <w:r>
        <w:t xml:space="preserve">The third scope condition is the period for which the SNS ledger and its derivative census provide reliable paired uplink and downlink assignments</w:t>
      </w:r>
      <w:r>
        <w:t xml:space="preserve"> </w:t>
      </w:r>
      <w:hyperlink w:anchor="ref-4">
        <w:r>
          <w:rPr>
            <w:rStyle w:val="Hyperlink"/>
          </w:rPr>
          <w:t xml:space="preserve">[4]</w:t>
        </w:r>
      </w:hyperlink>
      <w:r>
        <w:t xml:space="preserve">. The candidate’s empirical chapter reports thirty paired observations and three earlier-vintage snapshots, with the pre-2020 illustrative rows held under fifteen per cent of the sample and flagged in the source column. The framework does not require a longer panel to be falsifiable; it requires only that the paired observations within scope be sufficient to estimate the uplink-downlink coefficient with a tight standard error.</w:t>
      </w:r>
    </w:p>
    <w:bookmarkEnd w:id="93"/>
    <w:bookmarkStart w:id="94" w:name="formal-hypotheses"/>
    <w:p>
      <w:pPr>
        <w:pStyle w:val="Heading2"/>
        <w:spacing w:line="480" w:lineRule="auto"/>
      </w:pPr>
      <w:r>
        <w:t xml:space="preserve">3.6 Formal Hypotheses</w:t>
      </w:r>
    </w:p>
    <w:p>
      <w:pPr>
        <w:pStyle w:val="FirstParagraph"/>
        <w:spacing w:line="480" w:lineRule="auto"/>
      </w:pPr>
      <w:r>
        <w:t xml:space="preserve">The framework yields a single falsifiable contrast between two formal hypotheses. The contrast is stated at the level of the paired band-region cell, with operator-level concentration measured by the Herfindahl-Hirschman Index on operator share of half-allocation bandwidth on the standard zero-to-ten-thousand scale.</w:t>
      </w:r>
    </w:p>
    <w:p>
      <w:pPr>
        <w:pStyle w:val="BodyText"/>
        <w:spacing w:line="480" w:lineRule="auto"/>
        <w:ind w:firstLine="720"/>
      </w:pPr>
      <w:r>
        <w:rPr>
          <w:b/>
          <w:bCs/>
        </w:rPr>
        <w:t xml:space="preserve">H0 (null).</w:t>
      </w:r>
      <w:r>
        <w:t xml:space="preserve"> </w:t>
      </w:r>
      <w:r>
        <w:t xml:space="preserve">Within a given GEO band (C, Ku, or Ka) and a given ITU region (R1, R2, or R3), the Herfindahl-Hirschman concentration of operators on the uplink half of the allocation is statistically indistinguishable from the concentration on the paired downlink half, after controlling for orbital slot, footprint, and licence vintage. Formally, in the panel regression of paired HHI on a downlink indicator, band fixed effects, region fixed effects, and a vintage indicator, the coefficient on the downlink indicator does not differ significantly from zero.</w:t>
      </w:r>
    </w:p>
    <w:p>
      <w:pPr>
        <w:pStyle w:val="BodyText"/>
        <w:spacing w:line="480" w:lineRule="auto"/>
        <w:ind w:firstLine="720"/>
      </w:pPr>
      <w:r>
        <w:rPr>
          <w:b/>
          <w:bCs/>
        </w:rPr>
        <w:t xml:space="preserve">H1 (alternative).</w:t>
      </w:r>
      <w:r>
        <w:t xml:space="preserve"> </w:t>
      </w:r>
      <w:r>
        <w:t xml:space="preserve">Within the same population and after the same controls, downlink concentration is systematically higher than uplink concentration by a margin large enough to flip the band’s competition classification under the standard U.S. Department of Justice Horizontal Merger Guidelines HHI thresholds for at least one of the three bands studied. Formally, the coefficient on the downlink indicator is positive, is statistically distinguishable from zero at conventional levels, and is of a magnitude sufficient to move the implied band classification from the moderate-concentration tier into the high-concentration tier.</w:t>
      </w:r>
    </w:p>
    <w:p>
      <w:pPr>
        <w:pStyle w:val="BodyText"/>
        <w:spacing w:line="480" w:lineRule="auto"/>
        <w:ind w:firstLine="720"/>
      </w:pPr>
      <w:r>
        <w:t xml:space="preserve">The contrast between H0 and H1 is binary at the level of the coefficient sign and tightness, and ordinal at the level of the policy classification. Rejection of H0 in favour of H1 establishes that spectrum market power is asymmetric along the link direction and that single-asset spectrum policy is structurally mis-specified. Failure to reject H0 defends the prevailing single-asset framing and would render the carrying-capacity critique of single-asset framings empirically unsupported at the spectrum-concentration margin, though it would remain available at the orbital-slot margin where the original literature locates it [5, 6, 7].</w:t>
      </w:r>
    </w:p>
    <w:bookmarkEnd w:id="94"/>
    <w:bookmarkStart w:id="95" w:name="secondary-predictions-for-triangulation"/>
    <w:p>
      <w:pPr>
        <w:pStyle w:val="Heading2"/>
        <w:spacing w:line="480" w:lineRule="auto"/>
      </w:pPr>
      <w:r>
        <w:t xml:space="preserve">3.7 Secondary Predictions for Triangulation</w:t>
      </w:r>
    </w:p>
    <w:p>
      <w:pPr>
        <w:pStyle w:val="FirstParagraph"/>
        <w:spacing w:line="480" w:lineRule="auto"/>
      </w:pPr>
      <w:r>
        <w:t xml:space="preserve">Three secondary predictions follow from the same mechanism and provide behavioural triangulation that the empirical chapters report alongside the main test.</w:t>
      </w:r>
    </w:p>
    <w:p>
      <w:pPr>
        <w:pStyle w:val="BodyText"/>
        <w:spacing w:line="480" w:lineRule="auto"/>
        <w:ind w:firstLine="720"/>
      </w:pPr>
      <w:r>
        <w:t xml:space="preserve">The first is that the band controls in the panel will behave as the GEO operator literature predicts. Ka-band allocations, which serve the high-throughput-satellite operator profile, should be more concentrated than C-band allocations</w:t>
      </w:r>
      <w:r>
        <w:t xml:space="preserve"> </w:t>
      </w:r>
      <w:hyperlink w:anchor="ref-4">
        <w:r>
          <w:rPr>
            <w:rStyle w:val="Hyperlink"/>
          </w:rPr>
          <w:t xml:space="preserve">[4]</w:t>
        </w:r>
      </w:hyperlink>
      <w:r>
        <w:t xml:space="preserve">. Ku-band allocations, which serve a larger operator population, should be modestly less concentrated than C-band. These predictions are diagnostic rather than central to the hypothesis test; they are reported because their confirmation strengthens the inference that the link-direction coefficient is not an artefact of band aggregation.</w:t>
      </w:r>
    </w:p>
    <w:p>
      <w:pPr>
        <w:pStyle w:val="BodyText"/>
        <w:spacing w:line="480" w:lineRule="auto"/>
        <w:ind w:firstLine="720"/>
      </w:pPr>
      <w:r>
        <w:t xml:space="preserve">The second is that the regional controls should exhibit higher concentration in the Asia-Pacific region than in the Europe-Africa region, consistent with the licensing-regime distribution reported in the GEO census</w:t>
      </w:r>
      <w:r>
        <w:t xml:space="preserve"> </w:t>
      </w:r>
      <w:hyperlink w:anchor="ref-4">
        <w:r>
          <w:rPr>
            <w:rStyle w:val="Hyperlink"/>
          </w:rPr>
          <w:t xml:space="preserve">[4]</w:t>
        </w:r>
      </w:hyperlink>
      <w:r>
        <w:t xml:space="preserve">. The Americas region is predicted to be statistically indistinguishable from the Europe-Africa baseline.</w:t>
      </w:r>
    </w:p>
    <w:p>
      <w:pPr>
        <w:pStyle w:val="BodyText"/>
        <w:spacing w:line="480" w:lineRule="auto"/>
        <w:ind w:firstLine="720"/>
      </w:pPr>
      <w:r>
        <w:t xml:space="preserve">The third secondary prediction is behavioural and connects the concentration measurement to the harmful-interference record. If downlink concentration is in fact higher than uplink concentration, then the distribution of attributed downlink interference events in the independent transparency record should be more concentrated on a smaller set of operators than the distribution of attributed uplink events on the same population [1, 13]. The transparency record so far is qualitatively consistent with that prediction. The candidate’s empirical chapter reports this triangulation as a behavioural check rather than as part of the formal test.</w:t>
      </w:r>
    </w:p>
    <w:bookmarkEnd w:id="95"/>
    <w:bookmarkStart w:id="96" w:name="Xfa6e6568a4248e8f43c56b2e4d54a3ade8ca500"/>
    <w:p>
      <w:pPr>
        <w:pStyle w:val="Heading2"/>
        <w:spacing w:line="480" w:lineRule="auto"/>
      </w:pPr>
      <w:r>
        <w:t xml:space="preserve">3.8 Relationship to the Companion Filing-Contestation Model</w:t>
      </w:r>
    </w:p>
    <w:p>
      <w:pPr>
        <w:pStyle w:val="FirstParagraph"/>
        <w:spacing w:line="480" w:lineRule="auto"/>
      </w:pPr>
      <w:r>
        <w:t xml:space="preserve">The framework developed here addresses the concentration layer of the uplink-downlink asymmetry. A second layer of the same asymmetry concerns the filing-contestation record, which is the observable trace of who must ask whom for permission to transmit and whose request meets recorded objection. The candidate’s second companion paper specifies a binary logit at that layer, treating contested-or-not as the dependent variable and identifying constellation size and downlink band as the operative levers, with operator class mediated through size and band rather than residual to them. That model is congruent with the concentration framework developed in this chapter, in the precise sense that the contestation lever it identifies, namely emitter density and band crowding, is the engineering correlate of the downlink chokepoint specified in section 3.3. The two models are estimated separately because they operate on different units of analysis. The concentration model operates on the band-region cell. The contestation model operates on the individual filing. The dissertation does not collapse them into a single estimator. It reports them as two complementary tests of the same underlying asymmetry and treats their joint confirmation as a stronger inference than either would carry alone.</w:t>
      </w:r>
    </w:p>
    <w:bookmarkEnd w:id="96"/>
    <w:bookmarkStart w:id="97" w:name="summary"/>
    <w:p>
      <w:pPr>
        <w:pStyle w:val="Heading2"/>
        <w:spacing w:line="480" w:lineRule="auto"/>
      </w:pPr>
      <w:r>
        <w:t xml:space="preserve">3.9 Summary</w:t>
      </w:r>
    </w:p>
    <w:p>
      <w:pPr>
        <w:pStyle w:val="FirstParagraph"/>
        <w:spacing w:line="480" w:lineRule="auto"/>
      </w:pPr>
      <w:r>
        <w:t xml:space="preserve">The framework specifies asymmetric chokepoint formation as the mechanism by which the two halves of a geosynchronous spectrum allocation concentrate at different rates. The uplink chokepoint is bounded above by the contestability of the teleport layer and by national licensing permissiveness, and tends toward moderate operator concentration. The downlink chokepoint is bounded above only by the joint compounding of footprint geometry, installed-base lock-in, and commercial exclusivity, and tends toward higher operator concentration. The framework predicts that downlink HHI will systematically exceed uplink HHI on the same band-region cell after the relevant controls are absorbed, and that the gap will be large enough to change the antitrust classification of at least one band in the population studied. H0 states that the gap is zero. H1 states that the gap is positive, tightly estimated, and policy-relevant. The empirical chapter reports the test, the diagnostic band and region controls, and the behavioural triangulation against the independent transparency record [1, 4, 13].</w:t>
      </w:r>
    </w:p>
    <w:bookmarkEnd w:id="97"/>
    <w:bookmarkEnd w:id="98"/>
    <w:bookmarkStart w:id="107" w:name="chapter-4.-data-and-measurement"/>
    <w:p>
      <w:pPr>
        <w:pStyle w:val="Heading1"/>
        <w:spacing w:line="480" w:lineRule="auto"/>
      </w:pPr>
      <w:r>
        <w:t xml:space="preserve">Chapter 4. Data and Measurement</w:t>
      </w:r>
    </w:p>
    <w:bookmarkStart w:id="99" w:name="X18f05e865044ee732efa8f7d34ed6b424770715"/>
    <w:p>
      <w:pPr>
        <w:pStyle w:val="Heading2"/>
        <w:spacing w:line="480" w:lineRule="auto"/>
      </w:pPr>
      <w:r>
        <w:t xml:space="preserve">4.1 Overview and Logic of the Measurement Strategy</w:t>
      </w:r>
    </w:p>
    <w:p>
      <w:pPr>
        <w:pStyle w:val="FirstParagraph"/>
        <w:spacing w:line="480" w:lineRule="auto"/>
      </w:pPr>
      <w:r>
        <w:t xml:space="preserve">The dissertation rests on a deliberate measurement choice. Spectrum power in the geosynchronous regime is observable through two complementary windows, and neither window alone supports the paired test that the central hypothesis requires. The first window is the licence ledger, which records who is authorised to transmit on which half of which band and from which orbital slot. The second window is the filing ledger, which records the contested administrative trajectory of those authorisations and reveals where the regulatory system itself registers friction. Paper 1 of the dissertation works the first window by reconstructing operator concentration on paired uplink and downlink segments [1, 4]. Paper 2 works the second window by modelling the contestation outcome of individual filings as a function of structural attributes [4, 10, 11, 12]. This chapter explains the data underlying both windows, names the authoritative sources, defines the unit of analysis used in each paper, and walks through how every variable that appears in the empirical chapters is constructed from primary records.</w:t>
      </w:r>
    </w:p>
    <w:p>
      <w:pPr>
        <w:pStyle w:val="BodyText"/>
        <w:spacing w:line="480" w:lineRule="auto"/>
        <w:ind w:firstLine="720"/>
      </w:pPr>
      <w:r>
        <w:t xml:space="preserve">The strategy throughout is to favour primary regulatory ledgers over derivative compilations. The International Telecommunication Union Space Network Systems (SNS) database and the United States Federal Communications Commission International Bureau Filing System (IBFS) are the operative ledgers of GEO frequency assignments and United States licensed earth-station authorisations respectively [10, 11]. The independent transparency methodology published by Karra and Jah supplies the behavioural triangulation against which the licence-derived measure is checked [1, 13]. The Roberts and Linares census provides the most complete public assembly of ITU GEO licence applications to date and is the empirical spine of Paper 1</w:t>
      </w:r>
      <w:r>
        <w:t xml:space="preserve"> </w:t>
      </w:r>
      <w:hyperlink w:anchor="ref-4">
        <w:r>
          <w:rPr>
            <w:rStyle w:val="Hyperlink"/>
          </w:rPr>
          <w:t xml:space="preserve">[4]</w:t>
        </w:r>
      </w:hyperlink>
      <w:r>
        <w:t xml:space="preserve">. Variables that cannot be sourced from these ledgers are not constructed; where prior work has flagged a row as an illustrative reconstruction rather than a verified census entry, the row is retained but explicitly marked, and sensitivity analyses bracket its effect.</w:t>
      </w:r>
    </w:p>
    <w:bookmarkEnd w:id="99"/>
    <w:bookmarkStart w:id="100" w:name="authoritative-source-catalogue"/>
    <w:p>
      <w:pPr>
        <w:pStyle w:val="Heading2"/>
        <w:spacing w:line="480" w:lineRule="auto"/>
      </w:pPr>
      <w:r>
        <w:t xml:space="preserve">4.2 Authoritative Source Catalogue</w:t>
      </w:r>
    </w:p>
    <w:p>
      <w:pPr>
        <w:pStyle w:val="FirstParagraph"/>
        <w:spacing w:line="480" w:lineRule="auto"/>
      </w:pPr>
      <w:r>
        <w:t xml:space="preserve">Five primary sources underwrite the empirical chapters. They are listed here with the role each plays in the construction of variables.</w:t>
      </w:r>
    </w:p>
    <w:p>
      <w:pPr>
        <w:pStyle w:val="BodyText"/>
        <w:spacing w:line="480" w:lineRule="auto"/>
        <w:ind w:firstLine="720"/>
      </w:pPr>
      <w:r>
        <w:t xml:space="preserve">Start with the ledgers. First is the ITU Radiocommunication Bureau Space Network Systems database, accessed through the BR International Frequency Information Circular notifications and through the Master International Frequency Register entries that record the disposition of each notification</w:t>
      </w:r>
      <w:r>
        <w:t xml:space="preserve"> </w:t>
      </w:r>
      <w:hyperlink w:anchor="ref-11">
        <w:r>
          <w:rPr>
            <w:rStyle w:val="Hyperlink"/>
          </w:rPr>
          <w:t xml:space="preserve">[11]</w:t>
        </w:r>
      </w:hyperlink>
      <w:r>
        <w:t xml:space="preserve">. The SNS database is the canonical ledger of paired uplink and downlink assignments for GEO satellites, including the assigned frequency ranges, the responsible administration, the orbital position, and the disposition of the filing through coordination. It is the source against which any operator-by-band concentration measure must ultimately be reconciled.</w:t>
      </w:r>
    </w:p>
    <w:p>
      <w:pPr>
        <w:pStyle w:val="BodyText"/>
        <w:spacing w:line="480" w:lineRule="auto"/>
        <w:ind w:firstLine="720"/>
      </w:pPr>
      <w:r>
        <w:t xml:space="preserve">Second comes the Roberts and Linares census of ITU GEO space-station licence applications</w:t>
      </w:r>
      <w:r>
        <w:t xml:space="preserve"> </w:t>
      </w:r>
      <w:hyperlink w:anchor="ref-4">
        <w:r>
          <w:rPr>
            <w:rStyle w:val="Hyperlink"/>
          </w:rPr>
          <w:t xml:space="preserve">[4]</w:t>
        </w:r>
      </w:hyperlink>
      <w:r>
        <w:t xml:space="preserve">. This 2022 AMOS publication assembles the SNS-derived population of GEO filings into a structured corpus suitable for cross-operator analysis and is the immediate substrate from which Paper 1 draws its thirty paired observations. The census records the band, the region, the operator-of-record, the assigned bandwidth, the orbital slot, and the vintage of the filing, and it has been independently audited by its authors against the SNS ledger from which it was derived.</w:t>
      </w:r>
    </w:p>
    <w:p>
      <w:pPr>
        <w:pStyle w:val="BodyText"/>
        <w:spacing w:line="480" w:lineRule="auto"/>
        <w:ind w:firstLine="720"/>
      </w:pPr>
      <w:r>
        <w:t xml:space="preserve">Third is the United States Federal Communications Commission International Bureau Filing System, in particular the public docket entries for SAT-LOA, SAT-MOD, SAT-AMD, and SAT-PDR filings between 2010 and 2023</w:t>
      </w:r>
      <w:r>
        <w:t xml:space="preserve"> </w:t>
      </w:r>
      <w:hyperlink w:anchor="ref-10">
        <w:r>
          <w:rPr>
            <w:rStyle w:val="Hyperlink"/>
          </w:rPr>
          <w:t xml:space="preserve">[10]</w:t>
        </w:r>
      </w:hyperlink>
      <w:r>
        <w:t xml:space="preserve">. IBFS supplies the contested-or-not signal at the heart of Paper 2: protests, denials, modification orders responsive to objection, and documented coordination disputes are all visible in the docket trail. IBFS also resolves United States licensees to corporate parents through the legal-name field and through the assignment and transfer-of-control filings that bind subsidiaries to corporate holdings.</w:t>
      </w:r>
    </w:p>
    <w:p>
      <w:pPr>
        <w:pStyle w:val="BodyText"/>
        <w:spacing w:line="480" w:lineRule="auto"/>
        <w:ind w:firstLine="720"/>
      </w:pPr>
      <w:r>
        <w:t xml:space="preserve">Fourth comes the independent transparency methodology of Karra and Jah for harmful-interference monitoring in GEO [1, 13]. This source does not enter either paper as a row-level input. It enters as the behavioural validator: if the licence-derived concentration measure is correct, the distribution of attributed harmful-interference events in the transparency record should mirror that concentration. The 2025 AMOS paper supplies the methodology and the reproducible procedure that allow the validator to be reconstructed by a third party.</w:t>
      </w:r>
    </w:p>
    <w:p>
      <w:pPr>
        <w:pStyle w:val="BodyText"/>
        <w:spacing w:line="480" w:lineRule="auto"/>
        <w:ind w:firstLine="720"/>
      </w:pPr>
      <w:r>
        <w:t xml:space="preserve">Fifth, and last, is the United States Government Accountability Office NASA Major Project Assessment series, including GAO-25-107591, GAO-24-106767, and GAO-23-106021</w:t>
      </w:r>
      <w:r>
        <w:t xml:space="preserve"> </w:t>
      </w:r>
      <w:hyperlink w:anchor="ref-12">
        <w:r>
          <w:rPr>
            <w:rStyle w:val="Hyperlink"/>
          </w:rPr>
          <w:t xml:space="preserve">[12]</w:t>
        </w:r>
      </w:hyperlink>
      <w:r>
        <w:t xml:space="preserve">. The GAO reports supply auxiliary structural data on government PNT and government-adjacent satellite programmes that appear in the Paper 2 sample, including constellation-size schedules and authorised band ranges that are not always present in IBFS at the same level of granularity.</w:t>
      </w:r>
    </w:p>
    <w:p>
      <w:pPr>
        <w:pStyle w:val="BodyText"/>
        <w:spacing w:line="480" w:lineRule="auto"/>
        <w:ind w:firstLine="720"/>
      </w:pPr>
      <w:r>
        <w:t xml:space="preserve">Two further reference sources support specific constructed variables. The Quintana-Diaz et al. UHF amateur radio band measurement campaign onboard LUME-1 establishes the engineering basis for treating aggregate emitter density as the proximate driver of uplink interference [8, 21]. The Briskman and Akturan analysis of broadcast satellite uplink interference establishes the corresponding basis for treating high-power uplink injections as a categorical risk class [9, 22]. Neither study enters the dataset as a row; both anchor the theoretical mapping from physical quantity to measurement choice.</w:t>
      </w:r>
    </w:p>
    <w:bookmarkEnd w:id="100"/>
    <w:bookmarkStart w:id="101" w:name="unit-of-analysis-in-paper-1"/>
    <w:p>
      <w:pPr>
        <w:pStyle w:val="Heading2"/>
        <w:spacing w:line="480" w:lineRule="auto"/>
      </w:pPr>
      <w:r>
        <w:t xml:space="preserve">4.3 Unit of Analysis in Paper 1</w:t>
      </w:r>
    </w:p>
    <w:p>
      <w:pPr>
        <w:pStyle w:val="FirstParagraph"/>
        <w:spacing w:line="480" w:lineRule="auto"/>
      </w:pPr>
      <w:r>
        <w:t xml:space="preserve">The unit of analysis in Paper 1 is the band-region-link-direction cell. A single observation is a triple consisting of a GEO band (C, Ku, or Ka), an ITU region (R1, R2, or R3), and a link direction (uplink or downlink). The dataset comprises thirty such cells: three bands times three regions times two link directions yields eighteen contemporary cells, augmented by twelve earlier-vintage snapshots that allow a post-2010 vintage indicator to be estimated. Each cell carries a single value of the Herfindahl-Hirschman Index computed on operator shares of the assigned bandwidth on that half of the allocation within that region, an indicator for link direction, indicator variables for band and region, and a vintage indicator distinguishing post-2010 from pre-2010 snapshots.</w:t>
      </w:r>
    </w:p>
    <w:p>
      <w:pPr>
        <w:pStyle w:val="BodyText"/>
        <w:spacing w:line="480" w:lineRule="auto"/>
        <w:ind w:firstLine="720"/>
      </w:pPr>
      <w:r>
        <w:t xml:space="preserve">The decision to take the band-region-link-direction cell as the unit of analysis flows directly from the falsifiable hypothesis. H0 in the prospectus is a within-band statement about the equality of uplink and downlink concentration after controlling for orbital slot, footprint, and licence vintage. The minimum unit that supports a paired within-band test is the band-region cell observed twice, once on the uplink and once on the downlink half of the same allocation. Any finer unit, such as the individual filing, would require an aggregation step before the hypothesis could be tested. Any coarser unit, such as the band alone or the operator alone, would collapse the regional heterogeneity that the ITU coordination regime is built around.</w:t>
      </w:r>
    </w:p>
    <w:p>
      <w:pPr>
        <w:pStyle w:val="BodyText"/>
        <w:spacing w:line="480" w:lineRule="auto"/>
        <w:ind w:firstLine="720"/>
      </w:pPr>
      <w:r>
        <w:t xml:space="preserve">Of the thirty cells, twenty-six derive directly from the Roberts and Linares census of SNS-derived filings and are traceable row by row to that source</w:t>
      </w:r>
      <w:r>
        <w:t xml:space="preserve"> </w:t>
      </w:r>
      <w:hyperlink w:anchor="ref-4">
        <w:r>
          <w:rPr>
            <w:rStyle w:val="Hyperlink"/>
          </w:rPr>
          <w:t xml:space="preserve">[4]</w:t>
        </w:r>
      </w:hyperlink>
      <w:r>
        <w:t xml:space="preserve">. The remaining four cells, which constitute 13.3 percent of the sample, are pre-2020 illustrative reconstructions of earlier vintage snapshots that the published census does not cover at the same level of granularity. These four rows are flagged in the source column of the analytical dataset, are reported in the descriptive tables under a distinct shading, and are subjected to a leave-one-out robustness check in which they are sequentially dropped to confirm that the headline coefficient on the downlink indicator does not depend on them.</w:t>
      </w:r>
    </w:p>
    <w:bookmarkEnd w:id="101"/>
    <w:bookmarkStart w:id="102" w:name="unit-of-analysis-in-paper-2"/>
    <w:p>
      <w:pPr>
        <w:pStyle w:val="Heading2"/>
        <w:spacing w:line="480" w:lineRule="auto"/>
      </w:pPr>
      <w:r>
        <w:t xml:space="preserve">4.4 Unit of Analysis in Paper 2</w:t>
      </w:r>
    </w:p>
    <w:p>
      <w:pPr>
        <w:pStyle w:val="FirstParagraph"/>
        <w:spacing w:line="480" w:lineRule="auto"/>
      </w:pPr>
      <w:r>
        <w:t xml:space="preserve">The unit of analysis in Paper 2 is the satellite-network filing. A single observation is one network record drawn from the IBFS docket, the ITU BR IFIC notification record, the GAO assessment record, or an operator press kit, depending on which ledger first records the filing. Thirty-five network filings constitute the analytical sample. Each row records the network name, the filing year, the downlink centre frequency in gigahertz, the authorised constellation size in number of satellites, a binary indicator for orbital regime (LEO equals one, otherwise zero), a binary indicator for commercial-operator status (one for commercial, zero for government), and the binary contestation outcome (one if contested, zero otherwise).</w:t>
      </w:r>
    </w:p>
    <w:p>
      <w:pPr>
        <w:pStyle w:val="BodyText"/>
        <w:spacing w:line="480" w:lineRule="auto"/>
        <w:ind w:firstLine="720"/>
      </w:pPr>
      <w:r>
        <w:t xml:space="preserve">The choice to take the network filing as the unit of analysis follows from the dependent variable. Contestation is a property of an administrative filing, not of an operator and not of an orbital slot. An operator may have several filings, some contested and some not. A slot may be the venue for multiple competing filings, each with its own contestation history. The administrative record is organised at the filing level, and the IBFS docket is organised at the filing level</w:t>
      </w:r>
      <w:r>
        <w:t xml:space="preserve"> </w:t>
      </w:r>
      <w:hyperlink w:anchor="ref-10">
        <w:r>
          <w:rPr>
            <w:rStyle w:val="Hyperlink"/>
          </w:rPr>
          <w:t xml:space="preserve">[10]</w:t>
        </w:r>
      </w:hyperlink>
      <w:r>
        <w:t xml:space="preserve">. The model is therefore fit at that level. Of the thirty-five rows, two carry an explicit illustrative marker on the contested flag where the underlying coordination record is genuinely opaque to outside researchers; these are flagged in the source field and amount to 5.7 percent of the sample, well below the 15 percent threshold that the dissertation imposes on illustrative content. A robustness extension drops the two illustrative rows and refits the logit.</w:t>
      </w:r>
    </w:p>
    <w:bookmarkEnd w:id="102"/>
    <w:bookmarkStart w:id="103" w:name="X097671bdd62725f9101c0bd7ee3bbbb502d6095"/>
    <w:p>
      <w:pPr>
        <w:pStyle w:val="Heading2"/>
        <w:spacing w:line="480" w:lineRule="auto"/>
      </w:pPr>
      <w:r>
        <w:t xml:space="preserve">4.5 Construction of the Operator-by-Band Concentration Variables</w:t>
      </w:r>
    </w:p>
    <w:p>
      <w:pPr>
        <w:pStyle w:val="FirstParagraph"/>
        <w:spacing w:line="480" w:lineRule="auto"/>
      </w:pPr>
      <w:r>
        <w:t xml:space="preserve">The dependent variable in Paper 1 is HHI, the Herfindahl-Hirschman Index of operator concentration on a single half of a paired GEO allocation in a single ITU region. Construction proceeds in five steps.</w:t>
      </w:r>
    </w:p>
    <w:p>
      <w:pPr>
        <w:pStyle w:val="BodyText"/>
        <w:spacing w:line="480" w:lineRule="auto"/>
        <w:ind w:firstLine="720"/>
      </w:pPr>
      <w:r>
        <w:t xml:space="preserve">Step one extracts the filing. For every active GEO filing in the Roberts and Linares census</w:t>
      </w:r>
      <w:r>
        <w:t xml:space="preserve"> </w:t>
      </w:r>
      <w:hyperlink w:anchor="ref-4">
        <w:r>
          <w:rPr>
            <w:rStyle w:val="Hyperlink"/>
          </w:rPr>
          <w:t xml:space="preserve">[4]</w:t>
        </w:r>
      </w:hyperlink>
      <w:r>
        <w:t xml:space="preserve">, the uplink and downlink frequency ranges are extracted from the SNS-derived record, together with the responsible administration of record, the orbital position, and the operator name as it appears on the filing. This step preserves the paired structure of the allocation: a single filing contributes both an uplink fragment and a downlink fragment to the row-level data, and the two fragments are kept linked through a shared filing identifier.</w:t>
      </w:r>
    </w:p>
    <w:p>
      <w:pPr>
        <w:pStyle w:val="BodyText"/>
        <w:spacing w:line="480" w:lineRule="auto"/>
        <w:ind w:firstLine="720"/>
      </w:pPr>
      <w:r>
        <w:t xml:space="preserve">Step two resolves operator to parent. The operator name on the filing is resolved to the corporate parent through public corporate filings and, for United States licensees, through the IBFS legal-name and transfer-of-control record</w:t>
      </w:r>
      <w:r>
        <w:t xml:space="preserve"> </w:t>
      </w:r>
      <w:hyperlink w:anchor="ref-10">
        <w:r>
          <w:rPr>
            <w:rStyle w:val="Hyperlink"/>
          </w:rPr>
          <w:t xml:space="preserve">[10]</w:t>
        </w:r>
      </w:hyperlink>
      <w:r>
        <w:t xml:space="preserve">. Where two operators share a teleport but file independently, the resolution preserves the licensee distinction at one layer and reports a teleport-aggregated alternative at a second layer. Both layers are carried through the empirical chapter, and the headline result is reported on the licensee layer with the teleport layer in a robustness column.</w:t>
      </w:r>
    </w:p>
    <w:p>
      <w:pPr>
        <w:pStyle w:val="BodyText"/>
        <w:spacing w:line="480" w:lineRule="auto"/>
        <w:ind w:firstLine="720"/>
      </w:pPr>
      <w:r>
        <w:t xml:space="preserve">Step three computes the half-allocation share. Within a given band-region-link-direction cell, each operator’s share is computed as the operator’s assigned bandwidth on that half of the allocation divided by the total assigned bandwidth on that half of the allocation across all operators in the cell. The denominator is restricted to operators that hold an active licence as of the snapshot date, so that withdrawn or lapsed filings do not artificially deflate concentration. Where footprint geometry is available from the SNS record, a population-weighted variant of the share is computed and carried as a robustness column; the headline figure uses the unweighted bandwidth share to keep the measurement consistent across regions with very different population densities.</w:t>
      </w:r>
    </w:p>
    <w:p>
      <w:pPr>
        <w:pStyle w:val="BodyText"/>
        <w:spacing w:line="480" w:lineRule="auto"/>
        <w:ind w:firstLine="720"/>
      </w:pPr>
      <w:r>
        <w:t xml:space="preserve">Step four computes the HHI itself. The HHI for a cell is the sum across operators of the squared operator share, multiplied by ten thousand to put the index on the conventional zero-to-ten-thousand antitrust scale. This convention aligns the measurement with the United States Department of Justice and Federal Trade Commission Horizontal Merger Guidelines thresholds, under which an HHI below 1,500 is treated as unconcentrated, an HHI between 1,500 and 2,500 is treated as moderately concentrated, and an HHI above 2,500 is treated as highly concentrated. The alignment is important because H1 in the prospectus is operationalised as a coefficient large enough to flip a band’s classification across one of those thresholds.</w:t>
      </w:r>
    </w:p>
    <w:p>
      <w:pPr>
        <w:pStyle w:val="BodyText"/>
        <w:spacing w:line="480" w:lineRule="auto"/>
        <w:ind w:firstLine="720"/>
      </w:pPr>
      <w:r>
        <w:t xml:space="preserve">Step five assembles the paired rows. For each band-region pair, the uplink HHI and the downlink HHI are placed on adjacent rows with a shared band-region identifier and a link-direction indicator that takes the value zero for uplink and one for downlink. This long-format structure is what the ordinary-least-squares panel regression in Paper 1 ingests directly, and it is what makes the within-band, within-region paired comparison interpretable as a coefficient on the link-direction indicator.</w:t>
      </w:r>
    </w:p>
    <w:bookmarkEnd w:id="103"/>
    <w:bookmarkStart w:id="104" w:name="Xca85478eae3640be8ec3d5237d35a075c193143"/>
    <w:p>
      <w:pPr>
        <w:pStyle w:val="Heading2"/>
        <w:spacing w:line="480" w:lineRule="auto"/>
      </w:pPr>
      <w:r>
        <w:t xml:space="preserve">4.6 Construction of the Band, Region, and Vintage Controls</w:t>
      </w:r>
    </w:p>
    <w:p>
      <w:pPr>
        <w:pStyle w:val="FirstParagraph"/>
        <w:spacing w:line="480" w:lineRule="auto"/>
      </w:pPr>
      <w:r>
        <w:t xml:space="preserve">Three controls enter the Paper 1 regression. They are constructed as follows.</w:t>
      </w:r>
    </w:p>
    <w:p>
      <w:pPr>
        <w:pStyle w:val="BodyText"/>
        <w:spacing w:line="480" w:lineRule="auto"/>
        <w:ind w:firstLine="720"/>
      </w:pPr>
      <w:r>
        <w:t xml:space="preserve">The band indicator is taken directly from the assigned frequency range recorded in the SNS notification</w:t>
      </w:r>
      <w:r>
        <w:t xml:space="preserve"> </w:t>
      </w:r>
      <w:hyperlink w:anchor="ref-11">
        <w:r>
          <w:rPr>
            <w:rStyle w:val="Hyperlink"/>
          </w:rPr>
          <w:t xml:space="preserve">[11]</w:t>
        </w:r>
      </w:hyperlink>
      <w:r>
        <w:t xml:space="preserve">. C-band is defined as nominal uplink in the 6 gigahertz range and nominal downlink in the 4 gigahertz range. Ku-band is defined as nominal uplink in the 14 gigahertz range and nominal downlink in the 11 to 12 gigahertz range. Ka-band is defined as nominal uplink in the 27 to 30 gigahertz range and nominal downlink in the 17 to 21 gigahertz range. Filings that span a band boundary are assigned to the band that contains the centre frequency of the larger contiguous assignment. C-band is the omitted category in the regression so that Ku and Ka coefficients are interpreted as deviations from C.</w:t>
      </w:r>
    </w:p>
    <w:p>
      <w:pPr>
        <w:pStyle w:val="BodyText"/>
        <w:spacing w:line="480" w:lineRule="auto"/>
        <w:ind w:firstLine="720"/>
      </w:pPr>
      <w:r>
        <w:t xml:space="preserve">The region indicator is taken from the ITU Region designation recorded on the SNS filing, which partitions the globe into R1 (Europe, Africa, the former Soviet Union, and the Middle East west of the Persian Gulf), R2 (the Americas and Greenland), and R3 (Asia, Australasia, and the western Pacific). Filings serving more than one region are assigned to the region containing the orbital sub-point of the satellite. R1 is the omitted category in the regression so that R2 and R3 coefficients are interpreted as deviations from R1.</w:t>
      </w:r>
    </w:p>
    <w:p>
      <w:pPr>
        <w:pStyle w:val="BodyText"/>
        <w:spacing w:line="480" w:lineRule="auto"/>
        <w:ind w:firstLine="720"/>
      </w:pPr>
      <w:r>
        <w:t xml:space="preserve">The vintage indicator distinguishes post-2010 filings from pre-2010 filings. The cutoff at 2010 is chosen because it brackets the entry of the first generation of high-throughput Ka-band geostationary platforms, which materially altered the operator distribution on the Ka half of the GEO ledger. The indicator is set to one for filings whose Master International Frequency Register recordation date is 2010 or later, and zero otherwise.</w:t>
      </w:r>
    </w:p>
    <w:bookmarkEnd w:id="104"/>
    <w:bookmarkStart w:id="105" w:name="X3a86a661e1faa29bc15569315ac1ab3ab1db2f1"/>
    <w:p>
      <w:pPr>
        <w:pStyle w:val="Heading2"/>
        <w:spacing w:line="480" w:lineRule="auto"/>
      </w:pPr>
      <w:r>
        <w:t xml:space="preserve">4.7 Construction of the Contestation Variables in Paper 2</w:t>
      </w:r>
    </w:p>
    <w:p>
      <w:pPr>
        <w:pStyle w:val="FirstParagraph"/>
        <w:spacing w:line="480" w:lineRule="auto"/>
      </w:pPr>
      <w:r>
        <w:t xml:space="preserve">Paper 2 takes five variables from primary records. Their construction is as follows.</w:t>
      </w:r>
    </w:p>
    <w:p>
      <w:pPr>
        <w:pStyle w:val="BodyText"/>
        <w:spacing w:line="480" w:lineRule="auto"/>
        <w:ind w:firstLine="720"/>
      </w:pPr>
      <w:r>
        <w:t xml:space="preserve">The contestation flag is the binary dependent variable. It is set to one if the IBFS public docket entry for the filing contains any of the following: a formal objection in the form of a petition to deny, an opposition, or a comment opposing grant filed within the comment period; a Bureau denial; a Bureau modification order issued in response to a protest; or a documented coordination dispute recorded in the BR IFIC notification stream [10, 11]. It is set to zero where the filing trajectory shows none of these events between submission and grant. The two illustrative rows mentioned above carry the value of the flag that the available coordination record most plausibly supports, and they are flagged in the source field.</w:t>
      </w:r>
    </w:p>
    <w:p>
      <w:pPr>
        <w:pStyle w:val="BodyText"/>
        <w:spacing w:line="480" w:lineRule="auto"/>
        <w:ind w:firstLine="720"/>
      </w:pPr>
      <w:r>
        <w:t xml:space="preserve">The constellation size variable is the count of authorised satellites recorded on the most recent grant or amendment in the filing trajectory. For United States licensees, the count is taken directly from the IBFS authorisation</w:t>
      </w:r>
      <w:r>
        <w:t xml:space="preserve"> </w:t>
      </w:r>
      <w:hyperlink w:anchor="ref-10">
        <w:r>
          <w:rPr>
            <w:rStyle w:val="Hyperlink"/>
          </w:rPr>
          <w:t xml:space="preserve">[10]</w:t>
        </w:r>
      </w:hyperlink>
      <w:r>
        <w:t xml:space="preserve">. For non-United States filings, the count is taken from the BR IFIC notification record</w:t>
      </w:r>
      <w:r>
        <w:t xml:space="preserve"> </w:t>
      </w:r>
      <w:hyperlink w:anchor="ref-11">
        <w:r>
          <w:rPr>
            <w:rStyle w:val="Hyperlink"/>
          </w:rPr>
          <w:t xml:space="preserve">[11]</w:t>
        </w:r>
      </w:hyperlink>
      <w:r>
        <w:t xml:space="preserve">, cross-checked where possible against the GAO assessment series for government programmes</w:t>
      </w:r>
      <w:r>
        <w:t xml:space="preserve"> </w:t>
      </w:r>
      <w:hyperlink w:anchor="ref-12">
        <w:r>
          <w:rPr>
            <w:rStyle w:val="Hyperlink"/>
          </w:rPr>
          <w:t xml:space="preserve">[12]</w:t>
        </w:r>
      </w:hyperlink>
      <w:r>
        <w:t xml:space="preserve"> </w:t>
      </w:r>
      <w:r>
        <w:t xml:space="preserve">and against operator press kits for commercial programmes. The variable is recorded as an integer.</w:t>
      </w:r>
    </w:p>
    <w:p>
      <w:pPr>
        <w:pStyle w:val="BodyText"/>
        <w:spacing w:line="480" w:lineRule="auto"/>
        <w:ind w:firstLine="720"/>
      </w:pPr>
      <w:r>
        <w:t xml:space="preserve">The downlink centre frequency variable is recorded in gigahertz to one decimal place. It is taken from the assigned frequency range on the filing and is computed as the arithmetic midpoint of the downlink range. For filings that authorise multiple downlink ranges, the centre frequency of the largest contiguous range is used.</w:t>
      </w:r>
    </w:p>
    <w:p>
      <w:pPr>
        <w:pStyle w:val="BodyText"/>
        <w:spacing w:line="480" w:lineRule="auto"/>
        <w:ind w:firstLine="720"/>
      </w:pPr>
      <w:r>
        <w:t xml:space="preserve">The LEO indicator is set to one when the orbital regime recorded on the filing is non-geostationary low Earth orbit, and zero otherwise. The classification is drawn from the SNS notification record on the orbital parameters</w:t>
      </w:r>
      <w:r>
        <w:t xml:space="preserve"> </w:t>
      </w:r>
      <w:hyperlink w:anchor="ref-11">
        <w:r>
          <w:rPr>
            <w:rStyle w:val="Hyperlink"/>
          </w:rPr>
          <w:t xml:space="preserve">[11]</w:t>
        </w:r>
      </w:hyperlink>
      <w:r>
        <w:t xml:space="preserve">, with the IBFS authorisation as the secondary source where SNS does not resolve the regime. Medium Earth orbit filings are classified as non-LEO for this paper because the contemporary contestation pattern at MEO altitudes is dominated by government PNT, which is treated separately in the operator-class variable.</w:t>
      </w:r>
    </w:p>
    <w:p>
      <w:pPr>
        <w:pStyle w:val="BodyText"/>
        <w:spacing w:line="480" w:lineRule="auto"/>
        <w:ind w:firstLine="720"/>
      </w:pPr>
      <w:r>
        <w:t xml:space="preserve">The commercial-operator indicator is set to one when the operator-of-record is a commercial entity and zero when the operator-of-record is a national administration, a national space agency, or a national defence ministry. Resolution proceeds through the IBFS legal-name field for United States licensees</w:t>
      </w:r>
      <w:r>
        <w:t xml:space="preserve"> </w:t>
      </w:r>
      <w:hyperlink w:anchor="ref-10">
        <w:r>
          <w:rPr>
            <w:rStyle w:val="Hyperlink"/>
          </w:rPr>
          <w:t xml:space="preserve">[10]</w:t>
        </w:r>
      </w:hyperlink>
      <w:r>
        <w:t xml:space="preserve"> </w:t>
      </w:r>
      <w:r>
        <w:t xml:space="preserve">and through the responsible-administration field on the SNS notification for non-United States licensees</w:t>
      </w:r>
      <w:r>
        <w:t xml:space="preserve"> </w:t>
      </w:r>
      <w:hyperlink w:anchor="ref-11">
        <w:r>
          <w:rPr>
            <w:rStyle w:val="Hyperlink"/>
          </w:rPr>
          <w:t xml:space="preserve">[11]</w:t>
        </w:r>
      </w:hyperlink>
      <w:r>
        <w:t xml:space="preserve">. Joint ventures between a commercial operator and a government sponsor are classified by the entity that holds the operating licence, not by the entity that holds the underlying programme authority. This convention is consistent with the licensee-layer resolution used in Paper 1.</w:t>
      </w:r>
    </w:p>
    <w:bookmarkEnd w:id="105"/>
    <w:bookmarkStart w:id="106" w:name="Xffc8c95967536a83a107f75fa2dfbbcade339c0"/>
    <w:p>
      <w:pPr>
        <w:pStyle w:val="Heading2"/>
        <w:spacing w:line="480" w:lineRule="auto"/>
      </w:pPr>
      <w:r>
        <w:t xml:space="preserve">4.8 Quality Controls, Provenance, and Reproducibility</w:t>
      </w:r>
    </w:p>
    <w:p>
      <w:pPr>
        <w:pStyle w:val="FirstParagraph"/>
        <w:spacing w:line="480" w:lineRule="auto"/>
      </w:pPr>
      <w:r>
        <w:t xml:space="preserve">Three quality controls run across both papers. The first is a source-field audit. Every row in both datasets carries an explicit source string identifying the primary ledger from which the row was constructed and, where applicable, the secondary ledger used for cross-checking. Rows whose source field cannot be reconciled to a primary ledger are not retained in the analytical sample. The second is an illustrative-content cap. The dissertation imposes a fifteen percent ceiling on illustrative content in any analytical sample, on the grounds that beyond that threshold the headline coefficients begin to depend materially on reconstructed rather than verified rows. Paper 1 sits at 13.3 percent illustrative content, Paper 2 sits at 5.7 percent, and both fall under the ceiling. The third is a behavioural triangulation. The licence-derived concentration measure in Paper 1 is checked against the distribution of attributed harmful-interference events in the independent transparency record [1, 13]. The check is a directional check rather than a point-for-point match: if downlink concentration sits above uplink concentration on a given band, the attributed downlink interference events on that band should be drawn from a more concentrated population than the attributed uplink events. Where the transparency record contradicts this directional prediction, the offending cell is flagged for re-examination.</w:t>
      </w:r>
    </w:p>
    <w:p>
      <w:pPr>
        <w:pStyle w:val="BodyText"/>
        <w:spacing w:line="480" w:lineRule="auto"/>
        <w:ind w:firstLine="720"/>
      </w:pPr>
      <w:r>
        <w:t xml:space="preserve">The orbital carrying-capacity literature reinforces the case for retaining slot-level information through the construction chain even when it is not the headline variable [5, 6, 7]. Orbits and spectrum interact, and a pure spectrum-only measure can absorb orbital scarcity effects if the slot is dropped. The construction preserves the orbital position on every row of the Paper 1 dataset, even though the headline regression aggregates to the band-region cell, so that orbital-slot fixed effects can be reintroduced in the robustness chapter without re-running the extraction pipeline. The Paper 2 dataset preserves the orbital regime indicator at the row level for the same reason. Reproducibility is supported by the explicit source string on every row, by the documented extraction conventions in this chapter, and by the alignment of the measurement choices with the published Roberts and Linares census</w:t>
      </w:r>
      <w:r>
        <w:t xml:space="preserve"> </w:t>
      </w:r>
      <w:hyperlink w:anchor="ref-4">
        <w:r>
          <w:rPr>
            <w:rStyle w:val="Hyperlink"/>
          </w:rPr>
          <w:t xml:space="preserve">[4]</w:t>
        </w:r>
      </w:hyperlink>
      <w:r>
        <w:t xml:space="preserve"> </w:t>
      </w:r>
      <w:r>
        <w:t xml:space="preserve">and with the published Karra and Jah transparency methodology [1, 13].</w:t>
      </w:r>
    </w:p>
    <w:p>
      <w:pPr>
        <w:pStyle w:val="BodyText"/>
        <w:spacing w:line="480" w:lineRule="auto"/>
        <w:ind w:firstLine="720"/>
      </w:pPr>
      <w:r>
        <w:t xml:space="preserve">The measurement framework that this chapter constructs therefore turns the prospectus hypothesis into something that can be tested with public, primary, and obtainable data. The next chapter takes the dataset built here into the panel regression that estimates the uplink-downlink concentration gap, and the subsequent chapter takes the same primary ledgers into the logit model of contestation. Both estimations rest on the same source catalogue, the same operator-resolution convention, and the same provenance discipline. The validity of the empirical results that follow is, in the end, the validity of the measurement choices documented here.</w:t>
      </w:r>
    </w:p>
    <w:bookmarkEnd w:id="106"/>
    <w:bookmarkEnd w:id="107"/>
    <w:bookmarkStart w:id="130" w:name="chapter-5.-methods-and-identification"/>
    <w:p>
      <w:pPr>
        <w:pStyle w:val="Heading1"/>
        <w:spacing w:line="480" w:lineRule="auto"/>
      </w:pPr>
      <w:r>
        <w:t xml:space="preserve">Chapter 5. Methods and Identification</w:t>
      </w:r>
    </w:p>
    <w:bookmarkStart w:id="108" w:name="overview"/>
    <w:p>
      <w:pPr>
        <w:pStyle w:val="Heading2"/>
        <w:spacing w:line="480" w:lineRule="auto"/>
      </w:pPr>
      <w:r>
        <w:t xml:space="preserve">5.1 Overview</w:t>
      </w:r>
    </w:p>
    <w:p>
      <w:pPr>
        <w:pStyle w:val="FirstParagraph"/>
        <w:spacing w:line="480" w:lineRule="auto"/>
      </w:pPr>
      <w:r>
        <w:t xml:space="preserve">This chapter specifies the estimators that operationalise the dissertation’s single falsifiable contribution, lays out the identification strategy that licenses a causal reading of the uplink-downlink concentration gap, and enumerates the threats to validity together with the bounding strategies that contain each threat. The chapter is organised around three commitments. First, the estimators are kept deliberately simple, because the empirical asymmetry the dissertation predicts is large enough to be visible to ordinary least squares with robust standard errors and does not require exotic machinery to surface. Second, the identification strategy is built around within-allocation comparison, because the cleanest counterfactual to a downlink half of a paired allocation is the uplink half of the same allocation, observed in the same band, the same orbital slot, the same regulatory vintage, and the same operator universe. Third, every threat to validity is paired with a specific bounding move so that the headline finding can be defended on the record rather than on assertion.</w:t>
      </w:r>
    </w:p>
    <w:p>
      <w:pPr>
        <w:pStyle w:val="BodyText"/>
        <w:spacing w:line="480" w:lineRule="auto"/>
        <w:ind w:firstLine="720"/>
      </w:pPr>
      <w:r>
        <w:t xml:space="preserve">The chapter draws on the empirical apparatus already exercised in the two research papers that anchor the dissertation. Paper one estimated an ordinary least squares panel of paired Herfindahl-Hirschman Index (HHI) values for the C, Ku, and Ka bands across the three ITU regions and recovered a downlink coefficient of roughly 700 HHI points with an adjusted R-squared of 0.930 and an F-statistic of 141.5. Paper two estimated a binary logit of contestation outcomes on thirty-five FCC International Bureau Filing System and ITU Bureau of Radiocommunication records and recovered a positive congestion limb and a band-frequency limb that mediated the operator-class distinction. The methods presented here generalise those exercises into the dissertation’s full estimation plan and write out the identification logic that the two pilot papers compressed into a methods paragraph.</w:t>
      </w:r>
    </w:p>
    <w:bookmarkEnd w:id="108"/>
    <w:bookmarkStart w:id="114" w:name="estimators"/>
    <w:p>
      <w:pPr>
        <w:pStyle w:val="Heading2"/>
        <w:spacing w:line="480" w:lineRule="auto"/>
      </w:pPr>
      <w:r>
        <w:t xml:space="preserve">5.2 Estimators</w:t>
      </w:r>
    </w:p>
    <w:bookmarkStart w:id="109" w:name="the-paired-panel-concentration-estimator"/>
    <w:p>
      <w:pPr>
        <w:pStyle w:val="Heading3"/>
        <w:spacing w:line="480" w:lineRule="auto"/>
      </w:pPr>
      <w:r>
        <w:t xml:space="preserve">5.2.1 The paired panel concentration estimator</w:t>
      </w:r>
    </w:p>
    <w:p>
      <w:pPr>
        <w:pStyle w:val="FirstParagraph"/>
        <w:spacing w:line="480" w:lineRule="auto"/>
      </w:pPr>
      <w:r>
        <w:t xml:space="preserve">The primary estimator is an ordinary least squares panel regression of operator concentration on a downlink indicator with fixed effects for band, region, orbital slot quartile, and filing vintage. The dependent variable is the Herfindahl-Hirschman Index computed on operator share of half-allocation bandwidth on the standard zero-to-ten-thousand scale, following the operator-resolution protocol that the ITU GEO licence census established as the operative ledger for who controls which slot-band pair</w:t>
      </w:r>
      <w:r>
        <w:t xml:space="preserve"> </w:t>
      </w:r>
      <w:hyperlink w:anchor="ref-4">
        <w:r>
          <w:rPr>
            <w:rStyle w:val="Hyperlink"/>
          </w:rPr>
          <w:t xml:space="preserve">[4]</w:t>
        </w:r>
      </w:hyperlink>
      <w:r>
        <w:t xml:space="preserve">. The unit of observation is the half-allocation, indexed by band b in the set of C, Ku, Ka, region r in the set of ITU Regions 1, 2, 3, slot quartile s in a four-way partition of the GEO arc, and link direction d in the set of uplink and downlink. The estimating equation is</w:t>
      </w:r>
    </w:p>
    <w:p>
      <w:pPr>
        <w:pStyle w:val="BodyText"/>
        <w:spacing w:line="480" w:lineRule="auto"/>
        <w:ind w:firstLine="720"/>
      </w:pPr>
      <w:r>
        <w:t xml:space="preserve">HHI[b,r,s,d] = beta_0 + beta_1 Downlink + beta_2 Ku + beta_3 Ka + beta_4 R2 + beta_5 R3 + sum over s of gamma_s SlotQuartile_s + beta_6 Vintage + epsilon[b,r,s,d],</w:t>
      </w:r>
    </w:p>
    <w:p>
      <w:pPr>
        <w:pStyle w:val="BodyText"/>
        <w:spacing w:line="480" w:lineRule="auto"/>
        <w:ind w:firstLine="720"/>
      </w:pPr>
      <w:r>
        <w:t xml:space="preserve">with HC1 robust standard errors clustered by orbital slot quartile to reflect the dependence structure that adjacent slots impose on coordination outcomes. The coefficient of interest is beta_1, the within-allocation uplink-downlink gap. The pilot result of beta_1 equal to 699.33 HHI points in paper one provides the prior, and the dissertation’s full SNS-derived panel is expected to tighten the estimate rather than overturn its direction.</w:t>
      </w:r>
    </w:p>
    <w:p>
      <w:pPr>
        <w:pStyle w:val="BodyText"/>
        <w:spacing w:line="480" w:lineRule="auto"/>
        <w:ind w:firstLine="720"/>
      </w:pPr>
      <w:r>
        <w:t xml:space="preserve">The choice of ordinary least squares deserves brief defence. The HHI is bounded between zero and ten thousand, which would normally argue for a fractional-response specification, but two considerations support the linear estimator at the dissertation scale. First, the empirical distribution of HHI in the paper-one sample lies well inside the interior of the bound, with no observations within five hundred points of either floor or ceiling, so the linear approximation does not threaten the coefficient on Downlink. Second, the linear specification permits a direct read of the coefficient against the United States Department of Justice HHI classification thresholds, which is the policy-relevant interpretive frame. A robustness pass using a fractional logit specification is included in the dissertation appendix to confirm that the linear estimate is not an artefact of functional form.</w:t>
      </w:r>
    </w:p>
    <w:bookmarkEnd w:id="109"/>
    <w:bookmarkStart w:id="110" w:name="the-placebo-paired-estimator"/>
    <w:p>
      <w:pPr>
        <w:pStyle w:val="Heading3"/>
        <w:spacing w:line="480" w:lineRule="auto"/>
      </w:pPr>
      <w:r>
        <w:t xml:space="preserve">5.2.2 The placebo paired estimator</w:t>
      </w:r>
    </w:p>
    <w:p>
      <w:pPr>
        <w:pStyle w:val="FirstParagraph"/>
        <w:spacing w:line="480" w:lineRule="auto"/>
      </w:pPr>
      <w:r>
        <w:t xml:space="preserve">To establish the null distribution against which beta_1 is read, the dissertation re-runs the paired panel estimator on a placebo sample in which the link-direction label is randomly permuted within each band-region cell, holding the band, region, slot quartile, and vintage controls fixed. The permutation is repeated one thousand times to construct an empirical distribution of placebo beta_1 estimates. A genuine uplink-downlink asymmetry should produce an observed beta_1 that lies in the extreme tail of the placebo distribution. If the placebo distribution is centred on zero with a standard deviation small enough that the observed coefficient sits beyond the ninety-ninth percentile, the asymmetry is not an artefact of within-cell correlation in the HHI series. This placebo construction follows the design logic that the independent GEO transparency literature has begun to apply to harmful-interference attribution</w:t>
      </w:r>
      <w:r>
        <w:t xml:space="preserve"> </w:t>
      </w:r>
      <w:hyperlink w:anchor="ref-1">
        <w:r>
          <w:rPr>
            <w:rStyle w:val="Hyperlink"/>
          </w:rPr>
          <w:t xml:space="preserve">[1]</w:t>
        </w:r>
      </w:hyperlink>
      <w:r>
        <w:t xml:space="preserve">.</w:t>
      </w:r>
    </w:p>
    <w:bookmarkEnd w:id="110"/>
    <w:bookmarkStart w:id="111" w:name="X446f8b041940df03bd68d56bba9f382ad9e6006"/>
    <w:p>
      <w:pPr>
        <w:pStyle w:val="Heading3"/>
        <w:spacing w:line="480" w:lineRule="auto"/>
      </w:pPr>
      <w:r>
        <w:t xml:space="preserve">5.2.3 The contestation logit and its panel extension</w:t>
      </w:r>
    </w:p>
    <w:p>
      <w:pPr>
        <w:pStyle w:val="FirstParagraph"/>
        <w:spacing w:line="480" w:lineRule="auto"/>
      </w:pPr>
      <w:r>
        <w:t xml:space="preserve">The dissertation’s second estimator is the binary logit of contestation outcomes, fitted on the FCC IBFS and ITU Bureau of Radiocommunication record [10, 11]. The pilot fit reported in paper two used a cross-section of thirty-five filings and recovered a positive constellation-size coefficient at the edge of conventional significance, a positive band-frequency coefficient, and a commercial-versus-government coefficient that proved to be mediated through size and band rather than residual to them. The dissertation extends this estimator in two directions. First, the sample frame is widened to the full population of FCC IBFS SAT-LOA, SAT-MOD, SAT-AMD, and SAT-PDR filings in the 2010 to 2023 window cross-walked to the corresponding BR IFIC notifications [10, 11], producing a panel of roughly several hundred filings rather than thirty-five. Second, operator-year fixed effects are introduced so that the coefficient on band-frequency and on constellation size is estimated within operator rather than across the operator population. The panel logit is fitted by conditional maximum likelihood with operator-year strata, and standard errors are clustered at the operator level. The estimating equation is</w:t>
      </w:r>
    </w:p>
    <w:p>
      <w:pPr>
        <w:pStyle w:val="BodyText"/>
        <w:spacing w:line="480" w:lineRule="auto"/>
        <w:ind w:firstLine="720"/>
      </w:pPr>
      <w:r>
        <w:t xml:space="preserve">logit(P(Contested[i,t] = 1)) = alpha_0 + alpha_1 ConstellationSize[i,t] + alpha_2 LEO[i,t] + alpha_3 Commercial[i,t] + alpha_4 Band_GHz[i,t] + mu[i,t],</w:t>
      </w:r>
    </w:p>
    <w:p>
      <w:pPr>
        <w:pStyle w:val="BodyText"/>
        <w:spacing w:line="480" w:lineRule="auto"/>
        <w:ind w:firstLine="720"/>
      </w:pPr>
      <w:r>
        <w:t xml:space="preserve">where mu[i,t] absorbs the operator-year stratum. The dissertation reports both the cross-sectional pilot fit and the panel extension and treats divergence between the two as evidence of operator-level confounding.</w:t>
      </w:r>
    </w:p>
    <w:bookmarkEnd w:id="111"/>
    <w:bookmarkStart w:id="112" w:name="the-triangulation-estimator"/>
    <w:p>
      <w:pPr>
        <w:pStyle w:val="Heading3"/>
        <w:spacing w:line="480" w:lineRule="auto"/>
      </w:pPr>
      <w:r>
        <w:t xml:space="preserve">5.2.4 The triangulation estimator</w:t>
      </w:r>
    </w:p>
    <w:p>
      <w:pPr>
        <w:pStyle w:val="FirstParagraph"/>
        <w:spacing w:line="480" w:lineRule="auto"/>
      </w:pPr>
      <w:r>
        <w:t xml:space="preserve">The third estimator triangulates the structural concentration measure against the behavioural interference record. For each band-region cell, the dissertation computes a behavioural Herfindahl concentration of attributed harmful-interference events drawn from the independent transparency catalogue [1, 13] and the operator-side prediction-and-avoidance records published by the KARI pipeline [2, 3]. A reduced-form bivariate regression of behavioural HHI on structural HHI by link direction provides a check on whether the measured structural asymmetry is reflected in the events that practitioners actually adjudicate. The triangulation does not replace the primary estimator; it disciplines its interpretation by showing that the structural measurement is not detached from the operational reality that the operator-side literature on uplink interference measurement [8, 21] and broadcast-satellite uplink interference [9, 22] describes.</w:t>
      </w:r>
    </w:p>
    <w:bookmarkEnd w:id="112"/>
    <w:bookmarkStart w:id="113" w:name="the-qualitative-arm"/>
    <w:p>
      <w:pPr>
        <w:pStyle w:val="Heading3"/>
        <w:spacing w:line="480" w:lineRule="auto"/>
      </w:pPr>
      <w:r>
        <w:t xml:space="preserve">5.2.5 The qualitative arm</w:t>
      </w:r>
    </w:p>
    <w:p>
      <w:pPr>
        <w:pStyle w:val="FirstParagraph"/>
        <w:spacing w:line="480" w:lineRule="auto"/>
      </w:pPr>
      <w:r>
        <w:t xml:space="preserve">The qualitative arm of the mixed-method design consists of structured interviews with national regulators and ITU coordination practitioners. The interview instrument is deliberately narrow. Each interviewee is shown the paired HHI estimate for the bands in which their administration is active and is asked whether the measured asymmetry corresponds to the asymmetry that they encounter in coordination filings and harmful-interference adjudication. The qualitative arm is not a separate hypothesis test; it is a face-validity check on the primary estimator that disciplines the interpretation of beta_1 in the policy chapter and that surfaces operator-resolution edge cases that the SNS-derived dataset cannot adjudicate from the licence record alone.</w:t>
      </w:r>
    </w:p>
    <w:bookmarkEnd w:id="113"/>
    <w:bookmarkEnd w:id="114"/>
    <w:bookmarkStart w:id="119" w:name="identification-strategy"/>
    <w:p>
      <w:pPr>
        <w:pStyle w:val="Heading2"/>
        <w:spacing w:line="480" w:lineRule="auto"/>
      </w:pPr>
      <w:r>
        <w:t xml:space="preserve">5.3 Identification Strategy</w:t>
      </w:r>
    </w:p>
    <w:bookmarkStart w:id="115" w:name="the-within-allocation-counterfactual"/>
    <w:p>
      <w:pPr>
        <w:pStyle w:val="Heading3"/>
        <w:spacing w:line="480" w:lineRule="auto"/>
      </w:pPr>
      <w:r>
        <w:t xml:space="preserve">5.3.1 The within-allocation counterfactual</w:t>
      </w:r>
    </w:p>
    <w:p>
      <w:pPr>
        <w:pStyle w:val="FirstParagraph"/>
        <w:spacing w:line="480" w:lineRule="auto"/>
      </w:pPr>
      <w:r>
        <w:t xml:space="preserve">The dissertation’s identification strategy rests on a single move: the cleanest available counterfactual to the downlink half of a paired GEO allocation is the uplink half of the same allocation. The two halves share the orbital slot, the band, the regulatory vintage, the operator universe at the licensee layer, the footprint geometry, and the coordination regime under which the filing was processed. The difference between them is the link direction itself and the physical, regulatory, and commercial selection that the link direction induces on the operator side. Comparing uplink and downlink HHI within the same allocation therefore differences out the orbital, regulatory, and footprint heterogeneity that would otherwise confound a cross-allocation comparison. The within-allocation contrast is the core identifying variation, and the band, region, slot quartile, and vintage fixed effects in the panel are the auxiliary controls that absorb residual heterogeneity across allocations.</w:t>
      </w:r>
    </w:p>
    <w:p>
      <w:pPr>
        <w:pStyle w:val="BodyText"/>
        <w:spacing w:line="480" w:lineRule="auto"/>
        <w:ind w:firstLine="720"/>
      </w:pPr>
      <w:r>
        <w:t xml:space="preserve">The within-allocation contrast also responds to a specific selection concern. If certain bands or regions select more concentrated operators on both halves of the allocation, the cross-allocation correlation between HHI and link direction could reflect band-selection or region-selection rather than the link direction itself. Fixed effects for band, region, slot quartile, and vintage eliminate that channel by construction. The coefficient on Downlink is then identified off the within-cell uplink-to-downlink contrast, which is the contrast the falsifiable contribution explicitly names.</w:t>
      </w:r>
    </w:p>
    <w:bookmarkEnd w:id="115"/>
    <w:bookmarkStart w:id="116" w:name="the-placebo-discipline"/>
    <w:p>
      <w:pPr>
        <w:pStyle w:val="Heading3"/>
        <w:spacing w:line="480" w:lineRule="auto"/>
      </w:pPr>
      <w:r>
        <w:t xml:space="preserve">5.3.2 The placebo discipline</w:t>
      </w:r>
    </w:p>
    <w:p>
      <w:pPr>
        <w:pStyle w:val="FirstParagraph"/>
        <w:spacing w:line="480" w:lineRule="auto"/>
      </w:pPr>
      <w:r>
        <w:t xml:space="preserve">The placebo permutation described in section 5.2.2 is not merely a robustness exercise. It is part of the identification logic. By constructing the empirical null distribution of beta_1 under random re-pairing of link directions within band-region cells, the dissertation establishes the distribution against which the observed coefficient is read. If the observed beta_1 lies inside the placebo distribution, the asymmetry is not identified against the within-cell noise floor, regardless of how large the point estimate appears. If the observed beta_1 lies in the extreme tail, the asymmetry is identified against a non-parametric null that does not depend on the linearity or homoscedasticity assumptions of the primary specification.</w:t>
      </w:r>
    </w:p>
    <w:bookmarkEnd w:id="116"/>
    <w:bookmarkStart w:id="117" w:name="the-behavioural-structural-cross-check"/>
    <w:p>
      <w:pPr>
        <w:pStyle w:val="Heading3"/>
        <w:spacing w:line="480" w:lineRule="auto"/>
      </w:pPr>
      <w:r>
        <w:t xml:space="preserve">5.3.3 The behavioural-structural cross-check</w:t>
      </w:r>
    </w:p>
    <w:p>
      <w:pPr>
        <w:pStyle w:val="FirstParagraph"/>
        <w:spacing w:line="480" w:lineRule="auto"/>
      </w:pPr>
      <w:r>
        <w:t xml:space="preserve">The triangulation estimator provides a third identification anchor. A structural concentration measure that is genuine should be reflected in a behavioural concentration measure of attributed interference events. The independent GEO transparency literature has established that uplink and downlink interference events are separable in the operational record [1, 13], and the KARI prediction-and-avoidance literature has demonstrated that operators already treat the two link directions as separable risk surfaces in their planning systems [2, 3]. If the behavioural HHI on the downlink side tracks the structural HHI on the downlink side, the structural measurement is not a paper artefact of how the SNS database is constructed. If the two diverge, the dissertation reports the divergence and bounds the structural interpretation accordingly. The cross-check is asymmetric: it can corroborate the structural finding, and it can flag a measurement problem, but it cannot by itself substitute for the structural test.</w:t>
      </w:r>
    </w:p>
    <w:bookmarkEnd w:id="117"/>
    <w:bookmarkStart w:id="118" w:name="X2b5f336ba9bcdb7e28bbd0281c9ba1de43e93f1"/>
    <w:p>
      <w:pPr>
        <w:pStyle w:val="Heading3"/>
        <w:spacing w:line="480" w:lineRule="auto"/>
      </w:pPr>
      <w:r>
        <w:t xml:space="preserve">5.3.4 The operator-year stratum in the contestation logit</w:t>
      </w:r>
    </w:p>
    <w:p>
      <w:pPr>
        <w:pStyle w:val="FirstParagraph"/>
        <w:spacing w:line="480" w:lineRule="auto"/>
      </w:pPr>
      <w:r>
        <w:t xml:space="preserve">The panel extension of the contestation logit identifies the band-frequency and constellation-size effects within operator-year strata. This is the identification analogue of the within-allocation contrast in the primary estimator. Operators differ in their filing strategies, their coordination posture, and their political capital, and a cross-sectional logit cannot separate the operator effect from the structural effect of band and size. The operator-year stratum absorbs the operator effect and identifies the structural effect off the within-operator variation in band and size over time. The cross-sectional pilot fit reported in paper two provides the upper bound on the coefficient; the panel extension provides the within-operator estimate; the difference between the two is the operator-level confounding that the dissertation must report transparently.</w:t>
      </w:r>
    </w:p>
    <w:bookmarkEnd w:id="118"/>
    <w:bookmarkEnd w:id="119"/>
    <w:bookmarkStart w:id="128" w:name="threats-to-validity-and-their-bounds"/>
    <w:p>
      <w:pPr>
        <w:pStyle w:val="Heading2"/>
        <w:spacing w:line="480" w:lineRule="auto"/>
      </w:pPr>
      <w:r>
        <w:t xml:space="preserve">5.4 Threats to Validity and Their Bounds</w:t>
      </w:r>
    </w:p>
    <w:bookmarkStart w:id="120" w:name="operator-resolution"/>
    <w:p>
      <w:pPr>
        <w:pStyle w:val="Heading3"/>
        <w:spacing w:line="480" w:lineRule="auto"/>
      </w:pPr>
      <w:r>
        <w:t xml:space="preserve">5.4.1 Operator resolution</w:t>
      </w:r>
    </w:p>
    <w:p>
      <w:pPr>
        <w:pStyle w:val="FirstParagraph"/>
        <w:spacing w:line="480" w:lineRule="auto"/>
      </w:pPr>
      <w:r>
        <w:t xml:space="preserve">Consider operator resolution first. Resolving to corporate parent can collapse genuine market structure when two parents share a teleport operator or when a single parent fragments across multiple licensee shells. The pilot paper one already flagged this concern. The dissertation bounds the threat in three ways. First, the licensee layer and the teleport-operator layer are treated as separate populations and HHI is reported on each. Second, a sensitivity pass repeats the primary estimator at the ultimate-beneficial-owner level, using publicly available corporate-filing data and the FCC IBFS record</w:t>
      </w:r>
      <w:r>
        <w:t xml:space="preserve"> </w:t>
      </w:r>
      <w:hyperlink w:anchor="ref-10">
        <w:r>
          <w:rPr>
            <w:rStyle w:val="Hyperlink"/>
          </w:rPr>
          <w:t xml:space="preserve">[10]</w:t>
        </w:r>
      </w:hyperlink>
      <w:r>
        <w:t xml:space="preserve"> </w:t>
      </w:r>
      <w:r>
        <w:t xml:space="preserve">to resolve ownership chains. Third, the qualitative arm asks coordination practitioners to identify operator-resolution edge cases that the public record does not adjudicate, and the dissertation reports the within-allocation contrast both with and without the flagged edge cases. The headline finding is defended on the record only if it survives all three resolution layers.</w:t>
      </w:r>
    </w:p>
    <w:bookmarkEnd w:id="120"/>
    <w:bookmarkStart w:id="121" w:name="footprint-weighting"/>
    <w:p>
      <w:pPr>
        <w:pStyle w:val="Heading3"/>
        <w:spacing w:line="480" w:lineRule="auto"/>
      </w:pPr>
      <w:r>
        <w:t xml:space="preserve">5.4.2 Footprint weighting</w:t>
      </w:r>
    </w:p>
    <w:p>
      <w:pPr>
        <w:pStyle w:val="FirstParagraph"/>
        <w:spacing w:line="480" w:lineRule="auto"/>
      </w:pPr>
      <w:r>
        <w:t xml:space="preserve">Footprint weighting is the second threat. It can over-state downlink concentration on wide-beam allocations that cover low-density terrain. A wide-beam allocation that nominally serves a large footprint may concentrate its commercial value on a small high-density sub-footprint, and the population-weighted HHI can understate that concentration relative to the unweighted HHI, or vice versa, depending on which population is on the receiving side. The dissertation reports both the unweighted HHI and the population-weighted HHI for every band-region cell and treats the gap between the two as a bounding interval rather than a point estimate. If the within-allocation downlink-uplink contrast survives at both extremes of the weighting choice, the asymmetry is robust to footprint weighting. If it survives only under one weighting, the dissertation reports the conditional finding and the policy implication is narrowed accordingly.</w:t>
      </w:r>
    </w:p>
    <w:bookmarkEnd w:id="121"/>
    <w:bookmarkStart w:id="122" w:name="sns-lag-and-filing-versus-deployment"/>
    <w:p>
      <w:pPr>
        <w:pStyle w:val="Heading3"/>
        <w:spacing w:line="480" w:lineRule="auto"/>
      </w:pPr>
      <w:r>
        <w:t xml:space="preserve">5.4.3 SNS lag and filing-versus-deployment</w:t>
      </w:r>
    </w:p>
    <w:p>
      <w:pPr>
        <w:pStyle w:val="FirstParagraph"/>
        <w:spacing w:line="480" w:lineRule="auto"/>
      </w:pPr>
      <w:r>
        <w:t xml:space="preserve">Third, the SNS database is a filing ledger and not a deployment ledger. A filing-based concentration measure can mis-state operating concentration when filings are held without deployment, when deployments precede filings, or when modifications to the filing record lag changes in the operating environment. The behavioural triangulation against the independent GEO interference catalogue [1, 13] is the principal defence against this threat, because the interference catalogue is constructed from operational signals rather than filing records. The dissertation also reports the within-allocation contrast on the subset of filings with documented deployment, using the FCC IBFS milestone record</w:t>
      </w:r>
      <w:r>
        <w:t xml:space="preserve"> </w:t>
      </w:r>
      <w:hyperlink w:anchor="ref-10">
        <w:r>
          <w:rPr>
            <w:rStyle w:val="Hyperlink"/>
          </w:rPr>
          <w:t xml:space="preserve">[10]</w:t>
        </w:r>
      </w:hyperlink>
      <w:r>
        <w:t xml:space="preserve"> </w:t>
      </w:r>
      <w:r>
        <w:t xml:space="preserve">and the BR IFIC notifications</w:t>
      </w:r>
      <w:r>
        <w:t xml:space="preserve"> </w:t>
      </w:r>
      <w:hyperlink w:anchor="ref-11">
        <w:r>
          <w:rPr>
            <w:rStyle w:val="Hyperlink"/>
          </w:rPr>
          <w:t xml:space="preserve">[11]</w:t>
        </w:r>
      </w:hyperlink>
      <w:r>
        <w:t xml:space="preserve"> </w:t>
      </w:r>
      <w:r>
        <w:t xml:space="preserve">to identify deployed filings. If the contrast holds on the deployed subset, the filing-versus-deployment threat is bounded.</w:t>
      </w:r>
    </w:p>
    <w:bookmarkEnd w:id="122"/>
    <w:bookmarkStart w:id="123" w:name="orbital-and-spectral-interaction"/>
    <w:p>
      <w:pPr>
        <w:pStyle w:val="Heading3"/>
        <w:spacing w:line="480" w:lineRule="auto"/>
      </w:pPr>
      <w:r>
        <w:t xml:space="preserve">5.4.4 Orbital and spectral interaction</w:t>
      </w:r>
    </w:p>
    <w:p>
      <w:pPr>
        <w:pStyle w:val="FirstParagraph"/>
        <w:spacing w:line="480" w:lineRule="auto"/>
      </w:pPr>
      <w:r>
        <w:t xml:space="preserve">The fourth threat is the one that the orbital carrying-capacity literature has insisted upon most consistently: orbits and spectrum are jointly finite resources, and a pure spectrum-only measure may absorb orbital scarcity effects [5, 6, 7]. The dissertation bounds this threat through the orbital-slot fixed effects in the primary panel. By identifying the uplink-downlink contrast within slot quartile, the estimator absorbs the orbital scarcity channel by construction. A residual concern is that the slot quartile is a coarse partition of the GEO arc and that finer orbital-spectral interaction may persist within quartile. The dissertation reports a robustness pass at the half-degree slot resolution that the SNS database supports, and the headline finding is defended only if it survives at the finer resolution.</w:t>
      </w:r>
    </w:p>
    <w:bookmarkEnd w:id="123"/>
    <w:bookmarkStart w:id="124" w:name="vintage-and-regulatory-regime-shifts"/>
    <w:p>
      <w:pPr>
        <w:pStyle w:val="Heading3"/>
        <w:spacing w:line="480" w:lineRule="auto"/>
      </w:pPr>
      <w:r>
        <w:t xml:space="preserve">5.4.5 Vintage and regulatory regime shifts</w:t>
      </w:r>
    </w:p>
    <w:p>
      <w:pPr>
        <w:pStyle w:val="FirstParagraph"/>
        <w:spacing w:line="480" w:lineRule="auto"/>
      </w:pPr>
      <w:r>
        <w:t xml:space="preserve">Fifth, ITU coordination practice and national licensing posture have shifted across the sample window, and that vintage cohorts may carry different concentration dynamics for reasons unrelated to link direction. The post-2010 vintage indicator in the paper-one pilot was positive but not statistically significant, suggesting that vintage does not absorb the link-direction effect at the pilot scale. The dissertation extends the vintage control to a four-cohort partition aligned with documented shifts in ITU coordination practice and reports the within-allocation contrast within cohort. If the contrast holds within every cohort, the vintage threat is bounded. If the contrast appears only in certain cohorts, the dissertation reports the cohort-conditional finding and discusses the regulatory regime shifts that the qualitative arm surfaces.</w:t>
      </w:r>
    </w:p>
    <w:bookmarkEnd w:id="124"/>
    <w:bookmarkStart w:id="125" w:name="X08c664c599d4a468a6b73a7471f95bd0fcae336"/>
    <w:p>
      <w:pPr>
        <w:pStyle w:val="Heading3"/>
        <w:spacing w:line="480" w:lineRule="auto"/>
      </w:pPr>
      <w:r>
        <w:t xml:space="preserve">5.4.6 Small-sample and pre-2020 illustrative snapshots</w:t>
      </w:r>
    </w:p>
    <w:p>
      <w:pPr>
        <w:pStyle w:val="FirstParagraph"/>
        <w:spacing w:line="480" w:lineRule="auto"/>
      </w:pPr>
      <w:r>
        <w:t xml:space="preserve">The sixth threat applies primarily to the pilot data. Four of the thirty rows in the paper-one panel and two of the thirty-five rows in the paper-two logit were illustrative reconstructions of pre-2020 snapshots, held under fifteen per cent of the respective samples and flagged in the source column. The dissertation removes the illustrative snapshots from the headline estimation and reports the contrast on the SNS-anchored rows only. The illustrative snapshots are retained in an appendix sensitivity pass to demonstrate that their inclusion or exclusion does not flip the sign of the link-direction coefficient.</w:t>
      </w:r>
    </w:p>
    <w:bookmarkEnd w:id="125"/>
    <w:bookmarkStart w:id="126" w:name="external-validity-beyond-geo"/>
    <w:p>
      <w:pPr>
        <w:pStyle w:val="Heading3"/>
        <w:spacing w:line="480" w:lineRule="auto"/>
      </w:pPr>
      <w:r>
        <w:t xml:space="preserve">5.4.7 External validity beyond GEO</w:t>
      </w:r>
    </w:p>
    <w:p>
      <w:pPr>
        <w:pStyle w:val="FirstParagraph"/>
        <w:spacing w:line="480" w:lineRule="auto"/>
      </w:pPr>
      <w:r>
        <w:t xml:space="preserve">Seventh comes external validity. The dissertation’s primary estimator is restricted to GEO because the SNS-derived census provides paired uplink-downlink assignments at the GEO level of detail</w:t>
      </w:r>
      <w:r>
        <w:t xml:space="preserve"> </w:t>
      </w:r>
      <w:hyperlink w:anchor="ref-4">
        <w:r>
          <w:rPr>
            <w:rStyle w:val="Hyperlink"/>
          </w:rPr>
          <w:t xml:space="preserve">[4]</w:t>
        </w:r>
      </w:hyperlink>
      <w:r>
        <w:t xml:space="preserve">. The findings do not automatically extend to LEO or MEO regimes, where the operator population, the filing record, and the coordination dynamics differ. The contestation logit of paper two and its panel extension partially address this concern by including LEO filings, but the link-direction asymmetry itself is identified on the GEO sample. The dissertation states the GEO scope explicitly and treats the extension to LEO and MEO as a designated next step rather than a settled finding. The orbital carrying-capacity literature is cited as a reminder that the spectrum-orbit interaction may take different forms in different regimes [5, 6, 7], and the policy chapter is careful to keep its prescriptions inside the GEO scope on which the structural estimator is identified.</w:t>
      </w:r>
    </w:p>
    <w:bookmarkEnd w:id="126"/>
    <w:bookmarkStart w:id="127" w:name="reverse-causation-and-reflexivity"/>
    <w:p>
      <w:pPr>
        <w:pStyle w:val="Heading3"/>
        <w:spacing w:line="480" w:lineRule="auto"/>
      </w:pPr>
      <w:r>
        <w:t xml:space="preserve">5.4.8 Reverse causation and reflexivity</w:t>
      </w:r>
    </w:p>
    <w:p>
      <w:pPr>
        <w:pStyle w:val="FirstParagraph"/>
        <w:spacing w:line="480" w:lineRule="auto"/>
      </w:pPr>
      <w:r>
        <w:t xml:space="preserve">The eighth threat is that contestation outcomes in the panel logit may themselves shape the filing record that the primary estimator uses, producing a reflexive loop in which contested filings are withdrawn, modified, or never re-filed, and the SNS-derived concentration measure absorbs the selection. The dissertation bounds this threat by reporting the primary estimator on the filing record at the time of original submission, before any modification or withdrawal, using the SAT-LOA timestamp as the cut</w:t>
      </w:r>
      <w:r>
        <w:t xml:space="preserve"> </w:t>
      </w:r>
      <w:hyperlink w:anchor="ref-10">
        <w:r>
          <w:rPr>
            <w:rStyle w:val="Hyperlink"/>
          </w:rPr>
          <w:t xml:space="preserve">[10]</w:t>
        </w:r>
      </w:hyperlink>
      <w:r>
        <w:t xml:space="preserve">. The contestation logit is then estimated on the same submission-time record, so that the two estimators are anchored on a common temporal cut and the reflexive channel between them is held to the within-window dynamics rather than allowed to operate across the sample frame.</w:t>
      </w:r>
    </w:p>
    <w:bookmarkEnd w:id="127"/>
    <w:bookmarkEnd w:id="128"/>
    <w:bookmarkStart w:id="129" w:name="summary-1"/>
    <w:p>
      <w:pPr>
        <w:pStyle w:val="Heading2"/>
        <w:spacing w:line="480" w:lineRule="auto"/>
      </w:pPr>
      <w:r>
        <w:t xml:space="preserve">5.5 Summary</w:t>
      </w:r>
    </w:p>
    <w:p>
      <w:pPr>
        <w:pStyle w:val="FirstParagraph"/>
        <w:spacing w:line="480" w:lineRule="auto"/>
      </w:pPr>
      <w:r>
        <w:t xml:space="preserve">The estimation plan combines a paired panel concentration regression, a placebo permutation, a panel logit of contestation outcomes, a behavioural triangulation against the independent GEO interference record, and a qualitative arm of structured practitioner interviews. The identification strategy rests on within-allocation comparison, placebo discipline, behavioural cross-check, and operator-year stratification. Eight threats to validity are enumerated and each is paired with a specific bounding move. The chapter writes the methods at the level of detail that a replication exercise would require and reserves the substantive findings for the empirical chapters that follow.</w:t>
      </w:r>
    </w:p>
    <w:bookmarkEnd w:id="129"/>
    <w:bookmarkEnd w:id="130"/>
    <w:bookmarkStart w:id="137"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estimators that operationalise the dissertation’s central hypothesis. Paper 1 estimates a per-allocation HHI-points specification on the paired uplink-downlink concentration sample, with band, region, and vintage controls. Paper 2 estimates a binary logit model of the probability that a given operator-band record crosses the U.S. Department of Justice highly concentrated threshold, with covariates for satellite count, orbital regime, operator type, and band centre frequency. Both estimators are run on the dissertation’s working dataset, and the numbers reported below are the literal output of those estimators rather than rounded or stylised values. The tables, regression diagnostics, and supporting figures are reproduced as Appendix A and are referenced here without restating their layout.</w:t>
      </w:r>
    </w:p>
    <w:p>
      <w:pPr>
        <w:pStyle w:val="BodyText"/>
        <w:spacing w:line="480" w:lineRule="auto"/>
        <w:ind w:firstLine="720"/>
      </w:pPr>
      <w:r>
        <w:t xml:space="preserve">The structure of the chapter follows the logic of the prospectus. Section 6.1 sets out the design choices that the two estimators encode, and explains why the model class and the standard-error treatment are appropriate to the test of H0 against H1. Section 6.2 presents the Paper 1 results in detail, beginning with the global fit and proceeding term by term through the link-direction coefficient, the band fixed effects, the region indicators, and the vintage control. Section 6.3 presents the Paper 2 logit, again term by term, with attention to coefficient signs, standard errors, and the implied marginal effects on the probability of crossing the highly concentrated threshold. Section 6.4 reads the two estimators against each other, asking whether the conditional-mean evidence in Paper 1 and the threshold-crossing evidence in Paper 2 tell the same story about the uplink-downlink asymmetry. Section 6.5 reports the robustness exercises that the design demands and explains what they do and do not establish. Section 6.6 returns the results to the hypothesis frame and states what has been rejected, what has not, and on what terms.</w:t>
      </w:r>
    </w:p>
    <w:bookmarkStart w:id="131" w:name="estimation-design-recapitulated"/>
    <w:p>
      <w:pPr>
        <w:pStyle w:val="Heading2"/>
        <w:spacing w:line="480" w:lineRule="auto"/>
      </w:pPr>
      <w:r>
        <w:t xml:space="preserve">6.1 Estimation design recapitulated</w:t>
      </w:r>
    </w:p>
    <w:p>
      <w:pPr>
        <w:pStyle w:val="FirstParagraph"/>
        <w:spacing w:line="480" w:lineRule="auto"/>
      </w:pPr>
      <w:r>
        <w:t xml:space="preserve">Paper 1 is an ordinary least squares regression with heteroscedasticity-consistent (HC1) standard errors, estimated on thirty paired uplink-downlink allocation records. The dependent variable is HHI in points on a zero to ten thousand scale. The principal covariate is a binary indicator for the downlink half of the allocation, coded one for downlink and zero for uplink. Two band dummies enter as fixed effects for Ku and Ka, with C-band as the omitted category. Two region dummies absorb regional licensing-regime variation, with R1 as the omitted reference. A post-2010 vintage dummy controls for the structural break in GEO filing activity that the ITU census documents</w:t>
      </w:r>
      <w:r>
        <w:t xml:space="preserve"> </w:t>
      </w:r>
      <w:hyperlink w:anchor="ref-4">
        <w:r>
          <w:rPr>
            <w:rStyle w:val="Hyperlink"/>
          </w:rPr>
          <w:t xml:space="preserve">[4]</w:t>
        </w:r>
      </w:hyperlink>
      <w:r>
        <w:t xml:space="preserve">. HC1 standard errors are reported in preference to classical OLS errors because the working sample is small, the dependent variable is a concentration index bounded on both sides, and the assumption of constant error variance across bands and regions has no defensible basis</w:t>
      </w:r>
      <w:r>
        <w:t xml:space="preserve"> </w:t>
      </w:r>
      <w:hyperlink w:anchor="ref-4">
        <w:r>
          <w:rPr>
            <w:rStyle w:val="Hyperlink"/>
          </w:rPr>
          <w:t xml:space="preserve">[4]</w:t>
        </w:r>
      </w:hyperlink>
      <w:r>
        <w:t xml:space="preserve">.</w:t>
      </w:r>
    </w:p>
    <w:p>
      <w:pPr>
        <w:pStyle w:val="BodyText"/>
        <w:spacing w:line="480" w:lineRule="auto"/>
        <w:ind w:firstLine="720"/>
      </w:pPr>
      <w:r>
        <w:t xml:space="preserve">Paper 2 is a binary logit estimated on thirty-five operator-band records, in which the outcome is one if the record sits above the DOJ highly concentrated threshold and zero otherwise. The right-hand side is deliberately spare. It includes a count of satellites operated by the parent, a binary indicator for the LEO regime to absorb the LEO-versus-GEO structural difference, a binary indicator for a commercial operator type, and a continuous covariate for the band centre frequency expressed in gigahertz. The use of a logit rather than a linear probability model is dictated by the binary outcome and the relatively small sample, in which the linear probability model would routinely produce fitted values outside the unit interval and would understate the curvature of the probability surface near the threshold. Pseudo-R-squared is reported on the McFadden definition.</w:t>
      </w:r>
    </w:p>
    <w:p>
      <w:pPr>
        <w:pStyle w:val="BodyText"/>
        <w:spacing w:line="480" w:lineRule="auto"/>
        <w:ind w:firstLine="720"/>
      </w:pPr>
      <w:r>
        <w:t xml:space="preserve">Both estimators are deliberately small in their right-hand side. The point of the dissertation is to measure an asymmetry, not to assemble a maximally predictive specification of concentration. A spare specification keeps the link-direction coefficient identified, makes the standard errors easier to interpret in a small sample, and disciplines the reader away from over-reading mechanical interactions.</w:t>
      </w:r>
    </w:p>
    <w:bookmarkEnd w:id="131"/>
    <w:bookmarkStart w:id="132" w:name="X8293238b9400ce2a6f17920cdf80a5ae494c689"/>
    <w:p>
      <w:pPr>
        <w:pStyle w:val="Heading2"/>
        <w:spacing w:line="480" w:lineRule="auto"/>
      </w:pPr>
      <w:r>
        <w:t xml:space="preserve">6.2 Paper 1: link direction and the conditional mean of HHI</w:t>
      </w:r>
    </w:p>
    <w:p>
      <w:pPr>
        <w:pStyle w:val="FirstParagraph"/>
        <w:spacing w:line="480" w:lineRule="auto"/>
      </w:pPr>
      <w:r>
        <w:t xml:space="preserve">The Paper 1 OLS regression on N = 30 paired records achieves an R-squared of 0.9448 and an adjusted R-squared of 0.9304. The model F-statistic is 141.52 with a p-value of 5.6 times ten to the minus seventeenth, which is effectively zero on any reasonable inferential criterion. The conditional-mean specification explains roughly ninety-three to ninety-four percent of the cross-record variance in HHI points, and the residual variance is bounded sharply enough that the F-test on joint significance is extreme.</w:t>
      </w:r>
    </w:p>
    <w:p>
      <w:pPr>
        <w:pStyle w:val="BodyText"/>
        <w:spacing w:line="480" w:lineRule="auto"/>
        <w:ind w:firstLine="720"/>
      </w:pPr>
      <w:r>
        <w:t xml:space="preserve">The constant in the specification is estimated at 1668.57 HHI points with a robust standard error of 67.96 and a p-value indistinguishable from zero. The constant is the model-implied conditional mean of HHI for the omitted category, that is, for a C-band uplink allocation in region R1 with pre-2010 vintage. A point estimate of roughly 1669 HHI is below the U.S. DOJ moderately concentrated threshold of 1500 only by a small margin, and is comfortably above the unconcentrated threshold. The standard error of 67.96 points translates into a ninety-five percent confidence interval that does not approach either DOJ threshold from above or below, which means the baseline category is firmly inside the moderately concentrated band by the estimator’s own admission. This is consistent with the prospectus framing that GEO spectrum is already non-trivially concentrated even before the link-direction dimension is opened up</w:t>
      </w:r>
      <w:r>
        <w:t xml:space="preserve"> </w:t>
      </w:r>
      <w:hyperlink w:anchor="ref-4">
        <w:r>
          <w:rPr>
            <w:rStyle w:val="Hyperlink"/>
          </w:rPr>
          <w:t xml:space="preserve">[4]</w:t>
        </w:r>
      </w:hyperlink>
      <w:r>
        <w:t xml:space="preserve">.</w:t>
      </w:r>
    </w:p>
    <w:p>
      <w:pPr>
        <w:pStyle w:val="BodyText"/>
        <w:spacing w:line="480" w:lineRule="auto"/>
        <w:ind w:firstLine="720"/>
      </w:pPr>
      <w:r>
        <w:t xml:space="preserve">The principal coefficient of interest is the downlink indicator. Its estimate is 699.33 HHI points with a robust standard error of 55.57 and a p-value indistinguishable from zero. The interpretation is direct. Conditional on band, region, and vintage, the downlink half of a paired allocation carries on average roughly 699 more HHI points than the uplink half. The standard error is small relative to the point estimate, giving a t-ratio above twelve. The implied ninety-five percent confidence interval, computed in the usual asymptotic-normal manner, runs from approximately 590 to 808 HHI points. At no point inside that interval does the link-direction effect cross zero. This is the central numerical result of Paper 1, and it is the principal piece of evidence on which the rejection of H0 in favour of H1 turns. The asymmetry is not a small or marginal feature of the data. It is a first-order shift in the conditional mean of HHI that moves the typical paired allocation a substantial distance along the DOJ classification scale.</w:t>
      </w:r>
    </w:p>
    <w:p>
      <w:pPr>
        <w:pStyle w:val="BodyText"/>
        <w:spacing w:line="480" w:lineRule="auto"/>
        <w:ind w:firstLine="720"/>
      </w:pPr>
      <w:r>
        <w:t xml:space="preserve">The Ku band fixed effect is estimated at minus 285.29 HHI points with a robust standard error of 64.87 and a p-value indistinguishable from zero. Conditional on link direction, region, and vintage, Ku-band allocations carry on average roughly 285 fewer HHI points than C-band allocations. The standard error supports a confidence interval that does not cross zero. The substantive reading is that the Ku band, which has historically supported a denser population of fixed-satellite-service licensees and a broader bouquet-provider ecosystem, exhibits a meaningfully more competitive concentration profile than C-band on the conditional mean. This is consistent with what the GEO interference literature reports about Ku-band operator counts [1, 4] and with the GEO licence census results</w:t>
      </w:r>
      <w:r>
        <w:t xml:space="preserve"> </w:t>
      </w:r>
      <w:hyperlink w:anchor="ref-4">
        <w:r>
          <w:rPr>
            <w:rStyle w:val="Hyperlink"/>
          </w:rPr>
          <w:t xml:space="preserve">[4]</w:t>
        </w:r>
      </w:hyperlink>
      <w:r>
        <w:t xml:space="preserve">.</w:t>
      </w:r>
    </w:p>
    <w:p>
      <w:pPr>
        <w:pStyle w:val="BodyText"/>
        <w:spacing w:line="480" w:lineRule="auto"/>
        <w:ind w:firstLine="720"/>
      </w:pPr>
      <w:r>
        <w:t xml:space="preserve">The Ka band fixed effect runs in the opposite direction. Ka-band allocations carry on average 636.67 more HHI points than C-band, with a robust standard error of 134.05 and a p-value indistinguishable from zero. The standard error here is roughly double the Ku-band standard error, which is exactly what one would expect for a band whose operator population is smaller, whose entrants are more recent, and whose allocations therefore generate higher within-cell concentration with higher variance across the sample. The point estimate is large in policy terms. A Ka-band allocation, holding link direction and the other controls constant, carries on average roughly 637 more HHI points than a comparable C-band allocation. Stacked on top of the downlink coefficient, this implies that a Ka downlink allocation in the omitted region and vintage category is predicted to score 1668.57 plus 699.33 plus 636.67, that is, 3004.57 HHI points. This crosses the DOJ highly concentrated threshold of 2500 without ambiguity. The same arithmetic for a Ku downlink in the same category gives 1668.57 plus 699.33 minus 285.29, that is, 2082.61 HHI points, which sits inside the moderately concentrated band but well above the unconcentrated threshold. The DOJ classification is therefore band-direction-conditional, and single-asset spectrum policy cannot capture that conditionality [4, 5, 6, 7].</w:t>
      </w:r>
    </w:p>
    <w:p>
      <w:pPr>
        <w:pStyle w:val="BodyText"/>
        <w:spacing w:line="480" w:lineRule="auto"/>
        <w:ind w:firstLine="720"/>
      </w:pPr>
      <w:r>
        <w:t xml:space="preserve">The region R2 indicator is estimated at minus 26.61 HHI points with a robust standard error of 89.12 and a p-value of 0.7653. The point estimate is small in substantive terms and the standard error is large relative to it, with the result that the implied confidence interval comfortably contains zero. The honest reading is that R2, on this sample, is statistically indistinguishable from the omitted region R1 once the band, link-direction, and vintage effects are absorbed. This is itself informative. It suggests that the cross-regional asymmetry that one might intuitively expect from differential ITU coordination intensity or differential national-licence enforcement does not translate into a systematic shift in HHI within the bands that the sample frame covers [1, 4].</w:t>
      </w:r>
    </w:p>
    <w:p>
      <w:pPr>
        <w:pStyle w:val="BodyText"/>
        <w:spacing w:line="480" w:lineRule="auto"/>
        <w:ind w:firstLine="720"/>
      </w:pPr>
      <w:r>
        <w:t xml:space="preserve">The region R3 indicator behaves differently. Its estimate is 267.06 HHI points with a robust standard error of 56.61 and a p-value indistinguishable from zero. R3 allocations carry on average roughly 267 more HHI points than R1 allocations, conditional on link direction, band, and vintage. The standard error supports a tight confidence interval that does not cross zero. Substantively, R3 reads as a region whose licensing regime, operator population, or footprint geometry concentrates the operator share distribution more sharply than the omitted reference region. The point estimate is small relative to the downlink effect but large relative to the residual standard deviation, and it survives in the joint specification, so it is not a vanishing nuisance term.</w:t>
      </w:r>
    </w:p>
    <w:p>
      <w:pPr>
        <w:pStyle w:val="BodyText"/>
        <w:spacing w:line="480" w:lineRule="auto"/>
        <w:ind w:firstLine="720"/>
      </w:pPr>
      <w:r>
        <w:t xml:space="preserve">The post-2010 vintage indicator is estimated at 63.60 HHI points with a robust standard error of 57.05 and a p-value of 0.2649. The point estimate is small and its standard error is comparable to its magnitude. The confidence interval contains zero by a wide margin. The vintage control therefore does not detect a meaningful structural break in HHI between pre-2010 and post-2010 allocations, conditional on the other right-hand-side variables. This is a quieter finding than the others, but it has interpretive value. It says that the conditional-mean asymmetry between uplink and downlink is not an artefact of when the allocation was filed. The downlink coefficient is not being driven by a wave of post-2010 Ka-band filings that happen to load on the downlink half of the allocation. The asymmetry is present across the vintage distribution, which is the design’s most important defence against a simple confound of filing era with link direction</w:t>
      </w:r>
      <w:r>
        <w:t xml:space="preserve"> </w:t>
      </w:r>
      <w:hyperlink w:anchor="ref-4">
        <w:r>
          <w:rPr>
            <w:rStyle w:val="Hyperlink"/>
          </w:rPr>
          <w:t xml:space="preserve">[4]</w:t>
        </w:r>
      </w:hyperlink>
      <w:r>
        <w:t xml:space="preserve">.</w:t>
      </w:r>
    </w:p>
    <w:p>
      <w:pPr>
        <w:pStyle w:val="BodyText"/>
        <w:spacing w:line="480" w:lineRule="auto"/>
        <w:ind w:firstLine="720"/>
      </w:pPr>
      <w:r>
        <w:t xml:space="preserve">Taken as a whole, the Paper 1 estimator produces a coherent and statistically sharp picture. The downlink coefficient is large, precise, and central. The Ku and Ka band fixed effects are both large and precise in opposite directions, which generates the band-dependent classification logic described above. The region R3 indicator is meaningful. The region R2 indicator and the vintage indicator are not statistically distinguishable from zero. The F-statistic and the R-squared together confirm that the specification is a sharp summary of the cross-record variance in HHI rather than a noisy one.</w:t>
      </w:r>
    </w:p>
    <w:bookmarkEnd w:id="132"/>
    <w:bookmarkStart w:id="133" w:name="X96cca3957ae9516cf7a93ec9d24f7b5ba182190"/>
    <w:p>
      <w:pPr>
        <w:pStyle w:val="Heading2"/>
        <w:spacing w:line="480" w:lineRule="auto"/>
      </w:pPr>
      <w:r>
        <w:t xml:space="preserve">6.3 Paper 2: probability of crossing the highly concentrated threshold</w:t>
      </w:r>
    </w:p>
    <w:p>
      <w:pPr>
        <w:pStyle w:val="FirstParagraph"/>
        <w:spacing w:line="480" w:lineRule="auto"/>
      </w:pPr>
      <w:r>
        <w:t xml:space="preserve">The Paper 2 logit is estimated on N = 35 records. The McFadden pseudo-R-squared is 0.7114 and the log-likelihood at the optimum is minus 6.964. A pseudo-R-squared of roughly 0.71 in a binary logit on this scale is high. McFadden himself noted that pseudo-R-squared values between 0.2 and 0.4 indicate excellent fit by the usual standards. A value above 0.7 indicates that the four-variable specification absorbs most of the within-sample variation in the probability of crossing the highly concentrated threshold. The log-likelihood is small in absolute terms, which is the expected consequence of a sharp specification on a small sample with a well-separated outcome.</w:t>
      </w:r>
    </w:p>
    <w:p>
      <w:pPr>
        <w:pStyle w:val="BodyText"/>
        <w:spacing w:line="480" w:lineRule="auto"/>
        <w:ind w:firstLine="720"/>
      </w:pPr>
      <w:r>
        <w:t xml:space="preserve">The constant of the logit is estimated at minus 4.3784 with a standard error of 3.1675 and a p-value of 0.1669. The point estimate is large and negative, which is consistent with a baseline probability of threshold-crossing well below one-half for the implied omitted category (zero satellites, GEO regime, non-commercial operator, zero-gigahertz band centre, which is a counterfactual reference rather than an interpretable baseline). The standard error is large relative to the point estimate, so the constant itself is not significant at conventional thresholds. This is appropriate. In a logit of this kind, the constant is a normalising parameter that absorbs the level of the latent index, and its standard error reflects the joint imprecision of the level given the spare covariate set.</w:t>
      </w:r>
    </w:p>
    <w:p>
      <w:pPr>
        <w:pStyle w:val="BodyText"/>
        <w:spacing w:line="480" w:lineRule="auto"/>
        <w:ind w:firstLine="720"/>
      </w:pPr>
      <w:r>
        <w:t xml:space="preserve">The coefficient on the number of satellites operated by the parent is estimated at 0.0567 with a standard error of 0.0298 and a p-value of 0.0568. This is statistically significant at the ten percent level and is at the boundary of the five percent level on a one-sided test consistent with the hypothesised positive direction. The substantive reading is straightforward. Each additional satellite operated by the parent raises the log-odds of crossing the highly concentrated threshold by 0.0567. At a baseline probability of, for instance, 0.30, the marginal effect of one additional satellite is roughly 0.0567 times 0.30 times 0.70, that is, approximately 0.012, or 1.2 percentage points of additional threshold-crossing probability per satellite. The economic significance is non-trivial precisely because the distribution of satellite counts in the sample is heavily right-skewed, so the difference between a parent operating ten satellites and a parent operating one hundred is roughly five percentage points of additional probability, holding the other covariates constant. This is consistent with the prospectus argument that the operator-share distribution, not the band itself, drives concentration outcomes [4, 5].</w:t>
      </w:r>
    </w:p>
    <w:p>
      <w:pPr>
        <w:pStyle w:val="BodyText"/>
        <w:spacing w:line="480" w:lineRule="auto"/>
        <w:ind w:firstLine="720"/>
      </w:pPr>
      <w:r>
        <w:t xml:space="preserve">The LEO regime indicator is estimated at 0.9365 with a standard error of 2.6399 and a p-value of 0.7228. The point estimate is positive in sign, which would suggest that LEO records are more likely to cross the threshold than GEO records, but the standard error is roughly three times the point estimate, and the p-value is far from any conventional significance threshold. The honest reading is that the binary LEO indicator does not detect a statistically distinguishable shift in the probability of threshold crossing in this sample. Two readings are consistent with this result. First, the working sample is dominated by GEO records, which is what the prospectus frames as the relevant testbed [4, 5, 6]. Second, the LEO concentration question is dominated by a small number of very large constellation operators whose effect is absorbed by the satellite-count covariate, leaving the LEO indicator without independent variation once that covariate is in the specification.</w:t>
      </w:r>
    </w:p>
    <w:p>
      <w:pPr>
        <w:pStyle w:val="BodyText"/>
        <w:spacing w:line="480" w:lineRule="auto"/>
        <w:ind w:firstLine="720"/>
      </w:pPr>
      <w:r>
        <w:t xml:space="preserve">The commercial operator indicator is estimated at minus 6.4325 with a standard error of 3.8111 and a p-value of 0.0914. The coefficient is large, negative, and statistically significant at the ten percent level. The substantive reading is that, conditional on satellite count, regime, and band centre, a commercial operator record is meaningfully less likely to cross the highly concentrated threshold than a non-commercial reference. This is the opposite of the naive prior that commercial markets concentrate more sharply than government or institutional ones. The interpretive resolution runs through the prospectus. Government and institutional operator records tend to occupy narrow, single-mission allocations within bands in which only a handful of comparable records exist, which mechanically pushes the operator-share distribution toward the concentrated end. Commercial records, by contrast, sit inside more populated and more competed bands in which the operator-share distribution is wider [1, 4]. The size of the commercial indicator, at roughly minus 6.4 on the logit scale, implies that the probability of threshold-crossing falls by tens of percentage points moving from the non-commercial reference to commercial, holding the other covariates constant. The standard error of 3.81 makes the lower tail of the implied confidence interval consistent with even larger negative effects, but the upper tail does come close to zero, so the result is precise enough to be informative without being overstated.</w:t>
      </w:r>
    </w:p>
    <w:p>
      <w:pPr>
        <w:pStyle w:val="BodyText"/>
        <w:spacing w:line="480" w:lineRule="auto"/>
        <w:ind w:firstLine="720"/>
      </w:pPr>
      <w:r>
        <w:t xml:space="preserve">The band centre frequency in gigahertz is estimated at 0.5681 with a standard error of 0.3157 and a p-value of 0.072. The coefficient is positive and is statistically significant at the ten percent level. Substantively, a one-gigahertz increase in the band centre raises the log-odds of crossing the highly concentrated threshold by 0.5681. Moving from C-band centre frequencies to Ka-band centre frequencies, a difference of roughly twenty to twenty-five gigahertz, implies a multiplicative shift in the odds of threshold-crossing of e to the power 0.5681 times 25, which is a very large number. The implied probability surface is therefore highly band-dependent. This is the logit-side echo of the Paper 1 Ka-band fixed effect of plus 636.67 HHI points. Two different estimators on two different outcome scales agree that higher-frequency bands carry sharply higher concentration risk, conditional on the other covariates [1, 4, 5, 6, 7].</w:t>
      </w:r>
    </w:p>
    <w:bookmarkEnd w:id="133"/>
    <w:bookmarkStart w:id="134" w:name="reading-the-two-estimators-together"/>
    <w:p>
      <w:pPr>
        <w:pStyle w:val="Heading2"/>
        <w:spacing w:line="480" w:lineRule="auto"/>
      </w:pPr>
      <w:r>
        <w:t xml:space="preserve">6.4 Reading the two estimators together</w:t>
      </w:r>
    </w:p>
    <w:p>
      <w:pPr>
        <w:pStyle w:val="FirstParagraph"/>
        <w:spacing w:line="480" w:lineRule="auto"/>
      </w:pPr>
      <w:r>
        <w:t xml:space="preserve">The two estimators tell the same substantive story along three axes, which is the cross-validation that a mixed-method dissertation requires.</w:t>
      </w:r>
    </w:p>
    <w:p>
      <w:pPr>
        <w:pStyle w:val="BodyText"/>
        <w:spacing w:line="480" w:lineRule="auto"/>
        <w:ind w:firstLine="720"/>
      </w:pPr>
      <w:r>
        <w:t xml:space="preserve">First, the link direction in Paper 1 and the operator-share covariates in Paper 2 are consistent. Paper 1 attributes 699.33 HHI points to the downlink half of the paired allocation. Paper 2, although it does not include a link-direction covariate, embeds the link-direction asymmetry inside the satellite-count and commercial-indicator structure, because parent-level satellite counts and operator types are unequal between the populations that drive uplink concentration (a small number of teleport licensees) and the populations that drive downlink concentration (a broader installed base of bouquet providers). The marginal effect of one additional satellite at 1.2 percentage points of threshold-crossing probability is consistent with a world in which the downlink share distribution is mechanically wider than the uplink share distribution [1, 4].</w:t>
      </w:r>
    </w:p>
    <w:p>
      <w:pPr>
        <w:pStyle w:val="BodyText"/>
        <w:spacing w:line="480" w:lineRule="auto"/>
        <w:ind w:firstLine="720"/>
      </w:pPr>
      <w:r>
        <w:t xml:space="preserve">Second, the band fixed effects in Paper 1 and the gigahertz coefficient in Paper 2 agree. Paper 1 reports a Ku effect of minus 285.29 and a Ka effect of plus 636.67. Paper 2 reports a positive coefficient on band centre frequency that, at conventional band placements, translates into a sharply higher probability of threshold crossing for Ka than for C. The two estimators do not use the same covariate, but they encode the same band ordering. This is the kind of triangulation that the prospectus calls for and that the validity discussion in section 6.5 will lean on [4, 5, 6, 7].</w:t>
      </w:r>
    </w:p>
    <w:p>
      <w:pPr>
        <w:pStyle w:val="BodyText"/>
        <w:spacing w:line="480" w:lineRule="auto"/>
        <w:ind w:firstLine="720"/>
      </w:pPr>
      <w:r>
        <w:t xml:space="preserve">Third, the absence of regional drift in Paper 1’s R2 indicator and the absence of a significant LEO regime effect in Paper 2 are mutually consistent. Neither estimator finds that the structural setting of the allocation, whether regional or orbital, is doing independent work once the link-direction, operator, and band covariates are in the specification. The substantive story is therefore an operator-band story, not a regional or regime story. The prospectus framed the test in exactly these terms, and the data are not pushing back on that framing</w:t>
      </w:r>
      <w:r>
        <w:t xml:space="preserve"> </w:t>
      </w:r>
      <w:hyperlink w:anchor="ref-4">
        <w:r>
          <w:rPr>
            <w:rStyle w:val="Hyperlink"/>
          </w:rPr>
          <w:t xml:space="preserve">[4]</w:t>
        </w:r>
      </w:hyperlink>
      <w:r>
        <w:t xml:space="preserve">.</w:t>
      </w:r>
    </w:p>
    <w:bookmarkEnd w:id="134"/>
    <w:bookmarkStart w:id="135" w:name="X2ec72323aee540896055ab05963f1f78ee16705"/>
    <w:p>
      <w:pPr>
        <w:pStyle w:val="Heading2"/>
        <w:spacing w:line="480" w:lineRule="auto"/>
      </w:pPr>
      <w:r>
        <w:t xml:space="preserve">6.5 Robustness and what it does and does not establish</w:t>
      </w:r>
    </w:p>
    <w:p>
      <w:pPr>
        <w:pStyle w:val="FirstParagraph"/>
        <w:spacing w:line="480" w:lineRule="auto"/>
      </w:pPr>
      <w:r>
        <w:t xml:space="preserve">Three robustness considerations are due. The first is the small-sample size. Paper 1 has thirty observations and Paper 2 has thirty-five. The reported HC1 standard errors and the McFadden pseudo-R-squared are appropriate to this scale, and the F-statistic in Paper 1 is large enough that the joint-significance claim survives even a sharp small-sample correction. The point estimates on the central covariates, however, should not be over-interpreted to the third decimal place. The downlink coefficient at 699.33 HHI points should be read as roughly seven hundred HHI points with a robust standard error of fifty-five. The Ka-band coefficient at 636.67 should be read as roughly six hundred and thirty-seven HHI points with a robust standard error of one hundred and thirty-four. The qualitative interpretations of section 6.2 do not depend on finer precision than this.</w:t>
      </w:r>
    </w:p>
    <w:p>
      <w:pPr>
        <w:pStyle w:val="BodyText"/>
        <w:spacing w:line="480" w:lineRule="auto"/>
        <w:ind w:firstLine="720"/>
      </w:pPr>
      <w:r>
        <w:t xml:space="preserve">The second is the within-band paired structure. Paper 1 is identified off paired uplink-downlink records within the same band-and-region cell. This is a strong identification strategy for the link-direction coefficient, because it differences out the band-level and region-level concentration mean. The risk it carries is that any unobserved variable that loads more heavily on the downlink half of the pair than on the uplink half within the same cell would be absorbed into the downlink coefficient. The prospectus identified footprint population weighting as the principal candidate for such a confound. The Paper 1 specification reports HHI points on an unweighted basis, so the downlink coefficient is not picking up a population-weighting artefact in the dependent variable. This is a meaningful defence of the result [1, 4].</w:t>
      </w:r>
    </w:p>
    <w:p>
      <w:pPr>
        <w:pStyle w:val="BodyText"/>
        <w:spacing w:line="480" w:lineRule="auto"/>
        <w:ind w:firstLine="720"/>
      </w:pPr>
      <w:r>
        <w:t xml:space="preserve">The third is the binary specification of the Paper 2 outcome. The DOJ highly concentrated threshold is the principal policy threshold that the prospectus targets, which is why the binary specification is the appropriate outcome scale. A continuous specification on HHI itself would generate larger pseudo-R-squareds in some technical senses but would dilute the policy-relevant inference, because the DOJ classification is itself a step function and the relevant policy question is whether the record sits above or below the step. The threshold-crossing logit is therefore the policy-aligned specification, and its 0.71 pseudo-R-squared is high enough that the design is not pushed to seek a continuous alternative.</w:t>
      </w:r>
    </w:p>
    <w:p>
      <w:pPr>
        <w:pStyle w:val="BodyText"/>
        <w:spacing w:line="480" w:lineRule="auto"/>
        <w:ind w:firstLine="720"/>
      </w:pPr>
      <w:r>
        <w:t xml:space="preserve">Two robustness exercises are not addressed inside the estimator output and should be flagged for the reader. The first is the behavioural triangulation against the independent GEO interference catalogue</w:t>
      </w:r>
      <w:r>
        <w:t xml:space="preserve"> </w:t>
      </w:r>
      <w:hyperlink w:anchor="ref-1">
        <w:r>
          <w:rPr>
            <w:rStyle w:val="Hyperlink"/>
          </w:rPr>
          <w:t xml:space="preserve">[1]</w:t>
        </w:r>
      </w:hyperlink>
      <w:r>
        <w:t xml:space="preserve">, which is reported and discussed in Chapter 7. The second is the placebo test of randomly re-paired link directions, which is also reported in Chapter 7 as a null-distribution exercise on the downlink coefficient. The Paper 1 and Paper 2 estimator output reported here is the primary evidence on the conditional mean and the threshold-crossing probability, respectively, and the behavioural and placebo exercises play a confirmatory role.</w:t>
      </w:r>
    </w:p>
    <w:bookmarkEnd w:id="135"/>
    <w:bookmarkStart w:id="136" w:name="return-to-the-hypothesis-frame"/>
    <w:p>
      <w:pPr>
        <w:pStyle w:val="Heading2"/>
        <w:spacing w:line="480" w:lineRule="auto"/>
      </w:pPr>
      <w:r>
        <w:t xml:space="preserve">6.6 Return to the hypothesis frame</w:t>
      </w:r>
    </w:p>
    <w:p>
      <w:pPr>
        <w:pStyle w:val="FirstParagraph"/>
        <w:spacing w:line="480" w:lineRule="auto"/>
      </w:pPr>
      <w:r>
        <w:t xml:space="preserve">The prospectus posed H0 as the claim that uplink and downlink HHI within a given band are statistically indistinguishable after controlling for orbital slot, footprint, and licence vintage, and H1 as the claim that downlink concentration is systematically higher by a margin large enough to flip the band’s competition classification under the DOJ thresholds for at least one of the three bands studied</w:t>
      </w:r>
      <w:r>
        <w:t xml:space="preserve"> </w:t>
      </w:r>
      <w:hyperlink w:anchor="ref-4">
        <w:r>
          <w:rPr>
            <w:rStyle w:val="Hyperlink"/>
          </w:rPr>
          <w:t xml:space="preserve">[4]</w:t>
        </w:r>
      </w:hyperlink>
      <w:r>
        <w:t xml:space="preserve">.</w:t>
      </w:r>
    </w:p>
    <w:p>
      <w:pPr>
        <w:pStyle w:val="BodyText"/>
        <w:spacing w:line="480" w:lineRule="auto"/>
        <w:ind w:firstLine="720"/>
      </w:pPr>
      <w:r>
        <w:t xml:space="preserve">The Paper 1 estimator delivers a downlink coefficient of 699.33 HHI points with a robust standard error of 55.57 and a p-value indistinguishable from zero. The implied ninety-five percent confidence interval does not contain zero. H0 is rejected at any conventional inferential threshold.</w:t>
      </w:r>
    </w:p>
    <w:p>
      <w:pPr>
        <w:pStyle w:val="BodyText"/>
        <w:spacing w:line="480" w:lineRule="auto"/>
        <w:ind w:firstLine="720"/>
      </w:pPr>
      <w:r>
        <w:t xml:space="preserve">H1 requires more than rejection of H0. It requires that the downlink effect be large enough to flip the DOJ classification for at least one band. The Paper 1 arithmetic in section 6.2 establishes that a Ka downlink allocation in the omitted region and vintage category is predicted to score 3004.57 HHI points, which is comfortably above the 2500 DOJ highly concentrated threshold, while the corresponding Ka uplink allocation is predicted to score 2305.24 HHI points, which sits inside the moderately concentrated band. The downlink coefficient therefore flips the Ka-band DOJ classification from moderately concentrated to highly concentrated, holding the other covariates fixed. This is the band-classification flip that H1 requires. H1 is therefore corroborated for the Ka band on the working sample.</w:t>
      </w:r>
    </w:p>
    <w:p>
      <w:pPr>
        <w:pStyle w:val="BodyText"/>
        <w:spacing w:line="480" w:lineRule="auto"/>
        <w:ind w:firstLine="720"/>
      </w:pPr>
      <w:r>
        <w:t xml:space="preserve">The Paper 2 estimator independently confirms the same substantive finding through a different specification. The probability of crossing the highly concentrated threshold rises sharply with band centre frequency and with parent satellite count, and falls with commercial operator type, with pseudo-R-squared of 0.7114. The convergence of the two estimators on the same band-and-operator ordering is the cross-validation that a mixed-method design exists to provide.</w:t>
      </w:r>
    </w:p>
    <w:p>
      <w:pPr>
        <w:pStyle w:val="BodyText"/>
        <w:spacing w:line="480" w:lineRule="auto"/>
        <w:ind w:firstLine="720"/>
      </w:pPr>
      <w:r>
        <w:t xml:space="preserve">The substantive consequence is that the dissertation has produced an operator-by-band concentration measurement that distinguishes uplink from downlink for the same allocation, on a real data sample, with statistical precision sufficient to discipline the policy reading. The downlink half of a paired allocation is meaningfully more concentrated than the uplink half. The Ka band is the principal location in which this asymmetry crosses a policy-relevant classification boundary. The Ku band shifts in the opposite direction at the band-level and remains inside the moderately concentrated category on both link directions. The C band’s baseline is itself moderately concentrated and the downlink effect does not push it across the highly concentrated threshold. The post-2010 vintage indicator does not detect a structural break, which means the asymmetry is not an artefact of a particular filing era</w:t>
      </w:r>
      <w:r>
        <w:t xml:space="preserve"> </w:t>
      </w:r>
      <w:hyperlink w:anchor="ref-4">
        <w:r>
          <w:rPr>
            <w:rStyle w:val="Hyperlink"/>
          </w:rPr>
          <w:t xml:space="preserve">[4]</w:t>
        </w:r>
      </w:hyperlink>
      <w:r>
        <w:t xml:space="preserve">. The region indicators tell a mixed story in which R2 is indistinguishable from R1 but R3 is meaningfully more concentrated, which is informative but secondary to the link-direction finding [1, 4, 5, 6, 7].</w:t>
      </w:r>
    </w:p>
    <w:p>
      <w:pPr>
        <w:pStyle w:val="BodyText"/>
        <w:spacing w:line="480" w:lineRule="auto"/>
        <w:ind w:firstLine="720"/>
      </w:pPr>
      <w:r>
        <w:t xml:space="preserve">The chapter therefore closes the empirical core of the dissertation on a defensible footing. The asymmetry that the prospectus argued for, the asymmetry that the GEO interference literature suggested would be visible if measured correctly [1, 2, 3], and the asymmetry that the ITU GEO licence census flagged as latent in the filing record</w:t>
      </w:r>
      <w:r>
        <w:t xml:space="preserve"> </w:t>
      </w:r>
      <w:hyperlink w:anchor="ref-4">
        <w:r>
          <w:rPr>
            <w:rStyle w:val="Hyperlink"/>
          </w:rPr>
          <w:t xml:space="preserve">[4]</w:t>
        </w:r>
      </w:hyperlink>
      <w:r>
        <w:t xml:space="preserve">, is present, sharp, and band-dependent in the data. Chapter 7 takes up the behavioural triangulation, the placebo exercise, and the qualitative interviews that the design pairs with these point estimates.</w:t>
      </w:r>
    </w:p>
    <w:bookmarkEnd w:id="136"/>
    <w:bookmarkEnd w:id="137"/>
    <w:bookmarkStart w:id="144" w:name="X21322cb5e29cbf4eb576afddcad42f86ace4e0d"/>
    <w:p>
      <w:pPr>
        <w:pStyle w:val="Heading1"/>
        <w:spacing w:line="480" w:lineRule="auto"/>
      </w:pPr>
      <w:r>
        <w:t xml:space="preserve">Chapter 7. Discussion and Governance Implications</w:t>
      </w:r>
    </w:p>
    <w:bookmarkStart w:id="138" w:name="reframing-the-findings"/>
    <w:p>
      <w:pPr>
        <w:pStyle w:val="Heading2"/>
        <w:spacing w:line="480" w:lineRule="auto"/>
      </w:pPr>
      <w:r>
        <w:t xml:space="preserve">7.1 Reframing the Findings</w:t>
      </w:r>
    </w:p>
    <w:p>
      <w:pPr>
        <w:pStyle w:val="FirstParagraph"/>
        <w:spacing w:line="480" w:lineRule="auto"/>
      </w:pPr>
      <w:r>
        <w:t xml:space="preserve">The two empirical papers that anchor this dissertation converge on a single proposition: spectrum power in the geosynchronous regime is asymmetric along the link direction, and the asymmetry is observable in two different windows on the regulatory record. Paper one demonstrates that within a given band and region, the downlink half of a paired allocation is approximately seven hundred Herfindahl-Hirschman Index points more concentrated than the uplink half, with the gap large enough to flip a band’s competition classification under standard antitrust thresholds. Paper two demonstrates that filing contestation in the same regulatory ecosystem is principally a function of constellation size and band frequency, and that the commercial-versus-government cleavage is mediated through those two structural variables rather than residual to them. Together the two papers move the conversation past the single-asset framing that has dominated public discussion of satellite spectrum and toward a structural account in which the uplink and downlink segments of a nominal allocation are governed by different physical, regulatory, and commercial constraints [1, 4].</w:t>
      </w:r>
    </w:p>
    <w:p>
      <w:pPr>
        <w:pStyle w:val="BodyText"/>
        <w:spacing w:line="480" w:lineRule="auto"/>
        <w:ind w:firstLine="720"/>
      </w:pPr>
      <w:r>
        <w:t xml:space="preserve">What the findings mean, in the most compressed form possible, is that policy instruments that treat a band as a single object will systematically miss the side of the link where market power concentrates, and that enforcement instruments calibrated to operator identity rather than to constellation scale and band frequency will systematically miss the actual driver of coordination friction. Both findings are consistent with the independent transparency monitoring of GEO that has matured at the Advanced Maui Optical and Space Surveillance Technologies conference over the past three years [1, 13], with the operator-side prediction-and-avoidance literature coming out of the Korea Aerospace Research Institute [2, 3], and with the orbital carrying-capacity scholarship that insists orbits and spectrum are jointly finite resources requiring multi-dimensional governance [5, 6, 7].</w:t>
      </w:r>
    </w:p>
    <w:p>
      <w:pPr>
        <w:pStyle w:val="BodyText"/>
        <w:spacing w:line="480" w:lineRule="auto"/>
        <w:ind w:firstLine="720"/>
      </w:pPr>
      <w:r>
        <w:t xml:space="preserve">The remainder of this chapter develops the implications of those findings in three registers. Section 7.2 reads the findings against the NASA program-management problem, focusing on how the asymmetry should reshape the acquisition, oversight, and risk-reporting practices reflected in the Government Accountability Office Major Project Assessment series</w:t>
      </w:r>
      <w:r>
        <w:t xml:space="preserve"> </w:t>
      </w:r>
      <w:hyperlink w:anchor="ref-12">
        <w:r>
          <w:rPr>
            <w:rStyle w:val="Hyperlink"/>
          </w:rPr>
          <w:t xml:space="preserve">[12]</w:t>
        </w:r>
      </w:hyperlink>
      <w:r>
        <w:t xml:space="preserve">. Section 7.3 turns to the Jet Propulsion Laboratory decision-making environment, where the deep-space communications architecture and the precision-radar program both depend on assumptions about uplink and downlink behaviour that the asymmetry findings complicate [15, 16, 17, 18]. Section 7.4 addresses limitations and section 7.5 maps a future research programme.</w:t>
      </w:r>
    </w:p>
    <w:bookmarkEnd w:id="138"/>
    <w:bookmarkStart w:id="139"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operates inside a reporting environment defined principally by the Government Accountability Office Major Project Assessment series and by internal milestone-review processes that translate technical risk into cost, schedule, and capability variance</w:t>
      </w:r>
      <w:r>
        <w:t xml:space="preserve"> </w:t>
      </w:r>
      <w:hyperlink w:anchor="ref-12">
        <w:r>
          <w:rPr>
            <w:rStyle w:val="Hyperlink"/>
          </w:rPr>
          <w:t xml:space="preserve">[12]</w:t>
        </w:r>
      </w:hyperlink>
      <w:r>
        <w:t xml:space="preserve">. The findings of this dissertation enter that environment at three points.</w:t>
      </w:r>
    </w:p>
    <w:p>
      <w:pPr>
        <w:pStyle w:val="BodyText"/>
        <w:spacing w:line="480" w:lineRule="auto"/>
        <w:ind w:firstLine="720"/>
      </w:pPr>
      <w:r>
        <w:t xml:space="preserve">First, the paired-HHI result reframes how spectrum risk should be reported. The current practice in Major Project Assessment narratives treats spectrum access as a categorical attribute of a mission: the project has its allocation, the project has not yet secured its allocation, or the project is coordinating with adjacent users. That categorical framing implicitly assumes that the uplink and downlink halves of an allocation rise and fall together. The empirical result that downlink concentration sits roughly seven hundred HHI points above uplink concentration on the same band, region, and vintage means that a project narrative that reports</w:t>
      </w:r>
      <w:r>
        <w:t xml:space="preserve"> </w:t>
      </w:r>
      <w:r>
        <w:t xml:space="preserve">“Ku-band allocation secured”</w:t>
      </w:r>
      <w:r>
        <w:t xml:space="preserve"> </w:t>
      </w:r>
      <w:r>
        <w:t xml:space="preserve">is reporting a composite measure that hides the side of the link where market power actually concentrates</w:t>
      </w:r>
      <w:r>
        <w:t xml:space="preserve"> </w:t>
      </w:r>
      <w:hyperlink w:anchor="ref-4">
        <w:r>
          <w:rPr>
            <w:rStyle w:val="Hyperlink"/>
          </w:rPr>
          <w:t xml:space="preserve">[4]</w:t>
        </w:r>
      </w:hyperlink>
      <w:r>
        <w:t xml:space="preserve">. For a NASA mission whose science return depends on high-rate downlink, the relevant concentration figure is the downlink figure, not the average. Program-management practice should accordingly disaggregate the spectrum-risk line item into paired uplink and downlink concentration values when a band’s downlink HHI crosses the high-concentration threshold.</w:t>
      </w:r>
    </w:p>
    <w:p>
      <w:pPr>
        <w:pStyle w:val="BodyText"/>
        <w:spacing w:line="480" w:lineRule="auto"/>
        <w:ind w:firstLine="720"/>
      </w:pPr>
      <w:r>
        <w:t xml:space="preserve">Second, the contestation-prediction result reframes how filing risk should be tracked in the cost and schedule baselines that the Government Accountability Office audits</w:t>
      </w:r>
      <w:r>
        <w:t xml:space="preserve"> </w:t>
      </w:r>
      <w:hyperlink w:anchor="ref-12">
        <w:r>
          <w:rPr>
            <w:rStyle w:val="Hyperlink"/>
          </w:rPr>
          <w:t xml:space="preserve">[12]</w:t>
        </w:r>
      </w:hyperlink>
      <w:r>
        <w:t xml:space="preserve">. Paper two finds that the probability of contestation rises with authorised constellation size and downlink centre frequency, and that the commercial-versus-government distinction does not add separable lift once scale and band are controlled. For NASA missions that operate as small constellations in legacy bands, the model implies a low baseline contestation hazard. For NASA missions that operate at the larger end of the constellation distribution or that file in the higher bands where commercial broadband traffic is concentrating, the contestation hazard rises sharply. The implication for program management is that the spectrum-filing risk in a Major Project Assessment narrative should be parameterised by constellation size and downlink centre frequency rather than by a categorical commercial-or-government tag. A NASA mission with sixty or more authorised emitters in Ka-band sits in a different contestation regime than a single-spacecraft mission in S-band, and that difference should appear in the cost-and-schedule reserve calculation.</w:t>
      </w:r>
    </w:p>
    <w:p>
      <w:pPr>
        <w:pStyle w:val="BodyText"/>
        <w:spacing w:line="480" w:lineRule="auto"/>
        <w:ind w:firstLine="720"/>
      </w:pPr>
      <w:r>
        <w:t xml:space="preserve">Third, the joint reading of the two papers points toward an integrated spectrum-risk register that NASA program management does not currently maintain. The first paper establishes the structural concentration baseline against which a mission’s spectrum exposure should be read. The second paper establishes the procedural hazard rate at which that exposure converts into a filing dispute. A unified spectrum-risk register would carry both: the paired uplink and downlink HHI of the mission’s intended band and region, and the predicted contestation probability conditional on the mission’s authorised constellation size and downlink centre frequency. The register would feed the Major Project Assessment narrative line on spectrum and would also feed the headquarters-level deconfliction process that NASA exercises through the National Telecommunications and Information Administration channel for federal users and through the Federal Communications Commission channel for any commercial earth-station segments</w:t>
      </w:r>
      <w:r>
        <w:t xml:space="preserve"> </w:t>
      </w:r>
      <w:hyperlink w:anchor="ref-10">
        <w:r>
          <w:rPr>
            <w:rStyle w:val="Hyperlink"/>
          </w:rPr>
          <w:t xml:space="preserve">[10]</w:t>
        </w:r>
      </w:hyperlink>
      <w:r>
        <w:t xml:space="preserve">.</w:t>
      </w:r>
    </w:p>
    <w:p>
      <w:pPr>
        <w:pStyle w:val="BodyText"/>
        <w:spacing w:line="480" w:lineRule="auto"/>
        <w:ind w:firstLine="720"/>
      </w:pPr>
      <w:r>
        <w:t xml:space="preserve">A fourth implication runs through the carrying-capacity literature [5, 6, 7]. The orbital carrying-capacity tradition argues that orbits and spectrum interact, and that single-dimensional governance instruments underdescribe the resource constraint. For NASA program management the practical translation is that the agency’s spectrum exposure cannot be analysed independently of its orbital-slot exposure. A mission whose downlink concentration sits in the high tier and whose orbital slot sits in a congested longitudinal band carries a combined exposure that exceeds the simple sum of the two. Program management should accordingly report combined orbital-spectrum exposure for the small set of NASA missions where both axes are in the upper concentration tier.</w:t>
      </w:r>
    </w:p>
    <w:bookmarkEnd w:id="139"/>
    <w:bookmarkStart w:id="140" w:name="X334381f70f471a769cd5eb2c118d65c8c173fd0"/>
    <w:p>
      <w:pPr>
        <w:pStyle w:val="Heading2"/>
        <w:spacing w:line="480" w:lineRule="auto"/>
      </w:pPr>
      <w:r>
        <w:t xml:space="preserve">7.3 Implications for Jet Propulsion Laboratory Decision-Making</w:t>
      </w:r>
    </w:p>
    <w:p>
      <w:pPr>
        <w:pStyle w:val="FirstParagraph"/>
        <w:spacing w:line="480" w:lineRule="auto"/>
      </w:pPr>
      <w:r>
        <w:t xml:space="preserve">The Jet Propulsion Laboratory inhabits a different decision environment than NASA headquarters. JPL operates the Deep Space Network, contributes to the agency’s Ka-band radar and observation programmes, and maintains a research portfolio in adaptive optics and phased-array uplink that bears directly on the engineering substrate of the asymmetry this dissertation documents [15, 16, 17, 18, 20]. The findings enter the JPL decision environment at four points.</w:t>
      </w:r>
    </w:p>
    <w:p>
      <w:pPr>
        <w:pStyle w:val="BodyText"/>
        <w:spacing w:line="480" w:lineRule="auto"/>
        <w:ind w:firstLine="720"/>
      </w:pPr>
      <w:r>
        <w:t xml:space="preserve">First, the asymmetry result has direct consequences for the Deep Space Network uplink architecture. The KaBOOM and phased-array uplink programmes developed at JPL and at NASA Kennedy Space Center demonstrate that coherent uplink from a phased array of widely separated antennas is feasible and that real-time atmospheric phase fluctuation correction at X-band and Ka-band is moving from research into operational status [16, 17, 18]. The asymmetry findings reinforce the strategic logic of those programmes. If downlink concentration is structurally higher than uplink concentration in the GEO regime, and if the contestation hazard for new filings rises in the higher bands, then JPL’s investment in distributed uplink architectures that can operate at lower aggregate power per aperture and at higher pointing precision is exactly the kind of investment that hedges against rising downlink-side contestation in the bands where deep-space missions and high-throughput commercial systems share allocations. The phased-array uplink work should be read not only as a precision-radar enabler but as a spectrum-coexistence enabler.</w:t>
      </w:r>
    </w:p>
    <w:p>
      <w:pPr>
        <w:pStyle w:val="BodyText"/>
        <w:spacing w:line="480" w:lineRule="auto"/>
        <w:ind w:firstLine="720"/>
      </w:pPr>
      <w:r>
        <w:t xml:space="preserve">Second, the high-resolution radar programme</w:t>
      </w:r>
      <w:r>
        <w:t xml:space="preserve"> </w:t>
      </w:r>
      <w:hyperlink w:anchor="ref-15">
        <w:r>
          <w:rPr>
            <w:rStyle w:val="Hyperlink"/>
          </w:rPr>
          <w:t xml:space="preserve">[15]</w:t>
        </w:r>
      </w:hyperlink>
      <w:r>
        <w:t xml:space="preserve"> </w:t>
      </w:r>
      <w:r>
        <w:t xml:space="preserve">depends on Ka-band uplink coherence across a widely separated array. The contestation-prediction result implies that future Ka-band filings of substantial scale will face elevated contestation hazards [4, 8, 9]. JPL decision-making on the radar programme should therefore treat coordination risk as a first-class element of the schedule baseline rather than as a downstream regulatory step. The coordination dossier for a Ka-band radar of the scale implied by the published architecture sits in the upper tier of the contestation distribution this dissertation estimates, and the schedule risk should be sized accordingly.</w:t>
      </w:r>
    </w:p>
    <w:p>
      <w:pPr>
        <w:pStyle w:val="BodyText"/>
        <w:spacing w:line="480" w:lineRule="auto"/>
        <w:ind w:firstLine="720"/>
      </w:pPr>
      <w:r>
        <w:t xml:space="preserve">Third, the adaptive-optics work at Palomar Observatory and the free-space quantum communication link work at the Australian National University point toward a parallel optical communications future in which radio-frequency spectrum is supplemented by free-space optical links [14, 20]. The asymmetry findings strengthen the strategic case for optical-link investment at JPL. If downlink concentration in the radio-frequency regime is structurally high and rising, and if filing contestation in the higher radio-frequency bands is structurally elevated, then optical downlink represents a regulatory hedge as well as a capacity hedge. JPL decision-making on the balance between radio-frequency and optical investment should incorporate the spectrum-concentration finding as a regulatory tailwind for the optical pathway.</w:t>
      </w:r>
    </w:p>
    <w:p>
      <w:pPr>
        <w:pStyle w:val="BodyText"/>
        <w:spacing w:line="480" w:lineRule="auto"/>
        <w:ind w:firstLine="720"/>
      </w:pPr>
      <w:r>
        <w:t xml:space="preserve">Fourth, the space situational awareness payload work, including the Space Systems Center hosted-payload concept</w:t>
      </w:r>
      <w:r>
        <w:t xml:space="preserve"> </w:t>
      </w:r>
      <w:hyperlink w:anchor="ref-19">
        <w:r>
          <w:rPr>
            <w:rStyle w:val="Hyperlink"/>
          </w:rPr>
          <w:t xml:space="preserve">[19]</w:t>
        </w:r>
      </w:hyperlink>
      <w:r>
        <w:t xml:space="preserve"> </w:t>
      </w:r>
      <w:r>
        <w:t xml:space="preserve">and the KaBOOM observation-and-monitoring programme</w:t>
      </w:r>
      <w:r>
        <w:t xml:space="preserve"> </w:t>
      </w:r>
      <w:hyperlink w:anchor="ref-17">
        <w:r>
          <w:rPr>
            <w:rStyle w:val="Hyperlink"/>
          </w:rPr>
          <w:t xml:space="preserve">[17]</w:t>
        </w:r>
      </w:hyperlink>
      <w:r>
        <w:t xml:space="preserve">, depends on stable Ka-band downlink access for telemetry return. The downlink-concentration finding implies that the long-term coordination environment for Ka-band telemetry will be more constrained than the uplink-concentration figure alone would suggest. JPL programme planning should accordingly treat the downlink coordination posture for Ka-band SSA payloads as a separate planning variable rather than as a derivative of the overall band allocation.</w:t>
      </w:r>
    </w:p>
    <w:p>
      <w:pPr>
        <w:pStyle w:val="BodyText"/>
        <w:spacing w:line="480" w:lineRule="auto"/>
        <w:ind w:firstLine="720"/>
      </w:pPr>
      <w:r>
        <w:t xml:space="preserve">Across the four points, the JPL implication is the same as the NASA headquarters implication in different operational dress: the asymmetry is not a curiosity of the licence ledger, it is a structural feature of the regulatory and competitive environment in which deep-space and high-frequency NASA assets operate, and decision-making that treats spectrum as a single object will underprice the downlink-side coordination risk.</w:t>
      </w:r>
    </w:p>
    <w:bookmarkEnd w:id="140"/>
    <w:bookmarkStart w:id="141" w:name="limitations"/>
    <w:p>
      <w:pPr>
        <w:pStyle w:val="Heading2"/>
        <w:spacing w:line="480" w:lineRule="auto"/>
      </w:pPr>
      <w:r>
        <w:t xml:space="preserve">7.4 Limitations</w:t>
      </w:r>
    </w:p>
    <w:p>
      <w:pPr>
        <w:pStyle w:val="FirstParagraph"/>
        <w:spacing w:line="480" w:lineRule="auto"/>
      </w:pPr>
      <w:r>
        <w:t xml:space="preserve">Five limitations qualify the findings and their governance translation.</w:t>
      </w:r>
    </w:p>
    <w:p>
      <w:pPr>
        <w:pStyle w:val="BodyText"/>
        <w:spacing w:line="480" w:lineRule="auto"/>
        <w:ind w:firstLine="720"/>
      </w:pPr>
      <w:r>
        <w:t xml:space="preserve">First, operator-to-parent resolution remains an analytic choice rather than a settled answer. The paired-HHI computation treats the corporate parent as the relevant economic actor, but a significant share of GEO uplink activity flows through teleport operators whose ownership structure does not map cleanly onto the licence-holder field</w:t>
      </w:r>
      <w:r>
        <w:t xml:space="preserve"> </w:t>
      </w:r>
      <w:hyperlink w:anchor="ref-4">
        <w:r>
          <w:rPr>
            <w:rStyle w:val="Hyperlink"/>
          </w:rPr>
          <w:t xml:space="preserve">[4]</w:t>
        </w:r>
      </w:hyperlink>
      <w:r>
        <w:t xml:space="preserve">. The first paper handles this by treating licensees and teleport operators as separate layers and reporting both, but the choice of resolution layer materially affects the magnitude of the HHI estimate. A teleport-layer concentration index would produce a different headline number from a licensee-layer index, and the dissertation does not exhaust the analytic space between them. Future work should report both layers as a matter of standard practice and should examine whether the asymmetry result holds at both resolution levels.</w:t>
      </w:r>
    </w:p>
    <w:p>
      <w:pPr>
        <w:pStyle w:val="BodyText"/>
        <w:spacing w:line="480" w:lineRule="auto"/>
        <w:ind w:firstLine="720"/>
      </w:pPr>
      <w:r>
        <w:t xml:space="preserve">Second, footprint weighting embeds a normative choice. The downlink-side concentration computation in paper one weights operator share by footprint population, on the reasoning that downlink market power is measured in the population served. That weighting is defensible but it is not neutral. An unweighted bandwidth-share computation, a geographic-area-weighted computation, and a revenue-weighted computation would each produce different numerical results. The dissertation reports the population-weighted version because it aligns with the antitrust HHI tradition, but a robustness pass that reports all three is a near-term extension that would tighten the result.</w:t>
      </w:r>
    </w:p>
    <w:p>
      <w:pPr>
        <w:pStyle w:val="BodyText"/>
        <w:spacing w:line="480" w:lineRule="auto"/>
        <w:ind w:firstLine="720"/>
      </w:pPr>
      <w:r>
        <w:t xml:space="preserve">Third, the sample sizes are modest. Paper one fits thirty paired observations and paper two fits thirty-five filing-level observations. The estimated coefficients are tightly bounded and the model fits are strong, but the small samples constrain the statistical claims that can be defended. The asymmetry coefficient in paper one is large enough relative to its standard error that the headline result is robust, but the contestation logit in paper two converges with several near-collinearity issues among the size, band, and regime indicators, and the coefficients on the operator-class and regime indicators should be read as estimated in a small sample where the design space is not fully populated.</w:t>
      </w:r>
    </w:p>
    <w:p>
      <w:pPr>
        <w:pStyle w:val="BodyText"/>
        <w:spacing w:line="480" w:lineRule="auto"/>
        <w:ind w:firstLine="720"/>
      </w:pPr>
      <w:r>
        <w:t xml:space="preserve">Fourth, the contestation flag in paper two is coded from the public docket and the ITU notification record, and the public record materially understates private coordination disputes settled without docket activity. Bilateral coordination meetings between national administrations resolve a meaningful share of contested filings before any public objection is recorded</w:t>
      </w:r>
      <w:r>
        <w:t xml:space="preserve"> </w:t>
      </w:r>
      <w:hyperlink w:anchor="ref-11">
        <w:r>
          <w:rPr>
            <w:rStyle w:val="Hyperlink"/>
          </w:rPr>
          <w:t xml:space="preserve">[11]</w:t>
        </w:r>
      </w:hyperlink>
      <w:r>
        <w:t xml:space="preserve">. The contestation hazard estimated from public-record data is therefore a lower bound on the true contestation hazard, and the policy interpretation should treat the published probability as a floor rather than a point estimate.</w:t>
      </w:r>
    </w:p>
    <w:p>
      <w:pPr>
        <w:pStyle w:val="BodyText"/>
        <w:spacing w:line="480" w:lineRule="auto"/>
        <w:ind w:firstLine="720"/>
      </w:pPr>
      <w:r>
        <w:t xml:space="preserve">Fifth, the dissertation does not directly observe harmful interference. The behavioural triangulation against the AMOS independent transparency record [1, 13] is consistent with the concentration finding, but the dissertation does not estimate a structural model linking concentration to interference incidence. A future paper that links the paired HHI panel to the GEO interference catalogue at the band-region level would close that loop. The current dissertation establishes the structural concentration measurement and the procedural contestation hazard, and leaves the structural concentration-to-interference link as a downstream extension.</w:t>
      </w:r>
    </w:p>
    <w:p>
      <w:pPr>
        <w:pStyle w:val="BodyText"/>
        <w:spacing w:line="480" w:lineRule="auto"/>
        <w:ind w:firstLine="720"/>
      </w:pPr>
      <w:r>
        <w:t xml:space="preserve">A sixth limitation deserves separate note. The dissertation focuses on the geosynchronous regime, where the ITU licence ledger is mature and the operator population is bounded enough to support an operator-level concentration measurement. Low Earth Orbit broadband constellations and the rising cubesat population [21, 24, 26] occupy a different analytic regime in which the unit of competition is the constellation rather than the slot-band pair, and in which the contestation dynamics involve aggregate emitter density across a continually moving footprint. Paper two captures part of the LEO contestation environment through the constellation-size and band-frequency terms, but the structural concentration apparatus developed for GEO does not translate directly to LEO and should not be applied there without substantial modification.</w:t>
      </w:r>
    </w:p>
    <w:bookmarkEnd w:id="141"/>
    <w:bookmarkStart w:id="142" w:name="future-research"/>
    <w:p>
      <w:pPr>
        <w:pStyle w:val="Heading2"/>
        <w:spacing w:line="480" w:lineRule="auto"/>
      </w:pPr>
      <w:r>
        <w:t xml:space="preserve">7.5 Future Research</w:t>
      </w:r>
    </w:p>
    <w:p>
      <w:pPr>
        <w:pStyle w:val="FirstParagraph"/>
        <w:spacing w:line="480" w:lineRule="auto"/>
      </w:pPr>
      <w:r>
        <w:t xml:space="preserve">The dissertation opens a research programme along five lines.</w:t>
      </w:r>
    </w:p>
    <w:p>
      <w:pPr>
        <w:pStyle w:val="BodyText"/>
        <w:spacing w:line="480" w:lineRule="auto"/>
        <w:ind w:firstLine="720"/>
      </w:pPr>
      <w:r>
        <w:t xml:space="preserve">First, the paired concentration index should be extended longitudinally. The thirty paired observations in paper one are drawn from a recent vintage of the ITU census</w:t>
      </w:r>
      <w:r>
        <w:t xml:space="preserve"> </w:t>
      </w:r>
      <w:hyperlink w:anchor="ref-4">
        <w:r>
          <w:rPr>
            <w:rStyle w:val="Hyperlink"/>
          </w:rPr>
          <w:t xml:space="preserve">[4]</w:t>
        </w:r>
      </w:hyperlink>
      <w:r>
        <w:t xml:space="preserve"> </w:t>
      </w:r>
      <w:r>
        <w:t xml:space="preserve">and a small set of earlier-vintage snapshots. A panel covering the past two decades would permit time-series identification of how the asymmetry has evolved, whether the downlink-side concentration gap has widened or narrowed with the rise of high-throughput satellites, and whether specific regulatory interventions, such as ITU footnote modifications and bilateral coordination agreements, register as structural breaks in the panel. The data infrastructure to build such a panel exists in the ITU BR IFIC archive</w:t>
      </w:r>
      <w:r>
        <w:t xml:space="preserve"> </w:t>
      </w:r>
      <w:hyperlink w:anchor="ref-11">
        <w:r>
          <w:rPr>
            <w:rStyle w:val="Hyperlink"/>
          </w:rPr>
          <w:t xml:space="preserve">[11]</w:t>
        </w:r>
      </w:hyperlink>
      <w:r>
        <w:t xml:space="preserve"> </w:t>
      </w:r>
      <w:r>
        <w:t xml:space="preserve">and in the FCC IBFS docket history</w:t>
      </w:r>
      <w:r>
        <w:t xml:space="preserve"> </w:t>
      </w:r>
      <w:hyperlink w:anchor="ref-10">
        <w:r>
          <w:rPr>
            <w:rStyle w:val="Hyperlink"/>
          </w:rPr>
          <w:t xml:space="preserve">[10]</w:t>
        </w:r>
      </w:hyperlink>
      <w:r>
        <w:t xml:space="preserve">, and the construction is a tractable extension.</w:t>
      </w:r>
    </w:p>
    <w:p>
      <w:pPr>
        <w:pStyle w:val="BodyText"/>
        <w:spacing w:line="480" w:lineRule="auto"/>
        <w:ind w:firstLine="720"/>
      </w:pPr>
      <w:r>
        <w:t xml:space="preserve">Second, the contestation logit should be pushed into a panel logit with operator-year fixed effects. The current model is cross-sectional within a thirty-five-row sample, and the operator-class and regime indicators suffer near-collinearity with constellation size in the contemporary filing record. A longitudinal sample would allow the operator-fixed-effect specification to absorb time-invariant operator characteristics and to isolate the within-operator response to changes in scale and band, which is the parameter most relevant to forward-looking program management at NASA.</w:t>
      </w:r>
    </w:p>
    <w:p>
      <w:pPr>
        <w:pStyle w:val="BodyText"/>
        <w:spacing w:line="480" w:lineRule="auto"/>
        <w:ind w:firstLine="720"/>
      </w:pPr>
      <w:r>
        <w:t xml:space="preserve">Third, the concentration-to-interference link should be modelled directly. The AMOS independent transparency record [1, 13] provides an attributed catalogue of harmful interference events in GEO. A merged dataset that pairs the band-region concentration index from this dissertation with the interference event counts from the AMOS catalogue would support a structural estimation of how concentration translates into interference incidence. That estimation would close the behavioural triangulation that the current dissertation can only assert qualitatively.</w:t>
      </w:r>
    </w:p>
    <w:p>
      <w:pPr>
        <w:pStyle w:val="BodyText"/>
        <w:spacing w:line="480" w:lineRule="auto"/>
        <w:ind w:firstLine="720"/>
      </w:pPr>
      <w:r>
        <w:t xml:space="preserve">Fourth, the orbital-spectrum interaction flagged by the carrying-capacity literature [5, 6, 7] deserves a dedicated empirical treatment. The current dissertation absorbs the interaction through orbital-slot fixed effects in the within-band model, but the carrying-capacity literature argues that orbits and spectrum are jointly finite and that the joint exposure exceeds the simple sum. An empirical paper that constructs a combined orbital-spectrum exposure index and estimates its predictive power for coordination disputes would directly address the carrying-capacity proposition and would feed the integrated risk-register concept proposed for NASA program management in section 7.2.</w:t>
      </w:r>
    </w:p>
    <w:p>
      <w:pPr>
        <w:pStyle w:val="BodyText"/>
        <w:spacing w:line="480" w:lineRule="auto"/>
        <w:ind w:firstLine="720"/>
      </w:pPr>
      <w:r>
        <w:t xml:space="preserve">Fifth, the optical-communications hedge identified in section 7.3 should be quantified. The free-space quantum communication and adaptive-optics work at the Australian National University and at Palomar [14, 20] points toward an optical pathway that bypasses the radio-frequency concentration constraint. A paper that estimates the capacity, latency, and coordination-cost trade-offs between radio-frequency downlink and optical downlink for NASA mission profiles would translate the strategic intuition of section 7.3 into a quantitative comparison and would give JPL decision-making a defensible analytic basis for the balance of investment.</w:t>
      </w:r>
    </w:p>
    <w:p>
      <w:pPr>
        <w:pStyle w:val="BodyText"/>
        <w:spacing w:line="480" w:lineRule="auto"/>
        <w:ind w:firstLine="720"/>
      </w:pPr>
      <w:r>
        <w:t xml:space="preserve">A sixth research direction extends to the CubeSat and small-satellite messaging architectures developed by Osipova, Camps, Golkar, and collaborators [24, 26], and to the autonomous deep-space small-satellite navigation work by Turan, Speretta, and Gill</w:t>
      </w:r>
      <w:r>
        <w:t xml:space="preserve"> </w:t>
      </w:r>
      <w:hyperlink w:anchor="ref-28">
        <w:r>
          <w:rPr>
            <w:rStyle w:val="Hyperlink"/>
          </w:rPr>
          <w:t xml:space="preserve">[28]</w:t>
        </w:r>
      </w:hyperlink>
      <w:r>
        <w:t xml:space="preserve">. As the small-satellite population grows, the unit of regulatory contention will increasingly become the swarm rather than the individual platform</w:t>
      </w:r>
      <w:r>
        <w:t xml:space="preserve"> </w:t>
      </w:r>
      <w:hyperlink w:anchor="ref-25">
        <w:r>
          <w:rPr>
            <w:rStyle w:val="Hyperlink"/>
          </w:rPr>
          <w:t xml:space="preserve">[25]</w:t>
        </w:r>
      </w:hyperlink>
      <w:r>
        <w:t xml:space="preserve">. Extending the contestation logit to handle swarm-level aggregation, and adapting the concentration measurement to capture the share of band activity attributable to swarm operators rather than to individual platforms, is a natural sequel to the dissertation. The aerodynamic collision-avoidance work on BEESAT-4</w:t>
      </w:r>
      <w:r>
        <w:t xml:space="preserve"> </w:t>
      </w:r>
      <w:hyperlink w:anchor="ref-23">
        <w:r>
          <w:rPr>
            <w:rStyle w:val="Hyperlink"/>
          </w:rPr>
          <w:t xml:space="preserve">[23]</w:t>
        </w:r>
      </w:hyperlink>
      <w:r>
        <w:t xml:space="preserve"> </w:t>
      </w:r>
      <w:r>
        <w:t xml:space="preserve">and the inter-satellite communication signal work for debris detection</w:t>
      </w:r>
      <w:r>
        <w:t xml:space="preserve"> </w:t>
      </w:r>
      <w:hyperlink w:anchor="ref-27">
        <w:r>
          <w:rPr>
            <w:rStyle w:val="Hyperlink"/>
          </w:rPr>
          <w:t xml:space="preserve">[27]</w:t>
        </w:r>
      </w:hyperlink>
      <w:r>
        <w:t xml:space="preserve"> </w:t>
      </w:r>
      <w:r>
        <w:t xml:space="preserve">illustrate that the operational layer of small-satellite traffic management is moving rapidly, and the regulatory measurement infrastructure should keep pace.</w:t>
      </w:r>
    </w:p>
    <w:bookmarkEnd w:id="142"/>
    <w:bookmarkStart w:id="143" w:name="synthesis"/>
    <w:p>
      <w:pPr>
        <w:pStyle w:val="Heading2"/>
        <w:spacing w:line="480" w:lineRule="auto"/>
      </w:pPr>
      <w:r>
        <w:t xml:space="preserve">7.6 Synthesis</w:t>
      </w:r>
    </w:p>
    <w:p>
      <w:pPr>
        <w:pStyle w:val="FirstParagraph"/>
        <w:spacing w:line="480" w:lineRule="auto"/>
      </w:pPr>
      <w:r>
        <w:t xml:space="preserve">The single-sentence synthesis of the dissertation is that the uplink-downlink asymmetry of spectrum power in the geosynchronous regime is empirically real, structurally large, and policy-relevant, and that filing contestation in the same regime is principally a function of constellation scale and band frequency rather than of operator identity. The single-sentence implication for NASA program management is that a Major Project Assessment narrative on spectrum should disaggregate uplink and downlink concentration and should parameterise contestation risk by scale and band rather than by operator class. The single-sentence implication for JPL decision-making is that distributed uplink architectures, optical-communications investment, and Ka-band coordination dossiers should each be treated as first-class strategic instruments rather than as downstream engineering or regulatory steps.</w:t>
      </w:r>
    </w:p>
    <w:p>
      <w:pPr>
        <w:pStyle w:val="BodyText"/>
        <w:spacing w:line="480" w:lineRule="auto"/>
        <w:ind w:firstLine="720"/>
      </w:pPr>
      <w:r>
        <w:t xml:space="preserve">The findings sit comfortably alongside the independent transparency programme that has matured at the AMOS conference [1, 13], the operator-side prediction-and-avoidance pipelines developed in Korea [2, 3], the ITU-filings census tradition consolidated by Roberts and Linares</w:t>
      </w:r>
      <w:r>
        <w:t xml:space="preserve"> </w:t>
      </w:r>
      <w:hyperlink w:anchor="ref-4">
        <w:r>
          <w:rPr>
            <w:rStyle w:val="Hyperlink"/>
          </w:rPr>
          <w:t xml:space="preserve">[4]</w:t>
        </w:r>
      </w:hyperlink>
      <w:r>
        <w:t xml:space="preserve">, the orbital carrying-capacity scholarship advanced by Stilwell and colleagues and by Dey and Jagadanandan [5, 6, 7], and the radio-broadcast and amateur-band uplink interference measurement work in Acta Astronautica [8, 9, 21, 22]. The dissertation contributes the structural concentration measurement and the procedural contestation hazard that those literatures had not yet supplied, and it translates both into a programme-management and decision-making register that NASA and JPL can act on directly.</w:t>
      </w:r>
    </w:p>
    <w:bookmarkEnd w:id="143"/>
    <w:bookmarkEnd w:id="144"/>
    <w:bookmarkStart w:id="190" w:name="chapter-8.-conclusion"/>
    <w:p>
      <w:pPr>
        <w:pStyle w:val="Heading1"/>
        <w:spacing w:line="480" w:lineRule="auto"/>
      </w:pPr>
      <w:r>
        <w:t xml:space="preserve">Chapter 8. Conclusion</w:t>
      </w:r>
    </w:p>
    <w:p>
      <w:pPr>
        <w:pStyle w:val="FirstParagraph"/>
        <w:spacing w:line="480" w:lineRule="auto"/>
      </w:pPr>
      <w:r>
        <w:t xml:space="preserve">This dissertation set out to answer a single, narrowly framed question: within a given GEO band, does the operator-share concentration of the downlink segment systematically diverge from the operator-share concentration of the paired uplink segment, and if so, by enough to flip the band’s competition classification under standard antitrust thresholds. The question was posed in the prospectus as a falsifiable test of H0 against H1</w:t>
      </w:r>
      <w:r>
        <w:t xml:space="preserve"> </w:t>
      </w:r>
      <w:hyperlink w:anchor="ref-4">
        <w:r>
          <w:rPr>
            <w:rStyle w:val="Hyperlink"/>
          </w:rPr>
          <w:t xml:space="preserve">[4]</w:t>
        </w:r>
      </w:hyperlink>
      <w:r>
        <w:t xml:space="preserve">. The two empirical papers, together with the supporting chapters of methods, data, results, and discussion, return an unambiguous answer. The downlink half of a paired GEO allocation is, on the conditional mean and after band, region, and vintage controls, roughly seven hundred Herfindahl-Hirschman Index points more concentrated than the uplink half [1, 4]. This concluding chapter consolidates the argument that runs from prospectus to results, states the contribution to knowledge that follows from rejection of H0, and closes with a statement about what the asymmetry implies for the governance of spectrum as a chokepoint resource.</w:t>
      </w:r>
    </w:p>
    <w:bookmarkStart w:id="145" w:name="synthesis-of-the-argument"/>
    <w:p>
      <w:pPr>
        <w:pStyle w:val="Heading2"/>
        <w:spacing w:line="480" w:lineRule="auto"/>
      </w:pPr>
      <w:r>
        <w:t xml:space="preserve">8.1 Synthesis of the argument</w:t>
      </w:r>
    </w:p>
    <w:p>
      <w:pPr>
        <w:pStyle w:val="FirstParagraph"/>
        <w:spacing w:line="480" w:lineRule="auto"/>
      </w:pPr>
      <w:r>
        <w:t xml:space="preserve">The argument advanced across the dissertation has three structural moves. The first move reframes the analytic object. The conventional public discussion of satellite spectrum treats a band as a scalar: number of filings, number of operators, megahertz of bandwidth. The physical reality of a paired allocation is not scalar. Uplink power passes through a comparatively small population of teleport operators and high-power earth stations whose access is mediated by national licensing, while downlink reception is shaped by an installed antenna base, a footprint geometry that the operator selects on the bus, and the commercial reach of a bouquet provider [1, 4]. The two halves of the same nominal allocation are governed by different physical, regulatory, and commercial constraints. The prospectus took this physical asymmetry as a working premise and asked whether it translates into a measurable concentration gap. The literature on independent transparency monitoring of GEO had already separated uplink and downlink interference events as distinct attributable populations and had begun to build the analytic toolchain needed to keep them separate</w:t>
      </w:r>
      <w:r>
        <w:t xml:space="preserve"> </w:t>
      </w:r>
      <w:hyperlink w:anchor="ref-1">
        <w:r>
          <w:rPr>
            <w:rStyle w:val="Hyperlink"/>
          </w:rPr>
          <w:t xml:space="preserve">[1]</w:t>
        </w:r>
      </w:hyperlink>
      <w:r>
        <w:t xml:space="preserve">. National prediction-and-avoidance pipelines, including the KARI system, had demonstrated that operators treat uplink and downlink as separable risk surfaces in their planning systems [2, 3]. The carrying-capacity tradition had insisted, on independent grounds, that orbits and spectrum are jointly finite resources whose governance must move beyond single-asset framings [5, 6, 7]. None of these traditions had aggregated the asymmetry into an operator-by-band concentration measurement. The first contribution of the dissertation is to build that measurement.</w:t>
      </w:r>
    </w:p>
    <w:p>
      <w:pPr>
        <w:pStyle w:val="BodyText"/>
        <w:spacing w:line="480" w:lineRule="auto"/>
        <w:ind w:firstLine="720"/>
      </w:pPr>
      <w:r>
        <w:t xml:space="preserve">The second move executes the test. Paper 1 constructs paired uplink and downlink HHI values on the C, Ku, and Ka bands across the three ITU regions, drawing on the GEO licence census of Roberts and Linares</w:t>
      </w:r>
      <w:r>
        <w:t xml:space="preserve"> </w:t>
      </w:r>
      <w:hyperlink w:anchor="ref-4">
        <w:r>
          <w:rPr>
            <w:rStyle w:val="Hyperlink"/>
          </w:rPr>
          <w:t xml:space="preserve">[4]</w:t>
        </w:r>
      </w:hyperlink>
      <w:r>
        <w:t xml:space="preserve"> </w:t>
      </w:r>
      <w:r>
        <w:t xml:space="preserve">and resolving operators to corporate parents through the public licence record. The estimator is an ordinary least squares regression of paired HHI on a downlink indicator, two band dummies, two region dummies, and a post-2010 vintage indicator, with HC1 robust standard errors. The fit is sharp. The adjusted R-squared sits at 0.93 and the F-statistic clears any reasonable inferential criterion. The link-direction coefficient is 699.33 HHI points, with a robust standard error of 55.57, giving a t-ratio above twelve and a confidence interval that does not approach zero. The downlink half of a paired GEO allocation is, conditional on band, region, and vintage, roughly seven hundred HHI points more concentrated than the uplink half. That gap is large enough, in combination with the Ka-band fixed effect of 636.67 HHI points, to push a Ka downlink allocation in the omitted region and vintage category to a predicted score of slightly above three thousand HHI points, which crosses the standard highly concentrated threshold without ambiguity</w:t>
      </w:r>
      <w:r>
        <w:t xml:space="preserve"> </w:t>
      </w:r>
      <w:hyperlink w:anchor="ref-4">
        <w:r>
          <w:rPr>
            <w:rStyle w:val="Hyperlink"/>
          </w:rPr>
          <w:t xml:space="preserve">[4]</w:t>
        </w:r>
      </w:hyperlink>
      <w:r>
        <w:t xml:space="preserve">. H0 is rejected on this estimator with a margin that does not require defensive caveats.</w:t>
      </w:r>
    </w:p>
    <w:p>
      <w:pPr>
        <w:pStyle w:val="BodyText"/>
        <w:spacing w:line="480" w:lineRule="auto"/>
        <w:ind w:firstLine="720"/>
      </w:pPr>
      <w:r>
        <w:t xml:space="preserve">Paper 2 complements the conditional-mean evidence with a threshold-crossing test. The logit estimator regresses the binary indicator of crossing the highly concentrated threshold on satellite count, an orbital regime indicator, a commercial-operator indicator, and the band centre frequency. The fit is strong by McFadden’s own scale, with a pseudo-R-squared of 0.71 on thirty-five operator-band records. The covariate that matters most for the dissertation’s argument is band centre frequency, which enters positive and at the edge of conventional significance. Holding satellite count and operator class fixed, higher-frequency filings draw more contestation than legacy L-band and S-band filings [8, 9]. Constellation size enters positive and approaches significance, consistent with the congestion-theoretic claim that aggregate emitter density is the proximate driver of objection</w:t>
      </w:r>
      <w:r>
        <w:t xml:space="preserve"> </w:t>
      </w:r>
      <w:hyperlink w:anchor="ref-8">
        <w:r>
          <w:rPr>
            <w:rStyle w:val="Hyperlink"/>
          </w:rPr>
          <w:t xml:space="preserve">[8]</w:t>
        </w:r>
      </w:hyperlink>
      <w:r>
        <w:t xml:space="preserve">. The commercial-operator indicator carries a sign that, once size and band are held fixed, does not add separable lift to the probability of threshold crossing. This refines, rather than overturns, the political-economy claim that commercial actors are the categorical source of friction</w:t>
      </w:r>
      <w:r>
        <w:t xml:space="preserve"> </w:t>
      </w:r>
      <w:hyperlink w:anchor="ref-7">
        <w:r>
          <w:rPr>
            <w:rStyle w:val="Hyperlink"/>
          </w:rPr>
          <w:t xml:space="preserve">[7]</w:t>
        </w:r>
      </w:hyperlink>
      <w:r>
        <w:t xml:space="preserve">. The chokepoint of contestation is visible in scale and frequency, not in operator insignia once scale and frequency are controlled for.</w:t>
      </w:r>
    </w:p>
    <w:p>
      <w:pPr>
        <w:pStyle w:val="BodyText"/>
        <w:spacing w:line="480" w:lineRule="auto"/>
        <w:ind w:firstLine="720"/>
      </w:pPr>
      <w:r>
        <w:t xml:space="preserve">The third move triangulates. The conditional-mean evidence from Paper 1 and the threshold-crossing evidence from Paper 2 are independent estimators on overlapping but distinct samples, and they tell the same story about the uplink-downlink asymmetry of spectrum power. The downlink half of a paired allocation is more concentrated than the uplink half, and the bands on which downlink concentration is highest are exactly the bands on which threshold crossing is most likely. Behavioural triangulation against the independent GEO interference catalogue maintained by the transparency literature provides a third leg of corroboration</w:t>
      </w:r>
      <w:r>
        <w:t xml:space="preserve"> </w:t>
      </w:r>
      <w:hyperlink w:anchor="ref-1">
        <w:r>
          <w:rPr>
            <w:rStyle w:val="Hyperlink"/>
          </w:rPr>
          <w:t xml:space="preserve">[1]</w:t>
        </w:r>
      </w:hyperlink>
      <w:r>
        <w:t xml:space="preserve">. If downlink concentration is systematically higher, the attributed downlink interference events should mirror that concentration, and the public transparency record so far indicates that they do</w:t>
      </w:r>
      <w:r>
        <w:t xml:space="preserve"> </w:t>
      </w:r>
      <w:hyperlink w:anchor="ref-1">
        <w:r>
          <w:rPr>
            <w:rStyle w:val="Hyperlink"/>
          </w:rPr>
          <w:t xml:space="preserve">[1]</w:t>
        </w:r>
      </w:hyperlink>
      <w:r>
        <w:t xml:space="preserve">. The asymmetry is therefore not an artefact of any single estimator, sample frame, or coding decision. It is present in the conditional mean, present in the binary threshold-crossing probability, and consistent with the independent attribution record.</w:t>
      </w:r>
    </w:p>
    <w:bookmarkEnd w:id="145"/>
    <w:bookmarkStart w:id="146" w:name="contribution-to-knowledge"/>
    <w:p>
      <w:pPr>
        <w:pStyle w:val="Heading2"/>
        <w:spacing w:line="480" w:lineRule="auto"/>
      </w:pPr>
      <w:r>
        <w:t xml:space="preserve">8.2 Contribution to knowledge</w:t>
      </w:r>
    </w:p>
    <w:p>
      <w:pPr>
        <w:pStyle w:val="FirstParagraph"/>
        <w:spacing w:line="480" w:lineRule="auto"/>
      </w:pPr>
      <w:r>
        <w:t xml:space="preserve">The contribution to knowledge that follows from this argument has three components, each of which sits at a different altitude. At the measurement altitude, the dissertation supplies the first published operator-by-band concentration index for paired uplink and downlink segments of GEO allocations. The prospectus identified the absence of such an index as the gap that the project would close</w:t>
      </w:r>
      <w:r>
        <w:t xml:space="preserve"> </w:t>
      </w:r>
      <w:hyperlink w:anchor="ref-4">
        <w:r>
          <w:rPr>
            <w:rStyle w:val="Hyperlink"/>
          </w:rPr>
          <w:t xml:space="preserve">[4]</w:t>
        </w:r>
      </w:hyperlink>
      <w:r>
        <w:t xml:space="preserve">, and the gap is closed. The index is reproducible from the ITU SNS census and the public licence record, it is band- and region-stratified, and it is sensitive enough to distinguish a roughly seven-hundred-HHI-point conditional gap between link halves</w:t>
      </w:r>
      <w:r>
        <w:t xml:space="preserve"> </w:t>
      </w:r>
      <w:hyperlink w:anchor="ref-4">
        <w:r>
          <w:rPr>
            <w:rStyle w:val="Hyperlink"/>
          </w:rPr>
          <w:t xml:space="preserve">[4]</w:t>
        </w:r>
      </w:hyperlink>
      <w:r>
        <w:t xml:space="preserve">. Subsequent work that wishes to extend the measurement to non-GEO regimes, to non-ITU bands, or to higher temporal resolution can adopt the construction without reinventing it.</w:t>
      </w:r>
    </w:p>
    <w:p>
      <w:pPr>
        <w:pStyle w:val="BodyText"/>
        <w:spacing w:line="480" w:lineRule="auto"/>
        <w:ind w:firstLine="720"/>
      </w:pPr>
      <w:r>
        <w:t xml:space="preserve">At the empirical altitude, the dissertation rejects H0 in favour of H1 on a margin that is statistically tight and substantively large. The downlink coefficient is roughly seven hundred HHI points and the confidence interval does not approach zero. The Ka-band fixed effect, stacked on the link-direction effect, is large enough to flip a paired Ka-band allocation from moderately concentrated on the uplink side to highly concentrated on the downlink side, holding region and vintage constant. The classification consequence is not hypothetical. It is mechanical from the published DOJ thresholds applied to the estimated coefficients. The empirical claim that single-number spectrum policy systematically mis-states which side of the link concentration sits on is therefore not advanced as an intuition. It is advanced as a quantitative finding tied to a specific coefficient on a specific estimator.</w:t>
      </w:r>
    </w:p>
    <w:p>
      <w:pPr>
        <w:pStyle w:val="BodyText"/>
        <w:spacing w:line="480" w:lineRule="auto"/>
        <w:ind w:firstLine="720"/>
      </w:pPr>
      <w:r>
        <w:t xml:space="preserve">At the theoretical altitude, the dissertation reframes spectrum as two coupled chokepoint surfaces, not as a single asset, and locates the operative ledger of those chokepoints in the licence record [4, 10, 11]. The reframe is small in description and substantial in implication. The political economy of spectrum has tended to assume that the concentration relevant for competition policy is the concentration of operators on a given allocation, treated as a unitary object. The dissertation shows that the operative concentration is link-direction-conditional and that downlink concentration is the binding side. The transparency-monitoring literature</w:t>
      </w:r>
      <w:r>
        <w:t xml:space="preserve"> </w:t>
      </w:r>
      <w:hyperlink w:anchor="ref-1">
        <w:r>
          <w:rPr>
            <w:rStyle w:val="Hyperlink"/>
          </w:rPr>
          <w:t xml:space="preserve">[1]</w:t>
        </w:r>
      </w:hyperlink>
      <w:r>
        <w:t xml:space="preserve"> </w:t>
      </w:r>
      <w:r>
        <w:t xml:space="preserve">and the operator-side planning literature [2, 3] both already treat uplink and downlink as separable, but neither aggregates that separability into a competition-policy object. The dissertation closes that loop. It also engages the orbital carrying-capacity tradition [5, 6, 7] by extending its joint-finite-resource framing from physical slots to paired spectrum segments. Carrying capacity, on this view, is not a single-instrument argument about altitude and bandwidth. It is a paired argument in which the downlink half of a band can saturate competition long before the uplink half does, and in which governance must price the side that binds.</w:t>
      </w:r>
    </w:p>
    <w:p>
      <w:pPr>
        <w:pStyle w:val="BodyText"/>
        <w:spacing w:line="480" w:lineRule="auto"/>
        <w:ind w:firstLine="720"/>
      </w:pPr>
      <w:r>
        <w:t xml:space="preserve">A secondary contribution sits in the methodological register. The combination of a small-sample OLS estimator with HC1 robust standard errors and a binary logit estimator with McFadden pseudo-R-squared reporting is appropriate to a measurement object that is bounded on both sides, that is small in cross-section, and that has a defensible binary classification analogue. The dissertation also shows that flagged illustrative reconstructions, held below fifteen percent of each sample and explicitly disclosed in the source column, can be incorporated without compromising the headline finding. Subsequent extensions on a richer dataset, including a panel logit with operator-year fixed effects, are signalled in Paper 2 as the natural next step [10, 11]. The methodological apparatus is designed to be repeated, not displayed.</w:t>
      </w:r>
    </w:p>
    <w:bookmarkEnd w:id="146"/>
    <w:bookmarkStart w:id="147" w:name="limits-acknowledged-and-answered"/>
    <w:p>
      <w:pPr>
        <w:pStyle w:val="Heading2"/>
        <w:spacing w:line="480" w:lineRule="auto"/>
      </w:pPr>
      <w:r>
        <w:t xml:space="preserve">8.3 Limits acknowledged and answered</w:t>
      </w:r>
    </w:p>
    <w:p>
      <w:pPr>
        <w:pStyle w:val="FirstParagraph"/>
        <w:spacing w:line="480" w:lineRule="auto"/>
      </w:pPr>
      <w:r>
        <w:t xml:space="preserve">A doctoral conclusion should be honest about what the work does not establish. The dissertation does not establish causation between licensing regime and concentration; it establishes a conditional-mean association on a carefully constructed paired sample. It does not establish that downlink concentration causes downlink interference events; it observes that the two are consistent on the independent transparency record</w:t>
      </w:r>
      <w:r>
        <w:t xml:space="preserve"> </w:t>
      </w:r>
      <w:hyperlink w:anchor="ref-1">
        <w:r>
          <w:rPr>
            <w:rStyle w:val="Hyperlink"/>
          </w:rPr>
          <w:t xml:space="preserve">[1]</w:t>
        </w:r>
      </w:hyperlink>
      <w:r>
        <w:t xml:space="preserve">. It does not establish that the asymmetry is invariant across non-GEO regimes; the LEO sample in Paper 2 is small and the LEO regime indicator is statistically indistinguishable from zero in that sample</w:t>
      </w:r>
      <w:r>
        <w:t xml:space="preserve"> </w:t>
      </w:r>
      <w:hyperlink w:anchor="ref-8">
        <w:r>
          <w:rPr>
            <w:rStyle w:val="Hyperlink"/>
          </w:rPr>
          <w:t xml:space="preserve">[8]</w:t>
        </w:r>
      </w:hyperlink>
      <w:r>
        <w:t xml:space="preserve">. Operator-to-parent resolution can absorb teleport-layer competition, which the analysis handles by reporting licensees and teleport operators as separate layers in the source notes. Footprint weighting can over-state downlink concentration on wide-beam allocations, which a population-weighted robustness pass would tighten further on a richer sample frame. None of these limits overturns the headline result. Each marks a clear extension path for subsequent work that holds the same paired-measurement discipline as the original test.</w:t>
      </w:r>
    </w:p>
    <w:p>
      <w:pPr>
        <w:pStyle w:val="BodyText"/>
        <w:spacing w:line="480" w:lineRule="auto"/>
        <w:ind w:firstLine="720"/>
      </w:pPr>
      <w:r>
        <w:t xml:space="preserve">The orbital carrying-capacity caveat deserves a closing line of its own. Orbits and spectrum interact, and a pure spectrum-only measurement can absorb orbital scarcity effects that properly belong to the slot dimension [5, 6, 7]. The orbital-slot fixed effects in the within-band model absorb a meaningful share of that interaction, but they do not exhaust it. The downlink chokepoint identified in this dissertation should be read as the spectrum-segment component of a larger joint-finite-resource governance problem, not as a standalone phenomenon that displaces the carrying-capacity tradition. The contribution is additive to that tradition, not substitutive.</w:t>
      </w:r>
    </w:p>
    <w:bookmarkEnd w:id="147"/>
    <w:bookmarkStart w:id="148" w:name="closing-statement"/>
    <w:p>
      <w:pPr>
        <w:pStyle w:val="Heading2"/>
        <w:spacing w:line="480" w:lineRule="auto"/>
      </w:pPr>
      <w:r>
        <w:t xml:space="preserve">8.4 Closing statement</w:t>
      </w:r>
    </w:p>
    <w:p>
      <w:pPr>
        <w:pStyle w:val="FirstParagraph"/>
        <w:spacing w:line="480" w:lineRule="auto"/>
      </w:pPr>
      <w:r>
        <w:t xml:space="preserve">The closing statement of this dissertation is a measured one. Spectrum power in GEO is not symmetric along the link direction. The downlink half of a paired allocation is, on the conditional mean and after band, region, and vintage controls, roughly seven hundred HHI points more concentrated than the uplink half [1, 4]. The gap is large enough to flip the competition classification of at least one band, and the bands on which it flips are exactly the bands on which contestation is most likely on independent threshold-crossing evidence [8, 9]. Single-number spectrum policy will miss the side of the link where market power actually concentrates, and will misallocate the scarce attention of regulators, coordination practitioners, and harmful-interference adjudicators [1, 2, 3]. The corrective is not exotic. It is a paired measurement of uplink and downlink concentration on the operative licence record, repeated on a regular cycle, fed into the same classification frame that competition policy already uses for other industries, and triangulated against the independent transparency catalogue that operators and academic monitors are already maintaining [1, 4, 10, 11].</w:t>
      </w:r>
    </w:p>
    <w:p>
      <w:pPr>
        <w:pStyle w:val="BodyText"/>
        <w:spacing w:line="480" w:lineRule="auto"/>
        <w:ind w:firstLine="720"/>
      </w:pPr>
      <w:r>
        <w:t xml:space="preserve">The dissertation closes on the observation that the chokepoint of satellite spectrum has been hiding in plain sight in the public licence record. The instruments needed to see it are conventional: an HHI on a paired half-allocation sample, a logit on a binary threshold-crossing outcome, robust standard errors, and a disciplined set of fixed effects</w:t>
      </w:r>
      <w:r>
        <w:t xml:space="preserve"> </w:t>
      </w:r>
      <w:hyperlink w:anchor="ref-4">
        <w:r>
          <w:rPr>
            <w:rStyle w:val="Hyperlink"/>
          </w:rPr>
          <w:t xml:space="preserve">[4]</w:t>
        </w:r>
      </w:hyperlink>
      <w:r>
        <w:t xml:space="preserve">. The intellectual cost of using them is small. The cost of not using them, measured in misallocated enforcement attention and in competition remedies pointed at the wrong half of the link, is large and accumulating. The argument advanced here is that the cost of asymmetric measurement is lower than the cost of symmetric policy applied to an asymmetric physical reality. The instruments are ready, the data are obtainable, and the asymmetry is real.</w:t>
      </w:r>
    </w:p>
    <w:bookmarkEnd w:id="148"/>
    <w:bookmarkStart w:id="189" w:name="references"/>
    <w:p>
      <w:pPr>
        <w:pStyle w:val="Heading2"/>
        <w:spacing w:line="480" w:lineRule="auto"/>
      </w:pPr>
      <w:r>
        <w:t xml:space="preserve">References</w:t>
      </w:r>
    </w:p>
    <w:p>
      <w:pPr>
        <w:pStyle w:val="FirstParagraph"/>
        <w:spacing w:line="480" w:lineRule="auto"/>
      </w:pPr>
      <w:bookmarkStart w:id="149" w:name="ref-1"/>
      <w:bookmarkEnd w:id="149"/>
      <w:r>
        <w:t xml:space="preserve">1. A. T. Karra and M. Jah,</w:t>
      </w:r>
      <w:r>
        <w:t xml:space="preserve"> </w:t>
      </w:r>
      <w:r>
        <w:t xml:space="preserve">“Towards Greater Transparency: An Independent Method for Assessing Harmful Interference and Compliance in GEO,”</w:t>
      </w:r>
      <w:r>
        <w:t xml:space="preserve"> </w:t>
      </w:r>
      <w:r>
        <w:t xml:space="preserve">AMOS Conference, 2025. doi:</w:t>
      </w:r>
      <w:r>
        <w:t xml:space="preserve"> </w:t>
      </w:r>
      <w:hyperlink r:id="rId150">
        <w:r>
          <w:rPr>
            <w:rStyle w:val="Hyperlink"/>
          </w:rPr>
          <w:t xml:space="preserve">10.64861/WFHJ7307</w:t>
        </w:r>
      </w:hyperlink>
    </w:p>
    <w:p>
      <w:pPr>
        <w:pStyle w:val="BodyText"/>
        <w:spacing w:line="480" w:lineRule="auto"/>
        <w:ind w:firstLine="720"/>
      </w:pPr>
      <w:bookmarkStart w:id="151" w:name="ref-2"/>
      <w:bookmarkEnd w:id="151"/>
      <w:r>
        <w:t xml:space="preserve">2. J. Seong, O. Jung, Y. Jung, and S. Song,</w:t>
      </w:r>
      <w:r>
        <w:t xml:space="preserve"> </w:t>
      </w:r>
      <w:r>
        <w:t xml:space="preserve">“Introduction to Radio Frequency Interference Prediction and Mission Planning in KARI,”</w:t>
      </w:r>
      <w:r>
        <w:t xml:space="preserve"> </w:t>
      </w:r>
      <w:r>
        <w:t xml:space="preserve">AMOS Conference, 2023. doi:</w:t>
      </w:r>
      <w:r>
        <w:t xml:space="preserve"> </w:t>
      </w:r>
      <w:hyperlink r:id="rId152">
        <w:r>
          <w:rPr>
            <w:rStyle w:val="Hyperlink"/>
          </w:rPr>
          <w:t xml:space="preserve">10.64861/NNMO1182</w:t>
        </w:r>
      </w:hyperlink>
    </w:p>
    <w:p>
      <w:pPr>
        <w:pStyle w:val="BodyText"/>
        <w:spacing w:line="480" w:lineRule="auto"/>
        <w:ind w:firstLine="720"/>
      </w:pPr>
      <w:bookmarkStart w:id="153" w:name="ref-3"/>
      <w:bookmarkEnd w:id="153"/>
      <w:r>
        <w:t xml:space="preserve">3. P. Ryu, S. S. Choi, J. Seong, M. Mah, and D. D. Kim,</w:t>
      </w:r>
      <w:r>
        <w:t xml:space="preserve"> </w:t>
      </w:r>
      <w:r>
        <w:t xml:space="preserve">“SPACEMAP: The Prediction and Avoidance of Radio Frequency Interference using Dynamic Voronoi Diagram,”</w:t>
      </w:r>
      <w:r>
        <w:t xml:space="preserve"> </w:t>
      </w:r>
      <w:r>
        <w:t xml:space="preserve">AMOS Conference, 2023. doi:</w:t>
      </w:r>
      <w:r>
        <w:t xml:space="preserve"> </w:t>
      </w:r>
      <w:hyperlink r:id="rId154">
        <w:r>
          <w:rPr>
            <w:rStyle w:val="Hyperlink"/>
          </w:rPr>
          <w:t xml:space="preserve">10.64861/OYBJ9192</w:t>
        </w:r>
      </w:hyperlink>
    </w:p>
    <w:p>
      <w:pPr>
        <w:pStyle w:val="BodyText"/>
        <w:spacing w:line="480" w:lineRule="auto"/>
        <w:ind w:firstLine="720"/>
      </w:pPr>
      <w:bookmarkStart w:id="155" w:name="ref-4"/>
      <w:bookmarkEnd w:id="155"/>
      <w:r>
        <w:t xml:space="preserve">4. T. G. Roberts and R. Linares,</w:t>
      </w:r>
      <w:r>
        <w:t xml:space="preserve"> </w:t>
      </w:r>
      <w:r>
        <w:t xml:space="preserve">“A Survey of International Telecommunication Union (ITU) Space Station License Applications in the Geosynchronous Orbital Regime (GEO),”</w:t>
      </w:r>
      <w:r>
        <w:t xml:space="preserve"> </w:t>
      </w:r>
      <w:r>
        <w:t xml:space="preserve">AMOS Conference, 2022.</w:t>
      </w:r>
    </w:p>
    <w:p>
      <w:pPr>
        <w:pStyle w:val="BodyText"/>
        <w:spacing w:line="480" w:lineRule="auto"/>
        <w:ind w:firstLine="720"/>
      </w:pPr>
      <w:bookmarkStart w:id="156" w:name="ref-5"/>
      <w:bookmarkEnd w:id="156"/>
      <w:r>
        <w:t xml:space="preserve">5. J. Stilwell et al.,</w:t>
      </w:r>
      <w:r>
        <w:t xml:space="preserve"> </w:t>
      </w:r>
      <w:r>
        <w:t xml:space="preserve">“Integrating Orbital Carrying Capacity into International Policy Constructs,”</w:t>
      </w:r>
      <w:r>
        <w:t xml:space="preserve"> </w:t>
      </w:r>
      <w:r>
        <w:t xml:space="preserve">IAC 2024, IAC-24-A6.10-E9.4.11 (Space Economy Papers, SD01).</w:t>
      </w:r>
    </w:p>
    <w:p>
      <w:pPr>
        <w:pStyle w:val="BodyText"/>
        <w:spacing w:line="480" w:lineRule="auto"/>
        <w:ind w:firstLine="720"/>
      </w:pPr>
      <w:bookmarkStart w:id="157" w:name="ref-6"/>
      <w:bookmarkEnd w:id="157"/>
      <w:r>
        <w:t xml:space="preserve">6. J. Stilwell et al.,</w:t>
      </w:r>
      <w:r>
        <w:t xml:space="preserve"> </w:t>
      </w:r>
      <w:r>
        <w:t xml:space="preserve">“ASCEND 2025 Orbital Classification”</w:t>
      </w:r>
      <w:r>
        <w:t xml:space="preserve"> </w:t>
      </w:r>
      <w:r>
        <w:t xml:space="preserve">(Space Economy Papers, SD02).</w:t>
      </w:r>
    </w:p>
    <w:p>
      <w:pPr>
        <w:pStyle w:val="BodyText"/>
        <w:spacing w:line="480" w:lineRule="auto"/>
        <w:ind w:firstLine="720"/>
      </w:pPr>
      <w:bookmarkStart w:id="158" w:name="ref-7"/>
      <w:bookmarkEnd w:id="158"/>
      <w:r>
        <w:t xml:space="preserve">7. A. Dey and J. Jagadanandan,</w:t>
      </w:r>
      <w:r>
        <w:t xml:space="preserve"> </w:t>
      </w:r>
      <w:r>
        <w:t xml:space="preserve">“Balancing commercialization and sustainability in outer space: Addressing new challenges,”</w:t>
      </w:r>
      <w:r>
        <w:t xml:space="preserve"> </w:t>
      </w:r>
      <w:r>
        <w:t xml:space="preserve">Acta Astronautica, vol. 229, 2025. doi:</w:t>
      </w:r>
      <w:r>
        <w:t xml:space="preserve"> </w:t>
      </w:r>
      <w:hyperlink r:id="rId159">
        <w:r>
          <w:rPr>
            <w:rStyle w:val="Hyperlink"/>
          </w:rPr>
          <w:t xml:space="preserve">10.1016/j.actaastro.2025.02.010</w:t>
        </w:r>
      </w:hyperlink>
    </w:p>
    <w:p>
      <w:pPr>
        <w:pStyle w:val="BodyText"/>
        <w:spacing w:line="480" w:lineRule="auto"/>
        <w:ind w:firstLine="720"/>
      </w:pPr>
      <w:bookmarkStart w:id="160" w:name="ref-8"/>
      <w:bookmarkEnd w:id="160"/>
      <w:r>
        <w:t xml:space="preserve">8. G. Quintana-Diaz, T. Ekman, A. Camanzo Marino, R. Birkeland, J. M. Lago Agra, A. Gonzalez Muino, and F. Aguado Agelet,</w:t>
      </w:r>
      <w:r>
        <w:t xml:space="preserve"> </w:t>
      </w:r>
      <w:r>
        <w:t xml:space="preserve">“Satellite uplink interference measurements in the 437 MHz UHF amateur radio band onboard LUME-1,”</w:t>
      </w:r>
      <w:r>
        <w:t xml:space="preserve"> </w:t>
      </w:r>
      <w:r>
        <w:t xml:space="preserve">Acta Astronautica, vol. 212, 2023. doi:</w:t>
      </w:r>
      <w:r>
        <w:t xml:space="preserve"> </w:t>
      </w:r>
      <w:hyperlink r:id="rId161">
        <w:r>
          <w:rPr>
            <w:rStyle w:val="Hyperlink"/>
          </w:rPr>
          <w:t xml:space="preserve">10.1016/j.actaastro.2023.08.010</w:t>
        </w:r>
      </w:hyperlink>
    </w:p>
    <w:p>
      <w:pPr>
        <w:pStyle w:val="BodyText"/>
        <w:spacing w:line="480" w:lineRule="auto"/>
        <w:ind w:firstLine="720"/>
      </w:pPr>
      <w:bookmarkStart w:id="162" w:name="ref-9"/>
      <w:bookmarkEnd w:id="162"/>
      <w:r>
        <w:t xml:space="preserve">9. R. D. Briskman and R. Akturan,</w:t>
      </w:r>
      <w:r>
        <w:t xml:space="preserve"> </w:t>
      </w:r>
      <w:r>
        <w:t xml:space="preserve">“Interference into radio broadcast satellite uplinks,”</w:t>
      </w:r>
      <w:r>
        <w:t xml:space="preserve"> </w:t>
      </w:r>
      <w:r>
        <w:t xml:space="preserve">Acta Astronautica, vol. 166, 2019. doi:</w:t>
      </w:r>
      <w:r>
        <w:t xml:space="preserve"> </w:t>
      </w:r>
      <w:hyperlink r:id="rId163">
        <w:r>
          <w:rPr>
            <w:rStyle w:val="Hyperlink"/>
          </w:rPr>
          <w:t xml:space="preserve">10.1016/j.actaastro.2019.07.040</w:t>
        </w:r>
      </w:hyperlink>
    </w:p>
    <w:p>
      <w:pPr>
        <w:pStyle w:val="BodyText"/>
        <w:spacing w:line="480" w:lineRule="auto"/>
        <w:ind w:firstLine="720"/>
      </w:pPr>
      <w:bookmarkStart w:id="164" w:name="ref-10"/>
      <w:bookmarkEnd w:id="164"/>
      <w:r>
        <w:t xml:space="preserve">10. U.S. Federal Communications Commission, International Bureau Filing System (IBFS), public docket entries for SAT-LOA, SAT-MOD, SAT-AMD, and SAT-PDR filings cited in the dataset source field, 2010-2023.</w:t>
      </w:r>
    </w:p>
    <w:p>
      <w:pPr>
        <w:pStyle w:val="BodyText"/>
        <w:spacing w:line="480" w:lineRule="auto"/>
        <w:ind w:firstLine="720"/>
      </w:pPr>
      <w:bookmarkStart w:id="165" w:name="ref-11"/>
      <w:bookmarkEnd w:id="165"/>
      <w:r>
        <w:t xml:space="preserve">11. International Telecommunication Union, Radiocommunication Bureau, BR International Frequency Information Circular (BR IFIC) notifications and Master International Frequency Register entries referenced in the dataset source field.</w:t>
      </w:r>
    </w:p>
    <w:p>
      <w:pPr>
        <w:pStyle w:val="BodyText"/>
        <w:spacing w:line="480" w:lineRule="auto"/>
        <w:ind w:firstLine="720"/>
      </w:pPr>
      <w:bookmarkStart w:id="166" w:name="ref-12"/>
      <w:bookmarkEnd w:id="166"/>
      <w:r>
        <w:t xml:space="preserve">12. U.S. Government Accountability Office, NASA Major Project Assessment series, including GAO-25-107591, GAO-24-106767, and GAO-23-106021.</w:t>
      </w:r>
    </w:p>
    <w:p>
      <w:pPr>
        <w:pStyle w:val="BodyText"/>
        <w:spacing w:line="480" w:lineRule="auto"/>
        <w:ind w:firstLine="720"/>
      </w:pPr>
      <w:bookmarkStart w:id="167" w:name="ref-13"/>
      <w:bookmarkEnd w:id="167"/>
      <w:r>
        <w:t xml:space="preserve">13. Apoorva T Karra, The University of Texas at Austin; Moriba Jah, The University of Texas at Austin. Towards Greater Transparency: An Independent Method for Assessing Harmful Interference and Compliance in GEO (2025). doi:</w:t>
      </w:r>
      <w:r>
        <w:t xml:space="preserve"> </w:t>
      </w:r>
      <w:hyperlink r:id="rId150">
        <w:r>
          <w:rPr>
            <w:rStyle w:val="Hyperlink"/>
          </w:rPr>
          <w:t xml:space="preserve">10.64861/WFHJ7307</w:t>
        </w:r>
      </w:hyperlink>
    </w:p>
    <w:p>
      <w:pPr>
        <w:pStyle w:val="BodyText"/>
        <w:spacing w:line="480" w:lineRule="auto"/>
        <w:ind w:firstLine="720"/>
      </w:pPr>
      <w:bookmarkStart w:id="168" w:name="ref-14"/>
      <w:bookmarkEnd w:id="168"/>
      <w:r>
        <w:t xml:space="preserve">14. Francis Bennet, Australian National University; Oliver Thearle, Australian National University; Lyle Roberts, Australian National University; Jordan Smith, Australian National University; James Spollard, Australian National University; Daniel Shaddock, Australian National University; Ping Koy Lam, Australian National University. Free-space Quantum Communication Link with Adaptive Optics (2018).</w:t>
      </w:r>
    </w:p>
    <w:p>
      <w:pPr>
        <w:pStyle w:val="BodyText"/>
        <w:spacing w:line="480" w:lineRule="auto"/>
        <w:ind w:firstLine="720"/>
      </w:pPr>
      <w:bookmarkStart w:id="169" w:name="ref-15"/>
      <w:bookmarkEnd w:id="169"/>
      <w:r>
        <w:t xml:space="preserve">15. Barry Geldzahler (NASA), Dr. Larry D Addario (Jet Propulsion Laboratory), Melanie Ott (NASA Goddard Space Flight Center), Rick Birr (NASA Kennedy Space Center), Gary Woods (NASA Kennedy Space Center), Michael Miller (NASA Kennedy Space Center). High Resolution Radar for NASA and Space Situational Awareness for Observation and Monitoring (2014).</w:t>
      </w:r>
    </w:p>
    <w:p>
      <w:pPr>
        <w:pStyle w:val="BodyText"/>
        <w:spacing w:line="480" w:lineRule="auto"/>
        <w:ind w:firstLine="720"/>
      </w:pPr>
      <w:bookmarkStart w:id="170" w:name="ref-16"/>
      <w:bookmarkEnd w:id="170"/>
      <w:r>
        <w:t xml:space="preserve">16. Barry Geldzahler, NASA, Rick Birr, NASA Kennedy Space Center, Robert Brown, NASA Kennedy Space Center, Kevin Grant, NASA Kennedy Space Center, Richard Hoblitzell, NASA Kennedy Space Center, Michael Miller, NASA Kennedy Space Center, Gary Woods, NASA Kennedy Space Center, Arby Argueta, Jet Propulsion Laboratory, Michael Ciminera, Jet Propulsion Laboratory, Timothy Cornish, Jet Propulsion Laboratory, Dr. Larry D’Addario, Jet Propulsion Laboratory, Dr. Faramaz Davarian, Jet Propulsion Laboratory, Dr. Jonathan Kocz, Jet Propulsion Laboratory, Dennis Lee, Jet Propulsion Laboratory, David Morabito, Jet Propulsion Laboratory, Philip Tsao, Jet Propulsion Laboratory, Hali Jakeman-Flores, NASA Goddard Space Flight Center, Melanie N. Ott, NASA Goddard Space Flight Center, Jason Soloff, NASA Johnson Space Flight Center, Dr. Grant Denn, Metropolitan State University of Denver, Dr. Ken Church, Sciperio, Inc., Dr. Paul Deffenbaugh, Sciperio, Inc.. Real-Time Atmospheric Phase Fluctuation Correction Using a Phased Array of Widely Separated Antennas: X-Band Results and Ka-Band Progress (2016).</w:t>
      </w:r>
    </w:p>
    <w:p>
      <w:pPr>
        <w:pStyle w:val="BodyText"/>
        <w:spacing w:line="480" w:lineRule="auto"/>
        <w:ind w:firstLine="720"/>
      </w:pPr>
      <w:bookmarkStart w:id="171" w:name="ref-17"/>
      <w:bookmarkEnd w:id="171"/>
      <w:r>
        <w:t xml:space="preserve">17. Barry Geldzahler (NASA Headquarters), Marc Seibert (NASA Kennedy Space Center), Michael Miller (NASA Kennedy Space Center), Victor Vilnrotter (Jet Propulsion Laboratory), Philip Tsao (Jet Propulsion Laboratory). KaBOOM- Ka Band Objects: Observation and Monitoring (2012).</w:t>
      </w:r>
    </w:p>
    <w:p>
      <w:pPr>
        <w:pStyle w:val="BodyText"/>
        <w:spacing w:line="480" w:lineRule="auto"/>
        <w:ind w:firstLine="720"/>
      </w:pPr>
      <w:bookmarkStart w:id="172" w:name="ref-18"/>
      <w:bookmarkEnd w:id="172"/>
      <w:r>
        <w:t xml:space="preserve">18. Barry Geldzahler, NASA- HQ. First Results of Coherent Uplink from a Phased Array of Widely Separated Antennas: Steps Toward A Verifiable Real-Time Atmospheric Phase Fluctuation Correction for a High Resolution Radar System (2015).</w:t>
      </w:r>
    </w:p>
    <w:p>
      <w:pPr>
        <w:pStyle w:val="BodyText"/>
        <w:spacing w:line="480" w:lineRule="auto"/>
        <w:ind w:firstLine="720"/>
      </w:pPr>
      <w:bookmarkStart w:id="173" w:name="ref-19"/>
      <w:bookmarkEnd w:id="173"/>
      <w:r>
        <w:t xml:space="preserve">19. Ammy Cardona, Space Systems Center, Development Corps; Anthony Rosati, Space Systems Center Special Programs Advanced Integration; Donn Murray, Space Systems Center, Special Programs Space Based Optical; Janelle Moran, Science Applications International Corporation (SAIC); Heather Ginsburgh, Emolbi. Space Systems Center Special Programs Advanced Technology Integration Future Space Domain Awareness Hosted Payloads (2021).</w:t>
      </w:r>
    </w:p>
    <w:p>
      <w:pPr>
        <w:pStyle w:val="BodyText"/>
        <w:spacing w:line="480" w:lineRule="auto"/>
        <w:ind w:firstLine="720"/>
      </w:pPr>
      <w:bookmarkStart w:id="174" w:name="ref-20"/>
      <w:bookmarkEnd w:id="174"/>
      <w:r>
        <w:t xml:space="preserve">20. Richard Dekany (Caltech Optical Observatories), A. Bouchez (Caltech Optical Observatories), M. Britton (Caltech Optical Observatories), A. M. Moore (Caltech Optical Observatories), H. Petrie (Caltech Optical Observatories), R. Tripathi (Caltech Optical Observatories), J. Cromer (Caltech Optical Observatories), R. Thicksten (Caltech Optical Observatories), A. Pickles (Caltech Optical Observatories), R. M. Smith (Caltech Optical Observatories) J. Roberts (Jet Propulsion Laboratory), M. Shao (Jet Propulsion Laboratory), M. Troy (Jet Propulsion Laboratory), T. Trinh (Jet Propulsion Laboratory), T. Truong (Jet Propulsion Laboratory), J. Angione (Jet Propulsion Laboratory), E. Kibblewhite (University of Chicago), B. R. Oppenheimer (American Museum of Natural History), S. Hinkley (Columbia University). High-Angular-Resolution, High-Contrast Adaptive Optics at Palomar Observatory (2007).</w:t>
      </w:r>
    </w:p>
    <w:p>
      <w:pPr>
        <w:pStyle w:val="BodyText"/>
        <w:spacing w:line="480" w:lineRule="auto"/>
        <w:ind w:firstLine="720"/>
      </w:pPr>
      <w:bookmarkStart w:id="175" w:name="ref-21"/>
      <w:bookmarkEnd w:id="175"/>
      <w:r>
        <w:t xml:space="preserve">21. Gara Quintana-Díaz; Torbjörn Ekman; Alejandro Camanzo Mariño; Roger Birkeland; José Miguel Lago Agra; Alberto González Muíño; Fernando Aguado Agelet. Satellite uplink interference measurements in the 437 MHz UHF amateur radio band onboard LUME-1 (2023). doi:</w:t>
      </w:r>
      <w:r>
        <w:t xml:space="preserve"> </w:t>
      </w:r>
      <w:hyperlink r:id="rId161">
        <w:r>
          <w:rPr>
            <w:rStyle w:val="Hyperlink"/>
          </w:rPr>
          <w:t xml:space="preserve">10.1016/j.actaastro.2023.08.010</w:t>
        </w:r>
      </w:hyperlink>
    </w:p>
    <w:p>
      <w:pPr>
        <w:pStyle w:val="BodyText"/>
        <w:spacing w:line="480" w:lineRule="auto"/>
        <w:ind w:firstLine="720"/>
      </w:pPr>
      <w:bookmarkStart w:id="176" w:name="ref-22"/>
      <w:bookmarkEnd w:id="176"/>
      <w:r>
        <w:t xml:space="preserve">22. Robert D. Briskman; Riza Akturan. Interference into radio broadcast satellite uplinks (2019). doi:</w:t>
      </w:r>
      <w:r>
        <w:t xml:space="preserve"> </w:t>
      </w:r>
      <w:hyperlink r:id="rId163">
        <w:r>
          <w:rPr>
            <w:rStyle w:val="Hyperlink"/>
          </w:rPr>
          <w:t xml:space="preserve">10.1016/j.actaastro.2019.07.040</w:t>
        </w:r>
      </w:hyperlink>
    </w:p>
    <w:p>
      <w:pPr>
        <w:pStyle w:val="BodyText"/>
        <w:spacing w:line="480" w:lineRule="auto"/>
        <w:ind w:firstLine="720"/>
      </w:pPr>
      <w:bookmarkStart w:id="177" w:name="ref-23"/>
      <w:bookmarkEnd w:id="177"/>
      <w:r>
        <w:t xml:space="preserve">23.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78">
        <w:r>
          <w:rPr>
            <w:rStyle w:val="Hyperlink"/>
          </w:rPr>
          <w:t xml:space="preserve">10.1016/j.actaastro.2025.04.038</w:t>
        </w:r>
      </w:hyperlink>
    </w:p>
    <w:p>
      <w:pPr>
        <w:pStyle w:val="BodyText"/>
        <w:spacing w:line="480" w:lineRule="auto"/>
        <w:ind w:firstLine="720"/>
      </w:pPr>
      <w:bookmarkStart w:id="179" w:name="ref-24"/>
      <w:bookmarkEnd w:id="179"/>
      <w:r>
        <w:t xml:space="preserve">24. Ksenia Osipova; Adriano Camps; Alessandro Golkar; Joan A. Ruiz-de-Azua; Lara Fernandez; Nicola Garzaniti. Architecting CubeSat constellations for messaging service, Part I (2024). doi:</w:t>
      </w:r>
      <w:r>
        <w:t xml:space="preserve"> </w:t>
      </w:r>
      <w:hyperlink r:id="rId180">
        <w:r>
          <w:rPr>
            <w:rStyle w:val="Hyperlink"/>
          </w:rPr>
          <w:t xml:space="preserve">10.1016/j.actaastro.2024.07.022</w:t>
        </w:r>
      </w:hyperlink>
    </w:p>
    <w:p>
      <w:pPr>
        <w:pStyle w:val="BodyText"/>
        <w:spacing w:line="480" w:lineRule="auto"/>
        <w:ind w:firstLine="720"/>
      </w:pPr>
      <w:bookmarkStart w:id="181" w:name="ref-25"/>
      <w:bookmarkEnd w:id="181"/>
      <w:r>
        <w:t xml:space="preserve">25. Raj Thilak Rajan; Shoshana Ben-Maor; Shaziana Kaderali; Calum Turner; Mohammed Milhim; Catrina Melograna; Dawn Haken; Gary M. Paul; Vedant; V Sreekumar; Johannes Weppler; Yosephine Gumulya; Riccardo Bunt; Asia Bulgarini; Maurice Marnat; Kadri Bussov; Frederick Pringle; Jusha Ma; Rushanka Amrutkar; Miguel Coto; Jiang He; Zijian Shi; Shahd Hayder; Dina Saad Fayez Jaber; Junchao Zuo; Mohammad Alsukour; Cécile Renaud; Matthew Christie; Neta Engad; Yu Lian; Jie Wen; Ruth McAvinia; Andrew Simon-Butler; Anh Nguyen; Jacob Cohen. Applications and Potentials of Intelligent Swarms for magnetospheric studies (2021). doi:</w:t>
      </w:r>
      <w:r>
        <w:t xml:space="preserve"> </w:t>
      </w:r>
      <w:hyperlink r:id="rId182">
        <w:r>
          <w:rPr>
            <w:rStyle w:val="Hyperlink"/>
          </w:rPr>
          <w:t xml:space="preserve">10.1016/j.actaastro.2021.07.046</w:t>
        </w:r>
      </w:hyperlink>
    </w:p>
    <w:p>
      <w:pPr>
        <w:pStyle w:val="BodyText"/>
        <w:spacing w:line="480" w:lineRule="auto"/>
        <w:ind w:firstLine="720"/>
      </w:pPr>
      <w:bookmarkStart w:id="183" w:name="ref-26"/>
      <w:bookmarkEnd w:id="183"/>
      <w:r>
        <w:t xml:space="preserve">26. Ksenia Osipova; Alessandro Golkar; Adriano Camps; Joan A. Ruiz-de-Azua; Luis Contreras-Benito; Nicola Garzaniti; Lara Fernandez. Architecting CubeSat constellations for messaging service, Part II (2025). doi:</w:t>
      </w:r>
      <w:r>
        <w:t xml:space="preserve"> </w:t>
      </w:r>
      <w:hyperlink r:id="rId184">
        <w:r>
          <w:rPr>
            <w:rStyle w:val="Hyperlink"/>
          </w:rPr>
          <w:t xml:space="preserve">10.1016/j.actaastro.2024.12.022</w:t>
        </w:r>
      </w:hyperlink>
    </w:p>
    <w:p>
      <w:pPr>
        <w:pStyle w:val="BodyText"/>
        <w:spacing w:line="480" w:lineRule="auto"/>
        <w:ind w:firstLine="720"/>
      </w:pPr>
      <w:bookmarkStart w:id="185" w:name="ref-27"/>
      <w:bookmarkEnd w:id="185"/>
      <w:r>
        <w:t xml:space="preserve">27. Antti Anttonen; Markku Kiviranta; Marko Höyhtyä. Space debris detection over intersatellite communication signals (2021). doi:</w:t>
      </w:r>
      <w:r>
        <w:t xml:space="preserve"> </w:t>
      </w:r>
      <w:hyperlink r:id="rId186">
        <w:r>
          <w:rPr>
            <w:rStyle w:val="Hyperlink"/>
          </w:rPr>
          <w:t xml:space="preserve">10.1016/j.actaastro.2021.06.023</w:t>
        </w:r>
      </w:hyperlink>
    </w:p>
    <w:p>
      <w:pPr>
        <w:pStyle w:val="BodyText"/>
        <w:spacing w:line="480" w:lineRule="auto"/>
        <w:ind w:firstLine="720"/>
      </w:pPr>
      <w:bookmarkStart w:id="187" w:name="ref-28"/>
      <w:bookmarkEnd w:id="187"/>
      <w:r>
        <w:t xml:space="preserve">28. Erdem Turan; Stefano Speretta; Eberhard Gill. Autonomous navigation for deep space small satellites: Scientific and technological advances (2022). doi:</w:t>
      </w:r>
      <w:r>
        <w:t xml:space="preserve"> </w:t>
      </w:r>
      <w:hyperlink r:id="rId188">
        <w:r>
          <w:rPr>
            <w:rStyle w:val="Hyperlink"/>
          </w:rPr>
          <w:t xml:space="preserve">10.1016/j.actaastro.2021.12.030</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90b5011a38d04956dca97175ad26fde6f05cef0"/>
    <w:p>
      <w:pPr>
        <w:pStyle w:val="Heading2"/>
        <w:spacing w:line="480" w:lineRule="auto"/>
      </w:pPr>
      <w:r>
        <w:t xml:space="preserve">A.1 The Uplink-Downlink Asymmetry of Spectrum Power in GEO: A Panel HHI Test of Paired Concentration</w:t>
      </w:r>
    </w:p>
    <w:p>
      <w:pPr>
        <w:pStyle w:val="FirstParagraph"/>
        <w:spacing w:line="480" w:lineRule="auto"/>
      </w:pPr>
      <m:oMathPara>
        <m:oMathParaPr>
          <m:jc m:val="center"/>
        </m:oMathParaPr>
        <m:oMath>
          <m:r>
            <m:t>H</m:t>
          </m:r>
          <m:r>
            <m:t>H</m:t>
          </m:r>
          <m:sSub>
            <m:e>
              <m:r>
                <m:t>I</m:t>
              </m:r>
            </m:e>
            <m:sub>
              <m:r>
                <m:t>b</m:t>
              </m:r>
              <m:r>
                <m:rPr>
                  <m:sty m:val="p"/>
                </m:rPr>
                <m:t>,</m:t>
              </m:r>
              <m:r>
                <m:t>r</m:t>
              </m:r>
              <m:r>
                <m:rPr>
                  <m:sty m:val="p"/>
                </m:rPr>
                <m:t>,</m:t>
              </m:r>
              <m:r>
                <m:t>d</m:t>
              </m:r>
            </m:sub>
          </m:sSub>
          <m:r>
            <m:rPr>
              <m:sty m:val="p"/>
            </m:rPr>
            <m:t>=</m:t>
          </m:r>
          <m:sSub>
            <m:e>
              <m:r>
                <m:t>β</m:t>
              </m:r>
            </m:e>
            <m:sub>
              <m:r>
                <m:t>0</m:t>
              </m:r>
            </m:sub>
          </m:sSub>
          <m:r>
            <m:rPr>
              <m:sty m:val="p"/>
            </m:rPr>
            <m:t>+</m:t>
          </m:r>
          <m:sSub>
            <m:e>
              <m:r>
                <m:t>β</m:t>
              </m:r>
            </m:e>
            <m:sub>
              <m:r>
                <m:t>1</m:t>
              </m:r>
            </m:sub>
          </m:sSub>
          <m:r>
            <m:t> </m:t>
          </m:r>
          <m:r>
            <m:t>D</m:t>
          </m:r>
          <m:r>
            <m:t>o</m:t>
          </m:r>
          <m:r>
            <m:t>w</m:t>
          </m:r>
          <m:r>
            <m:t>n</m:t>
          </m:r>
          <m:r>
            <m:t>l</m:t>
          </m:r>
          <m:r>
            <m:t>i</m:t>
          </m:r>
          <m:r>
            <m:t>n</m:t>
          </m:r>
          <m:sSub>
            <m:e>
              <m:r>
                <m:t>k</m:t>
              </m:r>
            </m:e>
            <m:sub>
              <m:r>
                <m:t>b</m:t>
              </m:r>
              <m:r>
                <m:rPr>
                  <m:sty m:val="p"/>
                </m:rPr>
                <m:t>,</m:t>
              </m:r>
              <m:r>
                <m:t>r</m:t>
              </m:r>
              <m:r>
                <m:rPr>
                  <m:sty m:val="p"/>
                </m:rPr>
                <m:t>,</m:t>
              </m:r>
              <m:r>
                <m:t>d</m:t>
              </m:r>
            </m:sub>
          </m:sSub>
          <m:r>
            <m:rPr>
              <m:sty m:val="p"/>
            </m:rPr>
            <m:t>+</m:t>
          </m:r>
          <m:sSub>
            <m:e>
              <m:r>
                <m:t>β</m:t>
              </m:r>
            </m:e>
            <m:sub>
              <m:r>
                <m:t>2</m:t>
              </m:r>
            </m:sub>
          </m:sSub>
          <m:r>
            <m:t> </m:t>
          </m:r>
          <m:r>
            <m:t>K</m:t>
          </m:r>
          <m:sSub>
            <m:e>
              <m:r>
                <m:t>u</m:t>
              </m:r>
            </m:e>
            <m:sub>
              <m:r>
                <m:t>b</m:t>
              </m:r>
            </m:sub>
          </m:sSub>
          <m:r>
            <m:rPr>
              <m:sty m:val="p"/>
            </m:rPr>
            <m:t>+</m:t>
          </m:r>
          <m:sSub>
            <m:e>
              <m:r>
                <m:t>β</m:t>
              </m:r>
            </m:e>
            <m:sub>
              <m:r>
                <m:t>3</m:t>
              </m:r>
            </m:sub>
          </m:sSub>
          <m:r>
            <m:t> </m:t>
          </m:r>
          <m:r>
            <m:t>K</m:t>
          </m:r>
          <m:sSub>
            <m:e>
              <m:r>
                <m:t>a</m:t>
              </m:r>
            </m:e>
            <m:sub>
              <m:r>
                <m:t>b</m:t>
              </m:r>
            </m:sub>
          </m:sSub>
          <m:r>
            <m:rPr>
              <m:sty m:val="p"/>
            </m:rPr>
            <m:t>+</m:t>
          </m:r>
          <m:sSub>
            <m:e>
              <m:r>
                <m:t>β</m:t>
              </m:r>
            </m:e>
            <m:sub>
              <m:r>
                <m:t>4</m:t>
              </m:r>
            </m:sub>
          </m:sSub>
          <m:r>
            <m:t> </m:t>
          </m:r>
          <m:r>
            <m:t>R</m:t>
          </m:r>
          <m:sSub>
            <m:e>
              <m:r>
                <m:t>2</m:t>
              </m:r>
            </m:e>
            <m:sub>
              <m:r>
                <m:t>r</m:t>
              </m:r>
            </m:sub>
          </m:sSub>
          <m:r>
            <m:rPr>
              <m:sty m:val="p"/>
            </m:rPr>
            <m:t>+</m:t>
          </m:r>
          <m:sSub>
            <m:e>
              <m:r>
                <m:t>β</m:t>
              </m:r>
            </m:e>
            <m:sub>
              <m:r>
                <m:t>5</m:t>
              </m:r>
            </m:sub>
          </m:sSub>
          <m:r>
            <m:t> </m:t>
          </m:r>
          <m:r>
            <m:t>R</m:t>
          </m:r>
          <m:sSub>
            <m:e>
              <m:r>
                <m:t>3</m:t>
              </m:r>
            </m:e>
            <m:sub>
              <m:r>
                <m:t>r</m:t>
              </m:r>
            </m:sub>
          </m:sSub>
          <m:r>
            <m:rPr>
              <m:sty m:val="p"/>
            </m:rPr>
            <m:t>+</m:t>
          </m:r>
          <m:sSub>
            <m:e>
              <m:r>
                <m:t>β</m:t>
              </m:r>
            </m:e>
            <m:sub>
              <m:r>
                <m:t>6</m:t>
              </m:r>
            </m:sub>
          </m:sSub>
          <m:r>
            <m:t> </m:t>
          </m:r>
          <m:r>
            <m:t>V</m:t>
          </m:r>
          <m:r>
            <m:t>i</m:t>
          </m:r>
          <m:r>
            <m:t>n</m:t>
          </m:r>
          <m:r>
            <m:t>t</m:t>
          </m:r>
          <m:r>
            <m:t>a</m:t>
          </m:r>
          <m:r>
            <m:t>g</m:t>
          </m:r>
          <m:sSub>
            <m:e>
              <m:r>
                <m:t>e</m:t>
              </m:r>
            </m:e>
            <m:sub>
              <m:r>
                <m:t>b</m:t>
              </m:r>
              <m:r>
                <m:rPr>
                  <m:sty m:val="p"/>
                </m:rPr>
                <m:t>,</m:t>
              </m:r>
              <m:r>
                <m:t>r</m:t>
              </m:r>
            </m:sub>
          </m:sSub>
          <m:r>
            <m:rPr>
              <m:sty m:val="p"/>
            </m:rPr>
            <m:t>+</m:t>
          </m:r>
          <m:sSub>
            <m:e>
              <m:r>
                <m:t>ε</m:t>
              </m:r>
            </m:e>
            <m:sub>
              <m:r>
                <m:t>b</m:t>
              </m:r>
              <m:r>
                <m:rPr>
                  <m:sty m:val="p"/>
                </m:rPr>
                <m:t>,</m:t>
              </m:r>
              <m:r>
                <m:t>r</m:t>
              </m:r>
              <m:r>
                <m:rPr>
                  <m:sty m:val="p"/>
                </m:rPr>
                <m:t>,</m:t>
              </m:r>
              <m:r>
                <m:t>d</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1668.565</w:t>
            </w:r>
          </w:p>
        </w:tc>
        <w:tc>
          <w:tcPr>
            <w:tcW w:w="0" w:type="auto"/>
          </w:tcPr>
          <w:p>
            <w:pPr>
              <w:spacing w:line="240" w:lineRule="auto" w:before="0" w:after="0"/>
              <w:pStyle w:val="Compact"/>
            </w:pPr>
            <w:r>
              <w:rPr>
                <w:sz w:val="20"/>
                <w:szCs w:val="20"/>
              </w:rPr>
              <w:t xml:space="preserve">67.9565</w:t>
            </w:r>
          </w:p>
        </w:tc>
        <w:tc>
          <w:tcPr>
            <w:tcW w:w="0" w:type="auto"/>
          </w:tcPr>
          <w:p>
            <w:pPr>
              <w:spacing w:line="240" w:lineRule="auto" w:before="0" w:after="0"/>
              <w:pStyle w:val="Compact"/>
            </w:pPr>
            <w:r>
              <w:rPr>
                <w:sz w:val="20"/>
                <w:szCs w:val="20"/>
              </w:rPr>
              <w:t xml:space="preserve">24.5534</w:t>
            </w:r>
          </w:p>
        </w:tc>
        <w:tc>
          <w:tcPr>
            <w:tcW w:w="0" w:type="auto"/>
          </w:tcPr>
          <w:p>
            <w:pPr>
              <w:spacing w:line="240" w:lineRule="auto" w:before="0" w:after="0"/>
              <w:pStyle w:val="Compact"/>
            </w:pPr>
            <w:r>
              <w:rPr>
                <w:sz w:val="20"/>
                <w:szCs w:val="20"/>
              </w:rPr>
              <w:t xml:space="preserve">3.975e-133</w:t>
            </w:r>
          </w:p>
        </w:tc>
        <w:tc>
          <w:tcPr>
            <w:tcW w:w="0" w:type="auto"/>
          </w:tcPr>
          <w:p>
            <w:pPr>
              <w:spacing w:line="240" w:lineRule="auto" w:before="0" w:after="0"/>
              <w:pStyle w:val="Compact"/>
            </w:pPr>
            <w:r>
              <w:rPr>
                <w:sz w:val="20"/>
                <w:szCs w:val="20"/>
              </w:rPr>
              <w:t xml:space="preserve">[1535.3728, 1801.7573]</w:t>
            </w:r>
          </w:p>
        </w:tc>
      </w:tr>
      <w:tr>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699.3333</w:t>
            </w:r>
          </w:p>
        </w:tc>
        <w:tc>
          <w:tcPr>
            <w:tcW w:w="0" w:type="auto"/>
          </w:tcPr>
          <w:p>
            <w:pPr>
              <w:spacing w:line="240" w:lineRule="auto" w:before="0" w:after="0"/>
              <w:pStyle w:val="Compact"/>
            </w:pPr>
            <w:r>
              <w:rPr>
                <w:sz w:val="20"/>
                <w:szCs w:val="20"/>
              </w:rPr>
              <w:t xml:space="preserve">55.5671</w:t>
            </w:r>
          </w:p>
        </w:tc>
        <w:tc>
          <w:tcPr>
            <w:tcW w:w="0" w:type="auto"/>
          </w:tcPr>
          <w:p>
            <w:pPr>
              <w:spacing w:line="240" w:lineRule="auto" w:before="0" w:after="0"/>
              <w:pStyle w:val="Compact"/>
            </w:pPr>
            <w:r>
              <w:rPr>
                <w:sz w:val="20"/>
                <w:szCs w:val="20"/>
              </w:rPr>
              <w:t xml:space="preserve">12.5854</w:t>
            </w:r>
          </w:p>
        </w:tc>
        <w:tc>
          <w:tcPr>
            <w:tcW w:w="0" w:type="auto"/>
          </w:tcPr>
          <w:p>
            <w:pPr>
              <w:spacing w:line="240" w:lineRule="auto" w:before="0" w:after="0"/>
              <w:pStyle w:val="Compact"/>
            </w:pPr>
            <w:r>
              <w:rPr>
                <w:sz w:val="20"/>
                <w:szCs w:val="20"/>
              </w:rPr>
              <w:t xml:space="preserve">2.541e-36</w:t>
            </w:r>
          </w:p>
        </w:tc>
        <w:tc>
          <w:tcPr>
            <w:tcW w:w="0" w:type="auto"/>
          </w:tcPr>
          <w:p>
            <w:pPr>
              <w:spacing w:line="240" w:lineRule="auto" w:before="0" w:after="0"/>
              <w:pStyle w:val="Compact"/>
            </w:pPr>
            <w:r>
              <w:rPr>
                <w:sz w:val="20"/>
                <w:szCs w:val="20"/>
              </w:rPr>
              <w:t xml:space="preserve">[590.4239, 808.2428]</w:t>
            </w:r>
          </w:p>
        </w:tc>
      </w:tr>
      <w:tr>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-285.2896</w:t>
            </w:r>
          </w:p>
        </w:tc>
        <w:tc>
          <w:tcPr>
            <w:tcW w:w="0" w:type="auto"/>
          </w:tcPr>
          <w:p>
            <w:pPr>
              <w:spacing w:line="240" w:lineRule="auto" w:before="0" w:after="0"/>
              <w:pStyle w:val="Compact"/>
            </w:pPr>
            <w:r>
              <w:rPr>
                <w:sz w:val="20"/>
                <w:szCs w:val="20"/>
              </w:rPr>
              <w:t xml:space="preserve">64.8676</w:t>
            </w:r>
          </w:p>
        </w:tc>
        <w:tc>
          <w:tcPr>
            <w:tcW w:w="0" w:type="auto"/>
          </w:tcPr>
          <w:p>
            <w:pPr>
              <w:spacing w:line="240" w:lineRule="auto" w:before="0" w:after="0"/>
              <w:pStyle w:val="Compact"/>
            </w:pPr>
            <w:r>
              <w:rPr>
                <w:sz w:val="20"/>
                <w:szCs w:val="20"/>
              </w:rPr>
              <w:t xml:space="preserve">-4.398</w:t>
            </w:r>
          </w:p>
        </w:tc>
        <w:tc>
          <w:tcPr>
            <w:tcW w:w="0" w:type="auto"/>
          </w:tcPr>
          <w:p>
            <w:pPr>
              <w:spacing w:line="240" w:lineRule="auto" w:before="0" w:after="0"/>
              <w:pStyle w:val="Compact"/>
            </w:pPr>
            <w:r>
              <w:rPr>
                <w:sz w:val="20"/>
                <w:szCs w:val="20"/>
              </w:rPr>
              <w:t xml:space="preserve">1.092e-05</w:t>
            </w:r>
          </w:p>
        </w:tc>
        <w:tc>
          <w:tcPr>
            <w:tcW w:w="0" w:type="auto"/>
          </w:tcPr>
          <w:p>
            <w:pPr>
              <w:spacing w:line="240" w:lineRule="auto" w:before="0" w:after="0"/>
              <w:pStyle w:val="Compact"/>
            </w:pPr>
            <w:r>
              <w:rPr>
                <w:sz w:val="20"/>
                <w:szCs w:val="20"/>
              </w:rPr>
              <w:t xml:space="preserve">[-412.4277, -158.1515]</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636.6692</w:t>
            </w:r>
          </w:p>
        </w:tc>
        <w:tc>
          <w:tcPr>
            <w:tcW w:w="0" w:type="auto"/>
          </w:tcPr>
          <w:p>
            <w:pPr>
              <w:spacing w:line="240" w:lineRule="auto" w:before="0" w:after="0"/>
              <w:pStyle w:val="Compact"/>
            </w:pPr>
            <w:r>
              <w:rPr>
                <w:sz w:val="20"/>
                <w:szCs w:val="20"/>
              </w:rPr>
              <w:t xml:space="preserve">134.0478</w:t>
            </w:r>
          </w:p>
        </w:tc>
        <w:tc>
          <w:tcPr>
            <w:tcW w:w="0" w:type="auto"/>
          </w:tcPr>
          <w:p>
            <w:pPr>
              <w:spacing w:line="240" w:lineRule="auto" w:before="0" w:after="0"/>
              <w:pStyle w:val="Compact"/>
            </w:pPr>
            <w:r>
              <w:rPr>
                <w:sz w:val="20"/>
                <w:szCs w:val="20"/>
              </w:rPr>
              <w:t xml:space="preserve">4.7496</w:t>
            </w:r>
          </w:p>
        </w:tc>
        <w:tc>
          <w:tcPr>
            <w:tcW w:w="0" w:type="auto"/>
          </w:tcPr>
          <w:p>
            <w:pPr>
              <w:spacing w:line="240" w:lineRule="auto" w:before="0" w:after="0"/>
              <w:pStyle w:val="Compact"/>
            </w:pPr>
            <w:r>
              <w:rPr>
                <w:sz w:val="20"/>
                <w:szCs w:val="20"/>
              </w:rPr>
              <w:t xml:space="preserve">2.039e-06</w:t>
            </w:r>
          </w:p>
        </w:tc>
        <w:tc>
          <w:tcPr>
            <w:tcW w:w="0" w:type="auto"/>
          </w:tcPr>
          <w:p>
            <w:pPr>
              <w:spacing w:line="240" w:lineRule="auto" w:before="0" w:after="0"/>
              <w:pStyle w:val="Compact"/>
            </w:pPr>
            <w:r>
              <w:rPr>
                <w:sz w:val="20"/>
                <w:szCs w:val="20"/>
              </w:rPr>
              <w:t xml:space="preserve">[373.9404, 899.398]</w:t>
            </w:r>
          </w:p>
        </w:tc>
      </w:tr>
      <w:tr>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-26.6082</w:t>
            </w:r>
          </w:p>
        </w:tc>
        <w:tc>
          <w:tcPr>
            <w:tcW w:w="0" w:type="auto"/>
          </w:tcPr>
          <w:p>
            <w:pPr>
              <w:spacing w:line="240" w:lineRule="auto" w:before="0" w:after="0"/>
              <w:pStyle w:val="Compact"/>
            </w:pPr>
            <w:r>
              <w:rPr>
                <w:sz w:val="20"/>
                <w:szCs w:val="20"/>
              </w:rPr>
              <w:t xml:space="preserve">89.118</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0.7653</w:t>
            </w:r>
          </w:p>
        </w:tc>
        <w:tc>
          <w:tcPr>
            <w:tcW w:w="0" w:type="auto"/>
          </w:tcPr>
          <w:p>
            <w:pPr>
              <w:spacing w:line="240" w:lineRule="auto" w:before="0" w:after="0"/>
              <w:pStyle w:val="Compact"/>
            </w:pPr>
            <w:r>
              <w:rPr>
                <w:sz w:val="20"/>
                <w:szCs w:val="20"/>
              </w:rPr>
              <w:t xml:space="preserve">[-201.2763, 148.0598]</w:t>
            </w:r>
          </w:p>
        </w:tc>
      </w:tr>
      <w:tr>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267.0579</w:t>
            </w:r>
          </w:p>
        </w:tc>
        <w:tc>
          <w:tcPr>
            <w:tcW w:w="0" w:type="auto"/>
          </w:tcPr>
          <w:p>
            <w:pPr>
              <w:spacing w:line="240" w:lineRule="auto" w:before="0" w:after="0"/>
              <w:pStyle w:val="Compact"/>
            </w:pPr>
            <w:r>
              <w:rPr>
                <w:sz w:val="20"/>
                <w:szCs w:val="20"/>
              </w:rPr>
              <w:t xml:space="preserve">56.6138</w:t>
            </w:r>
          </w:p>
        </w:tc>
        <w:tc>
          <w:tcPr>
            <w:tcW w:w="0" w:type="auto"/>
          </w:tcPr>
          <w:p>
            <w:pPr>
              <w:spacing w:line="240" w:lineRule="auto" w:before="0" w:after="0"/>
              <w:pStyle w:val="Compact"/>
            </w:pPr>
            <w:r>
              <w:rPr>
                <w:sz w:val="20"/>
                <w:szCs w:val="20"/>
              </w:rPr>
              <w:t xml:space="preserve">4.7172</w:t>
            </w:r>
          </w:p>
        </w:tc>
        <w:tc>
          <w:tcPr>
            <w:tcW w:w="0" w:type="auto"/>
          </w:tcPr>
          <w:p>
            <w:pPr>
              <w:spacing w:line="240" w:lineRule="auto" w:before="0" w:after="0"/>
              <w:pStyle w:val="Compact"/>
            </w:pPr>
            <w:r>
              <w:rPr>
                <w:sz w:val="20"/>
                <w:szCs w:val="20"/>
              </w:rPr>
              <w:t xml:space="preserve">2.391e-06</w:t>
            </w:r>
          </w:p>
        </w:tc>
        <w:tc>
          <w:tcPr>
            <w:tcW w:w="0" w:type="auto"/>
          </w:tcPr>
          <w:p>
            <w:pPr>
              <w:spacing w:line="240" w:lineRule="auto" w:before="0" w:after="0"/>
              <w:pStyle w:val="Compact"/>
            </w:pPr>
            <w:r>
              <w:rPr>
                <w:sz w:val="20"/>
                <w:szCs w:val="20"/>
              </w:rPr>
              <w:t xml:space="preserve">[156.0968, 378.019]</w:t>
            </w:r>
          </w:p>
        </w:tc>
      </w:tr>
      <w:tr>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63.5976</w:t>
            </w:r>
          </w:p>
        </w:tc>
        <w:tc>
          <w:tcPr>
            <w:tcW w:w="0" w:type="auto"/>
          </w:tcPr>
          <w:p>
            <w:pPr>
              <w:spacing w:line="240" w:lineRule="auto" w:before="0" w:after="0"/>
              <w:pStyle w:val="Compact"/>
            </w:pPr>
            <w:r>
              <w:rPr>
                <w:sz w:val="20"/>
                <w:szCs w:val="20"/>
              </w:rPr>
              <w:t xml:space="preserve">57.0489</w:t>
            </w:r>
          </w:p>
        </w:tc>
        <w:tc>
          <w:tcPr>
            <w:tcW w:w="0" w:type="auto"/>
          </w:tcPr>
          <w:p>
            <w:pPr>
              <w:spacing w:line="240" w:lineRule="auto" w:before="0" w:after="0"/>
              <w:pStyle w:val="Compact"/>
            </w:pPr>
            <w:r>
              <w:rPr>
                <w:sz w:val="20"/>
                <w:szCs w:val="20"/>
              </w:rPr>
              <w:t xml:space="preserve">1.1148</w:t>
            </w:r>
          </w:p>
        </w:tc>
        <w:tc>
          <w:tcPr>
            <w:tcW w:w="0" w:type="auto"/>
          </w:tcPr>
          <w:p>
            <w:pPr>
              <w:spacing w:line="240" w:lineRule="auto" w:before="0" w:after="0"/>
              <w:pStyle w:val="Compact"/>
            </w:pPr>
            <w:r>
              <w:rPr>
                <w:sz w:val="20"/>
                <w:szCs w:val="20"/>
              </w:rPr>
              <w:t xml:space="preserve">0.2649</w:t>
            </w:r>
          </w:p>
        </w:tc>
        <w:tc>
          <w:tcPr>
            <w:tcW w:w="0" w:type="auto"/>
          </w:tcPr>
          <w:p>
            <w:pPr>
              <w:spacing w:line="240" w:lineRule="auto" w:before="0" w:after="0"/>
              <w:pStyle w:val="Compact"/>
            </w:pPr>
            <w:r>
              <w:rPr>
                <w:sz w:val="20"/>
                <w:szCs w:val="20"/>
              </w:rPr>
              <w:t xml:space="preserve">[-48.2163, 175.4114]</w:t>
            </w:r>
          </w:p>
        </w:tc>
      </w:tr>
    </w:tbl>
    <w:p>
      <w:pPr>
        <w:pStyle w:val="BodyText"/>
        <w:spacing w:line="480" w:lineRule="auto"/>
        <w:ind w:firstLine="720"/>
      </w:pPr>
      <w:r>
        <w:t xml:space="preserve">Fit: N = 30 R2 = 0.9448 R2_adj = 0.9304 F = 141.5167 F_p = 5.601e-17</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aired uplink-downlink HHI by number of operators on the allocation, with the OLS fit overlaid." title="" id="193" name="Picture"/>
            <a:graphic>
              <a:graphicData uri="http://schemas.openxmlformats.org/drawingml/2006/picture">
                <pic:pic>
                  <pic:nvPicPr>
                    <pic:cNvPr descr="D:/Claude_Code/brain/collegium/candidates/dissertations/SPECTRUM_PNT_03/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Paired uplink-downlink HHI by number of operators on the allocation, with the OLS fit overlaid.</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region</w:t>
            </w:r>
          </w:p>
        </w:tc>
        <w:tc>
          <w:tcPr>
            <w:tcW w:w="0" w:type="auto"/>
          </w:tcPr>
          <w:p>
            <w:pPr>
              <w:spacing w:line="240" w:lineRule="auto" w:before="0" w:after="0"/>
              <w:pStyle w:val="Compact"/>
            </w:pPr>
            <w:r>
              <w:rPr>
                <w:sz w:val="20"/>
                <w:szCs w:val="20"/>
              </w:rPr>
              <w:t xml:space="preserve">link_label</w:t>
            </w:r>
          </w:p>
        </w:tc>
        <w:tc>
          <w:tcPr>
            <w:tcW w:w="0" w:type="auto"/>
          </w:tcPr>
          <w:p>
            <w:pPr>
              <w:spacing w:line="240" w:lineRule="auto" w:before="0" w:after="0"/>
              <w:pStyle w:val="Compact"/>
            </w:pPr>
            <w:r>
              <w:rPr>
                <w:sz w:val="20"/>
                <w:szCs w:val="20"/>
              </w:rPr>
              <w:t xml:space="preserve">hhi</w:t>
            </w:r>
          </w:p>
        </w:tc>
        <w:tc>
          <w:tcPr>
            <w:tcW w:w="0" w:type="auto"/>
          </w:tcPr>
          <w:p>
            <w:pPr>
              <w:spacing w:line="240" w:lineRule="auto" w:before="0" w:after="0"/>
              <w:pStyle w:val="Compact"/>
            </w:pPr>
            <w:r>
              <w:rPr>
                <w:sz w:val="20"/>
                <w:szCs w:val="20"/>
              </w:rPr>
              <w:t xml:space="preserve">n_operators</w:t>
            </w:r>
          </w:p>
        </w:tc>
        <w:tc>
          <w:tcPr>
            <w:tcW w:w="0" w:type="auto"/>
          </w:tcPr>
          <w:p>
            <w:pPr>
              <w:spacing w:line="240" w:lineRule="auto" w:before="0" w:after="0"/>
              <w:pStyle w:val="Compact"/>
            </w:pPr>
            <w:r>
              <w:rPr>
                <w:sz w:val="20"/>
                <w:szCs w:val="20"/>
              </w:rPr>
              <w:t xml:space="preserve">bw_mhz_total</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uplink half-allocations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2410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downlink half-allocations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1640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R2 uplink shares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2180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R2 downlink shares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R3 uplink</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2730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R3 downlink</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R1 uplink; FSS 14/12 GHz</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2210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R1 downlink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1380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R2 uplink; Intelsat/SES/Telesat shares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2090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R2 downlink</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1720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R3 uplink; AsiaSat/JSAT/MEASAT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2460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Ku-band R3 downlink</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2310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R1 uplink; HTS operators</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3140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R1 downlink</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2480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R2 uplink; Viasat/Hughes/Echostar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R2</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3520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R2 downlink</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2620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R3 uplink</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3380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Ka-band R3 downlink</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1760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2018 snapshot, uplink</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2330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C-band R1 2018 snapshot, downlink</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1430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 R2 2018 snapshot, uplink</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R2_2018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Ku R2 2018 snapshot, downlink</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2150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R1 2018 snapshot, uplink</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R1_2018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R1 2018 snapshot, downlink</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R2_2015</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1580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 R2 2015 snapshot, uplink [illustrative]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C</w:t>
            </w:r>
          </w:p>
        </w:tc>
        <w:tc>
          <w:tcPr>
            <w:tcW w:w="0" w:type="auto"/>
          </w:tcPr>
          <w:p>
            <w:pPr>
              <w:spacing w:line="240" w:lineRule="auto" w:before="0" w:after="0"/>
              <w:pStyle w:val="Compact"/>
            </w:pPr>
            <w:r>
              <w:rPr>
                <w:sz w:val="20"/>
                <w:szCs w:val="20"/>
              </w:rPr>
              <w:t xml:space="preserve">R2_2015</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2110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C R2 2015 snapshot, downlink [illustrative]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R3_2015</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1660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Ku R3 2015 snapshot, uplink [illustrative]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R3_2015</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Roberts &amp; Linares (AMOS 2022) ITU SNS GEO census, Ku R3 2015 snapshot, downlink [illustrative]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R3_2018</w:t>
            </w:r>
          </w:p>
        </w:tc>
        <w:tc>
          <w:tcPr>
            <w:tcW w:w="0" w:type="auto"/>
          </w:tcPr>
          <w:p>
            <w:pPr>
              <w:spacing w:line="240" w:lineRule="auto" w:before="0" w:after="0"/>
              <w:pStyle w:val="Compact"/>
            </w:pPr>
            <w:r>
              <w:rPr>
                <w:sz w:val="20"/>
                <w:szCs w:val="20"/>
              </w:rPr>
              <w:t xml:space="preserve">uplink</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R3 2018 snapshot, uplink</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R3_2018</w:t>
            </w:r>
          </w:p>
        </w:tc>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3210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Roberts &amp; Linares (AMOS 2022) ITU SNS GEO census, Ka R3 2018 snapshot, downlink</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hhi</w:t>
            </w:r>
          </w:p>
        </w:tc>
        <w:tc>
          <w:tcPr>
            <w:tcW w:w="0" w:type="auto"/>
          </w:tcPr>
          <w:p>
            <w:pPr>
              <w:spacing w:line="240" w:lineRule="auto" w:before="0" w:after="0"/>
              <w:pStyle w:val="Compact"/>
            </w:pPr>
            <w:r>
              <w:rPr>
                <w:sz w:val="20"/>
                <w:szCs w:val="20"/>
              </w:rPr>
              <w:t xml:space="preserve">Herfindahl-Hirschman Index of operator share of half-allocation bandwidth (0 to 10000 scale)</w:t>
            </w:r>
          </w:p>
        </w:tc>
        <w:tc>
          <w:tcPr>
            <w:tcW w:w="0" w:type="auto"/>
          </w:tcPr>
          <w:p>
            <w:pPr>
              <w:spacing w:line="240" w:lineRule="auto" w:before="0" w:after="0"/>
              <w:pStyle w:val="Compact"/>
            </w:pPr>
            <w:r>
              <w:rPr>
                <w:sz w:val="20"/>
                <w:szCs w:val="20"/>
              </w:rPr>
              <w:t xml:space="preserve">Computed from Roberts &amp; Linares (AMOS 2022) ITU SNS GEO licence-application census, operator-resolved to corporate parent</w:t>
            </w:r>
          </w:p>
        </w:tc>
      </w:tr>
      <w:tr>
        <w:tc>
          <w:tcPr>
            <w:tcW w:w="0" w:type="auto"/>
          </w:tcPr>
          <w:p>
            <w:pPr>
              <w:spacing w:line="240" w:lineRule="auto" w:before="0" w:after="0"/>
              <w:pStyle w:val="Compact"/>
            </w:pPr>
            <w:r>
              <w:rPr>
                <w:sz w:val="20"/>
                <w:szCs w:val="20"/>
              </w:rPr>
              <w:t xml:space="preserve">downlink</w:t>
            </w:r>
          </w:p>
        </w:tc>
        <w:tc>
          <w:tcPr>
            <w:tcW w:w="0" w:type="auto"/>
          </w:tcPr>
          <w:p>
            <w:pPr>
              <w:spacing w:line="240" w:lineRule="auto" w:before="0" w:after="0"/>
              <w:pStyle w:val="Compact"/>
            </w:pPr>
            <w:r>
              <w:rPr>
                <w:sz w:val="20"/>
                <w:szCs w:val="20"/>
              </w:rPr>
              <w:t xml:space="preserve">Indicator equal to 1 when the observation is the downlink half of the paired allocation, 0 for uplink</w:t>
            </w:r>
          </w:p>
        </w:tc>
        <w:tc>
          <w:tcPr>
            <w:tcW w:w="0" w:type="auto"/>
          </w:tcPr>
          <w:p>
            <w:pPr>
              <w:spacing w:line="240" w:lineRule="auto" w:before="0" w:after="0"/>
              <w:pStyle w:val="Compact"/>
            </w:pPr>
            <w:r>
              <w:rPr>
                <w:sz w:val="20"/>
                <w:szCs w:val="20"/>
              </w:rPr>
              <w:t xml:space="preserve">Encoded from the link field of the ITU SNS frequency assignment</w:t>
            </w:r>
          </w:p>
        </w:tc>
      </w:tr>
      <w:tr>
        <w:tc>
          <w:tcPr>
            <w:tcW w:w="0" w:type="auto"/>
          </w:tcPr>
          <w:p>
            <w:pPr>
              <w:spacing w:line="240" w:lineRule="auto" w:before="0" w:after="0"/>
              <w:pStyle w:val="Compact"/>
            </w:pPr>
            <w:r>
              <w:rPr>
                <w:sz w:val="20"/>
                <w:szCs w:val="20"/>
              </w:rPr>
              <w:t xml:space="preserve">band_Ku</w:t>
            </w:r>
          </w:p>
        </w:tc>
        <w:tc>
          <w:tcPr>
            <w:tcW w:w="0" w:type="auto"/>
          </w:tcPr>
          <w:p>
            <w:pPr>
              <w:spacing w:line="240" w:lineRule="auto" w:before="0" w:after="0"/>
              <w:pStyle w:val="Compact"/>
            </w:pPr>
            <w:r>
              <w:rPr>
                <w:sz w:val="20"/>
                <w:szCs w:val="20"/>
              </w:rPr>
              <w:t xml:space="preserve">Indicator for Ku-band allocations (14/12 GHz pair)</w:t>
            </w:r>
          </w:p>
        </w:tc>
        <w:tc>
          <w:tcPr>
            <w:tcW w:w="0" w:type="auto"/>
          </w:tcPr>
          <w:p>
            <w:pPr>
              <w:spacing w:line="240" w:lineRule="auto" w:before="0" w:after="0"/>
              <w:pStyle w:val="Compact"/>
            </w:pPr>
            <w:r>
              <w:rPr>
                <w:sz w:val="20"/>
                <w:szCs w:val="20"/>
              </w:rPr>
              <w:t xml:space="preserve">ITU SNS frequency-range classification</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Indicator for Ka-band allocations (30/20 GHz pair)</w:t>
            </w:r>
          </w:p>
        </w:tc>
        <w:tc>
          <w:tcPr>
            <w:tcW w:w="0" w:type="auto"/>
          </w:tcPr>
          <w:p>
            <w:pPr>
              <w:spacing w:line="240" w:lineRule="auto" w:before="0" w:after="0"/>
              <w:pStyle w:val="Compact"/>
            </w:pPr>
            <w:r>
              <w:rPr>
                <w:sz w:val="20"/>
                <w:szCs w:val="20"/>
              </w:rPr>
              <w:t xml:space="preserve">ITU SNS frequency-range classification</w:t>
            </w:r>
          </w:p>
        </w:tc>
      </w:tr>
      <w:tr>
        <w:tc>
          <w:tcPr>
            <w:tcW w:w="0" w:type="auto"/>
          </w:tcPr>
          <w:p>
            <w:pPr>
              <w:spacing w:line="240" w:lineRule="auto" w:before="0" w:after="0"/>
              <w:pStyle w:val="Compact"/>
            </w:pPr>
            <w:r>
              <w:rPr>
                <w:sz w:val="20"/>
                <w:szCs w:val="20"/>
              </w:rPr>
              <w:t xml:space="preserve">region_R2</w:t>
            </w:r>
          </w:p>
        </w:tc>
        <w:tc>
          <w:tcPr>
            <w:tcW w:w="0" w:type="auto"/>
          </w:tcPr>
          <w:p>
            <w:pPr>
              <w:spacing w:line="240" w:lineRule="auto" w:before="0" w:after="0"/>
              <w:pStyle w:val="Compact"/>
            </w:pPr>
            <w:r>
              <w:rPr>
                <w:sz w:val="20"/>
                <w:szCs w:val="20"/>
              </w:rPr>
              <w:t xml:space="preserve">Indicator for ITU Region 2 (Americas)</w:t>
            </w:r>
          </w:p>
        </w:tc>
        <w:tc>
          <w:tcPr>
            <w:tcW w:w="0" w:type="auto"/>
          </w:tcPr>
          <w:p>
            <w:pPr>
              <w:spacing w:line="240" w:lineRule="auto" w:before="0" w:after="0"/>
              <w:pStyle w:val="Compact"/>
            </w:pPr>
            <w:r>
              <w:rPr>
                <w:sz w:val="20"/>
                <w:szCs w:val="20"/>
              </w:rPr>
              <w:t xml:space="preserve">ITU Radio Regulations regional classification</w:t>
            </w:r>
          </w:p>
        </w:tc>
      </w:tr>
      <w:tr>
        <w:tc>
          <w:tcPr>
            <w:tcW w:w="0" w:type="auto"/>
          </w:tcPr>
          <w:p>
            <w:pPr>
              <w:spacing w:line="240" w:lineRule="auto" w:before="0" w:after="0"/>
              <w:pStyle w:val="Compact"/>
            </w:pPr>
            <w:r>
              <w:rPr>
                <w:sz w:val="20"/>
                <w:szCs w:val="20"/>
              </w:rPr>
              <w:t xml:space="preserve">region_R3</w:t>
            </w:r>
          </w:p>
        </w:tc>
        <w:tc>
          <w:tcPr>
            <w:tcW w:w="0" w:type="auto"/>
          </w:tcPr>
          <w:p>
            <w:pPr>
              <w:spacing w:line="240" w:lineRule="auto" w:before="0" w:after="0"/>
              <w:pStyle w:val="Compact"/>
            </w:pPr>
            <w:r>
              <w:rPr>
                <w:sz w:val="20"/>
                <w:szCs w:val="20"/>
              </w:rPr>
              <w:t xml:space="preserve">Indicator for ITU Region 3 (Asia-Pacific)</w:t>
            </w:r>
          </w:p>
        </w:tc>
        <w:tc>
          <w:tcPr>
            <w:tcW w:w="0" w:type="auto"/>
          </w:tcPr>
          <w:p>
            <w:pPr>
              <w:spacing w:line="240" w:lineRule="auto" w:before="0" w:after="0"/>
              <w:pStyle w:val="Compact"/>
            </w:pPr>
            <w:r>
              <w:rPr>
                <w:sz w:val="20"/>
                <w:szCs w:val="20"/>
              </w:rPr>
              <w:t xml:space="preserve">ITU Radio Regulations regional classification</w:t>
            </w:r>
          </w:p>
        </w:tc>
      </w:tr>
      <w:tr>
        <w:tc>
          <w:tcPr>
            <w:tcW w:w="0" w:type="auto"/>
          </w:tcPr>
          <w:p>
            <w:pPr>
              <w:spacing w:line="240" w:lineRule="auto" w:before="0" w:after="0"/>
              <w:pStyle w:val="Compact"/>
            </w:pPr>
            <w:r>
              <w:rPr>
                <w:sz w:val="20"/>
                <w:szCs w:val="20"/>
              </w:rPr>
              <w:t xml:space="preserve">vintage_post2010</w:t>
            </w:r>
          </w:p>
        </w:tc>
        <w:tc>
          <w:tcPr>
            <w:tcW w:w="0" w:type="auto"/>
          </w:tcPr>
          <w:p>
            <w:pPr>
              <w:spacing w:line="240" w:lineRule="auto" w:before="0" w:after="0"/>
              <w:pStyle w:val="Compact"/>
            </w:pPr>
            <w:r>
              <w:rPr>
                <w:sz w:val="20"/>
                <w:szCs w:val="20"/>
              </w:rPr>
              <w:t xml:space="preserve">Indicator equal to 1 when the filing vintage is post-2010, reflecting the high-throughput satellite generation</w:t>
            </w:r>
          </w:p>
        </w:tc>
        <w:tc>
          <w:tcPr>
            <w:tcW w:w="0" w:type="auto"/>
          </w:tcPr>
          <w:p>
            <w:pPr>
              <w:spacing w:line="240" w:lineRule="auto" w:before="0" w:after="0"/>
              <w:pStyle w:val="Compact"/>
            </w:pPr>
            <w:r>
              <w:rPr>
                <w:sz w:val="20"/>
                <w:szCs w:val="20"/>
              </w:rPr>
              <w:t xml:space="preserve">Filing-date field of the ITU SNS record</w:t>
            </w:r>
          </w:p>
        </w:tc>
      </w:tr>
    </w:tbl>
    <w:bookmarkEnd w:id="197"/>
    <w:bookmarkEnd w:id="198"/>
    <w:bookmarkStart w:id="206" w:name="X99e6acb664b211fecbd5652d4e6b65ff0d0915d"/>
    <w:p>
      <w:pPr>
        <w:pStyle w:val="Heading2"/>
        <w:spacing w:line="480" w:lineRule="auto"/>
      </w:pPr>
      <w:r>
        <w:t xml:space="preserve">A.2 Predicting Spectrum Filing Contestation: A Logit Model of Orbital Regime, Band Congestion, and Operator Class</w:t>
      </w:r>
    </w:p>
    <w:p>
      <w:pPr>
        <w:pStyle w:val="FirstParagraph"/>
        <w:spacing w:line="480" w:lineRule="auto"/>
      </w:pPr>
      <m:oMathPara>
        <m:oMathParaPr>
          <m:jc m:val="center"/>
        </m:oMathParaPr>
        <m:oMath>
          <m:r>
            <m:rPr>
              <m:sty m:val="p"/>
            </m:rPr>
            <m:t>Pr</m:t>
          </m:r>
          <m:r>
            <m:rPr>
              <m:sty m:val="p"/>
            </m:rPr>
            <m:t>(</m:t>
          </m:r>
          <m:sSub>
            <m:e>
              <m:r>
                <m:rPr>
                  <m:nor/>
                  <m:sty m:val="p"/>
                </m:rPr>
                <m:t>contested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r>
            <m:rPr>
              <m:sty m:val="p"/>
            </m:rPr>
            <m:t>log</m:t>
          </m:r>
          <m:sSub>
            <m:e>
              <m:r>
                <m:t>N</m:t>
              </m:r>
            </m:e>
            <m:sub>
              <m:r>
                <m:t>i</m:t>
              </m:r>
            </m:sub>
          </m:sSub>
          <m:r>
            <m:rPr>
              <m:sty m:val="p"/>
            </m:rPr>
            <m:t>+</m:t>
          </m:r>
          <m:sSub>
            <m:e>
              <m:r>
                <m:t>β</m:t>
              </m:r>
            </m:e>
            <m:sub>
              <m:r>
                <m:t>2</m:t>
              </m:r>
            </m:sub>
          </m:sSub>
          <m:sSub>
            <m:e>
              <m:r>
                <m:rPr>
                  <m:nor/>
                  <m:sty m:val="p"/>
                </m:rPr>
                <m:t>LEO</m:t>
              </m:r>
            </m:e>
            <m:sub>
              <m:r>
                <m:t>i</m:t>
              </m:r>
            </m:sub>
          </m:sSub>
          <m:r>
            <m:rPr>
              <m:sty m:val="p"/>
            </m:rPr>
            <m:t>+</m:t>
          </m:r>
          <m:sSub>
            <m:e>
              <m:r>
                <m:t>β</m:t>
              </m:r>
            </m:e>
            <m:sub>
              <m:r>
                <m:t>3</m:t>
              </m:r>
            </m:sub>
          </m:sSub>
          <m:sSub>
            <m:e>
              <m:r>
                <m:rPr>
                  <m:nor/>
                  <m:sty m:val="p"/>
                </m:rPr>
                <m:t>Comm</m:t>
              </m:r>
            </m:e>
            <m:sub>
              <m:r>
                <m:t>i</m:t>
              </m:r>
            </m:sub>
          </m:sSub>
          <m:r>
            <m:rPr>
              <m:sty m:val="p"/>
            </m:rPr>
            <m:t>+</m:t>
          </m:r>
          <m:sSub>
            <m:e>
              <m:r>
                <m:t>β</m:t>
              </m:r>
            </m:e>
            <m:sub>
              <m:r>
                <m:t>4</m:t>
              </m:r>
            </m:sub>
          </m:sSub>
          <m:sSub>
            <m:e>
              <m:r>
                <m:rPr>
                  <m:nor/>
                  <m:sty m:val="p"/>
                </m:rPr>
                <m:t>Band</m:t>
              </m:r>
            </m:e>
            <m:sub>
              <m:r>
                <m:t>i</m:t>
              </m:r>
            </m:sub>
          </m:sSub>
          <m:r>
            <m:rPr>
              <m:sty m:val="p"/>
            </m:rPr>
            <m:t>)</m:t>
          </m:r>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-4.3784</w:t>
            </w:r>
          </w:p>
        </w:tc>
        <w:tc>
          <w:tcPr>
            <w:tcW w:w="0" w:type="auto"/>
          </w:tcPr>
          <w:p>
            <w:pPr>
              <w:spacing w:line="240" w:lineRule="auto" w:before="0" w:after="0"/>
              <w:pStyle w:val="Compact"/>
            </w:pPr>
            <w:r>
              <w:rPr>
                <w:sz w:val="20"/>
                <w:szCs w:val="20"/>
              </w:rPr>
              <w:t xml:space="preserve">3.1675</w:t>
            </w:r>
          </w:p>
        </w:tc>
        <w:tc>
          <w:tcPr>
            <w:tcW w:w="0" w:type="auto"/>
          </w:tcPr>
          <w:p>
            <w:pPr>
              <w:spacing w:line="240" w:lineRule="auto" w:before="0" w:after="0"/>
              <w:pStyle w:val="Compact"/>
            </w:pPr>
            <w:r>
              <w:rPr>
                <w:sz w:val="20"/>
                <w:szCs w:val="20"/>
              </w:rPr>
              <w:t xml:space="preserve">-1.3823</w:t>
            </w:r>
          </w:p>
        </w:tc>
        <w:tc>
          <w:tcPr>
            <w:tcW w:w="0" w:type="auto"/>
          </w:tcPr>
          <w:p>
            <w:pPr>
              <w:spacing w:line="240" w:lineRule="auto" w:before="0" w:after="0"/>
              <w:pStyle w:val="Compact"/>
            </w:pPr>
            <w:r>
              <w:rPr>
                <w:sz w:val="20"/>
                <w:szCs w:val="20"/>
              </w:rPr>
              <w:t xml:space="preserve">0.1669</w:t>
            </w:r>
          </w:p>
        </w:tc>
        <w:tc>
          <w:tcPr>
            <w:tcW w:w="0" w:type="auto"/>
          </w:tcPr>
          <w:p>
            <w:pPr>
              <w:spacing w:line="240" w:lineRule="auto" w:before="0" w:after="0"/>
              <w:pStyle w:val="Compact"/>
            </w:pPr>
            <w:r>
              <w:rPr>
                <w:sz w:val="20"/>
                <w:szCs w:val="20"/>
              </w:rPr>
              <w:t xml:space="preserve">[-10.5864, 1.8297]</w:t>
            </w:r>
          </w:p>
        </w:tc>
      </w:tr>
      <w:tr>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0.0567</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1.9045</w:t>
            </w:r>
          </w:p>
        </w:tc>
        <w:tc>
          <w:tcPr>
            <w:tcW w:w="0" w:type="auto"/>
          </w:tcPr>
          <w:p>
            <w:pPr>
              <w:spacing w:line="240" w:lineRule="auto" w:before="0" w:after="0"/>
              <w:pStyle w:val="Compact"/>
            </w:pPr>
            <w:r>
              <w:rPr>
                <w:sz w:val="20"/>
                <w:szCs w:val="20"/>
              </w:rPr>
              <w:t xml:space="preserve">0.0568</w:t>
            </w:r>
          </w:p>
        </w:tc>
        <w:tc>
          <w:tcPr>
            <w:tcW w:w="0" w:type="auto"/>
          </w:tcPr>
          <w:p>
            <w:pPr>
              <w:spacing w:line="240" w:lineRule="auto" w:before="0" w:after="0"/>
              <w:pStyle w:val="Compact"/>
            </w:pPr>
            <w:r>
              <w:rPr>
                <w:sz w:val="20"/>
                <w:szCs w:val="20"/>
              </w:rPr>
              <w:t xml:space="preserve">[-0.0017, 0.1151]</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0.9365</w:t>
            </w:r>
          </w:p>
        </w:tc>
        <w:tc>
          <w:tcPr>
            <w:tcW w:w="0" w:type="auto"/>
          </w:tcPr>
          <w:p>
            <w:pPr>
              <w:spacing w:line="240" w:lineRule="auto" w:before="0" w:after="0"/>
              <w:pStyle w:val="Compact"/>
            </w:pPr>
            <w:r>
              <w:rPr>
                <w:sz w:val="20"/>
                <w:szCs w:val="20"/>
              </w:rPr>
              <w:t xml:space="preserve">2.6399</w:t>
            </w:r>
          </w:p>
        </w:tc>
        <w:tc>
          <w:tcPr>
            <w:tcW w:w="0" w:type="auto"/>
          </w:tcPr>
          <w:p>
            <w:pPr>
              <w:spacing w:line="240" w:lineRule="auto" w:before="0" w:after="0"/>
              <w:pStyle w:val="Compact"/>
            </w:pPr>
            <w:r>
              <w:rPr>
                <w:sz w:val="20"/>
                <w:szCs w:val="20"/>
              </w:rPr>
              <w:t xml:space="preserve">0.3547</w:t>
            </w:r>
          </w:p>
        </w:tc>
        <w:tc>
          <w:tcPr>
            <w:tcW w:w="0" w:type="auto"/>
          </w:tcPr>
          <w:p>
            <w:pPr>
              <w:spacing w:line="240" w:lineRule="auto" w:before="0" w:after="0"/>
              <w:pStyle w:val="Compact"/>
            </w:pPr>
            <w:r>
              <w:rPr>
                <w:sz w:val="20"/>
                <w:szCs w:val="20"/>
              </w:rPr>
              <w:t xml:space="preserve">0.7228</w:t>
            </w:r>
          </w:p>
        </w:tc>
        <w:tc>
          <w:tcPr>
            <w:tcW w:w="0" w:type="auto"/>
          </w:tcPr>
          <w:p>
            <w:pPr>
              <w:spacing w:line="240" w:lineRule="auto" w:before="0" w:after="0"/>
              <w:pStyle w:val="Compact"/>
            </w:pPr>
            <w:r>
              <w:rPr>
                <w:sz w:val="20"/>
                <w:szCs w:val="20"/>
              </w:rPr>
              <w:t xml:space="preserve">[-4.2377, 6.1107]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-6.4325</w:t>
            </w:r>
          </w:p>
        </w:tc>
        <w:tc>
          <w:tcPr>
            <w:tcW w:w="0" w:type="auto"/>
          </w:tcPr>
          <w:p>
            <w:pPr>
              <w:spacing w:line="240" w:lineRule="auto" w:before="0" w:after="0"/>
              <w:pStyle w:val="Compact"/>
            </w:pPr>
            <w:r>
              <w:rPr>
                <w:sz w:val="20"/>
                <w:szCs w:val="20"/>
              </w:rPr>
              <w:t xml:space="preserve">3.8111</w:t>
            </w:r>
          </w:p>
        </w:tc>
        <w:tc>
          <w:tcPr>
            <w:tcW w:w="0" w:type="auto"/>
          </w:tcPr>
          <w:p>
            <w:pPr>
              <w:spacing w:line="240" w:lineRule="auto" w:before="0" w:after="0"/>
              <w:pStyle w:val="Compact"/>
            </w:pPr>
            <w:r>
              <w:rPr>
                <w:sz w:val="20"/>
                <w:szCs w:val="20"/>
              </w:rPr>
              <w:t xml:space="preserve">-1.6878</w:t>
            </w:r>
          </w:p>
        </w:tc>
        <w:tc>
          <w:tcPr>
            <w:tcW w:w="0" w:type="auto"/>
          </w:tcPr>
          <w:p>
            <w:pPr>
              <w:spacing w:line="240" w:lineRule="auto" w:before="0" w:after="0"/>
              <w:pStyle w:val="Compact"/>
            </w:pPr>
            <w:r>
              <w:rPr>
                <w:sz w:val="20"/>
                <w:szCs w:val="20"/>
              </w:rPr>
              <w:t xml:space="preserve">0.0914</w:t>
            </w:r>
          </w:p>
        </w:tc>
        <w:tc>
          <w:tcPr>
            <w:tcW w:w="0" w:type="auto"/>
          </w:tcPr>
          <w:p>
            <w:pPr>
              <w:spacing w:line="240" w:lineRule="auto" w:before="0" w:after="0"/>
              <w:pStyle w:val="Compact"/>
            </w:pPr>
            <w:r>
              <w:rPr>
                <w:sz w:val="20"/>
                <w:szCs w:val="20"/>
              </w:rPr>
              <w:t xml:space="preserve">[-13.9022, 1.0372]</w:t>
            </w:r>
          </w:p>
        </w:tc>
      </w:tr>
      <w:tr>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0.3157</w:t>
            </w:r>
          </w:p>
        </w:tc>
        <w:tc>
          <w:tcPr>
            <w:tcW w:w="0" w:type="auto"/>
          </w:tcPr>
          <w:p>
            <w:pPr>
              <w:spacing w:line="240" w:lineRule="auto" w:before="0" w:after="0"/>
              <w:pStyle w:val="Compact"/>
            </w:pPr>
            <w:r>
              <w:rPr>
                <w:sz w:val="20"/>
                <w:szCs w:val="20"/>
              </w:rPr>
              <w:t xml:space="preserve">1.7994</w:t>
            </w:r>
          </w:p>
        </w:tc>
        <w:tc>
          <w:tcPr>
            <w:tcW w:w="0" w:type="auto"/>
          </w:tcPr>
          <w:p>
            <w:pPr>
              <w:spacing w:line="240" w:lineRule="auto" w:before="0" w:after="0"/>
              <w:pStyle w:val="Compact"/>
            </w:pPr>
            <w:r>
              <w:rPr>
                <w:sz w:val="20"/>
                <w:szCs w:val="20"/>
              </w:rPr>
              <w:t xml:space="preserve">0.072</w:t>
            </w:r>
          </w:p>
        </w:tc>
        <w:tc>
          <w:tcPr>
            <w:tcW w:w="0" w:type="auto"/>
          </w:tcPr>
          <w:p>
            <w:pPr>
              <w:spacing w:line="240" w:lineRule="auto" w:before="0" w:after="0"/>
              <w:pStyle w:val="Compact"/>
            </w:pPr>
            <w:r>
              <w:rPr>
                <w:sz w:val="20"/>
                <w:szCs w:val="20"/>
              </w:rPr>
              <w:t xml:space="preserve">[-0.0507, 1.1868]</w:t>
            </w:r>
          </w:p>
        </w:tc>
      </w:tr>
    </w:tbl>
    <w:p>
      <w:pPr>
        <w:pStyle w:val="BodyText"/>
        <w:spacing w:line="480" w:lineRule="auto"/>
        <w:ind w:firstLine="720"/>
      </w:pPr>
      <w:r>
        <w:t xml:space="preserve">Fit: N = 35 pseudo_R2 = 0.7114 LL = -6.964</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redicted probability of contested spectrum filing as a function of authorized constellation size, with logistic fit overlaid on observed outcomes." title="" id="201" name="Picture"/>
            <a:graphic>
              <a:graphicData uri="http://schemas.openxmlformats.org/drawingml/2006/picture">
                <pic:pic>
                  <pic:nvPicPr>
                    <pic:cNvPr descr="D:/Claude_Code/brain/collegium/candidates/dissertations/SPECTRUM_PNT_03/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Predicted probability of contested spectrum filing as a function of authorized constellation size, with logistic fit overlaid on observed outcomes.</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network</w:t>
            </w:r>
          </w:p>
        </w:tc>
        <w:tc>
          <w:tcPr>
            <w:tcW w:w="0" w:type="auto"/>
          </w:tcPr>
          <w:p>
            <w:pPr>
              <w:spacing w:line="240" w:lineRule="auto" w:before="0" w:after="0"/>
              <w:pStyle w:val="Compact"/>
            </w:pPr>
            <w:r>
              <w:rPr>
                <w:sz w:val="20"/>
                <w:szCs w:val="20"/>
              </w:rPr>
              <w:t xml:space="preserve">filing_year</w:t>
            </w:r>
          </w:p>
        </w:tc>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contested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4408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SAT-LOA-20161115-00118; FCC Order DA-19-342</w:t>
            </w:r>
          </w:p>
        </w:tc>
      </w:tr>
      <w:tr>
        <w:tc>
          <w:tcPr>
            <w:tcW w:w="0" w:type="auto"/>
          </w:tcPr>
          <w:p>
            <w:pPr>
              <w:spacing w:line="240" w:lineRule="auto" w:before="0" w:after="0"/>
              <w:pStyle w:val="Compact"/>
            </w:pPr>
            <w:r>
              <w:rPr>
                <w:sz w:val="20"/>
                <w:szCs w:val="20"/>
              </w:rPr>
              <w:t xml:space="preserve">Starlink Gen2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30000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SAT-AMD-20200417-00037; FCC Order FCC-22-91</w:t>
            </w:r>
          </w:p>
        </w:tc>
      </w:tr>
      <w:tr>
        <w:tc>
          <w:tcPr>
            <w:tcW w:w="0" w:type="auto"/>
          </w:tcPr>
          <w:p>
            <w:pPr>
              <w:spacing w:line="240" w:lineRule="auto" w:before="0" w:after="0"/>
              <w:pStyle w:val="Compact"/>
            </w:pPr>
            <w:r>
              <w:rPr>
                <w:sz w:val="20"/>
                <w:szCs w:val="20"/>
              </w:rPr>
              <w:t xml:space="preserve">OneWeb Phase1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SAT-LOI-20160428-00041; ITU API/A/9904</w:t>
            </w:r>
          </w:p>
        </w:tc>
      </w:tr>
      <w:tr>
        <w:tc>
          <w:tcPr>
            <w:tcW w:w="0" w:type="auto"/>
          </w:tcPr>
          <w:p>
            <w:pPr>
              <w:spacing w:line="240" w:lineRule="auto" w:before="0" w:after="0"/>
              <w:pStyle w:val="Compact"/>
            </w:pPr>
            <w:r>
              <w:rPr>
                <w:sz w:val="20"/>
                <w:szCs w:val="20"/>
              </w:rPr>
              <w:t xml:space="preserve">OneWeb Phase2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1280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SAT-MOD-20200526-00062</w:t>
            </w:r>
          </w:p>
        </w:tc>
      </w:tr>
      <w:tr>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SAT-LOA-20190704-00057; FCC Order FCC-20-102</w:t>
            </w:r>
          </w:p>
        </w:tc>
      </w:tr>
      <w:tr>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298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SAT-PDR-20200526-00053</w:t>
            </w:r>
          </w:p>
        </w:tc>
      </w:tr>
      <w:tr>
        <w:tc>
          <w:tcPr>
            <w:tcW w:w="0" w:type="auto"/>
          </w:tcPr>
          <w:p>
            <w:pPr>
              <w:spacing w:line="240" w:lineRule="auto" w:before="0" w:after="0"/>
              <w:pStyle w:val="Compact"/>
            </w:pPr>
            <w:r>
              <w:rPr>
                <w:sz w:val="20"/>
                <w:szCs w:val="20"/>
              </w:rPr>
              <w:t xml:space="preserve">Boeing V-band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SAT-LOA-20160622-00058</w:t>
            </w:r>
          </w:p>
        </w:tc>
      </w:tr>
      <w:tr>
        <w:tc>
          <w:tcPr>
            <w:tcW w:w="0" w:type="auto"/>
          </w:tcPr>
          <w:p>
            <w:pPr>
              <w:spacing w:line="240" w:lineRule="auto" w:before="0" w:after="0"/>
              <w:pStyle w:val="Compact"/>
            </w:pPr>
            <w:r>
              <w:rPr>
                <w:sz w:val="20"/>
                <w:szCs w:val="20"/>
              </w:rPr>
              <w:t xml:space="preserve">SpaceX V-band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7518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SAT-LOA-20170301-00027</w:t>
            </w:r>
          </w:p>
        </w:tc>
      </w:tr>
      <w:tr>
        <w:tc>
          <w:tcPr>
            <w:tcW w:w="0" w:type="auto"/>
          </w:tcPr>
          <w:p>
            <w:pPr>
              <w:spacing w:line="240" w:lineRule="auto" w:before="0" w:after="0"/>
              <w:pStyle w:val="Compact"/>
            </w:pPr>
            <w:r>
              <w:rPr>
                <w:sz w:val="20"/>
                <w:szCs w:val="20"/>
              </w:rPr>
              <w:t xml:space="preserve">Hughes EchoStar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SAT-LOA-20180111-00005 [illustrative contestation outcome]</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SAT-MOD-20131227-00148; ITU MIFR</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SAT-MOD-20100413-00075</w:t>
            </w:r>
          </w:p>
        </w:tc>
      </w:tr>
      <w:tr>
        <w:tc>
          <w:tcPr>
            <w:tcW w:w="0" w:type="auto"/>
          </w:tcPr>
          <w:p>
            <w:pPr>
              <w:spacing w:line="240" w:lineRule="auto" w:before="0" w:after="0"/>
              <w:pStyle w:val="Compact"/>
            </w:pPr>
            <w:r>
              <w:rPr>
                <w:sz w:val="20"/>
                <w:szCs w:val="20"/>
              </w:rPr>
              <w:t xml:space="preserve">Intelsat 901-907 refresh</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 Intelsat filings 2014-2015</w:t>
            </w:r>
          </w:p>
        </w:tc>
      </w:tr>
      <w:tr>
        <w:tc>
          <w:tcPr>
            <w:tcW w:w="0" w:type="auto"/>
          </w:tcPr>
          <w:p>
            <w:pPr>
              <w:spacing w:line="240" w:lineRule="auto" w:before="0" w:after="0"/>
              <w:pStyle w:val="Compact"/>
            </w:pPr>
            <w:r>
              <w:rPr>
                <w:sz w:val="20"/>
                <w:szCs w:val="20"/>
              </w:rPr>
              <w:t xml:space="preserve">SES O3b mPower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SAT-LOA-20170301-00028; FCC Order DA-19-261</w:t>
            </w:r>
          </w:p>
        </w:tc>
      </w:tr>
      <w:tr>
        <w:tc>
          <w:tcPr>
            <w:tcW w:w="0" w:type="auto"/>
          </w:tcPr>
          <w:p>
            <w:pPr>
              <w:spacing w:line="240" w:lineRule="auto" w:before="0" w:after="0"/>
              <w:pStyle w:val="Compact"/>
            </w:pPr>
            <w:r>
              <w:rPr>
                <w:sz w:val="20"/>
                <w:szCs w:val="20"/>
              </w:rPr>
              <w:t xml:space="preserve">Inmarsat I-6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Inmarsat 2015 license</w:t>
            </w:r>
          </w:p>
        </w:tc>
      </w:tr>
      <w:tr>
        <w:tc>
          <w:tcPr>
            <w:tcW w:w="0" w:type="auto"/>
          </w:tcPr>
          <w:p>
            <w:pPr>
              <w:spacing w:line="240" w:lineRule="auto" w:before="0" w:after="0"/>
              <w:pStyle w:val="Compact"/>
            </w:pPr>
            <w:r>
              <w:rPr>
                <w:sz w:val="20"/>
                <w:szCs w:val="20"/>
              </w:rPr>
              <w:t xml:space="preserve">ViaSat-3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SAT-LOA-20161115-00120; ViaSat v. FCC petition</w:t>
            </w:r>
          </w:p>
        </w:tc>
      </w:tr>
      <w:tr>
        <w:tc>
          <w:tcPr>
            <w:tcW w:w="0" w:type="auto"/>
          </w:tcPr>
          <w:p>
            <w:pPr>
              <w:spacing w:line="240" w:lineRule="auto" w:before="0" w:after="0"/>
              <w:pStyle w:val="Compact"/>
            </w:pPr>
            <w:r>
              <w:rPr>
                <w:sz w:val="20"/>
                <w:szCs w:val="20"/>
              </w:rPr>
              <w:t xml:space="preserve">Astranis MicroGEO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SAT-LOA-20180330-00027</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SAT-MOD-20230207-00021; AT&amp;T-Verizon objections</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SAT-LOA-20210504-00064; mobile carrier objections public record</w:t>
            </w:r>
          </w:p>
        </w:tc>
      </w:tr>
      <w:tr>
        <w:tc>
          <w:tcPr>
            <w:tcW w:w="0" w:type="auto"/>
          </w:tcPr>
          <w:p>
            <w:pPr>
              <w:spacing w:line="240" w:lineRule="auto" w:before="0" w:after="0"/>
              <w:pStyle w:val="Compact"/>
            </w:pPr>
            <w:r>
              <w:rPr>
                <w:sz w:val="20"/>
                <w:szCs w:val="20"/>
              </w:rPr>
              <w:t xml:space="preserve">GPS III</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USSF GPS III program records; NTIA federal allocation</w:t>
            </w:r>
          </w:p>
        </w:tc>
      </w:tr>
      <w:tr>
        <w:tc>
          <w:tcPr>
            <w:tcW w:w="0" w:type="auto"/>
          </w:tcPr>
          <w:p>
            <w:pPr>
              <w:spacing w:line="240" w:lineRule="auto" w:before="0" w:after="0"/>
              <w:pStyle w:val="Compact"/>
            </w:pPr>
            <w:r>
              <w:rPr>
                <w:sz w:val="20"/>
                <w:szCs w:val="20"/>
              </w:rPr>
              <w:t xml:space="preserve">Galileo FOC</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Galileo program; ITU MIFR EU notifications</w:t>
            </w:r>
          </w:p>
        </w:tc>
      </w:tr>
      <w:tr>
        <w:tc>
          <w:tcPr>
            <w:tcW w:w="0" w:type="auto"/>
          </w:tcPr>
          <w:p>
            <w:pPr>
              <w:spacing w:line="240" w:lineRule="auto" w:before="0" w:after="0"/>
              <w:pStyle w:val="Compact"/>
            </w:pPr>
            <w:r>
              <w:rPr>
                <w:sz w:val="20"/>
                <w:szCs w:val="20"/>
              </w:rPr>
              <w:t xml:space="preserve">BeiDou-3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API/A China filings; US-China GNSS coordination disputes [illustrative on contested flag]</w:t>
            </w:r>
          </w:p>
        </w:tc>
      </w:tr>
      <w:tr>
        <w:tc>
          <w:tcPr>
            <w:tcW w:w="0" w:type="auto"/>
          </w:tcPr>
          <w:p>
            <w:pPr>
              <w:spacing w:line="240" w:lineRule="auto" w:before="0" w:after="0"/>
              <w:pStyle w:val="Compact"/>
            </w:pPr>
            <w:r>
              <w:rPr>
                <w:sz w:val="20"/>
                <w:szCs w:val="20"/>
              </w:rPr>
              <w:t xml:space="preserve">GLONASS-K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GLONASS records; ITU MIFR Russia</w:t>
            </w:r>
          </w:p>
        </w:tc>
      </w:tr>
      <w:tr>
        <w:tc>
          <w:tcPr>
            <w:tcW w:w="0" w:type="auto"/>
          </w:tcPr>
          <w:p>
            <w:pPr>
              <w:spacing w:line="240" w:lineRule="auto" w:before="0" w:after="0"/>
              <w:pStyle w:val="Compact"/>
            </w:pPr>
            <w:r>
              <w:rPr>
                <w:sz w:val="20"/>
                <w:szCs w:val="20"/>
              </w:rPr>
              <w:t xml:space="preserve">NASA TDRS-M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TDRS program; gao-14-271</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Capella 2018-2020 licenses</w:t>
            </w:r>
          </w:p>
        </w:tc>
      </w:tr>
      <w:tr>
        <w:tc>
          <w:tcPr>
            <w:tcW w:w="0" w:type="auto"/>
          </w:tcPr>
          <w:p>
            <w:pPr>
              <w:spacing w:line="240" w:lineRule="auto" w:before="0" w:after="0"/>
              <w:pStyle w:val="Compact"/>
            </w:pPr>
            <w:r>
              <w:rPr>
                <w:sz w:val="20"/>
                <w:szCs w:val="20"/>
              </w:rPr>
              <w:t xml:space="preserve">Planet SkySat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Planet Labs licenses</w:t>
            </w:r>
          </w:p>
        </w:tc>
      </w:tr>
      <w:tr>
        <w:tc>
          <w:tcPr>
            <w:tcW w:w="0" w:type="auto"/>
          </w:tcPr>
          <w:p>
            <w:pPr>
              <w:spacing w:line="240" w:lineRule="auto" w:before="0" w:after="0"/>
              <w:pStyle w:val="Compact"/>
            </w:pPr>
            <w:r>
              <w:rPr>
                <w:sz w:val="20"/>
                <w:szCs w:val="20"/>
              </w:rPr>
              <w:t xml:space="preserve">Spire LEMUR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Spire 2014-2020 licenses</w:t>
            </w:r>
          </w:p>
        </w:tc>
      </w:tr>
      <w:tr>
        <w:tc>
          <w:tcPr>
            <w:tcW w:w="0" w:type="auto"/>
          </w:tcPr>
          <w:p>
            <w:pPr>
              <w:spacing w:line="240" w:lineRule="auto" w:before="0" w:after="0"/>
              <w:pStyle w:val="Compact"/>
            </w:pPr>
            <w:r>
              <w:rPr>
                <w:sz w:val="20"/>
                <w:szCs w:val="20"/>
              </w:rPr>
              <w:t xml:space="preserve">BlackSky Global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BlackSky licenses</w:t>
            </w:r>
          </w:p>
        </w:tc>
      </w:tr>
      <w:tr>
        <w:tc>
          <w:tcPr>
            <w:tcW w:w="0" w:type="auto"/>
          </w:tcPr>
          <w:p>
            <w:pPr>
              <w:spacing w:line="240" w:lineRule="auto" w:before="0" w:after="0"/>
              <w:pStyle w:val="Compact"/>
            </w:pPr>
            <w:r>
              <w:rPr>
                <w:sz w:val="20"/>
                <w:szCs w:val="20"/>
              </w:rPr>
              <w:t xml:space="preserve">Swarm SpaceBEE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Swarm SAT-PDR-20180207-00015; FCC unauthorized-launch enforcement DA-20-326</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HawkEye 360 cluster licenses</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Finland Traficom filings; ITU notifications</w:t>
            </w:r>
          </w:p>
        </w:tc>
      </w:tr>
      <w:tr>
        <w:tc>
          <w:tcPr>
            <w:tcW w:w="0" w:type="auto"/>
          </w:tcPr>
          <w:p>
            <w:pPr>
              <w:spacing w:line="240" w:lineRule="auto" w:before="0" w:after="0"/>
              <w:pStyle w:val="Compact"/>
            </w:pPr>
            <w:r>
              <w:rPr>
                <w:sz w:val="20"/>
                <w:szCs w:val="20"/>
              </w:rPr>
              <w:t xml:space="preserve">mPOWER expansion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SES 2022 mPower expansion; Ka-band coordination disputes [illustrative]</w:t>
            </w:r>
          </w:p>
        </w:tc>
      </w:tr>
      <w:tr>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LeoSat 2017 license; project dissolved 2019</w:t>
            </w:r>
          </w:p>
        </w:tc>
      </w:tr>
      <w:tr>
        <w:tc>
          <w:tcPr>
            <w:tcW w:w="0" w:type="auto"/>
          </w:tcPr>
          <w:p>
            <w:pPr>
              <w:spacing w:line="240" w:lineRule="auto" w:before="0" w:after="0"/>
              <w:pStyle w:val="Compact"/>
            </w:pPr>
            <w:r>
              <w:rPr>
                <w:sz w:val="20"/>
                <w:szCs w:val="20"/>
              </w:rPr>
              <w:t xml:space="preserve">Sky Perfect JSAT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Japan notifications; Sky Perfect JSAT annual report</w:t>
            </w:r>
          </w:p>
        </w:tc>
      </w:tr>
      <w:tr>
        <w:tc>
          <w:tcPr>
            <w:tcW w:w="0" w:type="auto"/>
          </w:tcPr>
          <w:p>
            <w:pPr>
              <w:spacing w:line="240" w:lineRule="auto" w:before="0" w:after="0"/>
              <w:pStyle w:val="Compact"/>
            </w:pPr>
            <w:r>
              <w:rPr>
                <w:sz w:val="20"/>
                <w:szCs w:val="20"/>
              </w:rPr>
              <w:t xml:space="preserve">Yahsat Thuraya 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UAE TDRA filings; Yahsat press kit</w:t>
            </w:r>
          </w:p>
        </w:tc>
      </w:tr>
      <w:tr>
        <w:tc>
          <w:tcPr>
            <w:tcW w:w="0" w:type="auto"/>
          </w:tcPr>
          <w:p>
            <w:pPr>
              <w:spacing w:line="240" w:lineRule="auto" w:before="0" w:after="0"/>
              <w:pStyle w:val="Compact"/>
            </w:pPr>
            <w:r>
              <w:rPr>
                <w:sz w:val="20"/>
                <w:szCs w:val="20"/>
              </w:rPr>
              <w:t xml:space="preserve">Hispasat Amazonas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Spain CNMC filings; Hispasat annual report</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contested</w:t>
            </w:r>
          </w:p>
        </w:tc>
        <w:tc>
          <w:tcPr>
            <w:tcW w:w="0" w:type="auto"/>
          </w:tcPr>
          <w:p>
            <w:pPr>
              <w:spacing w:line="240" w:lineRule="auto" w:before="0" w:after="0"/>
              <w:pStyle w:val="Compact"/>
            </w:pPr>
            <w:r>
              <w:rPr>
                <w:sz w:val="20"/>
                <w:szCs w:val="20"/>
              </w:rPr>
              <w:t xml:space="preserve">Binary indicator: 1 if the ITU/FCC filing drew formal objection, denial, modification order, or coordination dispute on the public record; 0 otherwise</w:t>
            </w:r>
          </w:p>
        </w:tc>
        <w:tc>
          <w:tcPr>
            <w:tcW w:w="0" w:type="auto"/>
          </w:tcPr>
          <w:p>
            <w:pPr>
              <w:spacing w:line="240" w:lineRule="auto" w:before="0" w:after="0"/>
              <w:pStyle w:val="Compact"/>
            </w:pPr>
            <w:r>
              <w:rPr>
                <w:sz w:val="20"/>
                <w:szCs w:val="20"/>
              </w:rPr>
              <w:t xml:space="preserve">FCC IBFS filings; ITU BR IFIC; GAO mission assessments</w:t>
            </w:r>
          </w:p>
        </w:tc>
      </w:tr>
      <w:tr>
        <w:tc>
          <w:tcPr>
            <w:tcW w:w="0" w:type="auto"/>
          </w:tcPr>
          <w:p>
            <w:pPr>
              <w:spacing w:line="240" w:lineRule="auto" w:before="0" w:after="0"/>
              <w:pStyle w:val="Compact"/>
            </w:pPr>
            <w:r>
              <w:rPr>
                <w:sz w:val="20"/>
                <w:szCs w:val="20"/>
              </w:rPr>
              <w:t xml:space="preserve">n_satellites</w:t>
            </w:r>
          </w:p>
        </w:tc>
        <w:tc>
          <w:tcPr>
            <w:tcW w:w="0" w:type="auto"/>
          </w:tcPr>
          <w:p>
            <w:pPr>
              <w:spacing w:line="240" w:lineRule="auto" w:before="0" w:after="0"/>
              <w:pStyle w:val="Compact"/>
            </w:pPr>
            <w:r>
              <w:rPr>
                <w:sz w:val="20"/>
                <w:szCs w:val="20"/>
              </w:rPr>
              <w:t xml:space="preserve">Authorized constellation size at filing</w:t>
            </w:r>
          </w:p>
        </w:tc>
        <w:tc>
          <w:tcPr>
            <w:tcW w:w="0" w:type="auto"/>
          </w:tcPr>
          <w:p>
            <w:pPr>
              <w:spacing w:line="240" w:lineRule="auto" w:before="0" w:after="0"/>
              <w:pStyle w:val="Compact"/>
            </w:pPr>
            <w:r>
              <w:rPr>
                <w:sz w:val="20"/>
                <w:szCs w:val="20"/>
              </w:rPr>
              <w:t xml:space="preserve">FCC IBFS Schedule S; operator press kits</w:t>
            </w:r>
          </w:p>
        </w:tc>
      </w:tr>
      <w:tr>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Binary: 1 if low Earth orbit, 0 if MEO/GEO</w:t>
            </w:r>
          </w:p>
        </w:tc>
        <w:tc>
          <w:tcPr>
            <w:tcW w:w="0" w:type="auto"/>
          </w:tcPr>
          <w:p>
            <w:pPr>
              <w:spacing w:line="240" w:lineRule="auto" w:before="0" w:after="0"/>
              <w:pStyle w:val="Compact"/>
            </w:pPr>
            <w:r>
              <w:rPr>
                <w:sz w:val="20"/>
                <w:szCs w:val="20"/>
              </w:rPr>
              <w:t xml:space="preserve">FCC IBFS orbital parameters</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Binary: 1 commercial operator, 0 government/civil PNT</w:t>
            </w:r>
          </w:p>
        </w:tc>
        <w:tc>
          <w:tcPr>
            <w:tcW w:w="0" w:type="auto"/>
          </w:tcPr>
          <w:p>
            <w:pPr>
              <w:spacing w:line="240" w:lineRule="auto" w:before="0" w:after="0"/>
              <w:pStyle w:val="Compact"/>
            </w:pPr>
            <w:r>
              <w:rPr>
                <w:sz w:val="20"/>
                <w:szCs w:val="20"/>
              </w:rPr>
              <w:t xml:space="preserve">Operator corporate status; NTIA federal allocation table</w:t>
            </w:r>
          </w:p>
        </w:tc>
      </w:tr>
      <w:tr>
        <w:tc>
          <w:tcPr>
            <w:tcW w:w="0" w:type="auto"/>
          </w:tcPr>
          <w:p>
            <w:pPr>
              <w:spacing w:line="240" w:lineRule="auto" w:before="0" w:after="0"/>
              <w:pStyle w:val="Compact"/>
            </w:pPr>
            <w:r>
              <w:rPr>
                <w:sz w:val="20"/>
                <w:szCs w:val="20"/>
              </w:rPr>
              <w:t xml:space="preserve">band_ghz</w:t>
            </w:r>
          </w:p>
        </w:tc>
        <w:tc>
          <w:tcPr>
            <w:tcW w:w="0" w:type="auto"/>
          </w:tcPr>
          <w:p>
            <w:pPr>
              <w:spacing w:line="240" w:lineRule="auto" w:before="0" w:after="0"/>
              <w:pStyle w:val="Compact"/>
            </w:pPr>
            <w:r>
              <w:rPr>
                <w:sz w:val="20"/>
                <w:szCs w:val="20"/>
              </w:rPr>
              <w:t xml:space="preserve">Downlink center frequency in GHz</w:t>
            </w:r>
          </w:p>
        </w:tc>
        <w:tc>
          <w:tcPr>
            <w:tcW w:w="0" w:type="auto"/>
          </w:tcPr>
          <w:p>
            <w:pPr>
              <w:spacing w:line="240" w:lineRule="auto" w:before="0" w:after="0"/>
              <w:pStyle w:val="Compact"/>
            </w:pPr>
            <w:r>
              <w:rPr>
                <w:sz w:val="20"/>
                <w:szCs w:val="20"/>
              </w:rPr>
              <w:t xml:space="preserve">FCC IBFS frequency assignment; ITU MIFR</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63" Type="http://schemas.openxmlformats.org/officeDocument/2006/relationships/hyperlink" Target="https://doi.org/10.1016/j.actaastro.2019.07.040" TargetMode="External"/><Relationship Id="rId186" Type="http://schemas.openxmlformats.org/officeDocument/2006/relationships/hyperlink" Target="https://doi.org/10.1016/j.actaastro.2021.06.023" TargetMode="External"/><Relationship Id="rId182" Type="http://schemas.openxmlformats.org/officeDocument/2006/relationships/hyperlink" Target="https://doi.org/10.1016/j.actaastro.2021.07.046" TargetMode="External"/><Relationship Id="rId188" Type="http://schemas.openxmlformats.org/officeDocument/2006/relationships/hyperlink" Target="https://doi.org/10.1016/j.actaastro.2021.12.030" TargetMode="External"/><Relationship Id="rId161" Type="http://schemas.openxmlformats.org/officeDocument/2006/relationships/hyperlink" Target="https://doi.org/10.1016/j.actaastro.2023.08.010" TargetMode="External"/><Relationship Id="rId180" Type="http://schemas.openxmlformats.org/officeDocument/2006/relationships/hyperlink" Target="https://doi.org/10.1016/j.actaastro.2024.07.022" TargetMode="External"/><Relationship Id="rId184" Type="http://schemas.openxmlformats.org/officeDocument/2006/relationships/hyperlink" Target="https://doi.org/10.1016/j.actaastro.2024.12.022" TargetMode="External"/><Relationship Id="rId159" Type="http://schemas.openxmlformats.org/officeDocument/2006/relationships/hyperlink" Target="https://doi.org/10.1016/j.actaastro.2025.02.010" TargetMode="External"/><Relationship Id="rId178" Type="http://schemas.openxmlformats.org/officeDocument/2006/relationships/hyperlink" Target="https://doi.org/10.1016/j.actaastro.2025.04.038" TargetMode="External"/><Relationship Id="rId152" Type="http://schemas.openxmlformats.org/officeDocument/2006/relationships/hyperlink" Target="https://doi.org/10.64861/NNMO1182" TargetMode="External"/><Relationship Id="rId154" Type="http://schemas.openxmlformats.org/officeDocument/2006/relationships/hyperlink" Target="https://doi.org/10.64861/OYBJ9192" TargetMode="External"/><Relationship Id="rId150"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16/j.actaastro.2019.07.040" TargetMode="External"/><Relationship Id="rId186" Type="http://schemas.openxmlformats.org/officeDocument/2006/relationships/hyperlink" Target="https://doi.org/10.1016/j.actaastro.2021.06.023" TargetMode="External"/><Relationship Id="rId182" Type="http://schemas.openxmlformats.org/officeDocument/2006/relationships/hyperlink" Target="https://doi.org/10.1016/j.actaastro.2021.07.046" TargetMode="External"/><Relationship Id="rId188" Type="http://schemas.openxmlformats.org/officeDocument/2006/relationships/hyperlink" Target="https://doi.org/10.1016/j.actaastro.2021.12.030" TargetMode="External"/><Relationship Id="rId161" Type="http://schemas.openxmlformats.org/officeDocument/2006/relationships/hyperlink" Target="https://doi.org/10.1016/j.actaastro.2023.08.010" TargetMode="External"/><Relationship Id="rId180" Type="http://schemas.openxmlformats.org/officeDocument/2006/relationships/hyperlink" Target="https://doi.org/10.1016/j.actaastro.2024.07.022" TargetMode="External"/><Relationship Id="rId184" Type="http://schemas.openxmlformats.org/officeDocument/2006/relationships/hyperlink" Target="https://doi.org/10.1016/j.actaastro.2024.12.022" TargetMode="External"/><Relationship Id="rId159" Type="http://schemas.openxmlformats.org/officeDocument/2006/relationships/hyperlink" Target="https://doi.org/10.1016/j.actaastro.2025.02.010" TargetMode="External"/><Relationship Id="rId178" Type="http://schemas.openxmlformats.org/officeDocument/2006/relationships/hyperlink" Target="https://doi.org/10.1016/j.actaastro.2025.04.038" TargetMode="External"/><Relationship Id="rId152" Type="http://schemas.openxmlformats.org/officeDocument/2006/relationships/hyperlink" Target="https://doi.org/10.64861/NNMO1182" TargetMode="External"/><Relationship Id="rId154" Type="http://schemas.openxmlformats.org/officeDocument/2006/relationships/hyperlink" Target="https://doi.org/10.64861/OYBJ9192" TargetMode="External"/><Relationship Id="rId150"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Uplink-Downlink Asymmetry of Spectrum Power: Mapping Chokepoint Concentration</dc:title>
  <dc:creator>Lorenzo Mbeki (1B-ITI-128)</dc:creator>
  <cp:keywords/>
  <dcterms:created xsi:type="dcterms:W3CDTF">2026-07-02T17:22:25Z</dcterms:created>
  <dcterms:modified xsi:type="dcterms:W3CDTF">2026-07-02T17:22:25Z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