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COORDINATION DRAG: HOW LONG DOES ITU FREQUENCY COORDINATION ACTUALLY TAKE, AND DOES IT PREDICT CONSTELLATION DEPLOYMENT OUTCOMES</w:t>
      </w:r>
    </w:p>
    <w:p>
      <w:pPr>
        <w:jc w:val="center"/>
      </w:pPr>
    </w:p>
    <w:p>
      <w:pPr>
        <w:jc w:val="center"/>
      </w:pPr>
      <w:r>
        <w:rPr>
          <w:rFonts w:ascii="Times New Roman" w:hAnsi="Times New Roman"/>
          <w:sz w:val="24"/>
        </w:rPr>
        <w:t>by</w:t>
      </w:r>
    </w:p>
    <w:p>
      <w:pPr>
        <w:jc w:val="center"/>
      </w:pPr>
      <w:r>
        <w:rPr>
          <w:rFonts w:ascii="Times New Roman" w:hAnsi="Times New Roman"/>
          <w:b/>
          <w:sz w:val="28"/>
        </w:rPr>
        <w:t>Lucia Iverson</w:t>
      </w:r>
    </w:p>
    <w:p>
      <w:pPr>
        <w:jc w:val="center"/>
      </w:pPr>
      <w:r>
        <w:rPr>
          <w:rFonts w:ascii="Times New Roman" w:hAnsi="Times New Roman"/>
          <w:sz w:val="24"/>
        </w:rPr>
        <w:t>1B-ITI-123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Every non-geostationary satellite network that intends to transmit lawfully on the orbital arc must first pass through a regulatory pipeline administered by the International Telecommunication Union (ITU). The pipeline runs from the publication of Advance Publication Information (API), through the Coordination Request stage in which co-frequency incumbent networks are identified and bilateral coordination is initiated, to Notification and recording of the assignment in the Master International Frequency Register (MIFR). The procedure is codified in Articles 9 and 11 of the Radio Regulations and is binding on member states and on the operators those states sponsor</w:t>
      </w:r>
      <w:r>
        <w:t xml:space="preserve"> </w:t>
      </w:r>
      <w:hyperlink w:anchor="ref-3">
        <w:r>
          <w:rPr>
            <w:rStyle w:val="Hyperlink"/>
          </w:rPr>
          <w:t xml:space="preserve">[3]</w:t>
        </w:r>
      </w:hyperlink>
      <w:r>
        <w:t xml:space="preserve">. Without successful Notification, an operator has no internationally protected right to use the spectrum on which its business case rests, and any on-orbit transmissions are exposed to a recognized legal claim of harmful interference from incumbent users</w:t>
      </w:r>
      <w:r>
        <w:t xml:space="preserve"> </w:t>
      </w:r>
      <w:hyperlink w:anchor="ref-1">
        <w:r>
          <w:rPr>
            <w:rStyle w:val="Hyperlink"/>
          </w:rPr>
          <w:t xml:space="preserve">[1]</w:t>
        </w:r>
      </w:hyperlink>
      <w:r>
        <w:t xml:space="preserve">.</w:t>
      </w:r>
    </w:p>
    <w:p>
      <w:pPr>
        <w:pStyle w:val="BodyText"/>
        <w:spacing w:line="480" w:lineRule="auto"/>
        <w:ind w:firstLine="720"/>
      </w:pPr>
      <w:r>
        <w:t xml:space="preserve">The duration of this pipeline has become a strategic variable. Large constellation filings have entered the system at a cadence that the coordination machinery was not originally designed to absorb, and the resulting overhead between new and incumbent users is now a non-trivial cost driver for any operator that proposes to deploy thousands of satellites in shared bands [2, 22]. The cost is measured in months. The post-WRC-19 milestone regime, which conditions continued recognition of a filing on staged Bringing-Into-Use (BIU) thresholds tied to deployed satellite counts, was introduced precisely because the prior regime allowed paper filings to occupy coordination capacity without any subsequent flight hardware [3, 10]. The milestone schedule fixes a clock against which the operator must deliver real assets to orbit, and the time the operator can devote to coordinating with incumbents is therefore time it cannot devote to construction, launch contracting, and orbit raising.</w:t>
      </w:r>
    </w:p>
    <w:p>
      <w:pPr>
        <w:pStyle w:val="BodyText"/>
        <w:spacing w:line="480" w:lineRule="auto"/>
        <w:ind w:firstLine="720"/>
      </w:pPr>
      <w:r>
        <w:t xml:space="preserve">Despite the centrality of this pipeline to every commercial and governmental space program that requires international spectrum access, the elapsed time it actually consumes has not been characterized at the population level. The literature offers legal-institutional accounts of how the procedure is supposed to work [3, 10, 12], strategic accounts of how large-constellation operators expect to amortize coordination cost across thousands of satellites [4, 17], and independent compliance-monitoring accounts of how on-orbit behavior does not always match what filings say [1, 11, 14]. None of the retrieved sources, however, estimates the distribution of API-to-Notification durations across the filing population, none recovers the covariates that shift the hazard of completing coordination, and none tests whether the realized coordination duration predicts the downstream regulatory outcome that the milestone schedule was designed to enforce. A quantitative blind spot sits at the center of an information-technology infrastructure on which the modern space economy is increasingly dependent. No one has measured it.</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stakes of this blind spot are not abstract for NASA and for the Jet Propulsion Laboratory. NASA is not only a science agency but also a sponsoring administration whose science missions, Earth-observing constellations, lunar relays, and deep-space communications all require ITU coordination through the United States administration. JPL, as the principal NASA center for deep-space exploration and as an operator of the Deep Space Network, depends on the predictability of the coordination pipeline at two distinct horizons. At the mission-planning horizon, project managers must commit to launch windows and to spacecraft designs years before the corresponding filings reach Notification, and a coordination duration that is poorly characterized at the population level forces project schedules to absorb regulatory tail risk as unpriced reserve. At the operational horizon, JPL must coexist with a rapidly growing population of co-frequency commercial networks whose coordination histories determine which incumbents will be present to object to future NASA assignments and which bands will already be effectively occupied by filings that have not yet reached BIU.</w:t>
      </w:r>
    </w:p>
    <w:p>
      <w:pPr>
        <w:pStyle w:val="BodyText"/>
        <w:spacing w:line="480" w:lineRule="auto"/>
        <w:ind w:firstLine="720"/>
      </w:pPr>
      <w:r>
        <w:t xml:space="preserve">The information-technology infrastructure that records these filings, links them to their orbital and frequency parameters, and tracks their progression through the procedural milestones is itself a NASA and JPL concern. Independent compliance monitoring of geostationary assignments has shown that the alignment between the regulatory record and observed on-orbit behavior is imperfectly observable [1, 11], and the architectural literature on orbital classification treats ITU allocations as binding inputs to any operationally meaningful taxonomy of the orbit population</w:t>
      </w:r>
      <w:r>
        <w:t xml:space="preserve"> </w:t>
      </w:r>
      <w:hyperlink w:anchor="ref-5">
        <w:r>
          <w:rPr>
            <w:rStyle w:val="Hyperlink"/>
          </w:rPr>
          <w:t xml:space="preserve">[5]</w:t>
        </w:r>
      </w:hyperlink>
      <w:r>
        <w:t xml:space="preserve">. Work on space capacity management and on the composite indicators that would incentivize operators to internalize the sustainability cost of their filings treats the filing record as a primary data layer that must be tractable to outside analysts [19, 25]. The Space Sustainability Rating, for example, presupposes that the filing pipeline is legible enough for an external evaluator to assess an operator’s regulatory posture against its on-orbit conduct</w:t>
      </w:r>
      <w:r>
        <w:t xml:space="preserve"> </w:t>
      </w:r>
      <w:hyperlink w:anchor="ref-25">
        <w:r>
          <w:rPr>
            <w:rStyle w:val="Hyperlink"/>
          </w:rPr>
          <w:t xml:space="preserve">[25]</w:t>
        </w:r>
      </w:hyperlink>
      <w:r>
        <w:t xml:space="preserve">. If the coordination duration is itself unmeasured, the rating and any analogous instrument that NASA or its partners might rely upon to discipline the shared environment loses its anchor in the regulatory record.</w:t>
      </w:r>
    </w:p>
    <w:p>
      <w:pPr>
        <w:pStyle w:val="BodyText"/>
        <w:spacing w:line="480" w:lineRule="auto"/>
        <w:ind w:firstLine="720"/>
      </w:pPr>
      <w:r>
        <w:t xml:space="preserve">The institutional stakes extend further. Consider the reach of the argument. Cooperative-sovereignty proposals that would port the ITU coordination model to the Martian environment depend on a clear-eyed reading of how the model actually performs in its terrestrial application</w:t>
      </w:r>
      <w:r>
        <w:t xml:space="preserve"> </w:t>
      </w:r>
      <w:hyperlink w:anchor="ref-24">
        <w:r>
          <w:rPr>
            <w:rStyle w:val="Hyperlink"/>
          </w:rPr>
          <w:t xml:space="preserve">[24]</w:t>
        </w:r>
      </w:hyperlink>
      <w:r>
        <w:t xml:space="preserve">. Policy syntheses that recommend leveraging existing ITU structures as the basis for orbital spectrum and orbit management presume that those structures already produce known throughput characteristics</w:t>
      </w:r>
      <w:r>
        <w:t xml:space="preserve"> </w:t>
      </w:r>
      <w:hyperlink w:anchor="ref-6">
        <w:r>
          <w:rPr>
            <w:rStyle w:val="Hyperlink"/>
          </w:rPr>
          <w:t xml:space="preserve">[6]</w:t>
        </w:r>
      </w:hyperlink>
      <w:r>
        <w:t xml:space="preserve">. Government oversight bodies that have examined the environmental and operational effects of large constellations have explicitly identified the coordination pipeline as a system whose latency and bottlenecks merit independent assessment</w:t>
      </w:r>
      <w:r>
        <w:t xml:space="preserve"> </w:t>
      </w:r>
      <w:hyperlink w:anchor="ref-9">
        <w:r>
          <w:rPr>
            <w:rStyle w:val="Hyperlink"/>
          </w:rPr>
          <w:t xml:space="preserve">[9]</w:t>
        </w:r>
      </w:hyperlink>
      <w:r>
        <w:t xml:space="preserve">. NASA and JPL have a direct programmatic interest in the answer to a question that the literature has not yet posed in falsifiable terms: how long does ITU frequency coordination actually take, and does the duration of that pipeline predict the regulatory outcomes that the milestone regime is supposed to enforce.</w:t>
      </w:r>
    </w:p>
    <w:bookmarkEnd w:id="62"/>
    <w:bookmarkStart w:id="63" w:name="Xf30008fd28f360eb8a859a1c12858bf7c60a4b4"/>
    <w:p>
      <w:pPr>
        <w:pStyle w:val="Heading2"/>
        <w:spacing w:line="480" w:lineRule="auto"/>
      </w:pPr>
      <w:r>
        <w:t xml:space="preserve">1.3 The Gap Between the Domain Literature and the Econometric Method Literature</w:t>
      </w:r>
    </w:p>
    <w:p>
      <w:pPr>
        <w:pStyle w:val="FirstParagraph"/>
        <w:spacing w:line="480" w:lineRule="auto"/>
      </w:pPr>
      <w:r>
        <w:t xml:space="preserve">The gap that this dissertation addresses sits between two literatures that have not been brought into productive contact. On one side is the domain literature on space spectrum governance. That literature is rich on legal-institutional structure and on strategic positioning. Allison provides the canonical account of the WRC-19 reforms that introduced the staged BIU milestone schedule and notes the procedural innovations that the reforms produced [3, 10, 12]. Young and Thadani describe the coordination, notification, and recording of satellite radio frequencies as the contested arena in which low-Earth-orbit broadband competition will be settled, but they treat coordination duration as a qualitative attribute rather than as a measured outcome [4, 17]. Sorge and colleagues argue that coordination overhead between new and incumbent users is one of the principal cost drivers for large constellations and that the throughput of the procedure is now a binding constraint on deployment, but they do not deliver a measured distribution of filing durations [2, 22]. Stilwell and colleagues describe ITU allocations as binding inputs to orbital classification without modeling the latency of the allocation process itself</w:t>
      </w:r>
      <w:r>
        <w:t xml:space="preserve"> </w:t>
      </w:r>
      <w:hyperlink w:anchor="ref-5">
        <w:r>
          <w:rPr>
            <w:rStyle w:val="Hyperlink"/>
          </w:rPr>
          <w:t xml:space="preserve">[5]</w:t>
        </w:r>
      </w:hyperlink>
      <w:r>
        <w:t xml:space="preserve">. Karra and Jah document the imperfect alignment between filings and on-orbit behavior at the operational stage [1, 11] but operate at the compliance-observation layer rather than at the filing-throughput layer that this dissertation targets. Roberts and Linares survey ITU space station applications in the geosynchronous regime and provide useful descriptive structure but do not estimate hazard models on the survival times of filings</w:t>
      </w:r>
      <w:r>
        <w:t xml:space="preserve"> </w:t>
      </w:r>
      <w:hyperlink w:anchor="ref-14">
        <w:r>
          <w:rPr>
            <w:rStyle w:val="Hyperlink"/>
          </w:rPr>
          <w:t xml:space="preserve">[14]</w:t>
        </w:r>
      </w:hyperlink>
      <w:r>
        <w:t xml:space="preserve">. Dey and Jagadanandan situate the procedural questions inside a broader argument about commercialization and sustainability without delivering econometric estimates</w:t>
      </w:r>
      <w:r>
        <w:t xml:space="preserve"> </w:t>
      </w:r>
      <w:hyperlink w:anchor="ref-20">
        <w:r>
          <w:rPr>
            <w:rStyle w:val="Hyperlink"/>
          </w:rPr>
          <w:t xml:space="preserve">[20]</w:t>
        </w:r>
      </w:hyperlink>
      <w:r>
        <w:t xml:space="preserve">.</w:t>
      </w:r>
    </w:p>
    <w:p>
      <w:pPr>
        <w:pStyle w:val="BodyText"/>
        <w:spacing w:line="480" w:lineRule="auto"/>
        <w:ind w:firstLine="720"/>
      </w:pPr>
      <w:r>
        <w:t xml:space="preserve">On the other side is a large econometric literature on event-history analysis, the Cox proportional-hazards model, parametric accelerated failure-time models, shared-frailty extensions for clustered survival data, and discrete-choice models of binary outcomes. That methodological apparatus is standard in labor economics, in industrial organization, and in the analysis of program effects in regulated industries. It has been applied to license processing, to patent grant durations, and to the duration of administrative review in other domains, and its identification logic, censoring conventions, and diagnostic battery are well understood.</w:t>
      </w:r>
    </w:p>
    <w:p>
      <w:pPr>
        <w:pStyle w:val="BodyText"/>
        <w:spacing w:line="480" w:lineRule="auto"/>
        <w:ind w:firstLine="720"/>
      </w:pPr>
      <w:r>
        <w:t xml:space="preserve">Neither literature has been wired to the other for the ITU coordination pipeline. The domain literature gestures at duration as a binding constraint without measuring it. The econometric literature has the tools to measure it but has not been pointed at the ITU filing population. That mismatch is the opening. Two preceding papers in this dissertation begin to close that gap. The first paper estimates a logit model on a hand-built panel of twenty-eight non-geostationary network filings and reports that both coordination duration and the count of co-frequency incumbents at Coordination Request stage raise the probability of milestone miss at conventional significance levels. The second paper estimates a Cox proportional-hazards model on a thirty-five-filing dataset and isolates a megaconstellation indicator whose hazard ratio of approximately 0.175 implies that filings tied to constellations larger than one thousand satellites face a Notification hazard that is roughly eighty-two percent lower than otherwise comparable filings. Both papers are anchored in the same domain literature [1, 2, 3] and use the same primary data sources [7, 8, 9], but each is constrained in scale and in the covariate set it can support.</w:t>
      </w:r>
    </w:p>
    <w:p>
      <w:pPr>
        <w:pStyle w:val="BodyText"/>
        <w:spacing w:line="480" w:lineRule="auto"/>
        <w:ind w:firstLine="720"/>
      </w:pPr>
      <w:r>
        <w:t xml:space="preserve">The opportunity that this dissertation pursues is to expand the population to the full ITU Space Network Systems Online (SNS) record of non-geostationary filings between January 2014 and December 2025, to import the econometric apparatus that the domain literature has not yet adopted, and to deliver a single falsifiable estimate that connects the upstream coordination pipeline to the downstream milestone outcome.</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this dissertation is one estimable causal claim about the ITU coordination pipeline as information-technology infrastructure. The claim is stated as a competing pair of hypotheses.</w:t>
      </w:r>
    </w:p>
    <w:p>
      <w:pPr>
        <w:pStyle w:val="BodyText"/>
        <w:spacing w:line="480" w:lineRule="auto"/>
        <w:ind w:firstLine="720"/>
      </w:pPr>
      <w:r>
        <w:t xml:space="preserve">H0, the null. Conditional on the notifying administration, the frequency band, the orbital regime, and the filing year, the hazard of completing ITU coordination from API publication to Notification recording in the MIFR is independent of the number of co-frequency incumbent networks identified at the Coordination Request stage, and conditional on the same covariates the realized coordination duration is uninformative about the probability that the network misses its first regulatory BIU milestone.</w:t>
      </w:r>
    </w:p>
    <w:p>
      <w:pPr>
        <w:pStyle w:val="BodyText"/>
        <w:spacing w:line="480" w:lineRule="auto"/>
        <w:ind w:firstLine="720"/>
      </w:pPr>
      <w:r>
        <w:t xml:space="preserve">H1, the alternative. Conditional on the same covariates, each additional co-frequency incumbent network identified at the Coordination Request stage reduces the hazard of completing coordination by a strictly positive amount, and longer realized coordination durations are associated with a higher probability of missing the first regulatory BIU milestone in a held-out cohort of filings.</w:t>
      </w:r>
    </w:p>
    <w:p>
      <w:pPr>
        <w:pStyle w:val="BodyText"/>
        <w:spacing w:line="480" w:lineRule="auto"/>
        <w:ind w:firstLine="720"/>
      </w:pPr>
      <w:r>
        <w:t xml:space="preserve">H1 is falsifiable on two distinct estimands. The test is symmetric. If the hazard ratio on the incumbent count is statistically indistinguishable from one at conventional significance, the upstream half of the claim fails. If the realized coordination duration does not predict milestone miss in the held-out cohort at conventional significance, the downstream half of the claim fails. Either failure is sufficient to reject the contribution. The hypothesis pair is therefore not a vague directional conjecture but a single falsifiable statement that can be defeated by the data the SNS record will produce.</w:t>
      </w:r>
    </w:p>
    <w:p>
      <w:pPr>
        <w:pStyle w:val="BodyText"/>
        <w:spacing w:line="480" w:lineRule="auto"/>
        <w:ind w:firstLine="720"/>
      </w:pPr>
      <w:r>
        <w:t xml:space="preserve">The methodological apparatus that supports the test is a Cox proportional-hazards model with shared frailty at the notifying administration level, a parametric accelerated failure-time model as a robustness check, and a logit model on the milestone-miss outcome with administration and band fixed effects. Identification of the incumbent-count coefficient relies on within-administration, within-band variation in incumbent counts driven by the arrival order of unrelated third-party filings, an instrument that is analogous to a queue-position shock and that severs the link between the operator’s own behavior and the congestion the operator faces at Coordination Request stage. Placebo tests on filings withdrawn before Coordination Request, E-value sensitivity analysis to unobserved congestion, and stratified estimation across the pre-WRC-19 and post-WRC-19 regimes round out the identification strategy. The data are public and reproducible: the ITU SNS record</w:t>
      </w:r>
      <w:r>
        <w:t xml:space="preserve"> </w:t>
      </w:r>
      <w:hyperlink w:anchor="ref-8">
        <w:r>
          <w:rPr>
            <w:rStyle w:val="Hyperlink"/>
          </w:rPr>
          <w:t xml:space="preserve">[8]</w:t>
        </w:r>
      </w:hyperlink>
      <w:r>
        <w:t xml:space="preserve">, the FCC International Bureau Filing System dockets</w:t>
      </w:r>
      <w:r>
        <w:t xml:space="preserve"> </w:t>
      </w:r>
      <w:hyperlink w:anchor="ref-7">
        <w:r>
          <w:rPr>
            <w:rStyle w:val="Hyperlink"/>
          </w:rPr>
          <w:t xml:space="preserve">[7]</w:t>
        </w:r>
      </w:hyperlink>
      <w:r>
        <w:t xml:space="preserve">, and the GAO assessment of large constellation effects</w:t>
      </w:r>
      <w:r>
        <w:t xml:space="preserve"> </w:t>
      </w:r>
      <w:hyperlink w:anchor="ref-9">
        <w:r>
          <w:rPr>
            <w:rStyle w:val="Hyperlink"/>
          </w:rPr>
          <w:t xml:space="preserve">[9]</w:t>
        </w:r>
      </w:hyperlink>
      <w:r>
        <w:t xml:space="preserve"> </w:t>
      </w:r>
      <w:r>
        <w:t xml:space="preserve">are the principal sources, all of which have been used in the two preceding papers without obstruction.</w:t>
      </w:r>
    </w:p>
    <w:p>
      <w:pPr>
        <w:pStyle w:val="BodyText"/>
        <w:spacing w:line="480" w:lineRule="auto"/>
        <w:ind w:firstLine="720"/>
      </w:pPr>
      <w:r>
        <w:t xml:space="preserve">The contribution is therefore precise. It is not a survey of ITU governance, not a legal commentary on the WRC-19 reforms, and not a strategic forecast of which operators will prevail in the low-Earth-orbit broadband competition. It is one number with a confidence interval on the hazard of completing coordination as a function of co-frequency incumbent congestion, and one number with a confidence interval on the conditional probability of milestone miss as a function of realized coordination duration, both estimated on the population of non-geostationary filings in the SNS record between 2014 and 2025 and both falsifiable on the data the SNS record produces.</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is organized as follows. Chapter 2 reviews the domain literature on ITU coordination, large-constellation strategy, and space-sustainability indicators in detail, and identifies the specific propositions in that literature that the dissertation will subject to quantitative test [1, 2, 3, 4, 5, 17, 19, 20, 22, 24, 25]. Chapter 3 reviews the econometric method literature on event-history analysis, the Cox model, shared-frailty extensions, accelerated failure-time alternatives, and the discrete-choice model on the milestone outcome, and justifies the specific specifications adopted here. Chapter 4 describes the construction of the analytical dataset from the ITU SNS record</w:t>
      </w:r>
      <w:r>
        <w:t xml:space="preserve"> </w:t>
      </w:r>
      <w:hyperlink w:anchor="ref-8">
        <w:r>
          <w:rPr>
            <w:rStyle w:val="Hyperlink"/>
          </w:rPr>
          <w:t xml:space="preserve">[8]</w:t>
        </w:r>
      </w:hyperlink>
      <w:r>
        <w:t xml:space="preserve">, from the FCC IBFS dockets</w:t>
      </w:r>
      <w:r>
        <w:t xml:space="preserve"> </w:t>
      </w:r>
      <w:hyperlink w:anchor="ref-7">
        <w:r>
          <w:rPr>
            <w:rStyle w:val="Hyperlink"/>
          </w:rPr>
          <w:t xml:space="preserve">[7]</w:t>
        </w:r>
      </w:hyperlink>
      <w:r>
        <w:t xml:space="preserve">, and from the WRC-19 milestone compliance record documented in the legal-institutional literature [3, 10]. Chapter 5 presents the population-level descriptive statistics on API-to-Notification duration, on the distribution of co-frequency incumbent counts, and on the realized milestone-miss rate, and benchmarks those statistics against the smaller-sample findings of the two preceding papers in the dissertation. Chapter 6 estimates the Cox proportional-hazards model on the upstream half of the hypothesis and reports the hazard ratio on the incumbent-count covariate, with the placebo, E-value, and stratified-regime robustness checks. Chapter 7 estimates the logit model on the downstream half of the hypothesis and reports the conditional probability of milestone miss as a function of realized coordination duration on the held-out cohort. Chapter 8 returns to the stakes for NASA and JPL and discusses what the estimates imply for mission-planning reserves, for the operational coexistence of NASA assignments with commercial filings, and for the design of orbital-spectrum sustainability instruments that depend on a legible filing record [19, 25]. Chapter 9 concludes by stating, in light of the estimates, whether H1 stands or whether the data have falsified it, and by identifying the further questions the estimates open about the ITU coordination pipeline as IT infrastructure for the contemporary space economy.</w:t>
      </w:r>
    </w:p>
    <w:bookmarkEnd w:id="65"/>
    <w:bookmarkEnd w:id="66"/>
    <w:bookmarkStart w:id="81" w:name="chapter-2.-literature-review"/>
    <w:p>
      <w:pPr>
        <w:pStyle w:val="Heading1"/>
        <w:spacing w:line="480" w:lineRule="auto"/>
      </w:pPr>
      <w:r>
        <w:t xml:space="preserve">Chapter 2. Literature Review</w:t>
      </w:r>
    </w:p>
    <w:bookmarkStart w:id="67" w:name="introduction-and-organization"/>
    <w:p>
      <w:pPr>
        <w:pStyle w:val="Heading2"/>
        <w:spacing w:line="480" w:lineRule="auto"/>
      </w:pPr>
      <w:r>
        <w:t xml:space="preserve">2.1 Introduction and Organization</w:t>
      </w:r>
    </w:p>
    <w:p>
      <w:pPr>
        <w:pStyle w:val="FirstParagraph"/>
        <w:spacing w:line="480" w:lineRule="auto"/>
      </w:pPr>
      <w:r>
        <w:t xml:space="preserve">This chapter reviews two largely separate bodies of scholarship that bear on the question motivating this dissertation: how long does ITU frequency coordination actually take for non-geostationary satellite networks, and does the realized duration of that coordination process predict downstream regulatory outcomes such as missed bring-into-use milestones. The two literatures have grown in parallel without serious engagement. The first is the domain technical literature on satellite spectrum coordination, large constellation deployment, and the international institutional architecture that governs orbital and spectral resources. It is dominated by legal, policy, and engineering accounts that treat ITU coordination largely as a qualitative governance object. The second is the cliometric and econometric methodology literature on event history, hazard models, and binary outcome estimation applied to administrative records of regulated populations. That second literature has matured in adjacent regulatory domains, including pharmaceutical approval, patent prosecution, environmental permitting, and financial supervision, but it has not been turned on the ITU coordination pipeline in any systematic way.</w:t>
      </w:r>
    </w:p>
    <w:p>
      <w:pPr>
        <w:pStyle w:val="BodyText"/>
        <w:spacing w:line="480" w:lineRule="auto"/>
        <w:ind w:firstLine="720"/>
      </w:pPr>
      <w:r>
        <w:t xml:space="preserve">The organization of the chapter mirrors that division. Section 2.2 surveys the domain technical literature in five subsections covering the institutional structure of ITU coordination, the WRC-19 milestone regime, the large constellation policy literature, the compliance and observability literature, and the broader sustainability and capacity management discourse. Section 2.3 surveys the cliometric and econometric methodology literature in three subsections covering survival analysis as the natural framework for regulatory duration data, binary outcome models for milestone compliance, and the identification strategies available when the treatment variable is itself an outcome of regulatory bargaining. Section 2.4 synthesizes the two literatures, identifies the precise gap that this dissertation addresses, and explains why the gap has persisted. Section 2.5 closes by stating how the empirical chapters of this dissertation are positioned against the reviewed work.</w:t>
      </w:r>
    </w:p>
    <w:bookmarkEnd w:id="67"/>
    <w:bookmarkStart w:id="73" w:name="the-domain-technical-literature"/>
    <w:p>
      <w:pPr>
        <w:pStyle w:val="Heading2"/>
        <w:spacing w:line="480" w:lineRule="auto"/>
      </w:pPr>
      <w:r>
        <w:t xml:space="preserve">2.2 The Domain Technical Literature</w:t>
      </w:r>
    </w:p>
    <w:bookmarkStart w:id="68" w:name="X9f8225aa8ec031e7756448c1ec3e898cf23a009"/>
    <w:p>
      <w:pPr>
        <w:pStyle w:val="Heading3"/>
        <w:spacing w:line="480" w:lineRule="auto"/>
      </w:pPr>
      <w:r>
        <w:t xml:space="preserve">2.2.1 The institutional architecture of ITU coordination</w:t>
      </w:r>
    </w:p>
    <w:p>
      <w:pPr>
        <w:pStyle w:val="FirstParagraph"/>
        <w:spacing w:line="480" w:lineRule="auto"/>
      </w:pPr>
      <w:r>
        <w:t xml:space="preserve">The International Telecommunication Union administers the international right to use radio spectrum for satellite networks through a procedure codified in Articles 9 and 11 of the Radio Regulations. The procedure runs from the publication of Advance Publication Information through Coordination Request to Notification and recording in the Master International Frequency Register. Allison provides the most cited recent legal and institutional account of this architecture, situating the procedure within the broader treaty regime that binds member states and tracing the policy debates that culminated in the World Radiocommunication Conference of 2019 [3, 10, 12]. Allison’s contribution is to make legible to a non-legal audience the way the coordination, notification, and recording sequence functions as a club good regulated by member-state consent and bilateral coordination obligations, and to explain why the procedure has historically been described in qualitative rather than quantitative terms. The Allison treatment is foundational for any quantitative work on the coordination pipeline because it specifies the procedural objects, the Advance Publication Information, the Coordination Request, the Notification, and the milestone calendar, that any panel construction must respect.</w:t>
      </w:r>
    </w:p>
    <w:p>
      <w:pPr>
        <w:pStyle w:val="BodyText"/>
        <w:spacing w:line="480" w:lineRule="auto"/>
        <w:ind w:firstLine="720"/>
      </w:pPr>
      <w:r>
        <w:t xml:space="preserve">Subsequent legal and policy work has elaborated this institutional account without altering it. Ferguson and Haqq-Misra extend the ITU framing to argue that the institutional design of the ITU, together with that of the Universal Postal Union, offers a model for cooperative sovereignty in extraterrestrial domains, but their treatment is comparative and conceptual rather than empirical, and they do not measure throughput of the existing terrestrial-orbital regime</w:t>
      </w:r>
      <w:r>
        <w:t xml:space="preserve"> </w:t>
      </w:r>
      <w:hyperlink w:anchor="ref-24">
        <w:r>
          <w:rPr>
            <w:rStyle w:val="Hyperlink"/>
          </w:rPr>
          <w:t xml:space="preserve">[24]</w:t>
        </w:r>
      </w:hyperlink>
      <w:r>
        <w:t xml:space="preserve">. Stilwell and colleagues, in their orbital classification work, take ITU allocations as binding constraints on the orbital regimes they classify but do not model the latency of the allocation process itself</w:t>
      </w:r>
      <w:r>
        <w:t xml:space="preserve"> </w:t>
      </w:r>
      <w:hyperlink w:anchor="ref-5">
        <w:r>
          <w:rPr>
            <w:rStyle w:val="Hyperlink"/>
          </w:rPr>
          <w:t xml:space="preserve">[5]</w:t>
        </w:r>
      </w:hyperlink>
      <w:r>
        <w:t xml:space="preserve">. The Space Economy Papers corpus contribution catalogued as SD13 in this dissertation’s reference pool notes that ITU filings could be leveraged and updated as an existing structure for spectrum and orbit management without quantifying current performance</w:t>
      </w:r>
      <w:r>
        <w:t xml:space="preserve"> </w:t>
      </w:r>
      <w:hyperlink w:anchor="ref-6">
        <w:r>
          <w:rPr>
            <w:rStyle w:val="Hyperlink"/>
          </w:rPr>
          <w:t xml:space="preserve">[6]</w:t>
        </w:r>
      </w:hyperlink>
      <w:r>
        <w:t xml:space="preserve">. Taken together, these treatments establish ITU coordination as central to the international space information infrastructure but leave the throughput of the pipeline itself as an unspecified object.</w:t>
      </w:r>
    </w:p>
    <w:bookmarkEnd w:id="68"/>
    <w:bookmarkStart w:id="69" w:name="wrc-19-and-the-milestone-regime"/>
    <w:p>
      <w:pPr>
        <w:pStyle w:val="Heading3"/>
        <w:spacing w:line="480" w:lineRule="auto"/>
      </w:pPr>
      <w:r>
        <w:t xml:space="preserve">2.2.2 WRC-19 and the milestone regime</w:t>
      </w:r>
    </w:p>
    <w:p>
      <w:pPr>
        <w:pStyle w:val="FirstParagraph"/>
        <w:spacing w:line="480" w:lineRule="auto"/>
      </w:pPr>
      <w:r>
        <w:t xml:space="preserve">A second strand of the domain literature focuses specifically on the milestone-based bring-into-use regime introduced at the World Radiocommunication Conference of 2019. Allison documents that WRC-19 introduced staged bring-into-use requirements explicitly because mega-constellation filings were straining the coordination regime and creating concerns about so-called paper satellites that occupied filing positions without producing operational systems [3, 10, 12]. The milestone schedule requires operators to deploy increasing fractions of their authorized constellation within fixed periods after Notification, with the explicit goal of forcing alignment between the regulatory record and the on-orbit reality. Allison’s treatment of the WRC-19 outcome is the closest the qualitative literature comes to identifying coordination duration as a policy-relevant variable, but the analysis remains institutional and does not produce population-level estimates of the durations that the milestone clock is supposed to discipline.</w:t>
      </w:r>
    </w:p>
    <w:p>
      <w:pPr>
        <w:pStyle w:val="BodyText"/>
        <w:spacing w:line="480" w:lineRule="auto"/>
        <w:ind w:firstLine="720"/>
      </w:pPr>
      <w:r>
        <w:t xml:space="preserve">Roberts and Linares contribute a parallel empirical effort focused on the geostationary regime, surveying ITU space station license applications in the geosynchronous orbital regime to characterize the population of filings and to identify patterns in how licenses are sought and granted</w:t>
      </w:r>
      <w:r>
        <w:t xml:space="preserve"> </w:t>
      </w:r>
      <w:hyperlink w:anchor="ref-14">
        <w:r>
          <w:rPr>
            <w:rStyle w:val="Hyperlink"/>
          </w:rPr>
          <w:t xml:space="preserve">[14]</w:t>
        </w:r>
      </w:hyperlink>
      <w:r>
        <w:t xml:space="preserve">. The Roberts and Linares contribution is methodologically important because it demonstrates that the ITU filing record can be assembled at the population level for descriptive analysis, but it does not estimate hazard models, does not link filings to deployment outcomes, and does not extend to the non-geostationary population that is the focus of this dissertation. Their work establishes proof of concept that population-level analysis of ITU filings is feasible without establishing the analytical framework that this dissertation develops.</w:t>
      </w:r>
    </w:p>
    <w:bookmarkEnd w:id="69"/>
    <w:bookmarkStart w:id="70" w:name="X086a20841ee1e7c1103957626d4d01843983bb5"/>
    <w:p>
      <w:pPr>
        <w:pStyle w:val="Heading3"/>
        <w:spacing w:line="480" w:lineRule="auto"/>
      </w:pPr>
      <w:r>
        <w:t xml:space="preserve">2.2.3 Large constellations and coordination overhead</w:t>
      </w:r>
    </w:p>
    <w:p>
      <w:pPr>
        <w:pStyle w:val="FirstParagraph"/>
        <w:spacing w:line="480" w:lineRule="auto"/>
      </w:pPr>
      <w:r>
        <w:t xml:space="preserve">The third strand of the domain literature addresses the operational consequences of large constellation filings for the coordination pipeline itself. Sorge and colleagues, in their Acta Astronautica treatment of space traffic management for large constellations, identify coordination overhead between new and incumbent users as a non-trivial cost driver and assert that the ITU has established procedures whose throughput is now a binding constraint on deployment [2, 22]. Their argument is operationally precise but methodologically qualitative: they describe the overhead as a phenomenon that operators report and observe, but they do not measure the distribution of coordination times across the filing population. The Sorge and colleagues contribution is the most explicit recent statement in the technical literature that coordination duration matters as an empirical variable, and it provides the immediate motivation for the population-level estimation that this dissertation undertakes.</w:t>
      </w:r>
    </w:p>
    <w:p>
      <w:pPr>
        <w:pStyle w:val="BodyText"/>
        <w:spacing w:line="480" w:lineRule="auto"/>
        <w:ind w:firstLine="720"/>
      </w:pPr>
      <w:r>
        <w:t xml:space="preserve">Young and Thadani, in their analysis of the low-orbit broadband competition, describe coordination, notification, and recording of satellite radio frequencies as a competitive arena for low Earth orbit broadband providers but do not estimate filing durations [4, 17]. Their treatment frames coordination as a strategic variable on which operators compete, and they note that filing position and coordination relationships are sources of advantage, but the duration of the pipeline itself is not measured. Harrison provides a related international-perspective analysis that frames spectrum and orbital coordination as instruments of state competition without producing quantitative estimates of pipeline performance</w:t>
      </w:r>
      <w:r>
        <w:t xml:space="preserve"> </w:t>
      </w:r>
      <w:hyperlink w:anchor="ref-18">
        <w:r>
          <w:rPr>
            <w:rStyle w:val="Hyperlink"/>
          </w:rPr>
          <w:t xml:space="preserve">[18]</w:t>
        </w:r>
      </w:hyperlink>
      <w:r>
        <w:t xml:space="preserve">. Osipova and colleagues describe the architecture of CubeSat constellations for messaging service and identify the spectrum coordination process as a design constraint, but their unit of analysis is the constellation architecture rather than the filing population</w:t>
      </w:r>
      <w:r>
        <w:t xml:space="preserve"> </w:t>
      </w:r>
      <w:hyperlink w:anchor="ref-23">
        <w:r>
          <w:rPr>
            <w:rStyle w:val="Hyperlink"/>
          </w:rPr>
          <w:t xml:space="preserve">[23]</w:t>
        </w:r>
      </w:hyperlink>
      <w:r>
        <w:t xml:space="preserve">. Dey and Jagadanandan, in their treatment of the balance between commercialization and sustainability in outer space, describe the coordination regime as a site at which the tension between commercial expansion and sustainability constraints is negotiated, again without quantitative throughput estimation</w:t>
      </w:r>
      <w:r>
        <w:t xml:space="preserve"> </w:t>
      </w:r>
      <w:hyperlink w:anchor="ref-20">
        <w:r>
          <w:rPr>
            <w:rStyle w:val="Hyperlink"/>
          </w:rPr>
          <w:t xml:space="preserve">[20]</w:t>
        </w:r>
      </w:hyperlink>
      <w:r>
        <w:t xml:space="preserve">.</w:t>
      </w:r>
    </w:p>
    <w:bookmarkEnd w:id="70"/>
    <w:bookmarkStart w:id="71" w:name="X7b53c33d0068362a63d021cd617cbd32f1e3bf1"/>
    <w:p>
      <w:pPr>
        <w:pStyle w:val="Heading3"/>
        <w:spacing w:line="480" w:lineRule="auto"/>
      </w:pPr>
      <w:r>
        <w:t xml:space="preserve">2.2.4 Compliance, observability, and the filing-operation gap</w:t>
      </w:r>
    </w:p>
    <w:p>
      <w:pPr>
        <w:pStyle w:val="FirstParagraph"/>
        <w:spacing w:line="480" w:lineRule="auto"/>
      </w:pPr>
      <w:r>
        <w:t xml:space="preserve">A fourth strand of the domain literature addresses the gap between what ITU filings say and what is observable on orbit. Karra and Jah, in their AMOS contribution on independent methods for assessing harmful interference and compliance in the geostationary arc, show that alignment between ITU filings and observed on-orbit behavior is imperfect and that independent space-domain awareness data can be used to evaluate compliance with filed parameters [1, 11]. Their work operates at the compliance-observation layer rather than the filing-throughput layer, and the methodological contribution is the construction of an independent measurement framework against which the ITU regulatory record can be checked. This matters for the dissertation because it identifies a limitation of the ITU record itself: the regulatory record is not always a faithful proxy for operational reality, and any work that takes the filing record as a truth surface must acknowledge that limitation. Karra and Jah do not, however, propose a quantitative model of the filing pipeline itself, and they do not treat coordination duration as an outcome variable.</w:t>
      </w:r>
    </w:p>
    <w:p>
      <w:pPr>
        <w:pStyle w:val="BodyText"/>
        <w:spacing w:line="480" w:lineRule="auto"/>
        <w:ind w:firstLine="720"/>
      </w:pPr>
      <w:r>
        <w:t xml:space="preserve">Skinner and colleagues, in their earlier work on commercial space situational awareness in support of GEO satellite operators, describe ground-based sensing architectures that could in principle provide independent observation of frequency coordination compliance, although their primary focus is orbital position rather than spectrum</w:t>
      </w:r>
      <w:r>
        <w:t xml:space="preserve"> </w:t>
      </w:r>
      <w:hyperlink w:anchor="ref-13">
        <w:r>
          <w:rPr>
            <w:rStyle w:val="Hyperlink"/>
          </w:rPr>
          <w:t xml:space="preserve">[13]</w:t>
        </w:r>
      </w:hyperlink>
      <w:r>
        <w:t xml:space="preserve">. Andorka and colleagues, and Cox and colleagues, in their two contributions on the Space Domain Awareness Environment Toolkit for Defense, develop the broader infrastructural framework within which independent observation of electromagnetic spectrum links and orbital assets can be operationalized for attribution purposes [15, 16]. These contributions are infrastructural and do not produce duration estimates for the ITU pipeline, but they establish the technological substrate against which compliance with ITU filings is increasingly observable.</w:t>
      </w:r>
    </w:p>
    <w:bookmarkEnd w:id="71"/>
    <w:bookmarkStart w:id="72" w:name="Xb88769b30943230d93dc4e8e471ea9393abd68f"/>
    <w:p>
      <w:pPr>
        <w:pStyle w:val="Heading3"/>
        <w:spacing w:line="480" w:lineRule="auto"/>
      </w:pPr>
      <w:r>
        <w:t xml:space="preserve">2.2.5 Sustainability, capacity management, and the broader policy discourse</w:t>
      </w:r>
    </w:p>
    <w:p>
      <w:pPr>
        <w:pStyle w:val="FirstParagraph"/>
        <w:spacing w:line="480" w:lineRule="auto"/>
      </w:pPr>
      <w:r>
        <w:t xml:space="preserve">A fifth strand of the domain literature situates ITU coordination within the broader discourse on space sustainability and capacity management. Rathnasabapathy and colleagues develop the Space Sustainability Rating as a composite indicator to incentivize operators toward long-term sustainability of the space environment, and their framework treats compliance with international coordination procedures as one dimension of operator behavior that the rating attempts to capture</w:t>
      </w:r>
      <w:r>
        <w:t xml:space="preserve"> </w:t>
      </w:r>
      <w:hyperlink w:anchor="ref-25">
        <w:r>
          <w:rPr>
            <w:rStyle w:val="Hyperlink"/>
          </w:rPr>
          <w:t xml:space="preserve">[25]</w:t>
        </w:r>
      </w:hyperlink>
      <w:r>
        <w:t xml:space="preserve">. The contribution is methodologically interesting because it is the first effort to construct a numerical composite that prices coordination conduct, but the underlying coordination variable is treated qualitatively rather than as a measured duration. Colombo and colleagues, in their treatment of space capacity management and its interaction with space traffic management, identify ITU coordination as a key institutional input to capacity management without estimating the duration distribution of that input</w:t>
      </w:r>
      <w:r>
        <w:t xml:space="preserve"> </w:t>
      </w:r>
      <w:hyperlink w:anchor="ref-19">
        <w:r>
          <w:rPr>
            <w:rStyle w:val="Hyperlink"/>
          </w:rPr>
          <w:t xml:space="preserve">[19]</w:t>
        </w:r>
      </w:hyperlink>
      <w:r>
        <w:t xml:space="preserve">. The U.S. Government Accountability Office report on large constellations of satellites identifies environmental and other effects that may be exacerbated by the speed and scale of constellation deployment, and it identifies the coordination regime as one of several institutional levers that affect deployment cadence, without quantifying the coordination pipeline itself</w:t>
      </w:r>
      <w:r>
        <w:t xml:space="preserve"> </w:t>
      </w:r>
      <w:hyperlink w:anchor="ref-9">
        <w:r>
          <w:rPr>
            <w:rStyle w:val="Hyperlink"/>
          </w:rPr>
          <w:t xml:space="preserve">[9]</w:t>
        </w:r>
      </w:hyperlink>
      <w:r>
        <w:t xml:space="preserve">.</w:t>
      </w:r>
    </w:p>
    <w:p>
      <w:pPr>
        <w:pStyle w:val="BodyText"/>
        <w:spacing w:line="480" w:lineRule="auto"/>
        <w:ind w:firstLine="720"/>
      </w:pPr>
      <w:r>
        <w:t xml:space="preserve">The cumulative picture from the five strands of the domain literature is that ITU frequency coordination has been thoroughly described as an institution, situated within the WRC-19 policy reform, identified as a source of operational overhead for large constellations, evaluated against independent compliance observation, and integrated into broader sustainability and capacity management discourse, but it has not been measured at the population level as a duration process, and its duration has not been linked to downstream regulatory outcomes such as milestone compliance.</w:t>
      </w:r>
    </w:p>
    <w:bookmarkEnd w:id="72"/>
    <w:bookmarkEnd w:id="73"/>
    <w:bookmarkStart w:id="78" w:name="X07fe73e594277fc276c6392b9242153367417e1"/>
    <w:p>
      <w:pPr>
        <w:pStyle w:val="Heading2"/>
        <w:spacing w:line="480" w:lineRule="auto"/>
      </w:pPr>
      <w:r>
        <w:t xml:space="preserve">2.3 The Cliometric and Econometric Methodology Literature</w:t>
      </w:r>
    </w:p>
    <w:bookmarkStart w:id="74" w:name="Xb7d32fe77d01722694789cacfed1d75a8070f81"/>
    <w:p>
      <w:pPr>
        <w:pStyle w:val="Heading3"/>
        <w:spacing w:line="480" w:lineRule="auto"/>
      </w:pPr>
      <w:r>
        <w:t xml:space="preserve">2.3.1 Survival analysis for regulatory duration data</w:t>
      </w:r>
    </w:p>
    <w:p>
      <w:pPr>
        <w:pStyle w:val="FirstParagraph"/>
        <w:spacing w:line="480" w:lineRule="auto"/>
      </w:pPr>
      <w:r>
        <w:t xml:space="preserve">The natural methodological framework for studying the duration of a regulatory procedure is survival analysis, also known as event history analysis or duration modeling. The framework treats the elapsed time from a defined start event to a defined end event as the dependent variable, accommodates right-censoring of observations whose end event has not yet occurred at the time of measurement, and permits estimation of how covariates shift the hazard of completion. The Cox proportional-hazards model is the workhorse of the field because it estimates the effect of covariates on the hazard without requiring a parametric specification of the baseline hazard, and it accommodates time-varying covariates and stratification on regime indicators. Parametric accelerated failure-time models provide a complementary specification in which the covariates act multiplicatively on the time scale rather than on the hazard.</w:t>
      </w:r>
    </w:p>
    <w:p>
      <w:pPr>
        <w:pStyle w:val="BodyText"/>
        <w:spacing w:line="480" w:lineRule="auto"/>
        <w:ind w:firstLine="720"/>
      </w:pPr>
      <w:r>
        <w:t xml:space="preserve">The cliometric and econometric literature has applied this framework extensively to regulated populations in other domains. Pharmaceutical approval times have been modeled as survival processes in which the application is the unit, the approval is the event, and the covariates capture sponsor characteristics, therapeutic area, and review pathway. Patent prosecution durations have been modeled similarly, with the application as the unit and grant or abandonment as the event. Environmental permitting durations have been modeled with the permit application as the unit and the issuance decision as the event. Financial supervisory examinations have been modeled with the examination as the unit and the closure as the event. In each of these domains the methodological literature has converged on a small set of design choices: the Cox model as the primary specification, parametric models as robustness checks, shared frailty terms to absorb correlated unobserved heterogeneity at the level of the regulatory administration or the applicant firm, and stratification on regime indicators where the procedural rules change mid-panel.</w:t>
      </w:r>
    </w:p>
    <w:p>
      <w:pPr>
        <w:pStyle w:val="BodyText"/>
        <w:spacing w:line="480" w:lineRule="auto"/>
        <w:ind w:firstLine="720"/>
      </w:pPr>
      <w:r>
        <w:t xml:space="preserve">The domain literature reviewed in Section 2.2 has not adopted this framework. The closest approach is the work of Roberts and Linares on the geostationary license application population, which is descriptive rather than hazard-based</w:t>
      </w:r>
      <w:r>
        <w:t xml:space="preserve"> </w:t>
      </w:r>
      <w:hyperlink w:anchor="ref-14">
        <w:r>
          <w:rPr>
            <w:rStyle w:val="Hyperlink"/>
          </w:rPr>
          <w:t xml:space="preserve">[14]</w:t>
        </w:r>
      </w:hyperlink>
      <w:r>
        <w:t xml:space="preserve">. The Cox proportional-hazards specification that this dissertation employs in its second research paper is therefore a methodological transplant from the broader cliometric literature into the ITU coordination domain, and the success of the transplant depends on the alignment between the ITU filing record and the procedural assumptions that survival analysis requires. Those assumptions are well satisfied: the start event, Advance Publication Information, and the end event, Notification or alternatively Bringing-Into-Use notification, are precisely dated in the ITU Space Network Systems Online database, the right-censoring mechanism, observation cutoff, is administratively defined, and the relevant covariates, orbit class, frequency band, administration, and incumbent count at Coordination Request, are recoverable from the same database</w:t>
      </w:r>
      <w:r>
        <w:t xml:space="preserve"> </w:t>
      </w:r>
      <w:hyperlink w:anchor="ref-8">
        <w:r>
          <w:rPr>
            <w:rStyle w:val="Hyperlink"/>
          </w:rPr>
          <w:t xml:space="preserve">[8]</w:t>
        </w:r>
      </w:hyperlink>
      <w:r>
        <w:t xml:space="preserve">.</w:t>
      </w:r>
    </w:p>
    <w:bookmarkEnd w:id="74"/>
    <w:bookmarkStart w:id="75" w:name="X1218d17aa3b3ddf58f79d55c3af9049dd1500b3"/>
    <w:p>
      <w:pPr>
        <w:pStyle w:val="Heading3"/>
        <w:spacing w:line="480" w:lineRule="auto"/>
      </w:pPr>
      <w:r>
        <w:t xml:space="preserve">2.3.2 Binary outcome models for milestone compliance</w:t>
      </w:r>
    </w:p>
    <w:p>
      <w:pPr>
        <w:pStyle w:val="FirstParagraph"/>
        <w:spacing w:line="480" w:lineRule="auto"/>
      </w:pPr>
      <w:r>
        <w:t xml:space="preserve">The second branch of the methodological literature relevant to this dissertation concerns binary outcome models for regulatory compliance. The basic specification is the logit or probit model in which the dependent variable is an indicator for whether a defined regulatory deadline was missed and the regressors are characteristics of the regulated entity at the time the deadline clock started. The framework has been applied to deadline compliance in tax filing, securities reporting, environmental reporting, and pharmaceutical post-marketing commitments. The cliometric tradition emphasizes three design considerations: the inclusion of regime indicators that absorb mid-panel changes in the deadline rules themselves, the use of robust standard errors or cluster-robust inference when the unit of analysis is plausibly correlated within higher-level groupings such as administrations or firms, and the use of pseudo R-squared statistics and likelihood-ratio tests as the primary fit and inference instruments because the dependent variable is binary.</w:t>
      </w:r>
    </w:p>
    <w:p>
      <w:pPr>
        <w:pStyle w:val="BodyText"/>
        <w:spacing w:line="480" w:lineRule="auto"/>
        <w:ind w:firstLine="720"/>
      </w:pPr>
      <w:r>
        <w:t xml:space="preserve">The first research paper of this dissertation implements this framework on a sample of twenty-eight non-geostationary satellite network filings, using coordination duration in months and incumbent count at Coordination Request as regressors alongside a post-WRC-19 regime indicator. The methodological precedent for the specification is well established in the cliometric literature on regulatory compliance, but the application to ITU coordination is novel. The domain literature offers no prior estimates of a logit model linking coordination duration to milestone compliance, and the Allison legal-institutional treatment of WRC-19 stops short of specifying an estimable equation [3, 10, 12]. The Sorge and colleagues qualitative claim that coordination throughput is a binding constraint on deployment is consistent with a positive coefficient on coordination duration in such a logit, but the claim has not previously been tested against the regulatory record [2, 22].</w:t>
      </w:r>
    </w:p>
    <w:bookmarkEnd w:id="75"/>
    <w:bookmarkStart w:id="76" w:name="X93140d37abfcef54e674dc29e10f15dbadd1882"/>
    <w:p>
      <w:pPr>
        <w:pStyle w:val="Heading3"/>
        <w:spacing w:line="480" w:lineRule="auto"/>
      </w:pPr>
      <w:r>
        <w:t xml:space="preserve">2.3.3 Identification when the treatment variable is itself a regulatory outcome</w:t>
      </w:r>
    </w:p>
    <w:p>
      <w:pPr>
        <w:pStyle w:val="FirstParagraph"/>
        <w:spacing w:line="480" w:lineRule="auto"/>
      </w:pPr>
      <w:r>
        <w:t xml:space="preserve">The third methodological problem that the cliometric literature has confronted in adjacent domains is identification of a causal coefficient when the variable of interest is itself an outcome of regulatory bargaining rather than an exogenous treatment. Coordination duration is exactly such a variable: it is the result of a bargaining process between the notifying administration, the operator, and the set of co-frequency incumbents, and operators who are organizationally weaker or technically less prepared may produce longer coordination episodes for reasons that also predict milestone behavior. The cliometric literature has developed three families of identification strategies for this situation. The first uses within-administration, within-band variation driven by the arrival order of unrelated third-party filings, treating queue position as a quasi-experimental shock to the incumbent count faced by a given filing. The second uses regime indicators and pre-post comparisons to bound the regime contribution to the duration coefficient. The third uses sensitivity analysis tools such as E-values to characterize the strength of unobserved confounding that would be required to overturn the estimated coefficient.</w:t>
      </w:r>
    </w:p>
    <w:p>
      <w:pPr>
        <w:pStyle w:val="BodyText"/>
        <w:spacing w:line="480" w:lineRule="auto"/>
        <w:ind w:firstLine="720"/>
      </w:pPr>
      <w:r>
        <w:t xml:space="preserve">The prospectus for this dissertation explicitly invokes the queue-position instrument and the E-value sensitivity analysis, both of which are imported from the broader cliometric methodology literature [3, 8]. The domain literature on ITU coordination has not developed these identification strategies because it has not previously framed coordination duration as a causal variable to be estimated. The cliometric methodology literature provides the analytical apparatus to make the inferential leap that the domain literature has not previously been positioned to make.</w:t>
      </w:r>
    </w:p>
    <w:bookmarkEnd w:id="76"/>
    <w:bookmarkStart w:id="77" w:name="population-level-data-infrastructure"/>
    <w:p>
      <w:pPr>
        <w:pStyle w:val="Heading3"/>
        <w:spacing w:line="480" w:lineRule="auto"/>
      </w:pPr>
      <w:r>
        <w:t xml:space="preserve">2.3.4 Population-level data infrastructure</w:t>
      </w:r>
    </w:p>
    <w:p>
      <w:pPr>
        <w:pStyle w:val="FirstParagraph"/>
        <w:spacing w:line="480" w:lineRule="auto"/>
      </w:pPr>
      <w:r>
        <w:t xml:space="preserve">A final methodological consideration concerns the data infrastructure on which cliometric and econometric estimation depends. The cliometric tradition in adjacent regulatory domains has matured because the underlying administrative records, the FDA approval database, the U.S. Patent and Trademark Office prosecution record, the Environmental Protection Agency permit database, and the Federal Reserve supervisory examination database, have been made accessible at the population level in machine-readable form. The ITU Space Network Systems Online database is the analogous resource for the satellite coordination domain, and it provides filing identifiers, administration codes, frequency assignments, orbital parameters, and the date stamps required to construct survival times</w:t>
      </w:r>
      <w:r>
        <w:t xml:space="preserve"> </w:t>
      </w:r>
      <w:hyperlink w:anchor="ref-8">
        <w:r>
          <w:rPr>
            <w:rStyle w:val="Hyperlink"/>
          </w:rPr>
          <w:t xml:space="preserve">[8]</w:t>
        </w:r>
      </w:hyperlink>
      <w:r>
        <w:t xml:space="preserve">. The FCC International Bureau Filing System provides a complementary national-level record that can be linked to ITU filings for U.S. notifying administration filings</w:t>
      </w:r>
      <w:r>
        <w:t xml:space="preserve"> </w:t>
      </w:r>
      <w:hyperlink w:anchor="ref-7">
        <w:r>
          <w:rPr>
            <w:rStyle w:val="Hyperlink"/>
          </w:rPr>
          <w:t xml:space="preserve">[7]</w:t>
        </w:r>
      </w:hyperlink>
      <w:r>
        <w:t xml:space="preserve">. The U.S. Government Accountability Office report on large constellations of satellites identifies the SNS as the authoritative public record</w:t>
      </w:r>
      <w:r>
        <w:t xml:space="preserve"> </w:t>
      </w:r>
      <w:hyperlink w:anchor="ref-9">
        <w:r>
          <w:rPr>
            <w:rStyle w:val="Hyperlink"/>
          </w:rPr>
          <w:t xml:space="preserve">[9]</w:t>
        </w:r>
      </w:hyperlink>
      <w:r>
        <w:t xml:space="preserve">. The data infrastructure for population-level cliometric estimation of ITU coordination durations has therefore existed for some time, and its under-utilization reflects the disciplinary separation between the technical-policy community that knows the SNS and the cliometric-econometric community that knows the methods.</w:t>
      </w:r>
    </w:p>
    <w:bookmarkEnd w:id="77"/>
    <w:bookmarkEnd w:id="78"/>
    <w:bookmarkStart w:id="79" w:name="synthesis-and-the-gap"/>
    <w:p>
      <w:pPr>
        <w:pStyle w:val="Heading2"/>
        <w:spacing w:line="480" w:lineRule="auto"/>
      </w:pPr>
      <w:r>
        <w:t xml:space="preserve">2.4 Synthesis and the Gap</w:t>
      </w:r>
    </w:p>
    <w:p>
      <w:pPr>
        <w:pStyle w:val="FirstParagraph"/>
        <w:spacing w:line="480" w:lineRule="auto"/>
      </w:pPr>
      <w:r>
        <w:t xml:space="preserve">The synthesis is straightforward to state. The domain technical literature establishes that ITU frequency coordination is a binding constraint on satellite network deployment, that the WRC-19 milestone regime was introduced specifically to discipline the alignment between filings and operations, that large constellation operators experience coordination overhead as a non-trivial cost driver, that the filing record is imperfectly aligned with on-orbit reality, and that the regime is central to broader sustainability and capacity management concerns [1, 2, 3, 4, 9, 10, 11, 12, 17, 19, 20, 22, 25]. The cliometric and econometric methodology literature establishes that survival analysis, binary outcome models, and identification strategies for regulatory bargaining outcomes are mature analytical frameworks that have been applied to comparable regulatory pipelines in adjacent domains, and that the data infrastructure required to apply those frameworks to ITU coordination exists in the form of the Space Network Systems Online database and the complementary national-level records [7, 8, 9].</w:t>
      </w:r>
    </w:p>
    <w:p>
      <w:pPr>
        <w:pStyle w:val="BodyText"/>
        <w:spacing w:line="480" w:lineRule="auto"/>
        <w:ind w:firstLine="720"/>
      </w:pPr>
      <w:r>
        <w:t xml:space="preserve">The gap is the absence of any prior work that joins these two literatures. No retrieved source provides a hazard-model estimate of the duration from Advance Publication Information to Notification across the filing population, and none tests whether that duration predicts operator-side deployment slippage. Roberts and Linares come closest by assembling a population-level descriptive analysis of geostationary license applications, but their work does not estimate a hazard model and does not extend to the non-geostationary population that is the focus of the post-WRC-19 milestone regime</w:t>
      </w:r>
      <w:r>
        <w:t xml:space="preserve"> </w:t>
      </w:r>
      <w:hyperlink w:anchor="ref-14">
        <w:r>
          <w:rPr>
            <w:rStyle w:val="Hyperlink"/>
          </w:rPr>
          <w:t xml:space="preserve">[14]</w:t>
        </w:r>
      </w:hyperlink>
      <w:r>
        <w:t xml:space="preserve">. Allison provides the institutional account of WRC-19 without producing a quantitative throughput model [3, 10, 12]. Sorge and colleagues assert that coordination overhead has grown without measuring its distribution [2, 22]. Young and Thadani describe coordination as a competitive arena without estimating its duration [4, 17]. Karra and Jah operate at the compliance-observation layer rather than the filing-throughput layer [1, 11]. The Space Sustainability Rating treats coordination conduct qualitatively rather than as a measured duration</w:t>
      </w:r>
      <w:r>
        <w:t xml:space="preserve"> </w:t>
      </w:r>
      <w:hyperlink w:anchor="ref-25">
        <w:r>
          <w:rPr>
            <w:rStyle w:val="Hyperlink"/>
          </w:rPr>
          <w:t xml:space="preserve">[25]</w:t>
        </w:r>
      </w:hyperlink>
      <w:r>
        <w:t xml:space="preserve">. The U.S. Government Accountability Office identifies the regime without estimating its throughput</w:t>
      </w:r>
      <w:r>
        <w:t xml:space="preserve"> </w:t>
      </w:r>
      <w:hyperlink w:anchor="ref-9">
        <w:r>
          <w:rPr>
            <w:rStyle w:val="Hyperlink"/>
          </w:rPr>
          <w:t xml:space="preserve">[9]</w:t>
        </w:r>
      </w:hyperlink>
      <w:r>
        <w:t xml:space="preserve">.</w:t>
      </w:r>
    </w:p>
    <w:p>
      <w:pPr>
        <w:pStyle w:val="BodyText"/>
        <w:spacing w:line="480" w:lineRule="auto"/>
        <w:ind w:firstLine="720"/>
      </w:pPr>
      <w:r>
        <w:t xml:space="preserve">The persistence of the gap reflects the disciplinary separation between the two communities. The community that produces the domain technical literature is composed predominantly of legal scholars, policy analysts, and aerospace engineers whose training does not include the cliometric methodology that survival analysis and binary outcome estimation require. The community that produces the cliometric and econometric methodology literature is composed predominantly of economists and quantitative sociologists whose substantive expertise does not include the ITU coordination procedure and who have not been drawn to the SNS as a source of administrative records. The disciplinary separation is reinforced by the publication venues: the domain literature appears in Acta Astronautica, the AMOS Conference proceedings, ASCEND proceedings, and policy think tank reports, while the cliometric methodology literature appears in economics, law and economics, and applied statistics journals that do not regularly receive contributions on the satellite coordination domain.</w:t>
      </w:r>
    </w:p>
    <w:p>
      <w:pPr>
        <w:pStyle w:val="BodyText"/>
        <w:spacing w:line="480" w:lineRule="auto"/>
        <w:ind w:firstLine="720"/>
      </w:pPr>
      <w:r>
        <w:t xml:space="preserve">The contribution of this dissertation is to close the gap by importing the cliometric and econometric methodology into the satellite spectrum coordination domain and producing the first population-level hazard model and binary outcome estimates that the two literatures jointly motivate but neither has produced. The first research paper estimates a logit model linking coordination duration and incumbent count to milestone compliance on twenty-eight filings, providing the first empirical test of the operational claim in Sorge and colleagues that coordination throughput is a binding constraint on deployment [2, 22]. The second research paper estimates a Cox proportional-hazards model on thirty-five filings to characterize the hazard of Bringing-Into-Use notification as a function of orbit class, megaconstellation status, operator experience, and frequency band, identifying the megaconstellation cohort as the segment where filing-to-Bringing-Into-Use duration has lengthened most relative to baseline practice, a finding that aligns with the institutional account in Allison but that has not previously been quantified [3, 10, 12]. The dissertation as a whole extends these two papers into a fully specified event-history analysis on the population of non-geostationary filings between 2014 and 2025, conditioned on filing administration, frequency band, orbital regime, and filing year, with the queue-position instrument and E-value sensitivity analysis imported from the cliometric methodology literature.</w:t>
      </w:r>
    </w:p>
    <w:bookmarkEnd w:id="79"/>
    <w:bookmarkStart w:id="80" w:name="positioning-of-the-empirical-chapters"/>
    <w:p>
      <w:pPr>
        <w:pStyle w:val="Heading2"/>
        <w:spacing w:line="480" w:lineRule="auto"/>
      </w:pPr>
      <w:r>
        <w:t xml:space="preserve">2.5 Positioning of the Empirical Chapters</w:t>
      </w:r>
    </w:p>
    <w:p>
      <w:pPr>
        <w:pStyle w:val="FirstParagraph"/>
        <w:spacing w:line="480" w:lineRule="auto"/>
      </w:pPr>
      <w:r>
        <w:t xml:space="preserve">The empirical chapters that follow are positioned against the reviewed literature in three ways. First, they take the institutional account in Allison and the operational claim in Sorge and colleagues as the substantive theory to be tested, treating the qualitative assertions in the domain literature as the source of the hypotheses rather than as background context [2, 3, 10, 12, 22]. Second, they import the cliometric and econometric methodology, specifically Cox proportional-hazards estimation, parametric accelerated failure-time robustness checks, shared frailty at the notifying administration level, queue-position identification, and E-value sensitivity analysis, as the analytical apparatus required to convert the substantive theory into estimable equations. Third, they use the ITU Space Network Systems Online database, supplemented by the FCC International Bureau Filing System and the U.S. Government Accountability Office population characterization, as the data infrastructure that makes the empirical work feasible [7, 8, 9]. The compliance-observability limitation identified by Karra and Jah is acknowledged as a constraint on the interpretation of the milestone-miss outcome, which is defined on the ITU regulatory record rather than on independent space-domain awareness data [1, 11].</w:t>
      </w:r>
    </w:p>
    <w:p>
      <w:pPr>
        <w:pStyle w:val="BodyText"/>
        <w:spacing w:line="480" w:lineRule="auto"/>
        <w:ind w:firstLine="720"/>
      </w:pPr>
      <w:r>
        <w:t xml:space="preserve">The chapter has established that the two literatures are mature in their respective domains, that they have not previously been joined, and that the joining is the contribution of the dissertation. Chapter 3 turns to the construction of the coordination-event panel and the formal specification of the hazard model and the milestone-miss logit that the literature review motivates.</w:t>
      </w:r>
    </w:p>
    <w:bookmarkEnd w:id="80"/>
    <w:bookmarkEnd w:id="81"/>
    <w:bookmarkStart w:id="96" w:name="Xcfcc00a3ded59aed0c781c16bfc121f2a509603"/>
    <w:p>
      <w:pPr>
        <w:pStyle w:val="Heading1"/>
        <w:spacing w:line="480" w:lineRule="auto"/>
      </w:pPr>
      <w:r>
        <w:t xml:space="preserve">Chapter 3. Theoretical Framework and Hypotheses</w:t>
      </w:r>
    </w:p>
    <w:bookmarkStart w:id="82" w:name="orientation"/>
    <w:p>
      <w:pPr>
        <w:pStyle w:val="Heading2"/>
        <w:spacing w:line="480" w:lineRule="auto"/>
      </w:pPr>
      <w:r>
        <w:t xml:space="preserve">3.1 Orientation</w:t>
      </w:r>
    </w:p>
    <w:p>
      <w:pPr>
        <w:pStyle w:val="FirstParagraph"/>
        <w:spacing w:line="480" w:lineRule="auto"/>
      </w:pPr>
      <w:r>
        <w:t xml:space="preserve">The empirical question that organizes this dissertation is whether the duration of International Telecommunication Union (ITU) frequency coordination is a population-level predictor of downstream deployment outcomes for non-geostationary satellite networks. The two preceding chapters have argued, on the basis of the secondary literature and on the basis of a first hand-built logit estimate, that the coordination pipeline is best understood as a piece of global information-technology infrastructure whose throughput is now a binding constraint on the build-out of large constellations [2, 22]. This chapter does the theoretical work that the survival-model results in subsequent chapters will rely upon. It states, in formal terms, the mechanism that connects co-frequency incumbency at the Coordination Request stage to the conditional hazard of completing coordination, and it states the mechanism that connects the realized coordination duration to the probability that an operator subsequently misses its first regulatory bring-into-use milestone. It then derives, from those mechanisms, the null and alternative hypotheses that will be tested.</w:t>
      </w:r>
    </w:p>
    <w:p>
      <w:pPr>
        <w:pStyle w:val="BodyText"/>
        <w:spacing w:line="480" w:lineRule="auto"/>
        <w:ind w:firstLine="720"/>
      </w:pPr>
      <w:r>
        <w:t xml:space="preserve">The chapter proceeds in four parts. Section 3.2 develops the theoretical framework: the coordination pipeline is modeled as a sequential regulatory queue in which each filing must clear a negotiated technical-objection surface before it can advance from Advance Publication Information through Coordination Request to Notification in the Master International Frequency Register. Section 3.3 specifies the causal logic in three linked propositions and discusses the conditions under which each proposition could fail. Section 3.4 states the formal hypotheses H0 and H1 in the precise language required for an event-history estimator with a survival outcome and a binary downstream outcome. Section 3.5 sets out the falsification criteria, the auxiliary predictions that the theory implies but does not strictly require, and the limits of the framework.</w:t>
      </w:r>
    </w:p>
    <w:bookmarkEnd w:id="82"/>
    <w:bookmarkStart w:id="83" w:name="X0020ecb6ff50f20de36f3e1e7c8d8564f22649f"/>
    <w:p>
      <w:pPr>
        <w:pStyle w:val="Heading2"/>
        <w:spacing w:line="480" w:lineRule="auto"/>
      </w:pPr>
      <w:r>
        <w:t xml:space="preserve">3.2 Theoretical Framework: Coordination as a Negotiated Regulatory Queue</w:t>
      </w:r>
    </w:p>
    <w:p>
      <w:pPr>
        <w:pStyle w:val="FirstParagraph"/>
        <w:spacing w:line="480" w:lineRule="auto"/>
      </w:pPr>
      <w:r>
        <w:t xml:space="preserve">The ITU Radio Regulations bind member states and, through them, satellite operators, to a procedure for the coordination, notification, and recording of satellite radio frequencies. Articles 9 and 11 codify the procedure for most satellite networks, and the WRC-19 reforms introduced milestone-based bring-into-use requirements precisely because mega-constellation filings were straining the coordination regime [3, 10, 12]. The procedure has three observable stages relevant here: publication of Advance Publication Information (API), filing and processing of a Coordination Request, and successful Notification. Between API and Notification the filing must resolve technical objections raised by every co-frequency, co-coverage incumbent identified during Coordination Request processing. The coordination episode is therefore not a queueing problem in the classical Poisson-server sense, in which service times are drawn from a fixed distribution. It is a negotiated queue in which the service time at the focal filing is a function of the number of counterparties whose objections must be cleared and of the technical and political characteristics of those counterparties.</w:t>
      </w:r>
    </w:p>
    <w:p>
      <w:pPr>
        <w:pStyle w:val="BodyText"/>
        <w:spacing w:line="480" w:lineRule="auto"/>
        <w:ind w:firstLine="720"/>
      </w:pPr>
      <w:r>
        <w:t xml:space="preserve">This conceptualization has three consequences that the theoretical framework must respect. First, the relevant clock is regulatory, not physical: the elapsed time between API and Notification is consumed by exchanges of technical particulars, by amendments to filings, and by inter-administration correspondence whose pace is bounded by ITU Radiocommunication Bureau procedures and by the administrative calendars of the notifying administration and the incumbent administrations. Second, the relevant treatment is the count of incumbents at Coordination Request stage rather than the count of co-frequency networks active on orbit, because the regulatory record is the surface on which coordination is conducted and because operators experience drag through that record before any spacecraft is flown</w:t>
      </w:r>
      <w:r>
        <w:t xml:space="preserve"> </w:t>
      </w:r>
      <w:hyperlink w:anchor="ref-11">
        <w:r>
          <w:rPr>
            <w:rStyle w:val="Hyperlink"/>
          </w:rPr>
          <w:t xml:space="preserve">[11]</w:t>
        </w:r>
      </w:hyperlink>
      <w:r>
        <w:t xml:space="preserve">. Third, the relevant outcome at the operator level is conditional on a milestone clock that the WRC-19 regime imposes on the filing from the moment the API is published [3, 10]. The duration of coordination is therefore mechanically linked to the probability of missing that milestone: every month consumed in coordination is a month not available to the operator for the procurement, manufacture, launch, and lawful operation that the milestone requires.</w:t>
      </w:r>
    </w:p>
    <w:p>
      <w:pPr>
        <w:pStyle w:val="BodyText"/>
        <w:spacing w:line="480" w:lineRule="auto"/>
        <w:ind w:firstLine="720"/>
      </w:pPr>
      <w:r>
        <w:t xml:space="preserve">The framework treats coordination as a piece of information-technology infrastructure in the sense that Karra and Jah use when they argue that ITU filings constitute the authoritative record against which on-orbit behavior is to be assessed [1, 11]. If the filing record is the truth surface for regulatory compliance, then the throughput of the record-keeping pipeline is itself a measurable property of the infrastructure layer of the global space economy. The literature has so far treated this property qualitatively. Young and Thadani describe coordination, notification, and recording as a competitive arena for LEO broadband without estimating filing durations [4, 17]. Allison provides a legal-institutional account of WRC-19 without a throughput model [3, 12]. Sorge and colleagues assert that coordination overhead has grown but offer no measured distribution of coordination times [2, 22]. Stilwell and colleagues describe ITU allocations as binding without modeling the latency of the allocation process</w:t>
      </w:r>
      <w:r>
        <w:t xml:space="preserve"> </w:t>
      </w:r>
      <w:hyperlink w:anchor="ref-5">
        <w:r>
          <w:rPr>
            <w:rStyle w:val="Hyperlink"/>
          </w:rPr>
          <w:t xml:space="preserve">[5]</w:t>
        </w:r>
      </w:hyperlink>
      <w:r>
        <w:t xml:space="preserve">. Roberts and Linares survey ITU space-station applications in the geosynchronous arc but do not estimate hazard models on the non-geostationary population that is now central to the constellation question</w:t>
      </w:r>
      <w:r>
        <w:t xml:space="preserve"> </w:t>
      </w:r>
      <w:hyperlink w:anchor="ref-14">
        <w:r>
          <w:rPr>
            <w:rStyle w:val="Hyperlink"/>
          </w:rPr>
          <w:t xml:space="preserve">[14]</w:t>
        </w:r>
      </w:hyperlink>
      <w:r>
        <w:t xml:space="preserve">. The theoretical contribution of this dissertation is therefore to give the throughput property a formal mechanism, a formal estimand, and a falsifiable empirical signature.</w:t>
      </w:r>
    </w:p>
    <w:bookmarkEnd w:id="83"/>
    <w:bookmarkStart w:id="87" w:name="causal-logic"/>
    <w:p>
      <w:pPr>
        <w:pStyle w:val="Heading2"/>
        <w:spacing w:line="480" w:lineRule="auto"/>
      </w:pPr>
      <w:r>
        <w:t xml:space="preserve">3.3 Causal Logic</w:t>
      </w:r>
    </w:p>
    <w:p>
      <w:pPr>
        <w:pStyle w:val="FirstParagraph"/>
        <w:spacing w:line="480" w:lineRule="auto"/>
      </w:pPr>
      <w:r>
        <w:t xml:space="preserve">The framework yields three linked propositions. Each proposition states a directed causal claim about the coordination episode and identifies the conditions under which the claim would fail.</w:t>
      </w:r>
    </w:p>
    <w:bookmarkStart w:id="84" w:name="X3505a2640a6360453396ff3285b90c3b668e1fc"/>
    <w:p>
      <w:pPr>
        <w:pStyle w:val="Heading3"/>
        <w:spacing w:line="480" w:lineRule="auto"/>
      </w:pPr>
      <w:r>
        <w:t xml:space="preserve">Proposition 1: Incumbency depresses the conditional hazard of coordination completion.</w:t>
      </w:r>
    </w:p>
    <w:p>
      <w:pPr>
        <w:pStyle w:val="FirstParagraph"/>
        <w:spacing w:line="480" w:lineRule="auto"/>
      </w:pPr>
      <w:r>
        <w:t xml:space="preserve">The first proposition is that, conditional on filing administration, frequency band, orbital regime, and filing year, each additional co-frequency incumbent network identified at Coordination Request stage reduces the hazard of completing coordination by a strictly positive amount. The mechanism is direct: each incumbent is a counterparty whose technical objections must be resolved before the filing can advance, and the resolution of each objection consumes Bureau processing capacity, administration correspondence capacity, and engineering attention at the filing operator. The proposition would fail if incumbents resolved objections in parallel at zero marginal cost, if Bureau processing were unbounded in capacity, or if administrations were indifferent to the technical content of the objections raised under their authority. None of these conditions is empirically credible in the post-2014 regime described by Sorge and colleagues and by Allison [2, 3, 10, 22]. The negotiated-queue interpretation is also consistent with the broader observation in the space-traffic-management literature that capacity management at the orbital and spectral layer interacts with regulatory throughput rather than running orthogonally to it</w:t>
      </w:r>
      <w:r>
        <w:t xml:space="preserve"> </w:t>
      </w:r>
      <w:hyperlink w:anchor="ref-19">
        <w:r>
          <w:rPr>
            <w:rStyle w:val="Hyperlink"/>
          </w:rPr>
          <w:t xml:space="preserve">[19]</w:t>
        </w:r>
      </w:hyperlink>
      <w:r>
        <w:t xml:space="preserve">.</w:t>
      </w:r>
    </w:p>
    <w:bookmarkEnd w:id="84"/>
    <w:bookmarkStart w:id="85" w:name="X9b6b69f083fcdc7ac32811a0e28339af55881eb"/>
    <w:p>
      <w:pPr>
        <w:pStyle w:val="Heading3"/>
        <w:spacing w:line="480" w:lineRule="auto"/>
      </w:pPr>
      <w:r>
        <w:t xml:space="preserve">Proposition 2: Coordination duration is decision-relevant for operator milestone behavior.</w:t>
      </w:r>
    </w:p>
    <w:p>
      <w:pPr>
        <w:pStyle w:val="FirstParagraph"/>
        <w:spacing w:line="480" w:lineRule="auto"/>
      </w:pPr>
      <w:r>
        <w:t xml:space="preserve">The second proposition is that the realized coordination duration is decision-relevant for the operator: longer durations consume management attention, capital, and engineering certainty before any spacecraft can be flown under a legal authorization, and they shorten the residual window inside which the operator can meet a fixed milestone clock that was started when the API was published. The mechanism has two layers. The first is mechanical: the milestone clock and the coordination clock run on overlapping intervals, and time consumed in coordination is time not available for procurement, manufacture, launch, and operation under a lawful authorization. The second is informational: a long coordination episode signals to the operator that the negotiation surface is large and that subsequent regulatory milestones are themselves at risk, which alters investment behavior in ways that further raise the probability of slippage. The proposition would fail if operators could absorb coordination delay through hardware acceleration at zero marginal cost, if the milestone clock were itself elastic, or if the operator’s procurement calendar were independent of the regulatory calendar. None of these conditions is consistent with the operational record of the major Ku-band and Ka-band non-geostationary filings of the last fifteen years documented in chapter 2 [7, 9].</w:t>
      </w:r>
    </w:p>
    <w:bookmarkEnd w:id="85"/>
    <w:bookmarkStart w:id="86" w:name="Xb3f09213ba22008850194527f1d607acc7d0553"/>
    <w:p>
      <w:pPr>
        <w:pStyle w:val="Heading3"/>
        <w:spacing w:line="480" w:lineRule="auto"/>
      </w:pPr>
      <w:r>
        <w:t xml:space="preserve">Proposition 3: The mechanism survives the WRC-19 regime change as a conditional claim.</w:t>
      </w:r>
    </w:p>
    <w:p>
      <w:pPr>
        <w:pStyle w:val="FirstParagraph"/>
        <w:spacing w:line="480" w:lineRule="auto"/>
      </w:pPr>
      <w:r>
        <w:t xml:space="preserve">The third proposition is that the first two propositions hold conditional on the regulatory regime in force at filing. The WRC-19 reforms introduced milestone-based bring-into-use requirements that altered the hazard structure mid-panel [3, 10, 12]. The framework does not require that the absolute hazard or the absolute slippage probability be invariant to the regime change. It requires only that, within each regime, the direction of the incumbency effect on the hazard and the direction of the duration effect on slippage be the same. The proposition would fail if the regime change inverted the sign of either effect, which would imply that incumbency or duration switched from a drag to an accelerant of operator behavior. There is no theoretical basis for such an inversion, and the chapter 2 logit estimate, in which both coordination duration and incumbent count carry positive coefficients on the milestone-miss outcome at conventional levels of significance, is consistent with the conditional-claim form of Proposition 3.</w:t>
      </w:r>
    </w:p>
    <w:p>
      <w:pPr>
        <w:pStyle w:val="BodyText"/>
        <w:spacing w:line="480" w:lineRule="auto"/>
        <w:ind w:firstLine="720"/>
      </w:pPr>
      <w:r>
        <w:t xml:space="preserve">The three propositions together imply the empirical specification that subsequent chapters will estimate. Proposition 1 motivates the hazard-model estimand on incumbent count. Proposition 2 motivates the logit estimand on the milestone-miss outcome with coordination duration as a regressor. Proposition 3 motivates the regime-stratified robustness specifications and the test for proportional-hazards violation across the WRC-19 boundary.</w:t>
      </w:r>
    </w:p>
    <w:bookmarkEnd w:id="86"/>
    <w:bookmarkEnd w:id="87"/>
    <w:bookmarkStart w:id="90" w:name="formal-hypotheses"/>
    <w:p>
      <w:pPr>
        <w:pStyle w:val="Heading2"/>
        <w:spacing w:line="480" w:lineRule="auto"/>
      </w:pPr>
      <w:r>
        <w:t xml:space="preserve">3.4 Formal Hypotheses</w:t>
      </w:r>
    </w:p>
    <w:p>
      <w:pPr>
        <w:pStyle w:val="FirstParagraph"/>
        <w:spacing w:line="480" w:lineRule="auto"/>
      </w:pPr>
      <w:r>
        <w:t xml:space="preserve">The hypotheses are stated in two clauses each so that the survival outcome and the binary downstream outcome are addressed jointly. The unit of analysis is the satellite-network filing. The survival outcome is the elapsed time from API publication to successful Notification in the Master International Frequency Register, modeled as a right-censored survival time. The downstream outcome is a binary indicator for whether the operator missed its first regulatory bring-into-use milestone, defined on the WRC-19 schedule documented by Allison [3, 10, 12]. The covariate set conditions on filing administration, frequency band, orbital regime, and filing year throughout.</w:t>
      </w:r>
    </w:p>
    <w:bookmarkStart w:id="88" w:name="h0-null-hypothesis"/>
    <w:p>
      <w:pPr>
        <w:pStyle w:val="Heading3"/>
        <w:spacing w:line="480" w:lineRule="auto"/>
      </w:pPr>
      <w:r>
        <w:t xml:space="preserve">H0 (null hypothesis)</w:t>
      </w:r>
    </w:p>
    <w:p>
      <w:pPr>
        <w:pStyle w:val="FirstParagraph"/>
        <w:spacing w:line="480" w:lineRule="auto"/>
      </w:pPr>
      <w:r>
        <w:t xml:space="preserve">Conditional on filing administration, frequency band, orbital regime, and filing year, the hazard of completing ITU coordination from API publication to successful Notification is independent of the number of co-frequency, co-coverage incumbent networks identified at the Coordination Request stage. Equivalently, the hazard ratio on incumbent count in a Cox proportional-hazards specification with shared frailty at the notifying administration level is equal to one. Conditional on the same covariates and on the regulatory regime in force at filing, the realized coordination duration is independent of the probability that the filing operator misses its first regulatory bring-into-use milestone. Equivalently, the coefficient on coordination duration in a logit specification of the milestone-miss outcome is equal to zero.</w:t>
      </w:r>
    </w:p>
    <w:bookmarkEnd w:id="88"/>
    <w:bookmarkStart w:id="89" w:name="h1-alternative-hypothesis"/>
    <w:p>
      <w:pPr>
        <w:pStyle w:val="Heading3"/>
        <w:spacing w:line="480" w:lineRule="auto"/>
      </w:pPr>
      <w:r>
        <w:t xml:space="preserve">H1 (alternative hypothesis)</w:t>
      </w:r>
    </w:p>
    <w:p>
      <w:pPr>
        <w:pStyle w:val="FirstParagraph"/>
        <w:spacing w:line="480" w:lineRule="auto"/>
      </w:pPr>
      <w:r>
        <w:t xml:space="preserve">Conditional on filing administration, frequency band, orbital regime, and filing year, each additional co-frequency, co-coverage incumbent network identified at the Coordination Request stage reduces the hazard of completing ITU coordination by a strictly positive amount, so that the hazard ratio on incumbent count is strictly less than one. Conditional on the same covariates and on the regulatory regime in force at filing, longer realized coordination durations are associated with a strictly higher probability of missing the first regulatory bring-into-use milestone, so that the coefficient on coordination duration in the logit specification of the milestone-miss outcome is strictly greater than zero.</w:t>
      </w:r>
    </w:p>
    <w:p>
      <w:pPr>
        <w:pStyle w:val="BodyText"/>
        <w:spacing w:line="480" w:lineRule="auto"/>
        <w:ind w:firstLine="720"/>
      </w:pPr>
      <w:r>
        <w:t xml:space="preserve">H1 is falsifiable on either clause. If the estimated hazard ratio on incumbent count in the Cox model is statistically indistinguishable from one at conventional levels of significance after the full covariate set is applied, the first clause of H1 fails. If the coefficient on coordination duration in the logit on milestone slippage is statistically indistinguishable from zero, or if it carries the wrong sign, the second clause of H1 fails. The two-clause structure is deliberate: the theoretical framework asserts that the upstream effect and the downstream effect operate through a single mechanism, namely the negotiated-queue character of the coordination episode. A finding that the upstream effect is present but the downstream effect is absent would be evidence that the operator absorbs coordination drag without consequence for milestone behavior, which would falsify the integrated framework even if it left Proposition 1 intact.</w:t>
      </w:r>
    </w:p>
    <w:bookmarkEnd w:id="89"/>
    <w:bookmarkEnd w:id="90"/>
    <w:bookmarkStart w:id="94" w:name="X0bc962511a4fe3d458bdac4c95efb99e83fcc89"/>
    <w:p>
      <w:pPr>
        <w:pStyle w:val="Heading2"/>
        <w:spacing w:line="480" w:lineRule="auto"/>
      </w:pPr>
      <w:r>
        <w:t xml:space="preserve">3.5 Falsification Criteria, Auxiliary Predictions, and Scope</w:t>
      </w:r>
    </w:p>
    <w:bookmarkStart w:id="91" w:name="falsification-criteria."/>
    <w:p>
      <w:pPr>
        <w:pStyle w:val="Heading3"/>
        <w:spacing w:line="480" w:lineRule="auto"/>
      </w:pPr>
      <w:r>
        <w:t xml:space="preserve">Falsification criteria.</w:t>
      </w:r>
    </w:p>
    <w:p>
      <w:pPr>
        <w:pStyle w:val="FirstParagraph"/>
        <w:spacing w:line="480" w:lineRule="auto"/>
      </w:pPr>
      <w:r>
        <w:t xml:space="preserve">The principal falsification criterion for H1 is the joint-significance test described in the previous paragraph. Two auxiliary tests are pre-registered. First, a placebo specification on filings withdrawn before reaching the Coordination Request stage: in those filings the incumbency count is not yet realized as a binding negotiation surface, and the theoretical framework predicts that any apparent incumbency effect on the withdrawn-filing hazard is an artifact rather than a mechanism. Second, an E-value sensitivity analysis on unobserved congestion: if the minimum confounder strength required to overturn the incumbency effect is implausibly small relative to the observed covariate strengths, the framework concedes that an unobserved-congestion explanation is competitive with the negotiated-queue explanation.</w:t>
      </w:r>
    </w:p>
    <w:bookmarkEnd w:id="91"/>
    <w:bookmarkStart w:id="92" w:name="auxiliary-predictions."/>
    <w:p>
      <w:pPr>
        <w:pStyle w:val="Heading3"/>
        <w:spacing w:line="480" w:lineRule="auto"/>
      </w:pPr>
      <w:r>
        <w:t xml:space="preserve">Auxiliary predictions.</w:t>
      </w:r>
    </w:p>
    <w:p>
      <w:pPr>
        <w:pStyle w:val="FirstParagraph"/>
        <w:spacing w:line="480" w:lineRule="auto"/>
      </w:pPr>
      <w:r>
        <w:t xml:space="preserve">Three predictions follow from the framework that are not required for falsification but that would strengthen the inference if they hold. First, the incumbency effect on the hazard should be larger in shared bands than in lightly populated bands, because the negotiated-queue mechanism is more binding where counterparty surface is larger. Second, the duration effect on milestone slippage should be larger for operators whose procurement calendars are tightly coupled to launch-vehicle availability, because the residual-window mechanism is more binding where hardware substitution is costly. Third, the post-WRC-19 regime should show a higher absolute slippage probability at fixed duration than the pre-WRC-19 regime, because the milestone clock itself was introduced by the regime change [3, 10, 12]. The first auxiliary prediction is testable through band-stratified hazard models. The second is testable through interaction terms between duration and an indicator for launch-vehicle-coupled procurement. The third is testable through regime-stratified logit specifications and aligns with the broader literature on sustainability and bring-into-use compliance for LEO constellations [20, 25].</w:t>
      </w:r>
    </w:p>
    <w:bookmarkEnd w:id="92"/>
    <w:bookmarkStart w:id="93" w:name="scope-and-limits."/>
    <w:p>
      <w:pPr>
        <w:pStyle w:val="Heading3"/>
        <w:spacing w:line="480" w:lineRule="auto"/>
      </w:pPr>
      <w:r>
        <w:t xml:space="preserve">Scope and limits.</w:t>
      </w:r>
    </w:p>
    <w:p>
      <w:pPr>
        <w:pStyle w:val="FirstParagraph"/>
        <w:spacing w:line="480" w:lineRule="auto"/>
      </w:pPr>
      <w:r>
        <w:t xml:space="preserve">The framework applies to non-geostationary satellite-network filings recorded in the ITU Space Network Systems Online database between 1 January 2014 and 31 December 2025</w:t>
      </w:r>
      <w:r>
        <w:t xml:space="preserve"> </w:t>
      </w:r>
      <w:hyperlink w:anchor="ref-8">
        <w:r>
          <w:rPr>
            <w:rStyle w:val="Hyperlink"/>
          </w:rPr>
          <w:t xml:space="preserve">[8]</w:t>
        </w:r>
      </w:hyperlink>
      <w:r>
        <w:t xml:space="preserve">. It does not extend, in its present form, to geostationary filings, which run on a distinct coordination geometry whose throughput properties are characterized in the literature by Roberts and Linares</w:t>
      </w:r>
      <w:r>
        <w:t xml:space="preserve"> </w:t>
      </w:r>
      <w:hyperlink w:anchor="ref-14">
        <w:r>
          <w:rPr>
            <w:rStyle w:val="Hyperlink"/>
          </w:rPr>
          <w:t xml:space="preserve">[14]</w:t>
        </w:r>
      </w:hyperlink>
      <w:r>
        <w:t xml:space="preserve"> </w:t>
      </w:r>
      <w:r>
        <w:t xml:space="preserve">and whose compliance properties are characterized by Karra and Jah [1, 11]. The framework also does not extend to filings made by administrations outside the WRC-19 milestone regime as documented by Allison, although the regime-stratified specifications will accommodate such filings as a robustness exercise where the data permit [3, 10, 12]. The framework is silent on the strategic-behavior question of whether operators file speculatively to capture queue position. The pre-registered placebo on withdrawn filings is designed to bound the size of any strategic-filing artifact, but the framework does not claim to identify the speculative-filing parameter directly.</w:t>
      </w:r>
    </w:p>
    <w:p>
      <w:pPr>
        <w:pStyle w:val="BodyText"/>
        <w:spacing w:line="480" w:lineRule="auto"/>
        <w:ind w:firstLine="720"/>
      </w:pPr>
      <w:r>
        <w:t xml:space="preserve">A final scope note is warranted on the truth-surface question. The framework treats the ITU regulatory record as the surface on which coordination duration and milestone behavior are observed. The independent-compliance work of Karra and Jah documents that on-orbit behavior does not always align with the filing record [1, 11], and the broader survey of large-constellation environmental and other effects produced by the U.S. Government Accountability Office documents that operator-side disclosures of milestone behavior are themselves imperfect</w:t>
      </w:r>
      <w:r>
        <w:t xml:space="preserve"> </w:t>
      </w:r>
      <w:hyperlink w:anchor="ref-9">
        <w:r>
          <w:rPr>
            <w:rStyle w:val="Hyperlink"/>
          </w:rPr>
          <w:t xml:space="preserve">[9]</w:t>
        </w:r>
      </w:hyperlink>
      <w:r>
        <w:t xml:space="preserve">. The framework concedes that the regulatory record is an imperfect proxy for true operator behavior. It claims only that the regulatory record is the surface on which the WRC-19 milestone regime is enforced and is therefore the surface on which the operationally relevant slippage outcome is realized. This is a deliberately narrow claim, and it is the claim that the survival and logit estimates in subsequent chapters will test. The framework leaves to future work the integration of independent compliance observations into the truth surface, an integration that the Karra and Jah method and the Space Sustainability Rating composite indicator both anticipate at the conceptual level [11, 25].</w:t>
      </w:r>
    </w:p>
    <w:bookmarkEnd w:id="93"/>
    <w:bookmarkEnd w:id="94"/>
    <w:bookmarkStart w:id="95" w:name="summary"/>
    <w:p>
      <w:pPr>
        <w:pStyle w:val="Heading2"/>
        <w:spacing w:line="480" w:lineRule="auto"/>
      </w:pPr>
      <w:r>
        <w:t xml:space="preserve">3.6 Summary</w:t>
      </w:r>
    </w:p>
    <w:p>
      <w:pPr>
        <w:pStyle w:val="FirstParagraph"/>
        <w:spacing w:line="480" w:lineRule="auto"/>
      </w:pPr>
      <w:r>
        <w:t xml:space="preserve">This chapter has developed the theoretical framework that connects the negotiated-queue character of ITU coordination to the conditional hazard of coordination completion and to the probability of operator-side milestone slippage. The framework rests on three linked propositions: that incumbency at Coordination Request stage depresses the conditional hazard of completion, that realized coordination duration is decision-relevant for operator milestone behavior, and that both effects survive the WRC-19 regime change as conditional claims. From those propositions the chapter has stated H0 and H1 in the two-clause form that the joint survival-and-logit estimation strategy of the dissertation requires, and it has specified the falsification criteria, the auxiliary predictions, and the scope limits under which the hypotheses are to be tested. The chapter closes the gap that the prospectus identified in the secondary literature, in which coordination is treated qualitatively as a governance object rather than quantitatively as a piece of information-technology infrastructure with a measurable throughput property [2, 3, 4, 5, 6]. The empirical chapters that follow estimate the survival and logit models that the framework here motivates.</w:t>
      </w:r>
    </w:p>
    <w:bookmarkEnd w:id="95"/>
    <w:bookmarkEnd w:id="96"/>
    <w:bookmarkStart w:id="114" w:name="chapter-4.-data-and-measurement"/>
    <w:p>
      <w:pPr>
        <w:pStyle w:val="Heading1"/>
        <w:spacing w:line="480" w:lineRule="auto"/>
      </w:pPr>
      <w:r>
        <w:t xml:space="preserve">Chapter 4. Data and Measurement</w:t>
      </w:r>
    </w:p>
    <w:bookmarkStart w:id="97" w:name="X18f05e865044ee732efa8f7d34ed6b424770715"/>
    <w:p>
      <w:pPr>
        <w:pStyle w:val="Heading2"/>
        <w:spacing w:line="480" w:lineRule="auto"/>
      </w:pPr>
      <w:r>
        <w:t xml:space="preserve">4.1 Overview and Logic of the Measurement Strategy</w:t>
      </w:r>
    </w:p>
    <w:p>
      <w:pPr>
        <w:pStyle w:val="FirstParagraph"/>
        <w:spacing w:line="480" w:lineRule="auto"/>
      </w:pPr>
      <w:r>
        <w:t xml:space="preserve">This chapter documents the empirical apparatus that supports the two analyses presented later in the dissertation. The first analysis estimates a binary logit on twenty-eight non-geostationary satellite network filings to test whether coordination duration and incumbent congestion raise the probability of missing the first regulatory bring-into-use milestone. The second analysis estimates a Cox proportional-hazards model on thirty-five filings to test whether orbit class, megaconstellation status, operator experience, and downlink frequency band shift the hazard of reaching Bringing-Into-Use (BIU). Both analyses share a single substantive object, the satellite network filing, and a single authoritative regulatory source, the International Telecommunication Union (ITU) Space Network Systems Online database and its associated Space Network List</w:t>
      </w:r>
      <w:r>
        <w:t xml:space="preserve"> </w:t>
      </w:r>
      <w:hyperlink w:anchor="ref-8">
        <w:r>
          <w:rPr>
            <w:rStyle w:val="Hyperlink"/>
          </w:rPr>
          <w:t xml:space="preserve">[8]</w:t>
        </w:r>
      </w:hyperlink>
      <w:r>
        <w:t xml:space="preserve">. The two analyses differ in their treatment of the outcome variable, the size and composition of the sample frame, the censoring regime, and the specific covariates constructed from the underlying records, and those differences are explained in detail in the sections that follow.</w:t>
      </w:r>
    </w:p>
    <w:p>
      <w:pPr>
        <w:pStyle w:val="BodyText"/>
        <w:spacing w:line="480" w:lineRule="auto"/>
        <w:ind w:firstLine="720"/>
      </w:pPr>
      <w:r>
        <w:t xml:space="preserve">The measurement strategy proceeds from three commitments. The first is that every variable used in either model must be traceable to a primary regulatory record or to a sworn corporate or governmental document filed with a regulatory authority. The second is that where the primary record is ambiguous or where the public release of the record obscures a specific date or count, the cell is marked illustrative and the share of illustrative cells is held below the fifteen percent ceiling that the candidate’s protocol allows. The third is that the unit of analysis is held constant at the satellite-network filing across both analyses, so that the two empirical exercises can be read as complementary tests on a single object rather than as two studies of different populations. The candidate’s prospectus argues that the literature treats ITU coordination largely as a qualitative governance object and lacks a population-level quantitative estimate of how long coordination takes [1, 2, 3, 4]. This chapter takes the construction of that quantitative estimate seriously enough to document each variable at the level of the primary record from which it is read.</w:t>
      </w:r>
    </w:p>
    <w:bookmarkEnd w:id="97"/>
    <w:bookmarkStart w:id="98" w:name="Xbc1c0d234a2c4bfb59ac5e1b166c9fa65d22d1b"/>
    <w:p>
      <w:pPr>
        <w:pStyle w:val="Heading2"/>
        <w:spacing w:line="480" w:lineRule="auto"/>
      </w:pPr>
      <w:r>
        <w:t xml:space="preserve">4.2 Primary Source: ITU Space Network Systems Online</w:t>
      </w:r>
    </w:p>
    <w:p>
      <w:pPr>
        <w:pStyle w:val="FirstParagraph"/>
        <w:spacing w:line="480" w:lineRule="auto"/>
      </w:pPr>
      <w:r>
        <w:t xml:space="preserve">The authoritative source for both analyses is the ITU Space Network Systems Online (SNS) database, distributed by the ITU Radiocommunication Bureau on the SNS DVD and through the SpaceQry and SpaceCom web services</w:t>
      </w:r>
      <w:r>
        <w:t xml:space="preserve"> </w:t>
      </w:r>
      <w:hyperlink w:anchor="ref-8">
        <w:r>
          <w:rPr>
            <w:rStyle w:val="Hyperlink"/>
          </w:rPr>
          <w:t xml:space="preserve">[8]</w:t>
        </w:r>
      </w:hyperlink>
      <w:r>
        <w:t xml:space="preserve">. SNS is the public record of Advance Publication Information (API) submissions, Coordination Requests filed under Articles 9 and 11 of the Radio Regulations, and Notifications recorded in the Master International Frequency Register (MIFR). The database supplies the filing identifier, the notifying administration code, the frequency assignments, the orbital parameters of the proposed system, and the date stamps on each regulatory event. The Space Network List (SNL), distributed in parallel with SNS, supplies the published catalogue of ongoing coordination cases together with the identification of co-frequency, co-coverage incumbent networks that the Radiocommunication Bureau notifies to the filer at Coordination Request stage. Both the SNS and the SNL are public-record artifacts of a binding international treaty obligation and are obtainable from the Radiocommunication Bureau under standard terms.</w:t>
      </w:r>
    </w:p>
    <w:p>
      <w:pPr>
        <w:pStyle w:val="BodyText"/>
        <w:spacing w:line="480" w:lineRule="auto"/>
        <w:ind w:firstLine="720"/>
      </w:pPr>
      <w:r>
        <w:t xml:space="preserve">The choice of SNS as the primary record reflects three properties of the database that the candidate’s prospectus and both research papers emphasize. First, SNS is the legal record on which the international right to use radio spectrum for a satellite network is established, and the date stamps in SNS are therefore the date stamps that operators and administrations are required to meet under the Radio Regulations</w:t>
      </w:r>
      <w:r>
        <w:t xml:space="preserve"> </w:t>
      </w:r>
      <w:hyperlink w:anchor="ref-3">
        <w:r>
          <w:rPr>
            <w:rStyle w:val="Hyperlink"/>
          </w:rPr>
          <w:t xml:space="preserve">[3]</w:t>
        </w:r>
      </w:hyperlink>
      <w:r>
        <w:t xml:space="preserve">. Second, SNS is comprehensive at the population level for the question of coordination duration, because every satellite network that seeks an international right to operate must appear in SNS regardless of national licensing pathway. Third, SNS is the source against which independent compliance work is benchmarked, including the assessment by Karra and Jah of harmful-interference and compliance behavior in the geostationary arc, which treats the filing record as the truth surface against which observed on-orbit conduct is compared [1, 11]. Roberts and Linares provide an independent point of methodological reference for the use of ITU space-station license records as the population frame for quantitative work on the geosynchronous regime, and that paper is the closest published precedent for the population-level treatment that this dissertation extends to the non-geostationary regime</w:t>
      </w:r>
      <w:r>
        <w:t xml:space="preserve"> </w:t>
      </w:r>
      <w:hyperlink w:anchor="ref-14">
        <w:r>
          <w:rPr>
            <w:rStyle w:val="Hyperlink"/>
          </w:rPr>
          <w:t xml:space="preserve">[14]</w:t>
        </w:r>
      </w:hyperlink>
      <w:r>
        <w:t xml:space="preserve">.</w:t>
      </w:r>
    </w:p>
    <w:bookmarkEnd w:id="98"/>
    <w:bookmarkStart w:id="99" w:name="Xe58acaff25e26e982a86fc02be40482565bc014"/>
    <w:p>
      <w:pPr>
        <w:pStyle w:val="Heading2"/>
        <w:spacing w:line="480" w:lineRule="auto"/>
      </w:pPr>
      <w:r>
        <w:t xml:space="preserve">4.3 Secondary Source: FCC International Bureau Filing System</w:t>
      </w:r>
    </w:p>
    <w:p>
      <w:pPr>
        <w:pStyle w:val="FirstParagraph"/>
        <w:spacing w:line="480" w:lineRule="auto"/>
      </w:pPr>
      <w:r>
        <w:t xml:space="preserve">The second authoritative source is the U.S. Federal Communications Commission’s International Bureau Filing System (IBFS), specifically the Satellite Space Station dockets from 2008 through 2024</w:t>
      </w:r>
      <w:r>
        <w:t xml:space="preserve"> </w:t>
      </w:r>
      <w:hyperlink w:anchor="ref-7">
        <w:r>
          <w:rPr>
            <w:rStyle w:val="Hyperlink"/>
          </w:rPr>
          <w:t xml:space="preserve">[7]</w:t>
        </w:r>
      </w:hyperlink>
      <w:r>
        <w:t xml:space="preserve">. IBFS is the public record of U.S.-administered filings and is the docket layer at which operators submit market-access petitions, modifications, and milestone certifications under U.S. authority. IBFS is used in both research papers as the linking record between the ITU filing identifier and the operator-side U.S. corporate identity, and it is the layer at which the milestone-miss outcome variable in Paper 1 is read for U.S.-licensed networks. Where an ITU filing is sponsored by an administration other than the United States, the same milestone-miss outcome is read against the corresponding ITU Bureau circular letters that record bring-into-use status and against operator press releases, sworn 10-K filings, and U.S. Government Accountability Office assessments that triangulate the operator’s claimed deployment status</w:t>
      </w:r>
      <w:r>
        <w:t xml:space="preserve"> </w:t>
      </w:r>
      <w:hyperlink w:anchor="ref-9">
        <w:r>
          <w:rPr>
            <w:rStyle w:val="Hyperlink"/>
          </w:rPr>
          <w:t xml:space="preserve">[9]</w:t>
        </w:r>
      </w:hyperlink>
      <w:r>
        <w:t xml:space="preserve">.</w:t>
      </w:r>
    </w:p>
    <w:p>
      <w:pPr>
        <w:pStyle w:val="BodyText"/>
        <w:spacing w:line="480" w:lineRule="auto"/>
        <w:ind w:firstLine="720"/>
      </w:pPr>
      <w:r>
        <w:t xml:space="preserve">The decision to link SNS to IBFS at the filing level rather than at the operator level is consequential and is explained briefly here. A single satellite operator may sponsor several ITU filings across several administrations, each with distinct coordination histories. Linking at the filing identifier preserves the unit of analysis that both papers use, prevents within-operator double counting, and allows the panel to retain the within-administration, within-band variation that the prospectus identifies as the basis for identification in the Cox model with shared frailty at the notifying administration level. Roberts and Linares document the practical challenges of this linkage at the population scale for the geosynchronous regime, and the present dissertation takes their linkage logic as a model for the non-geostationary regime</w:t>
      </w:r>
      <w:r>
        <w:t xml:space="preserve"> </w:t>
      </w:r>
      <w:hyperlink w:anchor="ref-14">
        <w:r>
          <w:rPr>
            <w:rStyle w:val="Hyperlink"/>
          </w:rPr>
          <w:t xml:space="preserve">[14]</w:t>
        </w:r>
      </w:hyperlink>
      <w:r>
        <w:t xml:space="preserve">.</w:t>
      </w:r>
    </w:p>
    <w:bookmarkEnd w:id="99"/>
    <w:bookmarkStart w:id="100" w:name="X1f705ecf596fcc25b909d298618647d63139974"/>
    <w:p>
      <w:pPr>
        <w:pStyle w:val="Heading2"/>
        <w:spacing w:line="480" w:lineRule="auto"/>
      </w:pPr>
      <w:r>
        <w:t xml:space="preserve">4.4 Tertiary Sources and Triangulation Records</w:t>
      </w:r>
    </w:p>
    <w:p>
      <w:pPr>
        <w:pStyle w:val="FirstParagraph"/>
        <w:spacing w:line="480" w:lineRule="auto"/>
      </w:pPr>
      <w:r>
        <w:t xml:space="preserve">Three tertiary sources are used to construct or to validate variables that the primary regulatory records leave underspecified. The first is operator-disclosed financial and operational reporting, specifically annual reports filed on Form 10-K with the U.S. Securities and Exchange Commission and equivalent statutory filings by operators headquartered outside the United States. These filings are used to validate the count of satellites authorized under a given network and to validate the operator’s own characterization of milestone status. The second is the U.S. Government Accountability Office report on large constellations of satellites, which provides an independent governmental assessment of constellation deployment status during the panel period and which the candidate’s Paper 1 uses to cross-check the milestone-miss outcome for the largest filings in the panel</w:t>
      </w:r>
      <w:r>
        <w:t xml:space="preserve"> </w:t>
      </w:r>
      <w:hyperlink w:anchor="ref-9">
        <w:r>
          <w:rPr>
            <w:rStyle w:val="Hyperlink"/>
          </w:rPr>
          <w:t xml:space="preserve">[9]</w:t>
        </w:r>
      </w:hyperlink>
      <w:r>
        <w:t xml:space="preserve">. The third is operator press kits and procurement announcements, which are used as confirmatory rather than primary evidence and which are not used to set any of the duration variables in either model.</w:t>
      </w:r>
    </w:p>
    <w:bookmarkEnd w:id="100"/>
    <w:bookmarkStart w:id="101" w:name="unit-of-analysis"/>
    <w:p>
      <w:pPr>
        <w:pStyle w:val="Heading2"/>
        <w:spacing w:line="480" w:lineRule="auto"/>
      </w:pPr>
      <w:r>
        <w:t xml:space="preserve">4.5 Unit of Analysis</w:t>
      </w:r>
    </w:p>
    <w:p>
      <w:pPr>
        <w:pStyle w:val="FirstParagraph"/>
        <w:spacing w:line="480" w:lineRule="auto"/>
      </w:pPr>
      <w:r>
        <w:t xml:space="preserve">The unit of analysis is the satellite-network filing as identified by its ITU filing identifier and as instantiated by the corresponding entry in SNS</w:t>
      </w:r>
      <w:r>
        <w:t xml:space="preserve"> </w:t>
      </w:r>
      <w:hyperlink w:anchor="ref-8">
        <w:r>
          <w:rPr>
            <w:rStyle w:val="Hyperlink"/>
          </w:rPr>
          <w:t xml:space="preserve">[8]</w:t>
        </w:r>
      </w:hyperlink>
      <w:r>
        <w:t xml:space="preserve">. A filing is admitted to the analytic sample if and only if it has a recorded Advance Publication Information date in SNS, has a notifying administration code, and corresponds to a non-geostationary system as identified by the orbital parameters in the SNS record. A filing is excluded if its Advance Publication date is missing, if it is administratively superseded by a successor filing before the Coordination Request stage in a manner that prevents the construction of an incumbent count, or if it falls outside the panel window. Paper 1 restricts the panel window to Advance Publication years between 2008 and 2021 to capture both pre- and post-WRC-19 filings, while Paper 2 widens the panel window to 1999 through 2023 to support the survival analysis with adequate baseline hazard estimation. Both windows are explicit choices justified by the candidate’s prospectus, which identifies the WRC-19 reforms documented by Allison as the central regime-change event in the data-generating process [3, 10, 12].</w:t>
      </w:r>
    </w:p>
    <w:p>
      <w:pPr>
        <w:pStyle w:val="BodyText"/>
        <w:spacing w:line="480" w:lineRule="auto"/>
        <w:ind w:firstLine="720"/>
      </w:pPr>
      <w:r>
        <w:t xml:space="preserve">The decision to hold the unit of analysis constant at the filing rather than at the satellite, at the orbital shell, or at the operator is a substantive identification decision and not merely a data-availability artifact. The filing is the object on which the Radio Regulations operate, the object against which the milestone clock runs, and the object whose duration is the dependent variable in Paper 2 and whose covariates predict the dependent variable in Paper 1. Sorge and colleagues argue that coordination overhead between new and incumbent users is a non-trivial cost driver in the contemporary regime and treat the filing as the natural unit at which that overhead accrues [2, 22]. Young and Thadani treat the LEO broadband competition as a contest among filings sponsored by a small number of operators, and their reading of the competitive arena supports the choice to retain the filing as the unit even when operators sponsor multiple filings [4, 17]. Stilwell and colleagues, in their proposed orbital classification, treat ITU allocations as binding at the filing level rather than at the satellite level, which is the same modeling commitment adopted here</w:t>
      </w:r>
      <w:r>
        <w:t xml:space="preserve"> </w:t>
      </w:r>
      <w:hyperlink w:anchor="ref-5">
        <w:r>
          <w:rPr>
            <w:rStyle w:val="Hyperlink"/>
          </w:rPr>
          <w:t xml:space="preserve">[5]</w:t>
        </w:r>
      </w:hyperlink>
      <w:r>
        <w:t xml:space="preserve">.</w:t>
      </w:r>
    </w:p>
    <w:bookmarkEnd w:id="101"/>
    <w:bookmarkStart w:id="105" w:name="sample-composition"/>
    <w:p>
      <w:pPr>
        <w:pStyle w:val="Heading2"/>
        <w:spacing w:line="480" w:lineRule="auto"/>
      </w:pPr>
      <w:r>
        <w:t xml:space="preserve">4.6 Sample Composition</w:t>
      </w:r>
    </w:p>
    <w:bookmarkStart w:id="102" w:name="paper-1-sample"/>
    <w:p>
      <w:pPr>
        <w:pStyle w:val="Heading3"/>
        <w:spacing w:line="480" w:lineRule="auto"/>
      </w:pPr>
      <w:r>
        <w:t xml:space="preserve">4.6.1 Paper 1 Sample</w:t>
      </w:r>
    </w:p>
    <w:p>
      <w:pPr>
        <w:pStyle w:val="FirstParagraph"/>
        <w:spacing w:line="480" w:lineRule="auto"/>
      </w:pPr>
      <w:r>
        <w:t xml:space="preserve">The Paper 1 sample comprises twenty-eight non-geostationary network filings with Advance Publication years between 2008 and 2021. The filings cover the major Ku-band and Ka-band non-geostationary systems of the last fifteen years and include STARLINK Gen 1 and Gen 2, ONEWEB, KUIPER, TELESAT LIGHTSPEED, O3b, O3b mPOWER, GUOWANG, QIANFAN, and a tail of smaller and cancelled filings. The sample also includes two early-period Ku-band filings, IRIDIUM NEXT and GLOBALSTAR, which anchor the pre-WRC-19 portion of the panel. The sample is intentionally drawn to span administrations and orbital regimes within the non-geostationary class so that the post-WRC-19 indicator has real pre-regime comparison observations and so that the incumbent-count covariate has within-administration, within-band variation. The candidate’s prospectus explicitly identifies this within-administration, within-band variation as the basis for the identification strategy that the Cox model in Paper 2 then extends with shared frailty at the administration level.</w:t>
      </w:r>
    </w:p>
    <w:bookmarkEnd w:id="102"/>
    <w:bookmarkStart w:id="103" w:name="paper-2-sample"/>
    <w:p>
      <w:pPr>
        <w:pStyle w:val="Heading3"/>
        <w:spacing w:line="480" w:lineRule="auto"/>
      </w:pPr>
      <w:r>
        <w:t xml:space="preserve">4.6.2 Paper 2 Sample</w:t>
      </w:r>
    </w:p>
    <w:p>
      <w:pPr>
        <w:pStyle w:val="FirstParagraph"/>
        <w:spacing w:line="480" w:lineRule="auto"/>
      </w:pPr>
      <w:r>
        <w:t xml:space="preserve">The Paper 2 sample comprises thirty-five filings spanning 1999 through 2023. The wider window and the larger sample are required by the partial-likelihood estimator, which needs a longer follow-up period and a wider range of event times to support stable estimation of the baseline hazard. Twenty-eight of the thirty-five filings are observed events, defined as Notification of BIU within the observation window, and seven are right-censored at the cutoff. The Paper 2 sample is the natural superset of the Paper 1 sample, with the additional filings drawn from earlier-period systems whose milestone outcomes are not informative for the binary outcome in Paper 1 but whose duration data are informative for the baseline hazard in Paper 2.</w:t>
      </w:r>
    </w:p>
    <w:bookmarkEnd w:id="103"/>
    <w:bookmarkStart w:id="104" w:name="illustrative-cells"/>
    <w:p>
      <w:pPr>
        <w:pStyle w:val="Heading3"/>
        <w:spacing w:line="480" w:lineRule="auto"/>
      </w:pPr>
      <w:r>
        <w:t xml:space="preserve">4.6.3 Illustrative Cells</w:t>
      </w:r>
    </w:p>
    <w:p>
      <w:pPr>
        <w:pStyle w:val="FirstParagraph"/>
        <w:spacing w:line="480" w:lineRule="auto"/>
      </w:pPr>
      <w:r>
        <w:t xml:space="preserve">Four rows in Paper 1 include cells that are marked illustrative because the public record did not allow a precise reading of the specific value. Illustrative cells account for fourteen percent of the Paper 1 sample, below the fifteen percent ceiling that the candidate’s protocol allows. The Paper 2 sample similarly contains a small number of illustrative cells, again held below the fifteen percent ceiling. Illustrative cells are concentrated on the count of co-frequency incumbents at Coordination Request stage for filings whose Coordination Request documentation is partially withheld and on the precise month of Advance Publication for two early-period filings whose published date stamps are at calendar-month rather than calendar-day resolution. No illustrative cell is placed on a dependent variable for either model. The candidate’s measurement protocol prohibits the imputation of dependent-variable values.</w:t>
      </w:r>
    </w:p>
    <w:bookmarkEnd w:id="104"/>
    <w:bookmarkEnd w:id="105"/>
    <w:bookmarkStart w:id="111" w:name="variable-construction"/>
    <w:p>
      <w:pPr>
        <w:pStyle w:val="Heading2"/>
        <w:spacing w:line="480" w:lineRule="auto"/>
      </w:pPr>
      <w:r>
        <w:t xml:space="preserve">4.7 Variable Construction</w:t>
      </w:r>
    </w:p>
    <w:p>
      <w:pPr>
        <w:pStyle w:val="FirstParagraph"/>
        <w:spacing w:line="480" w:lineRule="auto"/>
      </w:pPr>
      <w:r>
        <w:t xml:space="preserve">This section documents the construction of each variable used in either model from the primary records described above. The variables fall into five groups: filing identifiers, duration variables, count variables, regime and technology indicators, and outcome variables.</w:t>
      </w:r>
    </w:p>
    <w:bookmarkStart w:id="106" w:name="filing-identifiers-and-administration"/>
    <w:p>
      <w:pPr>
        <w:pStyle w:val="Heading3"/>
        <w:spacing w:line="480" w:lineRule="auto"/>
      </w:pPr>
      <w:r>
        <w:t xml:space="preserve">4.7.1 Filing Identifiers and Administration</w:t>
      </w:r>
    </w:p>
    <w:p>
      <w:pPr>
        <w:pStyle w:val="FirstParagraph"/>
        <w:spacing w:line="480" w:lineRule="auto"/>
      </w:pPr>
      <w:r>
        <w:t xml:space="preserve">The filing identifier is the ITU SNS network name as recorded in the Advance Publication Information notice</w:t>
      </w:r>
      <w:r>
        <w:t xml:space="preserve"> </w:t>
      </w:r>
      <w:hyperlink w:anchor="ref-8">
        <w:r>
          <w:rPr>
            <w:rStyle w:val="Hyperlink"/>
          </w:rPr>
          <w:t xml:space="preserve">[8]</w:t>
        </w:r>
      </w:hyperlink>
      <w:r>
        <w:t xml:space="preserve">. The notifying administration is the three-letter administration code recorded in the same SNS notice. Both fields are taken without modification from the primary record. The administration code is used in Paper 2 as the frailty level in the Cox model with shared frailty and is used in Paper 1 as a categorical covariate that absorbs administration-level heterogeneity that the candidate’s prospectus identifies as a potential confounder of the duration coefficient.</w:t>
      </w:r>
    </w:p>
    <w:bookmarkEnd w:id="106"/>
    <w:bookmarkStart w:id="107" w:name="duration-variables"/>
    <w:p>
      <w:pPr>
        <w:pStyle w:val="Heading3"/>
        <w:spacing w:line="480" w:lineRule="auto"/>
      </w:pPr>
      <w:r>
        <w:t xml:space="preserve">4.7.2 Duration Variables</w:t>
      </w:r>
    </w:p>
    <w:p>
      <w:pPr>
        <w:pStyle w:val="FirstParagraph"/>
        <w:spacing w:line="480" w:lineRule="auto"/>
      </w:pPr>
      <w:r>
        <w:t xml:space="preserve">Two duration variables are constructed from SNS date stamps. The first, used in Paper 1, is elapsed months from Advance Publication to Coordination Request completion. It is computed as the difference between the SNS-recorded date of Coordination Request publication and the SNS-recorded date of Advance Publication, expressed in months and rounded to the nearest month. The second, used in Paper 2, is elapsed months from filing receipt to BIU notification. It is computed as the difference between the SNS-recorded date of receipt and the SNS-recorded date of BIU notification, expressed in months. Right-censoring is applied at the observation cutoff for filings whose BIU notification has not been recorded by the cutoff date. The event indicator takes the value one for filings with a recorded BIU notification within the window and zero for right-censored filings, as documented in Paper 2.</w:t>
      </w:r>
    </w:p>
    <w:bookmarkEnd w:id="107"/>
    <w:bookmarkStart w:id="108" w:name="count-variables"/>
    <w:p>
      <w:pPr>
        <w:pStyle w:val="Heading3"/>
        <w:spacing w:line="480" w:lineRule="auto"/>
      </w:pPr>
      <w:r>
        <w:t xml:space="preserve">4.7.3 Count Variables</w:t>
      </w:r>
    </w:p>
    <w:p>
      <w:pPr>
        <w:pStyle w:val="FirstParagraph"/>
        <w:spacing w:line="480" w:lineRule="auto"/>
      </w:pPr>
      <w:r>
        <w:t xml:space="preserve">Two count variables are constructed. The first is the count of co-frequency, co-coverage incumbent networks identified at Coordination Request stage, used as the incumbent-congestion covariate in Paper 1 and identified in the candidate’s prospectus as the treatment variable for the survival analysis described there. The count is read from the ITU coordination identification reports that the Radiocommunication Bureau issues to the filer at Coordination Request stage and that are published as part of the SNL</w:t>
      </w:r>
      <w:r>
        <w:t xml:space="preserve"> </w:t>
      </w:r>
      <w:hyperlink w:anchor="ref-8">
        <w:r>
          <w:rPr>
            <w:rStyle w:val="Hyperlink"/>
          </w:rPr>
          <w:t xml:space="preserve">[8]</w:t>
        </w:r>
      </w:hyperlink>
      <w:r>
        <w:t xml:space="preserve">. The count is the number of distinct network identifiers listed in the report as requiring coordination with the filing under examination. Where the report is partially withheld, the cell is marked illustrative and the sensitivity analysis flagged in the prospectus is conducted against an alternative incumbency definition that includes only networks with prior recorded BIU.</w:t>
      </w:r>
    </w:p>
    <w:p>
      <w:pPr>
        <w:pStyle w:val="BodyText"/>
        <w:spacing w:line="480" w:lineRule="auto"/>
        <w:ind w:firstLine="720"/>
      </w:pPr>
      <w:r>
        <w:t xml:space="preserve">The second count variable is the count of prior coordination filings by the same operator in the same band, used as the operator-experience covariate in Paper 2. The count is constructed by retrieving all SNS filings whose operator field matches the operator under examination, restricting to filings with Advance Publication dates strictly prior to the focal filing, and restricting to filings whose lower-bound downlink frequency falls within the same broad band class as the focal filing. The variable is intended to capture institutional learning at the operator level and is treated by the Cox model as a continuous covariate.</w:t>
      </w:r>
    </w:p>
    <w:bookmarkEnd w:id="108"/>
    <w:bookmarkStart w:id="109" w:name="regime-and-technology-indicators"/>
    <w:p>
      <w:pPr>
        <w:pStyle w:val="Heading3"/>
        <w:spacing w:line="480" w:lineRule="auto"/>
      </w:pPr>
      <w:r>
        <w:t xml:space="preserve">4.7.4 Regime and Technology Indicators</w:t>
      </w:r>
    </w:p>
    <w:p>
      <w:pPr>
        <w:pStyle w:val="FirstParagraph"/>
        <w:spacing w:line="480" w:lineRule="auto"/>
      </w:pPr>
      <w:r>
        <w:t xml:space="preserve">Three indicator variables are constructed. The post-WRC-19 indicator takes the value one for filings whose Advance Publication date is on or after 1 January 2020 and zero otherwise, in alignment with the Allison account of WRC-19 reforms that introduced milestone-based bring-into-use requirements [3, 10, 12]. The NGSO indicator takes the value one for filings whose SNS-recorded orbital parameters identify a non-geostationary system and zero otherwise. The megaconstellation indicator, used in Paper 2, takes the value one for filings whose total authorized satellite count exceeds one thousand, the threshold that Sorge and colleagues use in their characterization of large constellations and that aligns with the staged BIU thresholds documented by Allison [2, 3, 22].</w:t>
      </w:r>
    </w:p>
    <w:p>
      <w:pPr>
        <w:pStyle w:val="BodyText"/>
        <w:spacing w:line="480" w:lineRule="auto"/>
        <w:ind w:firstLine="720"/>
      </w:pPr>
      <w:r>
        <w:t xml:space="preserve">A fourth indicator, the Ka-band primary-operation indicator, is constructed for Paper 1 but excluded from the final logit specification on the grounds documented in Paper 1’s methods section: its sample variance is small and it creates quasi-separation in the maximum-likelihood estimator. The indicator is retained in the variable inventory and in the candidate’s robustness checks because it is a substantively meaningful technology dimension. The frequency-band lower bound used in Paper 2 is constructed as the lowest downlink frequency assignment in the SNS record, expressed in gigahertz, and is treated as a continuous covariate by the Cox model.</w:t>
      </w:r>
    </w:p>
    <w:bookmarkEnd w:id="109"/>
    <w:bookmarkStart w:id="110" w:name="outcome-variables"/>
    <w:p>
      <w:pPr>
        <w:pStyle w:val="Heading3"/>
        <w:spacing w:line="480" w:lineRule="auto"/>
      </w:pPr>
      <w:r>
        <w:t xml:space="preserve">4.7.5 Outcome Variables</w:t>
      </w:r>
    </w:p>
    <w:p>
      <w:pPr>
        <w:pStyle w:val="FirstParagraph"/>
        <w:spacing w:line="480" w:lineRule="auto"/>
      </w:pPr>
      <w:r>
        <w:t xml:space="preserve">Two outcome variables are constructed. The Paper 1 outcome is a binary indicator that takes the value one if the network missed its first regulatory bring-into-use or deployment milestone and zero otherwise. The value is read from the ITU Bureau circular letters that record bring-into-use status for the filing, cross-checked against U.S. International Bureau Filing System milestone certifications for U.S.-licensed filings</w:t>
      </w:r>
      <w:r>
        <w:t xml:space="preserve"> </w:t>
      </w:r>
      <w:hyperlink w:anchor="ref-7">
        <w:r>
          <w:rPr>
            <w:rStyle w:val="Hyperlink"/>
          </w:rPr>
          <w:t xml:space="preserve">[7]</w:t>
        </w:r>
      </w:hyperlink>
      <w:r>
        <w:t xml:space="preserve">, cross-checked against operator 10-K disclosures, and cross-checked against the U.S. Government Accountability Office assessment of large constellations</w:t>
      </w:r>
      <w:r>
        <w:t xml:space="preserve"> </w:t>
      </w:r>
      <w:hyperlink w:anchor="ref-9">
        <w:r>
          <w:rPr>
            <w:rStyle w:val="Hyperlink"/>
          </w:rPr>
          <w:t xml:space="preserve">[9]</w:t>
        </w:r>
      </w:hyperlink>
      <w:r>
        <w:t xml:space="preserve">. Where the four sources disagree, the ITU Bureau record is treated as authoritative. The Paper 2 outcome is the BIU event indicator described in the duration variables section. Neither outcome is imputed; missingness on the outcome variable is grounds for exclusion from the analytic sample.</w:t>
      </w:r>
    </w:p>
    <w:bookmarkEnd w:id="110"/>
    <w:bookmarkEnd w:id="111"/>
    <w:bookmarkStart w:id="112" w:name="X3ba61c874a0b062d5481d35c8422c61d50c4105"/>
    <w:p>
      <w:pPr>
        <w:pStyle w:val="Heading2"/>
        <w:spacing w:line="480" w:lineRule="auto"/>
      </w:pPr>
      <w:r>
        <w:t xml:space="preserve">4.8 Measurement Limitations and Their Implications</w:t>
      </w:r>
    </w:p>
    <w:p>
      <w:pPr>
        <w:pStyle w:val="FirstParagraph"/>
        <w:spacing w:line="480" w:lineRule="auto"/>
      </w:pPr>
      <w:r>
        <w:t xml:space="preserve">Four measurement limitations carry through to the empirical chapters that follow and are flagged here for transparency.</w:t>
      </w:r>
    </w:p>
    <w:p>
      <w:pPr>
        <w:pStyle w:val="BodyText"/>
        <w:spacing w:line="480" w:lineRule="auto"/>
        <w:ind w:firstLine="720"/>
      </w:pPr>
      <w:r>
        <w:t xml:space="preserve">The first is that the SNS incumbent-count covariate is constructed from the ITU coordination identification reports and may understate true congestion in shared bands where coordination occurs informally between administrations before the formal Coordination Request stage. The candidate’s prospectus identifies this limitation explicitly and proposes a sensitivity analysis using alternative incumbency definitions, including a definition that includes only networks with prior recorded BIU.</w:t>
      </w:r>
    </w:p>
    <w:p>
      <w:pPr>
        <w:pStyle w:val="BodyText"/>
        <w:spacing w:line="480" w:lineRule="auto"/>
        <w:ind w:firstLine="720"/>
      </w:pPr>
      <w:r>
        <w:t xml:space="preserve">The second is that the milestone-miss outcome in Paper 1 is defined on the ITU regulatory record rather than on independent on-orbit telemetry. Karra and Jah show that on-orbit behavior does not always match what filings say, indicating that the upstream coordination record is imperfectly absorbed by operators on the way to first launch [1, 11]. The candidate accepts the regulatory-record definition of the outcome on the grounds that the regulatory record is the surface against which the operator is held accountable under the Radio Regulations, but flags the limitation in both papers.</w:t>
      </w:r>
    </w:p>
    <w:p>
      <w:pPr>
        <w:pStyle w:val="BodyText"/>
        <w:spacing w:line="480" w:lineRule="auto"/>
        <w:ind w:firstLine="720"/>
      </w:pPr>
      <w:r>
        <w:t xml:space="preserve">The third is that the WRC-19 regime shift documented by Allison alters the hazard structure mid-panel [3, 10, 12]. The candidate’s prospectus proposes stratified estimation pre and post 2019 and a test for proportional-hazards violation. Paper 2 does not implement the stratification in its main specification on the grounds of sample size but flags the resulting limitation explicitly.</w:t>
      </w:r>
    </w:p>
    <w:p>
      <w:pPr>
        <w:pStyle w:val="BodyText"/>
        <w:spacing w:line="480" w:lineRule="auto"/>
        <w:ind w:firstLine="720"/>
      </w:pPr>
      <w:r>
        <w:t xml:space="preserve">The fourth is that the panel underrepresents national administrations that do not publish receipt dates in English-language sources, as noted in Paper 2’s discussion. The candidate proposes extending the panel using ITU SNL bulk extracts in subsequent work, an extension that is consistent with the population-level treatment that Roberts and Linares develop for the geosynchronous regime</w:t>
      </w:r>
      <w:r>
        <w:t xml:space="preserve"> </w:t>
      </w:r>
      <w:hyperlink w:anchor="ref-14">
        <w:r>
          <w:rPr>
            <w:rStyle w:val="Hyperlink"/>
          </w:rPr>
          <w:t xml:space="preserve">[14]</w:t>
        </w:r>
      </w:hyperlink>
      <w:r>
        <w:t xml:space="preserve">.</w:t>
      </w:r>
    </w:p>
    <w:bookmarkEnd w:id="112"/>
    <w:bookmarkStart w:id="113" w:name="summary-1"/>
    <w:p>
      <w:pPr>
        <w:pStyle w:val="Heading2"/>
        <w:spacing w:line="480" w:lineRule="auto"/>
      </w:pPr>
      <w:r>
        <w:t xml:space="preserve">4.9 Summary</w:t>
      </w:r>
    </w:p>
    <w:p>
      <w:pPr>
        <w:pStyle w:val="FirstParagraph"/>
        <w:spacing w:line="480" w:lineRule="auto"/>
      </w:pPr>
      <w:r>
        <w:t xml:space="preserve">The measurement strategy presented in this chapter constructs both analytic samples from a single authoritative regulatory source, the ITU Space Network Systems Online database, supplemented by U.S. International Bureau Filing System dockets, U.S. Government Accountability Office assessments, operator statutory filings, and ITU Bureau circular letters [7, 8, 9]. The unit of analysis is held constant at the satellite-network filing across both papers. The duration, count, regime, and outcome variables are read from primary records and traced row by row to the docket or lookup from which each value was drawn. Illustrative cells are confined to non-outcome variables and held below the fifteen percent ceiling. The resulting dataset is the empirical apparatus on which the logit analysis in Chapter 5 and the Cox proportional-hazards analysis in Chapter 6 are built, and its construction is documented at the level of detail required for a population-level claim about the throughput of an information-infrastructure pipeline that the prior literature has treated almost entirely in qualitative terms [1, 2, 3, 4, 5, 6].</w:t>
      </w:r>
    </w:p>
    <w:bookmarkEnd w:id="113"/>
    <w:bookmarkEnd w:id="114"/>
    <w:bookmarkStart w:id="121" w:name="chapter-5.-methods-and-identification"/>
    <w:p>
      <w:pPr>
        <w:pStyle w:val="Heading1"/>
        <w:spacing w:line="480" w:lineRule="auto"/>
      </w:pPr>
      <w:r>
        <w:t xml:space="preserve">Chapter 5. Methods and Identification</w:t>
      </w:r>
    </w:p>
    <w:bookmarkStart w:id="115" w:name="overview"/>
    <w:p>
      <w:pPr>
        <w:pStyle w:val="Heading2"/>
        <w:spacing w:line="480" w:lineRule="auto"/>
      </w:pPr>
      <w:r>
        <w:t xml:space="preserve">5.1 Overview</w:t>
      </w:r>
    </w:p>
    <w:p>
      <w:pPr>
        <w:pStyle w:val="FirstParagraph"/>
        <w:spacing w:line="480" w:lineRule="auto"/>
      </w:pPr>
      <w:r>
        <w:t xml:space="preserve">This chapter specifies the estimators used to test the two clauses of H1, the identification strategy that licenses a causal reading of the principal coefficients, and the threats to validity that any quantitative study of International Telecommunication Union (ITU) frequency coordination must confront. The empirical object is the satellite-network filing, observed from the publication of Advance Publication Information (API) through Coordination Request to successful Notification in the Master International Frequency Register, and then through the post-WRC-19 bring-into-use milestone schedule</w:t>
      </w:r>
      <w:r>
        <w:t xml:space="preserve"> </w:t>
      </w:r>
      <w:hyperlink w:anchor="ref-3">
        <w:r>
          <w:rPr>
            <w:rStyle w:val="Hyperlink"/>
          </w:rPr>
          <w:t xml:space="preserve">[3]</w:t>
        </w:r>
      </w:hyperlink>
      <w:r>
        <w:t xml:space="preserve">. The duration between API and Notification is treated as a right-censored survival time, and the binary milestone-miss outcome is treated as a downstream event whose probability is hypothesised to depend on the realised duration. The chapter proceeds in four parts: the survival estimators and their parametric robustness checks (Section 5.2), the identification strategy that exploits within-administration, within-band variation in incumbent counts driven by the arrival order of unrelated third-party filings (Section 5.3), the downstream milestone-miss model and its link to the survival estimates (Section 5.4), and a systematic catalogue of threats to validity with the specific bounding strategy adopted against each (Section 5.5). The pilot logit on twenty-eight filings and the pilot Cox model on thirty-five filings, reported in the two research papers that precede this dissertation, establish that the principal coefficients move in the predicted direction and that the megaconstellation cohort is where the binding constraint concentrates; the methods specified here scale those pilot designs to the full SNS-derived population of non-geostationary filings with API dates between 1 January 2014 and 31 December 2025.</w:t>
      </w:r>
    </w:p>
    <w:bookmarkEnd w:id="115"/>
    <w:bookmarkStart w:id="116" w:name="estimators"/>
    <w:p>
      <w:pPr>
        <w:pStyle w:val="Heading2"/>
        <w:spacing w:line="480" w:lineRule="auto"/>
      </w:pPr>
      <w:r>
        <w:t xml:space="preserve">5.2 Estimators</w:t>
      </w:r>
    </w:p>
    <w:p>
      <w:pPr>
        <w:pStyle w:val="FirstParagraph"/>
        <w:spacing w:line="480" w:lineRule="auto"/>
      </w:pPr>
      <w:r>
        <w:t xml:space="preserve">The primary estimator for the first clause of H1 is the Cox proportional-hazards model with shared frailty at the notifying administration level. Let</w:t>
      </w:r>
      <w:r>
        <w:t xml:space="preserve"> </w:t>
      </w:r>
      <w:r>
        <w:rPr>
          <w:rStyle w:val="VerbatimChar"/>
        </w:rPr>
        <w:t xml:space="preserve">T_i</w:t>
      </w:r>
      <w:r>
        <w:t xml:space="preserve"> </w:t>
      </w:r>
      <w:r>
        <w:t xml:space="preserve">denote the elapsed time from API publication to the recording of a successful Notification for filing</w:t>
      </w:r>
      <w:r>
        <w:t xml:space="preserve"> </w:t>
      </w:r>
      <w:r>
        <w:rPr>
          <w:rStyle w:val="VerbatimChar"/>
        </w:rPr>
        <w:t xml:space="preserve">i</w:t>
      </w:r>
      <w:r>
        <w:t xml:space="preserve">, and let</w:t>
      </w:r>
      <w:r>
        <w:t xml:space="preserve"> </w:t>
      </w:r>
      <w:r>
        <w:rPr>
          <w:rStyle w:val="VerbatimChar"/>
        </w:rPr>
        <w:t xml:space="preserve">C_i</w:t>
      </w:r>
      <w:r>
        <w:t xml:space="preserve"> </w:t>
      </w:r>
      <w:r>
        <w:t xml:space="preserve">denote the right-censoring time induced by either (a) administrative withdrawal of the filing, (b) replacement of the filing by a modified API at the same administration, or (c) the observation cutoff at the end of calendar 2025. The observed survival time is</w:t>
      </w:r>
      <w:r>
        <w:t xml:space="preserve"> </w:t>
      </w:r>
      <w:r>
        <w:rPr>
          <w:rStyle w:val="VerbatimChar"/>
        </w:rPr>
        <w:t xml:space="preserve">min(T_i, C_i)</w:t>
      </w:r>
      <w:r>
        <w:t xml:space="preserve"> </w:t>
      </w:r>
      <w:r>
        <w:t xml:space="preserve">paired with an event indicator. The hazard for filing</w:t>
      </w:r>
      <w:r>
        <w:t xml:space="preserve"> </w:t>
      </w:r>
      <w:r>
        <w:rPr>
          <w:rStyle w:val="VerbatimChar"/>
        </w:rPr>
        <w:t xml:space="preserve">i</w:t>
      </w:r>
      <w:r>
        <w:t xml:space="preserve"> </w:t>
      </w:r>
      <w:r>
        <w:t xml:space="preserve">in administration</w:t>
      </w:r>
      <w:r>
        <w:t xml:space="preserve"> </w:t>
      </w:r>
      <w:r>
        <w:rPr>
          <w:rStyle w:val="VerbatimChar"/>
        </w:rPr>
        <w:t xml:space="preserve">a</w:t>
      </w:r>
      <w:r>
        <w:t xml:space="preserve"> </w:t>
      </w:r>
      <w:r>
        <w:t xml:space="preserve">is modelled as a baseline hazard scaled multiplicatively by the covariate vector and by an administration-level frailty term that is shared by all filings notified by the same administration. The frailty term absorbs unobserved heterogeneity in administrative throughput, language of correspondence with the Radiocommunication Bureau, internal coordination-team staffing, and any administration-specific procedural conventions that would otherwise contaminate the coefficient on the principal regressor.</w:t>
      </w:r>
    </w:p>
    <w:p>
      <w:pPr>
        <w:pStyle w:val="BodyText"/>
        <w:spacing w:line="480" w:lineRule="auto"/>
        <w:ind w:firstLine="720"/>
      </w:pPr>
      <w:r>
        <w:t xml:space="preserve">The covariate vector contains the count of co-frequency, co-coverage incumbent networks identified at the Coordination Request stage (the principal regressor), the frequency band of primary operation entered as a categorical variable with Ku-band as the reference category, an indicator for non-geostationary status entered for completeness even though the analytic sample is restricted to non-geostationary filings, the number of satellites authorised in the filing as a measure of network scale, an indicator for filings whose API publication date falls after the entry into force of the WRC-19 milestone rules</w:t>
      </w:r>
      <w:r>
        <w:t xml:space="preserve"> </w:t>
      </w:r>
      <w:hyperlink w:anchor="ref-3">
        <w:r>
          <w:rPr>
            <w:rStyle w:val="Hyperlink"/>
          </w:rPr>
          <w:t xml:space="preserve">[3]</w:t>
        </w:r>
      </w:hyperlink>
      <w:r>
        <w:t xml:space="preserve">, and the calendar year of API publication entered as a continuous control. The proportional-hazards assumption is examined for each covariate using scaled Schoenfeld residuals; covariates that fail the test are interacted with a smooth function of follow-up time and re-estimated under the stratified Cox specification with the offending covariate as the stratifying variable.</w:t>
      </w:r>
    </w:p>
    <w:p>
      <w:pPr>
        <w:pStyle w:val="BodyText"/>
        <w:spacing w:line="480" w:lineRule="auto"/>
        <w:ind w:firstLine="720"/>
      </w:pPr>
      <w:r>
        <w:t xml:space="preserve">The robustness check is a parametric accelerated failure-time (AFT) model fitted with a Weibull baseline. The AFT model is reported with time ratios rather than hazard ratios, and the agreement between the AFT time-ratio direction and the Cox hazard-ratio direction is itself a diagnostic: the two models answer the same substantive question through different functional forms, and a discrepancy would signal that the proportional-hazards assumption is doing more work than the data support. A log-normal AFT specification is reported as a secondary check because coordination duration is well known to be skewed in the right tail and the log-normal hazard is non-monotone, which is a plausible shape for filings that either resolve quickly through bilateral negotiation or drift into a long tail of unresolved objections.</w:t>
      </w:r>
    </w:p>
    <w:p>
      <w:pPr>
        <w:pStyle w:val="BodyText"/>
        <w:spacing w:line="480" w:lineRule="auto"/>
        <w:ind w:firstLine="720"/>
      </w:pPr>
      <w:r>
        <w:t xml:space="preserve">A competing-risks extension is reported alongside the Cox specification. The risks competing with successful Notification are administrative withdrawal of the filing and replacement by a modified API. The cumulative incidence function for Notification is estimated under the Fine-Gray sub-distribution hazard framework, and the sub-distribution hazard ratio on the principal regressor is compared with the cause-specific Cox hazard ratio. The two ratios answer different questions: the cause-specific ratio describes the instantaneous risk of Notification among filings still under coordination, while the sub-distribution ratio describes the cumulative probability of Notification given the presence of the competing risks. Reporting both prevents a reader from confusing one with the other.</w:t>
      </w:r>
    </w:p>
    <w:p>
      <w:pPr>
        <w:pStyle w:val="BodyText"/>
        <w:spacing w:line="480" w:lineRule="auto"/>
        <w:ind w:firstLine="720"/>
      </w:pPr>
      <w:r>
        <w:t xml:space="preserve">The pilot Cox estimates reported in the second research paper of this dissertation isolated one statistically meaningful coefficient on thirty-five filings, namely the megaconstellation indicator at a sub-distribution hazard ratio of roughly 0.18, and left the prior-filings count and band lower-bound statistically indistinguishable from null effects. The full-population specification described here adds the principal regressor of the dissertation, namely the Coordination Request incumbent count, which the pilot did not contain, and replaces the megaconstellation indicator with the continuous satellite-count covariate so that the binding-constraint mechanism documented in the megaconstellation literature [2, 22] can be examined without being collapsed into a binary cohort label.</w:t>
      </w:r>
    </w:p>
    <w:bookmarkEnd w:id="116"/>
    <w:bookmarkStart w:id="117" w:name="identification-strategy"/>
    <w:p>
      <w:pPr>
        <w:pStyle w:val="Heading2"/>
        <w:spacing w:line="480" w:lineRule="auto"/>
      </w:pPr>
      <w:r>
        <w:t xml:space="preserve">5.3 Identification Strategy</w:t>
      </w:r>
    </w:p>
    <w:p>
      <w:pPr>
        <w:pStyle w:val="FirstParagraph"/>
        <w:spacing w:line="480" w:lineRule="auto"/>
      </w:pPr>
      <w:r>
        <w:t xml:space="preserve">A naive reading of the Cox coefficient on incumbent count as a causal effect of regulatory congestion on coordination duration is unsafe. Operators choose when to file and which administration to file through, and an operator that anticipates heavy congestion in a band may either accelerate its filing to claim queue position or delay its filing to avoid an unwinnable coordination contest. Either behaviour would induce a correlation between incumbent count and coordination duration that is not the causal effect of congestion on throughput but the joint effect of operator anticipation on both variables. The identification strategy must therefore isolate variation in incumbent count that is plausibly exogenous to the focal filing.</w:t>
      </w:r>
    </w:p>
    <w:p>
      <w:pPr>
        <w:pStyle w:val="BodyText"/>
        <w:spacing w:line="480" w:lineRule="auto"/>
        <w:ind w:firstLine="720"/>
      </w:pPr>
      <w:r>
        <w:t xml:space="preserve">The strategy adopted here exploits the arrival order of unrelated third-party filings. Conditional on the calendar quarter of API publication, the notifying administration, and the primary frequency band, the count of co-frequency, co-coverage incumbent networks identified at a focal filing’s Coordination Request stage is shifted by the number of unrelated filings published by other administrations in the immediately preceding quarters. Those unrelated filings are unrelated by construction: they are not operated by the focal operator, they are not notified by the focal administration, and their publication timing is driven by the internal decision processes of the other administrations rather than by any characteristic of the focal filing. The instrument is therefore the count of qualifying unrelated filings in a fixed lookback window prior to the focal filing’s Coordination Request. The exclusion restriction is that, conditional on the controls listed in Section 5.2, the timing of unrelated third-party filings affects the focal filing’s coordination duration only through the incumbent count that the focal filing inherits at Coordination Request stage.</w:t>
      </w:r>
    </w:p>
    <w:p>
      <w:pPr>
        <w:pStyle w:val="BodyText"/>
        <w:spacing w:line="480" w:lineRule="auto"/>
        <w:ind w:firstLine="720"/>
      </w:pPr>
      <w:r>
        <w:t xml:space="preserve">This is a queue-position shock in the same family as the labour-market instruments built from the arrival order of unrelated applications in a centralised matching market. The first-stage regression of the focal filing’s incumbent count on the instrument, with the full set of fixed effects and controls, is reported with a first-stage F statistic; values below the conventional weak-instrument threshold trigger a sensitivity bound rather than a point estimate. The reduced-form regression of coordination duration on the instrument is reported as a transparency check, and the Wald ratio of the reduced form to the first stage is reported as the just-identified instrumental-variables estimate. Because the survival outcome is a duration with right-censoring, the instrumental-variables strategy is implemented inside a control-function framework: the first-stage residual is included as an additional regressor in the Cox specification, and the coefficient on the residual is interpreted as a test of the null of exogeneity of incumbent count.</w:t>
      </w:r>
    </w:p>
    <w:p>
      <w:pPr>
        <w:pStyle w:val="BodyText"/>
        <w:spacing w:line="480" w:lineRule="auto"/>
        <w:ind w:firstLine="720"/>
      </w:pPr>
      <w:r>
        <w:t xml:space="preserve">The identification strategy is supported by two design choices. First, the analytic sample is restricted to filings that reach Coordination Request stage, which removes the pure speculative-filing layer in which API publications are never advanced and for which incumbency is therefore uninformative. Second, the fixed-effects structure absorbs administration-level filing strategy and band-level technical competition, leaving the residual variation in incumbent count driven by the timing of unrelated filings in adjacent administrations.</w:t>
      </w:r>
    </w:p>
    <w:bookmarkEnd w:id="117"/>
    <w:bookmarkStart w:id="118" w:name="the-milestone-miss-model"/>
    <w:p>
      <w:pPr>
        <w:pStyle w:val="Heading2"/>
        <w:spacing w:line="480" w:lineRule="auto"/>
      </w:pPr>
      <w:r>
        <w:t xml:space="preserve">5.4 The Milestone-Miss Model</w:t>
      </w:r>
    </w:p>
    <w:p>
      <w:pPr>
        <w:pStyle w:val="FirstParagraph"/>
        <w:spacing w:line="480" w:lineRule="auto"/>
      </w:pPr>
      <w:r>
        <w:t xml:space="preserve">The second clause of H1 is tested through a downstream logit specification in which the dependent variable is a binary indicator equal to one if the filing missed the first regulatory bring-into-use milestone defined by the WRC-19 schedule</w:t>
      </w:r>
      <w:r>
        <w:t xml:space="preserve"> </w:t>
      </w:r>
      <w:hyperlink w:anchor="ref-3">
        <w:r>
          <w:rPr>
            <w:rStyle w:val="Hyperlink"/>
          </w:rPr>
          <w:t xml:space="preserve">[3]</w:t>
        </w:r>
      </w:hyperlink>
      <w:r>
        <w:t xml:space="preserve"> </w:t>
      </w:r>
      <w:r>
        <w:t xml:space="preserve">and zero otherwise. The regressors are the realised coordination duration in months, the realised incumbent count at Coordination Request stage, the satellite-count covariate, the band fixed effects, the post-WRC-19 regime indicator, and the administration fixed effects. The model is estimated by maximum likelihood with conventional standard errors clustered at the notifying administration to acknowledge that filings under the same administration are not independent draws.</w:t>
      </w:r>
    </w:p>
    <w:p>
      <w:pPr>
        <w:pStyle w:val="BodyText"/>
        <w:spacing w:line="480" w:lineRule="auto"/>
        <w:ind w:firstLine="720"/>
      </w:pPr>
      <w:r>
        <w:t xml:space="preserve">The pilot logit on twenty-eight filings reported in the first research paper of this dissertation isolated positive and statistically significant coefficients on both coordination duration and incumbent count at the five percent level, with point estimates of 0.31 and 0.63 in log-odds units respectively, and a pseudo R-squared of 0.58. Those magnitudes are interpreted in the pilot as conditional associations rather than causal effects because the pilot lacks an instrument and lacks administration fixed effects. The full-population specification here imports the instrumental-variables identification of Section 5.3 into the second stage through a two-stage residual-inclusion logit: the first-stage residual from the duration model is included in the milestone-miss logit as an additional regressor, and the coefficient on the residual is interpreted as a test of duration endogeneity in the milestone equation. If the residual coefficient is statistically indistinguishable from zero, the coordination-duration coefficient can be read as a structural effect; if not, the structural coefficient is reported with a bias-corrected standard error that accounts for the two-stage nature of the procedure.</w:t>
      </w:r>
    </w:p>
    <w:p>
      <w:pPr>
        <w:pStyle w:val="BodyText"/>
        <w:spacing w:line="480" w:lineRule="auto"/>
        <w:ind w:firstLine="720"/>
      </w:pPr>
      <w:r>
        <w:t xml:space="preserve">A held-out cohort of filings published in 2024 and 2025 is reserved from the estimation sample and used solely to evaluate out-of-sample predictive performance of the milestone-miss model. The held-out cohort is the falsification test specified in the prospectus: if coordination duration does not predict milestone slippage out of sample, the second clause of H1 fails</w:t>
      </w:r>
      <w:r>
        <w:t xml:space="preserve"> </w:t>
      </w:r>
      <w:hyperlink w:anchor="ref-3">
        <w:r>
          <w:rPr>
            <w:rStyle w:val="Hyperlink"/>
          </w:rPr>
          <w:t xml:space="preserve">[3]</w:t>
        </w:r>
      </w:hyperlink>
      <w:r>
        <w:t xml:space="preserve">. Predictive performance is reported through the area under the receiver operating characteristic curve, the Brier score, and a calibration plot stratified by predicted-probability decile.</w:t>
      </w:r>
    </w:p>
    <w:bookmarkEnd w:id="118"/>
    <w:bookmarkStart w:id="119" w:name="Xe12fddcdb484765e41dc300d1246a5922836abb"/>
    <w:p>
      <w:pPr>
        <w:pStyle w:val="Heading2"/>
        <w:spacing w:line="480" w:lineRule="auto"/>
      </w:pPr>
      <w:r>
        <w:t xml:space="preserve">5.5 Threats to Validity and the Bounds Adopted Against Each</w:t>
      </w:r>
    </w:p>
    <w:p>
      <w:pPr>
        <w:pStyle w:val="FirstParagraph"/>
        <w:spacing w:line="480" w:lineRule="auto"/>
      </w:pPr>
      <w:r>
        <w:t xml:space="preserve">Five threats merit a formal response. The first is selection on filing strategy. Administrations and operators file speculatively, and speculative filings inflate the API-to-Notification denominator without contributing economically interpretable coordination duration [2, 22]. The bound adopted is a sub-sample restriction to filings that reach Coordination Request stage, supplemented by a placebo Cox model fitted on filings withdrawn before Coordination Request; the placebo model should produce no statistically significant coefficient on the principal regressor, and a significant coefficient in the placebo would call the main result into question. The placebo design follows the practice in the labour-economics and competition-policy literatures of fitting the headline specification on a sub-sample for which the treatment is theoretically inoperative and reporting the null result as a credibility check.</w:t>
      </w:r>
    </w:p>
    <w:p>
      <w:pPr>
        <w:pStyle w:val="BodyText"/>
        <w:spacing w:line="480" w:lineRule="auto"/>
        <w:ind w:firstLine="720"/>
      </w:pPr>
      <w:r>
        <w:t xml:space="preserve">The second threat is measurement of incumbency. The SNS incumbent count at Coordination Request is constructed from ITU coordination identification reports and may understate true congestion in shared bands because some objections are negotiated bilaterally without entering the formal record</w:t>
      </w:r>
      <w:r>
        <w:t xml:space="preserve"> </w:t>
      </w:r>
      <w:hyperlink w:anchor="ref-8">
        <w:r>
          <w:rPr>
            <w:rStyle w:val="Hyperlink"/>
          </w:rPr>
          <w:t xml:space="preserve">[8]</w:t>
        </w:r>
      </w:hyperlink>
      <w:r>
        <w:t xml:space="preserve">. The bound is a sensitivity analysis using two alternative incumbency definitions, namely the count of all co-frequency assignments in the Master International Frequency Register at the focal API date and the count of co-frequency filings at any stage of coordination at the focal API date. The main result is required to be robust to all three definitions; if the sign or significance of the principal coefficient flips under an alternative definition, the result is reported as conditional on the SNS-record definition and the implications for external validity are discussed.</w:t>
      </w:r>
    </w:p>
    <w:p>
      <w:pPr>
        <w:pStyle w:val="BodyText"/>
        <w:spacing w:line="480" w:lineRule="auto"/>
        <w:ind w:firstLine="720"/>
      </w:pPr>
      <w:r>
        <w:t xml:space="preserve">The third threat is regime change. The WRC-19 introduction of milestone rules altered both the hazard structure for the duration outcome and the definition of the milestone-miss outcome itself</w:t>
      </w:r>
      <w:r>
        <w:t xml:space="preserve"> </w:t>
      </w:r>
      <w:hyperlink w:anchor="ref-3">
        <w:r>
          <w:rPr>
            <w:rStyle w:val="Hyperlink"/>
          </w:rPr>
          <w:t xml:space="preserve">[3]</w:t>
        </w:r>
      </w:hyperlink>
      <w:r>
        <w:t xml:space="preserve">. The bound is twofold. First, the Cox model is estimated separately on the pre-2019 and post-2019 sub-samples, and the equality of the principal coefficient across the two sub-samples is tested with a Wald statistic. Second, the proportional-hazards assumption is tested specifically against time variation centred on the WRC-19 entry-into-force date, and a stratified Cox specification is reported as a robustness check. The pilot logit on twenty-eight filings was unable to separate the post-WRC-19 indicator from zero because of the small number of pre-2019 observations available; the full-population specification expands the pre-2019 window through the 2014 sample start date and is therefore better powered to identify the regime effect.</w:t>
      </w:r>
    </w:p>
    <w:p>
      <w:pPr>
        <w:pStyle w:val="BodyText"/>
        <w:spacing w:line="480" w:lineRule="auto"/>
        <w:ind w:firstLine="720"/>
      </w:pPr>
      <w:r>
        <w:t xml:space="preserve">The fourth threat is observability of operational alignment. On-orbit behaviour does not always match what filings say [1, 11], which means that the milestone-miss outcome defined on the ITU regulatory record can in principle diverge from a milestone-miss outcome defined on independent space-domain awareness data. The bound is a transparency report rather than a correction: the milestone-miss outcome is defined throughout this dissertation on the ITU regulatory record, the limitation is acknowledged in every results table, and a small-sample comparison of regulatory milestone status against publicly available space-track ephemeris is reported in an appendix as a sanity check rather than as a substitute outcome. The transparency report follows the recommendation in the compliance-monitoring literature that filing-record analyses should explicitly state the gap between the regulatory truth surface and the on-orbit truth surface [1, 11].</w:t>
      </w:r>
    </w:p>
    <w:p>
      <w:pPr>
        <w:pStyle w:val="BodyText"/>
        <w:spacing w:line="480" w:lineRule="auto"/>
        <w:ind w:firstLine="720"/>
      </w:pPr>
      <w:r>
        <w:t xml:space="preserve">The fifth threat is unobserved congestion. Even after the controls and the instrument described in Section 5.3 absorb the observable congestion structure, there remains a residual concern that unobserved congestion at the band-time-administration level confounds the incumbent-count coefficient. The bound is a formal E-value calculation in the Cox specification: the E-value reports the minimum strength of association on the hazard-ratio scale that an unmeasured confounder would need to have with both the principal regressor and the survival outcome in order to explain away the observed coefficient. An E-value below two would indicate that a modest unobserved confounder could explain the result and would weaken the causal claim; an E-value above three would indicate that only an implausibly strong confounder could explain the result and would strengthen it. The E-value is reported alongside the main hazard ratio in every results table.</w:t>
      </w:r>
    </w:p>
    <w:p>
      <w:pPr>
        <w:pStyle w:val="BodyText"/>
        <w:spacing w:line="480" w:lineRule="auto"/>
        <w:ind w:firstLine="720"/>
      </w:pPr>
      <w:r>
        <w:t xml:space="preserve">Two further design choices reinforce the validity of the analysis. First, the unit of observation is the satellite-network filing rather than the operator, which prevents an operator with many filings from dominating the sample and which aligns the unit of analysis with the unit of regulatory decision. Second, the administration fixed effects in the milestone-miss logit absorb cross-administration differences in milestone enforcement intensity, which is necessary because the milestone schedule is administered through the notifying administration’s interaction with the Radiocommunication Bureau rather than directly by the Bureau against the operator [3, 8]. The combination of within-administration variation in the duration model, instrumental-variables identification in the first stage, two-stage residual-inclusion in the milestone-miss model, and the held-out cohort for out-of-sample falsification produces a design in which the principal coefficient can be read as a bounded causal estimate of coordination drag on milestone outcomes, conditional on the threats catalogued above and on the bounds reported against each.</w:t>
      </w:r>
    </w:p>
    <w:bookmarkEnd w:id="119"/>
    <w:bookmarkStart w:id="120" w:name="summary-2"/>
    <w:p>
      <w:pPr>
        <w:pStyle w:val="Heading2"/>
        <w:spacing w:line="480" w:lineRule="auto"/>
      </w:pPr>
      <w:r>
        <w:t xml:space="preserve">5.6 Summary</w:t>
      </w:r>
    </w:p>
    <w:p>
      <w:pPr>
        <w:pStyle w:val="FirstParagraph"/>
        <w:spacing w:line="480" w:lineRule="auto"/>
      </w:pPr>
      <w:r>
        <w:t xml:space="preserve">The estimators are a shared-frailty Cox proportional-hazards model for the duration outcome, a Weibull and log-normal AFT pair for parametric robustness, a Fine-Gray competing-risks model for the cumulative incidence interpretation, and a two-stage residual-inclusion logit for the downstream milestone-miss outcome. Identification rests on within-administration, within-band variation in incumbent counts driven by the arrival order of unrelated third-party filings, implemented through a control-function framework in the survival model and a residual-inclusion procedure in the milestone model. Threats to validity are addressed through sub-sample placebo Cox models, alternative incumbency definitions, pre- and post-WRC-19 stratification, transparent acknowledgement of the regulatory-versus-on-orbit truth-surface gap, and a formal E-value calculation. The full-population specification scales the pilot logit and pilot Cox results reported in the two research papers of this dissertation and the design enables a falsifiable test of H1 against the held-out 2024 to 2025 cohort.</w:t>
      </w:r>
    </w:p>
    <w:bookmarkEnd w:id="120"/>
    <w:bookmarkEnd w:id="121"/>
    <w:bookmarkStart w:id="137" w:name="chapter-6.-results"/>
    <w:p>
      <w:pPr>
        <w:pStyle w:val="Heading1"/>
        <w:spacing w:line="480" w:lineRule="auto"/>
      </w:pPr>
      <w:r>
        <w:t xml:space="preserve">Chapter 6. Results</w:t>
      </w:r>
    </w:p>
    <w:p>
      <w:pPr>
        <w:pStyle w:val="FirstParagraph"/>
        <w:spacing w:line="480" w:lineRule="auto"/>
      </w:pPr>
      <w:r>
        <w:t xml:space="preserve">This chapter reports the empirical findings of the two estimable contributions that constitute the quantitative core of the dissertation. The first paper estimates a binary logit on twenty-eight non-geostationary satellite network filings to test whether coordination duration and incumbent congestion at the Coordination Request stage raise the probability that a network later misses its first regulatory bring-into-use milestone. The second paper estimates a Cox proportional-hazards model on thirty-five filings to test whether orbit class, constellation scale, prior operator experience, and frequency band shift the hazard of reaching Bringing-Into-Use notification. The two estimators are complementary: the logit treats milestone slippage as the outcome of an already-realized coordination process, while the Cox model treats the coordination process itself as the duration under study and accommodates the right-censoring that the logit cannot. Read together, they isolate where coordination drag accumulates inside the ITU information-infrastructure pipeline and where it leaves an empirical signature on operator outcomes [1, 2, 3].</w:t>
      </w:r>
    </w:p>
    <w:p>
      <w:pPr>
        <w:pStyle w:val="BodyText"/>
        <w:spacing w:line="480" w:lineRule="auto"/>
        <w:ind w:firstLine="720"/>
      </w:pPr>
      <w:r>
        <w:t xml:space="preserve">The presentation follows the convention adopted in Chapter 5. Each coefficient is reported with its point estimate, its standard error, its p-value, and an interpretation in the natural metric of the model. Model fit is reported in the corresponding form: pseudo R-squared and log-likelihood for the logit, sample size and event count for the partial-likelihood Cox. Tables, structural diagrams, and the underlying data dictionary are deferred to Appendix A so that the analytic narrative here is not interrupted by display objects. Numbers are quoted only where they appear in the estimator output. Substantive interpretation respects the limits of a small-N quantitative design and is calibrated to those limits in each subsection.</w:t>
      </w:r>
    </w:p>
    <w:bookmarkStart w:id="128" w:name="Xa2555b7057a77b74095ea0d58d073e3d53b7d2c"/>
    <w:p>
      <w:pPr>
        <w:pStyle w:val="Heading2"/>
        <w:spacing w:line="480" w:lineRule="auto"/>
      </w:pPr>
      <w:r>
        <w:t xml:space="preserve">6.1 Paper 1: Logit Estimates of Milestone Slippage</w:t>
      </w:r>
    </w:p>
    <w:bookmarkStart w:id="122" w:name="sample-and-fit"/>
    <w:p>
      <w:pPr>
        <w:pStyle w:val="Heading3"/>
        <w:spacing w:line="480" w:lineRule="auto"/>
      </w:pPr>
      <w:r>
        <w:t xml:space="preserve">6.1.1 Sample and Fit</w:t>
      </w:r>
    </w:p>
    <w:p>
      <w:pPr>
        <w:pStyle w:val="FirstParagraph"/>
        <w:spacing w:line="480" w:lineRule="auto"/>
      </w:pPr>
      <w:r>
        <w:t xml:space="preserve">The logit was estimated on twenty-eight non-geostationary satellite network filings with Advance Publication years between 2008 and 2021, assembled from FCC International Bureau Filing System dockets, ITU Space Network Systems Online lookups, operator annual reports, GAO major-project assessments, and operator press kits [7, 8, 9]. The dependent variable is a binary indicator equal to one when the network missed its first regulatory bring-into-use or deployment milestone, and zero otherwise. The three regressors retained in the final specification are the elapsed months from Advance Publication to Coordination Request completion, the count of co-frequency incumbent networks identified at Coordination Request stage, and an indicator for filings made after the WRC-19 regime shift. A Ka-band indicator was dropped before estimation because the small variance in the sample produced quasi-separation in the maximum-likelihood routine and made the optimizer unstable. With the three retained regressors the maximum-likelihood estimator converged cleanly.</w:t>
      </w:r>
    </w:p>
    <w:p>
      <w:pPr>
        <w:pStyle w:val="BodyText"/>
        <w:spacing w:line="480" w:lineRule="auto"/>
        <w:ind w:firstLine="720"/>
      </w:pPr>
      <w:r>
        <w:t xml:space="preserve">Model fit on twenty-eight observations is reasonable for a hand-built filing-level dataset and is consistent with the population the prospectus targeted. The pseudo R-squared, reported by the estimator as 0.5798, indicates that the three regressors absorb roughly fifty-eight percent of the deviance of the null intercept-only model. The log-likelihood at the converged solution is -8.0355. The likelihood surface admits a well-defined interior maximum; there is no evidence in the estimator output of separation, of unbounded coefficients, or of optimizer divergence. The fit is therefore high enough to take the individual coefficient estimates seriously as patterned signals about the underlying coordination pipeline, and the standard errors that the estimator reports are computed against a well-defined Hessian rather than against a degenerate one.</w:t>
      </w:r>
    </w:p>
    <w:bookmarkEnd w:id="122"/>
    <w:bookmarkStart w:id="123" w:name="coordination-duration"/>
    <w:p>
      <w:pPr>
        <w:pStyle w:val="Heading3"/>
        <w:spacing w:line="480" w:lineRule="auto"/>
      </w:pPr>
      <w:r>
        <w:t xml:space="preserve">6.1.2 Coordination Duration</w:t>
      </w:r>
    </w:p>
    <w:p>
      <w:pPr>
        <w:pStyle w:val="FirstParagraph"/>
        <w:spacing w:line="480" w:lineRule="auto"/>
      </w:pPr>
      <w:r>
        <w:t xml:space="preserve">The coefficient on coordination duration is the central estimable claim of Paper 1, and the estimator returns a point estimate of 0.3070 with a standard error of 0.1417. The implied Wald z-statistic is on the order of 2.17 and the corresponding p-value is 0.0302, which clears the conventional five percent significance threshold without ambiguity. The sign of the coefficient is positive, which is the direction the theory in Section 2 of Paper 1 predicts: a longer coordination episode consumes engineering, capital, and management attention at the operator before any hardware can fly under a legal authorization, and that consumption raises the probability that the firm misses the fixed regulatory milestone clock that the original filing started</w:t>
      </w:r>
      <w:r>
        <w:t xml:space="preserve"> </w:t>
      </w:r>
      <w:hyperlink w:anchor="ref-10">
        <w:r>
          <w:rPr>
            <w:rStyle w:val="Hyperlink"/>
          </w:rPr>
          <w:t xml:space="preserve">[10]</w:t>
        </w:r>
      </w:hyperlink>
      <w:r>
        <w:t xml:space="preserve">.</w:t>
      </w:r>
    </w:p>
    <w:p>
      <w:pPr>
        <w:pStyle w:val="BodyText"/>
        <w:spacing w:line="480" w:lineRule="auto"/>
        <w:ind w:firstLine="720"/>
      </w:pPr>
      <w:r>
        <w:t xml:space="preserve">The substantive magnitude is worth stating in the natural metric of the model. In the logit, a coefficient of 0.3070 means that one additional month of coordination duration raises the log-odds of milestone miss by 0.3070, evaluated at the means of the other covariates. Exponentiating yields an odds ratio of approximately 1.36, which is to say that each additional month of coordination duration multiplies the odds of milestone slippage by roughly one and a third. The effect is therefore not trivial in the operator decision frame: a coordination episode that runs six months longer than the sample mean carries an odds multiplier on the order of one point three six raised to the sixth power, an order of magnitude shift in the probability of milestone miss when evaluated near the inflection of the logistic curve. This is the empirical content behind the claim in the recent constellation literature that ITU throughput is now a binding constraint on deployment rather than a background fact about the regulatory environment [2, 22].</w:t>
      </w:r>
    </w:p>
    <w:bookmarkEnd w:id="123"/>
    <w:bookmarkStart w:id="124" w:name="incumbent-count"/>
    <w:p>
      <w:pPr>
        <w:pStyle w:val="Heading3"/>
        <w:spacing w:line="480" w:lineRule="auto"/>
      </w:pPr>
      <w:r>
        <w:t xml:space="preserve">6.1.3 Incumbent Count</w:t>
      </w:r>
    </w:p>
    <w:p>
      <w:pPr>
        <w:pStyle w:val="FirstParagraph"/>
        <w:spacing w:line="480" w:lineRule="auto"/>
      </w:pPr>
      <w:r>
        <w:t xml:space="preserve">The coefficient on the count of co-frequency incumbent networks identified at the Coordination Request stage is positive at 0.6261 with a standard error of 0.2665. The Wald z-statistic is approximately 2.35 and the p-value is 0.0188, which is a stronger clearance of the five percent threshold than the duration coefficient itself achieved. The exponentiated coefficient is approximately 1.87, meaning that each additional incumbent identified at Coordination Request stage multiplies the odds of milestone miss by roughly a factor of one point eight seven, holding duration and the regime indicator constant.</w:t>
      </w:r>
    </w:p>
    <w:p>
      <w:pPr>
        <w:pStyle w:val="BodyText"/>
        <w:spacing w:line="480" w:lineRule="auto"/>
        <w:ind w:firstLine="720"/>
      </w:pPr>
      <w:r>
        <w:t xml:space="preserve">This is the result the prospectus identified as the most consequential test of the underlying institutional theory. The incumbent count is a direct measure of negotiation surface area in the ITU coordination procedure: each incumbent is a counterparty whose technical objections must be resolved before the filing can advance to Notification</w:t>
      </w:r>
      <w:r>
        <w:t xml:space="preserve"> </w:t>
      </w:r>
      <w:hyperlink w:anchor="ref-3">
        <w:r>
          <w:rPr>
            <w:rStyle w:val="Hyperlink"/>
          </w:rPr>
          <w:t xml:space="preserve">[3]</w:t>
        </w:r>
      </w:hyperlink>
      <w:r>
        <w:t xml:space="preserve">. The empirical fact that incumbent count carries an odds multiplier roughly half again larger than the per-month duration multiplier is consistent with the reading that bargaining cost dominates pure calendar time in the production function of coordination drag. The two effects are not redundant in the joint estimator: incumbent count survives at a p-value of 0.0188 with duration already in the specification, and the joint clearance of conventional significance for both regressors is the strongest single piece of evidence in this dissertation that coordination drag has a multidimensional structure rather than being a single latent backlog.</w:t>
      </w:r>
    </w:p>
    <w:bookmarkEnd w:id="124"/>
    <w:bookmarkStart w:id="125" w:name="the-post-wrc-19-regime-indicator"/>
    <w:p>
      <w:pPr>
        <w:pStyle w:val="Heading3"/>
        <w:spacing w:line="480" w:lineRule="auto"/>
      </w:pPr>
      <w:r>
        <w:t xml:space="preserve">6.1.4 The Post-WRC-19 Regime Indicator</w:t>
      </w:r>
    </w:p>
    <w:p>
      <w:pPr>
        <w:pStyle w:val="FirstParagraph"/>
        <w:spacing w:line="480" w:lineRule="auto"/>
      </w:pPr>
      <w:r>
        <w:t xml:space="preserve">The post-WRC-19 indicator carries a positive point estimate of 1.9372 with a standard error of 1.7886. The Wald z-statistic is approximately 1.08 and the p-value is 0.2788, which is well above the conventional five percent threshold. The coefficient is therefore statistically indistinguishable from zero in this sample and should not be interpreted as a measured effect of the regime shift on milestone-miss probability. The point estimate sign is positive and its magnitude is large in the natural metric of the logit, but the standard error is sufficiently wide that nothing about the regime shift can be inferred from the indicator in isolation.</w:t>
      </w:r>
    </w:p>
    <w:p>
      <w:pPr>
        <w:pStyle w:val="BodyText"/>
        <w:spacing w:line="480" w:lineRule="auto"/>
        <w:ind w:firstLine="720"/>
      </w:pPr>
      <w:r>
        <w:t xml:space="preserve">The non-significance of the regime indicator is best read as a feature of the small-sample design rather than as a substantive null. There are only two pre-2019 Ku-band filings in the panel, IRIDIUM NEXT and GLOBALSTAR, and the indicator therefore identifies on a thin pre-period subsample. A second consideration is that the milestone-miss outcome variable is itself partly endogenous to the WRC-19 regime, because that regime introduced the staged BIU thresholds against which slippage is defined [3, 10]. Either consideration would make the regime indicator difficult to identify cleanly in a twenty-eight-row panel. The narrow reading is therefore the appropriate one: the indicator absorbs whatever regime contamination exists so that the duration and incumbent coefficients are estimated within-regime, and the regime indicator itself is allowed to carry the residual without forcing it into a confident sign.</w:t>
      </w:r>
    </w:p>
    <w:bookmarkEnd w:id="125"/>
    <w:bookmarkStart w:id="126" w:name="the-constant-term"/>
    <w:p>
      <w:pPr>
        <w:pStyle w:val="Heading3"/>
        <w:spacing w:line="480" w:lineRule="auto"/>
      </w:pPr>
      <w:r>
        <w:t xml:space="preserve">6.1.5 The Constant Term</w:t>
      </w:r>
    </w:p>
    <w:p>
      <w:pPr>
        <w:pStyle w:val="FirstParagraph"/>
        <w:spacing w:line="480" w:lineRule="auto"/>
      </w:pPr>
      <w:r>
        <w:t xml:space="preserve">The constant term is reported as -17.4449 with a standard error of 7.2537 and a p-value of 0.0162. A large negative intercept is exactly what the specification requires to produce baseline predicted probabilities near zero for the lightly-congested, short-duration, early Ku-band filings that anchor the lower tail of the sample. The intercept significance is a check on the geometry of the fitted logistic curve rather than a substantive parameter, and the p-value of 0.0162 confirms that the intercept is identified against the data with the same precision the slope coefficients of substantive interest enjoy.</w:t>
      </w:r>
    </w:p>
    <w:bookmarkEnd w:id="126"/>
    <w:bookmarkStart w:id="127" w:name="joint-reading-of-paper-1"/>
    <w:p>
      <w:pPr>
        <w:pStyle w:val="Heading3"/>
        <w:spacing w:line="480" w:lineRule="auto"/>
      </w:pPr>
      <w:r>
        <w:t xml:space="preserve">6.1.6 Joint Reading of Paper 1</w:t>
      </w:r>
    </w:p>
    <w:p>
      <w:pPr>
        <w:pStyle w:val="FirstParagraph"/>
        <w:spacing w:line="480" w:lineRule="auto"/>
      </w:pPr>
      <w:r>
        <w:t xml:space="preserve">Two coefficients of substantive interest both move in the direction the prospectus hypothesis predicted, both clear the five percent significance threshold under conventional standard errors, and both retain their individual significance under the joint estimator. The regime indicator absorbs the WRC-19 shift without contaminating the duration and incumbent coefficients. The pseudo R-squared of 0.5798 and the log-likelihood of -8.0355 are coherent with a well-identified specification on twenty-eight observations. The empirical content of Paper 1 is therefore that, conditional on regime, coordination duration and incumbent congestion at Coordination Request stage each independently raise the probability of subsequent milestone slippage, and that the bargaining-surface channel (incumbent count) carries a larger per-unit odds multiplier than the calendar-time channel (duration in months).</w:t>
      </w:r>
    </w:p>
    <w:bookmarkEnd w:id="127"/>
    <w:bookmarkEnd w:id="128"/>
    <w:bookmarkStart w:id="135" w:name="X8323bce043a9f5ad5f085e6446d06e6caf9d0f6"/>
    <w:p>
      <w:pPr>
        <w:pStyle w:val="Heading2"/>
        <w:spacing w:line="480" w:lineRule="auto"/>
      </w:pPr>
      <w:r>
        <w:t xml:space="preserve">6.2 Paper 2: Cox Proportional-Hazards Estimates of Time to Bringing-Into-Use</w:t>
      </w:r>
    </w:p>
    <w:bookmarkStart w:id="129" w:name="sample-events-and-estimator"/>
    <w:p>
      <w:pPr>
        <w:pStyle w:val="Heading3"/>
        <w:spacing w:line="480" w:lineRule="auto"/>
      </w:pPr>
      <w:r>
        <w:t xml:space="preserve">6.2.1 Sample, Events, and Estimator</w:t>
      </w:r>
    </w:p>
    <w:p>
      <w:pPr>
        <w:pStyle w:val="FirstParagraph"/>
        <w:spacing w:line="480" w:lineRule="auto"/>
      </w:pPr>
      <w:r>
        <w:t xml:space="preserve">The Cox partial-likelihood estimator was fit on thirty-five ITU frequency-coordination filings spanning 1999 to 2023, drawn from the ITU Space Network List, operator press releases and SEC filings, FCC IBFS records, and the AMOS conference literature [7, 8, 11, 17]. The dependent variable is the elapsed months from filing receipt to BIU notification, paired with an event indicator equal to one for filings whose BIU was notified within the observation window and zero for filings that remained in coordination at the cutoff. Of the thirty-five filings, twenty-eight are observed events and seven are right-censored. The four covariates entered in the proportional-hazards specification are an NGSO indicator, a megaconstellation indicator defined at a thousand-satellite threshold, the count of prior coordination filings by the same operator, and the lower-bound downlink frequency band in gigahertz.</w:t>
      </w:r>
    </w:p>
    <w:p>
      <w:pPr>
        <w:pStyle w:val="BodyText"/>
        <w:spacing w:line="480" w:lineRule="auto"/>
        <w:ind w:firstLine="720"/>
      </w:pPr>
      <w:r>
        <w:t xml:space="preserve">The Cox estimator is the appropriate choice for this design because right-censoring is informative and present in roughly twenty percent of the sample. A logit or OLS regression on observed durations would discard the seven censored filings and bias the resulting estimates toward operators who reached BIU quickly within the observation window. The partial-likelihood approach handles the censoring without requiring a parametric baseline hazard, which is desirable here because the underlying baseline plausibly reflects ITU procedural mechanics whose shape is not known ex ante [3, 19].</w:t>
      </w:r>
    </w:p>
    <w:bookmarkEnd w:id="129"/>
    <w:bookmarkStart w:id="130" w:name="the-megaconstellation-coefficient"/>
    <w:p>
      <w:pPr>
        <w:pStyle w:val="Heading3"/>
        <w:spacing w:line="480" w:lineRule="auto"/>
      </w:pPr>
      <w:r>
        <w:t xml:space="preserve">6.2.2 The Megaconstellation Coefficient</w:t>
      </w:r>
    </w:p>
    <w:p>
      <w:pPr>
        <w:pStyle w:val="FirstParagraph"/>
        <w:spacing w:line="480" w:lineRule="auto"/>
      </w:pPr>
      <w:r>
        <w:t xml:space="preserve">The megaconstellation indicator returns the single statistically meaningful estimate in the Cox specification, with a coefficient of -1.7434 and a standard error of 0.8772. The Wald z-statistic is approximately -1.99 and the p-value is 0.0469, which clears the five percent significance threshold. The sign is negative in the proportional-hazards metric, which means that megaconstellation filings face a lower hazard of reaching BIU at any given month than otherwise-comparable filings. Exponentiating the coefficient yields a hazard ratio of approximately 0.175, which is to say that the instantaneous hazard of BIU for a megaconstellation filing is roughly seventeen and a half percent of the hazard for an otherwise-comparable non-megaconstellation filing. Stated as a hazard reduction, the megaconstellation cohort faces a hazard roughly eighty-two percent lower than the reference cohort, holding NGSO status, prior filings, and band constant.</w:t>
      </w:r>
    </w:p>
    <w:p>
      <w:pPr>
        <w:pStyle w:val="BodyText"/>
        <w:spacing w:line="480" w:lineRule="auto"/>
        <w:ind w:firstLine="720"/>
      </w:pPr>
      <w:r>
        <w:t xml:space="preserve">The substantive magnitude is large and the interpretation is consequential. The proportional-hazards reduction of roughly eighty-two percent in the megaconstellation cohort is not subtle, and the standard error is tight enough that the estimate is distinguishable from zero at the five percent level even on thirty-five filings. The result is consistent with the institutional reading that the WRC-19 milestone-deployment rules staged BIU recognition by deployed satellite count, and that the largest networks therefore confront a multistage staircase whose successive thresholds bind sequentially before the regulator will treat the system as brought into use [3, 10]. The hazard reduction is regulator-induced rather than technical: the megaconstellation indicator is a property of the filing relative to a satellite-count threshold and not a property of the radio-frequency engineering of the link.</w:t>
      </w:r>
    </w:p>
    <w:bookmarkEnd w:id="130"/>
    <w:bookmarkStart w:id="131" w:name="the-ngso-coefficient"/>
    <w:p>
      <w:pPr>
        <w:pStyle w:val="Heading3"/>
        <w:spacing w:line="480" w:lineRule="auto"/>
      </w:pPr>
      <w:r>
        <w:t xml:space="preserve">6.2.3 The NGSO Coefficient</w:t>
      </w:r>
    </w:p>
    <w:p>
      <w:pPr>
        <w:pStyle w:val="FirstParagraph"/>
        <w:spacing w:line="480" w:lineRule="auto"/>
      </w:pPr>
      <w:r>
        <w:t xml:space="preserve">The NGSO indicator carries a positive coefficient of 0.4022 with a standard error of 0.5544 and a p-value of 0.4682. The Wald z-statistic is below one and the coefficient is not distinguishable from zero at conventional levels. The sign points in the direction of a higher hazard of BIU for NGSO filings than for GEO filings holding the other covariates constant, which would be consistent with the institutional argument that NGSO filings invoke different Radio Regulations articles than GEO filings and that those different articles may produce a different procedural cadence</w:t>
      </w:r>
      <w:r>
        <w:t xml:space="preserve"> </w:t>
      </w:r>
      <w:hyperlink w:anchor="ref-3">
        <w:r>
          <w:rPr>
            <w:rStyle w:val="Hyperlink"/>
          </w:rPr>
          <w:t xml:space="preserve">[3]</w:t>
        </w:r>
      </w:hyperlink>
      <w:r>
        <w:t xml:space="preserve">. The standard error, however, is too wide to support a confident reading.</w:t>
      </w:r>
    </w:p>
    <w:p>
      <w:pPr>
        <w:pStyle w:val="BodyText"/>
        <w:spacing w:line="480" w:lineRule="auto"/>
        <w:ind w:firstLine="720"/>
      </w:pPr>
      <w:r>
        <w:t xml:space="preserve">The substantive content of this null is important and worth being explicit about. Once megaconstellation status is partialed out, NGSO status by itself does not slow coordination in this sample. That is a non-trivial finding even though the coefficient does not clear significance, because the policy conversation in Geneva often treats NGSO and megaconstellation as roughly interchangeable categories. The Cox estimator resists that conflation: the megaconstellation coefficient is significant at p equal to 0.0469 while the NGSO coefficient is not significant at p equal to 0.4682, and the two enter the same specification jointly. The drag is concentrated in the megaconstellation cohort specifically, not across NGSO filings generally</w:t>
      </w:r>
      <w:r>
        <w:t xml:space="preserve"> </w:t>
      </w:r>
      <w:hyperlink w:anchor="ref-22">
        <w:r>
          <w:rPr>
            <w:rStyle w:val="Hyperlink"/>
          </w:rPr>
          <w:t xml:space="preserve">[22]</w:t>
        </w:r>
      </w:hyperlink>
      <w:r>
        <w:t xml:space="preserve">.</w:t>
      </w:r>
    </w:p>
    <w:bookmarkEnd w:id="131"/>
    <w:bookmarkStart w:id="132" w:name="the-prior-filings-coefficient"/>
    <w:p>
      <w:pPr>
        <w:pStyle w:val="Heading3"/>
        <w:spacing w:line="480" w:lineRule="auto"/>
      </w:pPr>
      <w:r>
        <w:t xml:space="preserve">6.2.4 The Prior-Filings Coefficient</w:t>
      </w:r>
    </w:p>
    <w:p>
      <w:pPr>
        <w:pStyle w:val="FirstParagraph"/>
        <w:spacing w:line="480" w:lineRule="auto"/>
      </w:pPr>
      <w:r>
        <w:t xml:space="preserve">The count of prior coordination filings by the same operator returns a coefficient of 0.1198 with a standard error of 0.5623 and a p-value of 0.8313. The Wald z-statistic is on the order of 0.21 and the coefficient is effectively flat. The institutional-learning hypothesis, which would predict that operators with prior filings in the same band benefit from accumulated coordination relationships and reach BIU faster, finds no measurable support in this sample.</w:t>
      </w:r>
    </w:p>
    <w:p>
      <w:pPr>
        <w:pStyle w:val="BodyText"/>
        <w:spacing w:line="480" w:lineRule="auto"/>
        <w:ind w:firstLine="720"/>
      </w:pPr>
      <w:r>
        <w:t xml:space="preserve">The substantive interpretation requires care. A null on prior filings count does not establish that learning does not occur at the firm level. It establishes that, in the public-filing record used here, there is no measurable hazard premium accruing to prior-filing operators after controlling for orbit class, megaconstellation scale, and band. One plausible reading is that whatever learning occurs is offset by reputational entanglement, in which the same operator faces incumbent objectors who recall the prior filing and whose coordination behavior is patterned by that recollection. A second plausible reading is that the prior-filings count is a noisy proxy for the underlying capability that institutional learning would identify, and that the noise is too large in this sample to recover a precise estimate. Either reading is consistent with the observed coefficient, and the data do not adjudicate between them.</w:t>
      </w:r>
    </w:p>
    <w:bookmarkEnd w:id="132"/>
    <w:bookmarkStart w:id="133" w:name="the-frequency-band-coefficient"/>
    <w:p>
      <w:pPr>
        <w:pStyle w:val="Heading3"/>
        <w:spacing w:line="480" w:lineRule="auto"/>
      </w:pPr>
      <w:r>
        <w:t xml:space="preserve">6.2.5 The Frequency-Band Coefficient</w:t>
      </w:r>
    </w:p>
    <w:p>
      <w:pPr>
        <w:pStyle w:val="FirstParagraph"/>
        <w:spacing w:line="480" w:lineRule="auto"/>
      </w:pPr>
      <w:r>
        <w:t xml:space="preserve">The lower-bound downlink frequency in gigahertz carries a coefficient of 0.0332 per gigahertz with a standard error of 0.0354 and a p-value of 0.3487. The Wald z-statistic is below one and the coefficient does not clear conventional significance. The sign is positive, which would imply that higher-frequency filings face a slightly higher hazard of BIU than lower-frequency filings, holding orbit class, megaconstellation status, and prior filings constant. The implied per-gigahertz hazard ratio is approximately 1.034. Across the realistic range of bands in the sample, from low-band L through Ka and into upper-Ka, the cumulative implication of a coefficient that small is modest at best and within the statistical noise the standard error reports.</w:t>
      </w:r>
    </w:p>
    <w:p>
      <w:pPr>
        <w:pStyle w:val="BodyText"/>
        <w:spacing w:line="480" w:lineRule="auto"/>
        <w:ind w:firstLine="720"/>
      </w:pPr>
      <w:r>
        <w:t xml:space="preserve">The substantive reading is that frequency band by itself is not a first-order driver of coordination drag in this sample. The pattern is consistent with the view advanced in the institutional literature that coordination drag is procedural and queue-driven rather than purely technical [1, 19]. If band were a strong driver, one would expect a much larger and more precisely estimated coefficient than 0.0332 with a standard error of 0.0354. The estimator instead returns a small, noisy coefficient that does not move the joint specification, and the megaconstellation coefficient continues to do the empirical work in the Cox model whether or not the band term is in the specification.</w:t>
      </w:r>
    </w:p>
    <w:bookmarkEnd w:id="133"/>
    <w:bookmarkStart w:id="134" w:name="joint-reading-of-paper-2"/>
    <w:p>
      <w:pPr>
        <w:pStyle w:val="Heading3"/>
        <w:spacing w:line="480" w:lineRule="auto"/>
      </w:pPr>
      <w:r>
        <w:t xml:space="preserve">6.2.6 Joint Reading of Paper 2</w:t>
      </w:r>
    </w:p>
    <w:p>
      <w:pPr>
        <w:pStyle w:val="FirstParagraph"/>
        <w:spacing w:line="480" w:lineRule="auto"/>
      </w:pPr>
      <w:r>
        <w:t xml:space="preserve">The Cox specification on thirty-five filings with twenty-eight observed events isolates one statistically meaningful coefficient, on the megaconstellation indicator, at a hazard reduction of roughly eighty-two percent and a p-value of 0.0469. The NGSO indicator, the prior-filings count, and the band lower-bound do not clear conventional significance at this sample size. The structure of the result is that coordination drag, measured as the duration from filing receipt to BIU notification, is not uniform across the filing population. It is concentrated in the megaconstellation cohort, and the magnitude of that concentration is large enough to be of policy interest in itself. The asymmetry implied by these estimates is what the prospectus and the prose of Paper 2 read as the binding empirical pattern: the WRC-19 milestone-deployment rule applied to networks above the thousand-satellite threshold is doing the heavy lifting in the observed slowdown, and the other three covariates are not adding measurable explanatory power on top of it [3, 22].</w:t>
      </w:r>
    </w:p>
    <w:bookmarkEnd w:id="134"/>
    <w:bookmarkEnd w:id="135"/>
    <w:bookmarkStart w:id="136" w:name="convergent-reading-of-the-two-papers"/>
    <w:p>
      <w:pPr>
        <w:pStyle w:val="Heading2"/>
        <w:spacing w:line="480" w:lineRule="auto"/>
      </w:pPr>
      <w:r>
        <w:t xml:space="preserve">6.3 Convergent Reading of the Two Papers</w:t>
      </w:r>
    </w:p>
    <w:p>
      <w:pPr>
        <w:pStyle w:val="FirstParagraph"/>
        <w:spacing w:line="480" w:lineRule="auto"/>
      </w:pPr>
      <w:r>
        <w:t xml:space="preserve">The two estimators were designed to address the same underlying coordination-drag mechanism from opposite directions, and the empirical results converge usefully on the same structural reading. Paper 1 takes coordination duration as a regressor and finds that, in the milestone-miss outcome, a positive logit coefficient of 0.3070 with standard error 0.1417 and p-value 0.0302 is identifiable on twenty-eight filings. Paper 2 takes coordination duration as the dependent variable in a hazard frame and finds that the binding driver of that duration in the same family of filings is membership in the megaconstellation cohort, with a coefficient of -1.7434 in the hazard metric, a standard error of 0.8772, and a p-value of 0.0469. The two estimators therefore identify a coherent two-step pattern: megaconstellation filings face a roughly eighty-two percent reduction in instantaneous BIU hazard, which mechanically lengthens their realized coordination duration, and each additional month of that duration multiplies the operator’s odds of milestone slippage by approximately 1.36 in the logit metric, with incumbent count contributing an additional independent multiplier of approximately 1.87 per incumbent.</w:t>
      </w:r>
    </w:p>
    <w:p>
      <w:pPr>
        <w:pStyle w:val="BodyText"/>
        <w:spacing w:line="480" w:lineRule="auto"/>
        <w:ind w:firstLine="720"/>
      </w:pPr>
      <w:r>
        <w:t xml:space="preserve">The convergence is not a tautology. Paper 1 did not include the megaconstellation indicator in its specification, and Paper 2 does not include the milestone-miss outcome in its specification. The two empirical models therefore identify the linkage between the cohort-level hazard reduction and the operator-level outcome through independent regressors estimated on overlapping but distinct samples. The structural reading that the dissertation defends is that coordination drag is a multistage information-infrastructure failure: the WRC-19 milestone schedule binds harder for megaconstellation filings at the hazard-of-BIU stage, and the resulting lengthening of coordination duration propagates downstream into the binary milestone-miss outcome at the operator level [1, 2, 3].</w:t>
      </w:r>
    </w:p>
    <w:p>
      <w:pPr>
        <w:pStyle w:val="BodyText"/>
        <w:spacing w:line="480" w:lineRule="auto"/>
        <w:ind w:firstLine="720"/>
      </w:pPr>
      <w:r>
        <w:t xml:space="preserve">A final note on what the joint estimates do not establish. Neither estimator identifies a causal effect of coordination duration on milestone miss in the strict potential-outcomes sense. Both estimators identify conditional associations under their respective conditioning sets and under the small-sample power available. The duration coefficient in Paper 1 may be biased upward by the endogeneity Section 6 of Paper 1 flags, in which operator characteristics that predict slower coordination also predict more milestone slippage. The megaconstellation coefficient in Paper 2 is identified against a comparison cohort that, in this dataset, includes both legacy GEO operators and smaller NGSO filings whose institutional context differs from the megaconstellation cohort in ways the four-covariate specification cannot fully absorb [19, 25]. Chapter 7 turns to these threats explicitly and to the additional specification checks the prospectus committed to running. The numbers reported in this chapter are the numbers the estimator produced on the data assembled for each paper, and they are the foundation on which the interpretation in the rest of the dissertation rests.</w:t>
      </w:r>
    </w:p>
    <w:bookmarkEnd w:id="136"/>
    <w:bookmarkEnd w:id="137"/>
    <w:bookmarkStart w:id="147" w:name="X21322cb5e29cbf4eb576afddcad42f86ace4e0d"/>
    <w:p>
      <w:pPr>
        <w:pStyle w:val="Heading1"/>
        <w:spacing w:line="480" w:lineRule="auto"/>
      </w:pPr>
      <w:r>
        <w:t xml:space="preserve">Chapter 7. Discussion and Governance Implications</w:t>
      </w:r>
    </w:p>
    <w:bookmarkStart w:id="138" w:name="recapitulation-of-the-empirical-result"/>
    <w:p>
      <w:pPr>
        <w:pStyle w:val="Heading2"/>
        <w:spacing w:line="480" w:lineRule="auto"/>
      </w:pPr>
      <w:r>
        <w:t xml:space="preserve">7.1 Recapitulation of the Empirical Result</w:t>
      </w:r>
    </w:p>
    <w:p>
      <w:pPr>
        <w:pStyle w:val="FirstParagraph"/>
        <w:spacing w:line="480" w:lineRule="auto"/>
      </w:pPr>
      <w:r>
        <w:t xml:space="preserve">The empirical core of this dissertation rests on two estimators applied to overlapping but distinct hand-built panels of International Telecommunication Union (ITU) frequency-coordination filings for non-geostationary satellite networks. The logit on twenty-eight filings shows that each additional month of elapsed coordination duration raises the log-odds of missing the first regulatory bring-into-use milestone by 0.31 (standard error 0.142, p = 0.030), and that each additional co-frequency incumbent identified at the Coordination Request stage raises the log-odds of milestone miss by 0.63 (standard error 0.267, p = 0.019). The Cox proportional-hazards estimator on thirty-five filings isolates a single statistically meaningful coefficient: the megaconstellation indicator carries a hazard ratio of approximately 0.175 (coefficient negative 1.7434, p = 0.0469), indicating that filings tied to constellations larger than one thousand satellites face an instantaneous bring-into-use (BIU) hazard roughly eighty-two percent lower than otherwise-comparable filings. The non-geostationary (NGSO) indicator, the prior-filings count, and the band lower-bound do not reach conventional significance in the Cox sample. Read together, the two estimators converge on a narrow but consequential claim: coordination drag is real, it is concentrated in the cohort that the post-WRC-19 milestone regime was designed to discipline, and it forecasts the very milestone outcome that the regime defines</w:t>
      </w:r>
      <w:r>
        <w:t xml:space="preserve"> </w:t>
      </w:r>
      <w:hyperlink w:anchor="ref-3">
        <w:r>
          <w:rPr>
            <w:rStyle w:val="Hyperlink"/>
          </w:rPr>
          <w:t xml:space="preserve">[3]</w:t>
        </w:r>
      </w:hyperlink>
      <w:r>
        <w:t xml:space="preserve">. The claim is small. The rest of this chapter interprets it for the audiences that must act on it, and stays candid about what it does not yet warrant.</w:t>
      </w:r>
    </w:p>
    <w:bookmarkEnd w:id="138"/>
    <w:bookmarkStart w:id="139" w:name="X13ffe9b5890cec9855fba8ee3ab7d47ca0c85f8"/>
    <w:p>
      <w:pPr>
        <w:pStyle w:val="Heading2"/>
        <w:spacing w:line="480" w:lineRule="auto"/>
      </w:pPr>
      <w:r>
        <w:t xml:space="preserve">7.2 What the Findings Mean for NASA Program Management</w:t>
      </w:r>
    </w:p>
    <w:p>
      <w:pPr>
        <w:pStyle w:val="FirstParagraph"/>
        <w:spacing w:line="480" w:lineRule="auto"/>
      </w:pPr>
      <w:r>
        <w:t xml:space="preserve">Start with NASA program management. The relevance is not abstract. NASA increasingly relies on commercially coordinated spectrum to deliver mission data, and the agency now sponsors, partners with, or purchases services from operators whose business cases hinge on the very coordination pipeline measured here. A coordination episode that runs months longer than the program baseline is not merely a regulatory inconvenience: it is a slip in the upstream dependency on which downlink, telemetry, tracking, and command service-level agreements are predicated. When Sorge and colleagues describe ITU throughput as a binding constraint on deployment for large constellations, they are describing a constraint that flows directly into the schedule risk register of any NASA mission whose communications architecture relies on a commercial NGSO partner [2, 22].</w:t>
      </w:r>
    </w:p>
    <w:p>
      <w:pPr>
        <w:pStyle w:val="BodyText"/>
        <w:spacing w:line="480" w:lineRule="auto"/>
        <w:ind w:firstLine="720"/>
      </w:pPr>
      <w:r>
        <w:t xml:space="preserve">Three implications follow for program management practice. First, milestone-miss probability should be treated as an estimable schedule risk rather than as a categorical regulatory uncertainty. The logit coefficients permit the construction of a parameterized risk surface: at the sample mean of incumbent count and post-WRC-19 status, an additional six months of coordination duration corresponds to a marginal increase in milestone-miss log-odds of approximately 1.85, which is large enough to move a contingency reserve calculation noticeably. Programs that depend on a partner whose coordination duration is in the upper quartile of the observed distribution should carry explicit reserve against a downstream milestone slip and should communicate that reserve as conditional on a measurable upstream variable rather than as a generic political risk premium.</w:t>
      </w:r>
    </w:p>
    <w:p>
      <w:pPr>
        <w:pStyle w:val="BodyText"/>
        <w:spacing w:line="480" w:lineRule="auto"/>
        <w:ind w:firstLine="720"/>
      </w:pPr>
      <w:r>
        <w:t xml:space="preserve">Second, the Cox finding implies that NASA’s risk posture should be cohort-aware. The hazard of reaching BIU is not uniformly depressed across NGSO filings: it is the megaconstellation cohort specifically that the data identify as slower, and the magnitude is large. A program that depends on a commercial partner inside the megaconstellation cohort faces a structurally different coordination-risk profile than a program that depends on a smaller NGSO partner, even when the two partners file in the same band and the same administration. This asymmetry should be reflected in source selection, in the construction of communications-service contracts, and in the framing of independent cost estimates. The post-WRC-19 milestone-deployment thresholds documented by Allison</w:t>
      </w:r>
      <w:r>
        <w:t xml:space="preserve"> </w:t>
      </w:r>
      <w:hyperlink w:anchor="ref-3">
        <w:r>
          <w:rPr>
            <w:rStyle w:val="Hyperlink"/>
          </w:rPr>
          <w:t xml:space="preserve">[3]</w:t>
        </w:r>
      </w:hyperlink>
      <w:r>
        <w:t xml:space="preserve"> </w:t>
      </w:r>
      <w:r>
        <w:t xml:space="preserve">are the proximate cause of the asymmetry, and the cause is regulatory rather than technical: it cannot be engineered around by buying a different antenna or a different bus.</w:t>
      </w:r>
    </w:p>
    <w:p>
      <w:pPr>
        <w:pStyle w:val="BodyText"/>
        <w:spacing w:line="480" w:lineRule="auto"/>
        <w:ind w:firstLine="720"/>
      </w:pPr>
      <w:r>
        <w:t xml:space="preserve">Third, the findings underscore that NASA’s institutional position on ITU coordination reform is no longer a question of pure international diplomacy: it is a question of program risk. If NASA-supported missions rely on commercial NGSO partners whose BIU hazard is suppressed by an eighty-two percent cohort effect, then the agency carries a derivative interest in whatever procedural reforms successive World Radiocommunication Conferences may adopt. Karra and Jah remind the agency that compliance on the operational side is itself imperfectly observable [1, 11], which compounds the program-management problem: not only is the upstream coordination duration variable, the downstream alignment of filings to on-orbit behavior is also imperfectly known. The combination argues for a NASA-internal capability to monitor both surfaces independently rather than relying solely on partner self-reporting.</w:t>
      </w:r>
    </w:p>
    <w:bookmarkEnd w:id="139"/>
    <w:bookmarkStart w:id="140" w:name="X6b14c142c3e88c59d71541797b64113199a2ee0"/>
    <w:p>
      <w:pPr>
        <w:pStyle w:val="Heading2"/>
        <w:spacing w:line="480" w:lineRule="auto"/>
      </w:pPr>
      <w:r>
        <w:t xml:space="preserve">7.3 What the Findings Mean for JPL Decision-Making</w:t>
      </w:r>
    </w:p>
    <w:p>
      <w:pPr>
        <w:pStyle w:val="FirstParagraph"/>
        <w:spacing w:line="480" w:lineRule="auto"/>
      </w:pPr>
      <w:r>
        <w:t xml:space="preserve">JPL occupies a distinct position in the NASA program ecosystem, and the findings carry implications specific to the laboratory’s decision processes. JPL designs and operates flagship deep-space missions whose communications architecture has historically been internally coordinated through the Deep Space Network, and the laboratory increasingly faces architectural choices in which commercial relay services, including NGSO services, are candidate elements of mission communications topologies. The data assembled in this dissertation speak to those architectural choices in three ways.</w:t>
      </w:r>
    </w:p>
    <w:p>
      <w:pPr>
        <w:pStyle w:val="BodyText"/>
        <w:spacing w:line="480" w:lineRule="auto"/>
        <w:ind w:firstLine="720"/>
      </w:pPr>
      <w:r>
        <w:t xml:space="preserve">First, they inform the choice between vertically integrated communications architectures and architectures that rely on commercially coordinated spectrum partners. When the upstream coordination pipeline is empirically variable and that variability forecasts milestone outcomes, the implicit reliability of a partner-mediated architecture is conditional on a regulatory process whose duration the laboratory does not control. For a long-lived flagship mission whose communications dependencies extend over a decade or more, the laboratory must price that conditional reliability into the architectural trade space. The Cox finding that megaconstellation partners face a structurally lower BIU hazard means that the most ambitious commercial partners, who advertise the most attractive aggregate throughput, are precisely the cohort whose coordination timing is hardest to forecast.</w:t>
      </w:r>
    </w:p>
    <w:p>
      <w:pPr>
        <w:pStyle w:val="BodyText"/>
        <w:spacing w:line="480" w:lineRule="auto"/>
        <w:ind w:firstLine="720"/>
      </w:pPr>
      <w:r>
        <w:t xml:space="preserve">Second, the findings inform JPL’s institutional posture as a technical advisor on national policy. The laboratory has historically contributed to national positions on spectrum, on space situational awareness, and on space traffic management. Sorge and colleagues frame coordination overhead as a binding deployment constraint [2, 22], and Colombo and colleagues frame space capacity management as a problem that interacts with space traffic management in ways that demand integrated rather than siloed policy responses</w:t>
      </w:r>
      <w:r>
        <w:t xml:space="preserve"> </w:t>
      </w:r>
      <w:hyperlink w:anchor="ref-19">
        <w:r>
          <w:rPr>
            <w:rStyle w:val="Hyperlink"/>
          </w:rPr>
          <w:t xml:space="preserve">[19]</w:t>
        </w:r>
      </w:hyperlink>
      <w:r>
        <w:t xml:space="preserve">. JPL’s voice in those policy conversations is more credible when it can speak to coordination drag with measured estimates rather than with anecdote. The estimates in this dissertation are not the last word on those estimates, but they are a first word that the laboratory can use, refine, and improve as additional data become available from the ITU Space Network Systems Online database</w:t>
      </w:r>
      <w:r>
        <w:t xml:space="preserve"> </w:t>
      </w:r>
      <w:hyperlink w:anchor="ref-8">
        <w:r>
          <w:rPr>
            <w:rStyle w:val="Hyperlink"/>
          </w:rPr>
          <w:t xml:space="preserve">[8]</w:t>
        </w:r>
      </w:hyperlink>
      <w:r>
        <w:t xml:space="preserve"> </w:t>
      </w:r>
      <w:r>
        <w:t xml:space="preserve">and from the United States Federal Communications Commission International Bureau Filing System</w:t>
      </w:r>
      <w:r>
        <w:t xml:space="preserve"> </w:t>
      </w:r>
      <w:hyperlink w:anchor="ref-7">
        <w:r>
          <w:rPr>
            <w:rStyle w:val="Hyperlink"/>
          </w:rPr>
          <w:t xml:space="preserve">[7]</w:t>
        </w:r>
      </w:hyperlink>
      <w:r>
        <w:t xml:space="preserve">.</w:t>
      </w:r>
    </w:p>
    <w:p>
      <w:pPr>
        <w:pStyle w:val="BodyText"/>
        <w:spacing w:line="480" w:lineRule="auto"/>
        <w:ind w:firstLine="720"/>
      </w:pPr>
      <w:r>
        <w:t xml:space="preserve">Third, the findings inform JPL’s relationship with the broader space-sustainability agenda. Rathnasabapathy and colleagues describe the Space Sustainability Rating as a composite indicator designed to incentivize operators to pursue long-term sustainability of the space environment</w:t>
      </w:r>
      <w:r>
        <w:t xml:space="preserve"> </w:t>
      </w:r>
      <w:hyperlink w:anchor="ref-25">
        <w:r>
          <w:rPr>
            <w:rStyle w:val="Hyperlink"/>
          </w:rPr>
          <w:t xml:space="preserve">[25]</w:t>
        </w:r>
      </w:hyperlink>
      <w:r>
        <w:t xml:space="preserve">. A laboratory that is institutionally committed to sustainability has an interest in coordination procedures that allocate scarce orbital-spectral resources to operators who can actually use them on the schedule they file, and that retire idle filings expeditiously. The empirical demonstration that coordination duration predicts milestone slippage gives the laboratory a defensible reason to support procedural reforms that tighten the linkage between filing throughput and operational reality. Dey and Jagadanandan frame the broader challenge as balancing commercialization and sustainability</w:t>
      </w:r>
      <w:r>
        <w:t xml:space="preserve"> </w:t>
      </w:r>
      <w:hyperlink w:anchor="ref-20">
        <w:r>
          <w:rPr>
            <w:rStyle w:val="Hyperlink"/>
          </w:rPr>
          <w:t xml:space="preserve">[20]</w:t>
        </w:r>
      </w:hyperlink>
      <w:r>
        <w:t xml:space="preserve">, and the findings of this dissertation are consistent with their argument that the binding constraints in that balance are increasingly procedural rather than purely physical.</w:t>
      </w:r>
    </w:p>
    <w:bookmarkEnd w:id="140"/>
    <w:bookmarkStart w:id="141" w:name="X6ba27800528b9e03712cb83541f5b9bc371d994"/>
    <w:p>
      <w:pPr>
        <w:pStyle w:val="Heading2"/>
        <w:spacing w:line="480" w:lineRule="auto"/>
      </w:pPr>
      <w:r>
        <w:t xml:space="preserve">7.4 What the Findings Mean for the ITU Regime Itself</w:t>
      </w:r>
    </w:p>
    <w:p>
      <w:pPr>
        <w:pStyle w:val="FirstParagraph"/>
        <w:spacing w:line="480" w:lineRule="auto"/>
      </w:pPr>
      <w:r>
        <w:t xml:space="preserve">The findings also speak to the ITU regime on its own terms. Allison documents that WRC-19 introduced milestone-based BIU requirements precisely because mega-constellation filings were straining the coordination regime [3, 10, 12]. A hazard ratio of 0.175 on the megaconstellation indicator is consistent with the operational reading that the milestone rules are biting on the cohort they were designed to discipline. This is, narrowly, a vindication of the WRC-19 design choice. The reform was not symbolic. It altered the empirical hazard structure of the population whose behavior motivated it.</w:t>
      </w:r>
    </w:p>
    <w:p>
      <w:pPr>
        <w:pStyle w:val="BodyText"/>
        <w:spacing w:line="480" w:lineRule="auto"/>
        <w:ind w:firstLine="720"/>
      </w:pPr>
      <w:r>
        <w:t xml:space="preserve">The logit finding that the post-WRC-19 indicator is positive but not statistically distinguishable from zero in a twenty-eight-observation sample should be read with care. The non-significance does not say the regime had no effect. It says that on this sample the indicator cannot be separately identified from the rest of the specification, in part because the milestone-miss outcome is itself defined by the regime. This identification problem is structural rather than statistical and will not be fully resolved by a larger sample alone: a proper test of the regime’s effect on milestone behavior requires either a regression-discontinuity design exploiting the WRC-19 transition or a structural model in which the milestone definition is treated as part of the policy treatment.</w:t>
      </w:r>
    </w:p>
    <w:p>
      <w:pPr>
        <w:pStyle w:val="BodyText"/>
        <w:spacing w:line="480" w:lineRule="auto"/>
        <w:ind w:firstLine="720"/>
      </w:pPr>
      <w:r>
        <w:t xml:space="preserve">For the regime more broadly, the findings argue against blanket procedural acceleration. If coordination drag is concentrated in a definable cohort, then reforms that accelerate coordination across the board may relax constraints where they are not binding while leaving the binding constraint in place. A more discriminating reform conversation would ask whether the milestone-deployment thresholds at WRC-19 are calibrated correctly for the cohort they target, whether the bilateral coordination obligations between megaconstellation filings and incumbent networks could be aggregated to reduce negotiation surface area without dissolving incumbent rights, and whether the procedural cost of withdrawn or speculative filings should be internalized to the filer. The literature treats the ITU as a club-good regime in which procedural duration is a function of queue depth and bilateral obligations [3, 22], and the findings here are consistent with that framing.</w:t>
      </w:r>
    </w:p>
    <w:bookmarkEnd w:id="141"/>
    <w:bookmarkStart w:id="142" w:name="the-cooperative-sovereignty-frame"/>
    <w:p>
      <w:pPr>
        <w:pStyle w:val="Heading2"/>
        <w:spacing w:line="480" w:lineRule="auto"/>
      </w:pPr>
      <w:r>
        <w:t xml:space="preserve">7.5 The Cooperative-Sovereignty Frame</w:t>
      </w:r>
    </w:p>
    <w:p>
      <w:pPr>
        <w:pStyle w:val="FirstParagraph"/>
        <w:spacing w:line="480" w:lineRule="auto"/>
      </w:pPr>
      <w:r>
        <w:t xml:space="preserve">Ferguson and Haqq-Misra draw an explicit analogy between ITU-style coordination and cooperative sovereignty arrangements that may govern future off-world activity</w:t>
      </w:r>
      <w:r>
        <w:t xml:space="preserve"> </w:t>
      </w:r>
      <w:hyperlink w:anchor="ref-24">
        <w:r>
          <w:rPr>
            <w:rStyle w:val="Hyperlink"/>
          </w:rPr>
          <w:t xml:space="preserve">[24]</w:t>
        </w:r>
      </w:hyperlink>
      <w:r>
        <w:t xml:space="preserve">. The relevance of that frame to the present findings is twofold. First, it reminds the reader that ITU coordination is not merely a technical bottleneck but is the prototype of a working cooperative-sovereignty arrangement in space, with binding procedural rules, a settled jurisprudence, and a measurable empirical performance. The fact that the regime exhibits measurable drag is not, by itself, evidence that the regime is failing: cooperative-sovereignty arrangements have procedural overhead by design, because the procedure is what produces the cooperation. Second, it reminds the reader that the procedural performance of the ITU regime is a baseline against which any future regime, including any regime that might govern lunar surface coordination or Martian communications coordination, will implicitly be compared. If the ITU baseline is one in which megaconstellation cohorts face an eighty-two percent reduction in BIU hazard, then a designer of a future cooperative-sovereignty regime is on notice that procedural drag scales with system size and that mitigation must be designed in rather than retrofitted. The cooperative-sovereignty frame thus elevates the findings from a technical diagnostic to an institutional-design lesson.</w:t>
      </w:r>
    </w:p>
    <w:bookmarkEnd w:id="142"/>
    <w:bookmarkStart w:id="143" w:name="limitations"/>
    <w:p>
      <w:pPr>
        <w:pStyle w:val="Heading2"/>
        <w:spacing w:line="480" w:lineRule="auto"/>
      </w:pPr>
      <w:r>
        <w:t xml:space="preserve">7.6 Limitations</w:t>
      </w:r>
    </w:p>
    <w:p>
      <w:pPr>
        <w:pStyle w:val="FirstParagraph"/>
        <w:spacing w:line="480" w:lineRule="auto"/>
      </w:pPr>
      <w:r>
        <w:t xml:space="preserve">The limitations of the present work are substantial and must be stated plainly. Six warrant explicit treatment. Each narrows what the coefficients can bear.</w:t>
      </w:r>
    </w:p>
    <w:p>
      <w:pPr>
        <w:pStyle w:val="BodyText"/>
        <w:spacing w:line="480" w:lineRule="auto"/>
        <w:ind w:firstLine="720"/>
      </w:pPr>
      <w:r>
        <w:t xml:space="preserve">First, sample size. The logit is estimated on twenty-eight observations and the Cox model on thirty-five. These are not population-scale samples: they are hand-built panels assembled from public dockets, ITU lookups, operator filings, and the Government Accountability Office’s review of large constellations</w:t>
      </w:r>
      <w:r>
        <w:t xml:space="preserve"> </w:t>
      </w:r>
      <w:hyperlink w:anchor="ref-9">
        <w:r>
          <w:rPr>
            <w:rStyle w:val="Hyperlink"/>
          </w:rPr>
          <w:t xml:space="preserve">[9]</w:t>
        </w:r>
      </w:hyperlink>
      <w:r>
        <w:t xml:space="preserve">. The reported coefficients should be read as first estimates from a small panel rather than as settled population parameters. A proper population-scale study using bulk extracts from the ITU Space Network Systems Online database</w:t>
      </w:r>
      <w:r>
        <w:t xml:space="preserve"> </w:t>
      </w:r>
      <w:hyperlink w:anchor="ref-8">
        <w:r>
          <w:rPr>
            <w:rStyle w:val="Hyperlink"/>
          </w:rPr>
          <w:t xml:space="preserve">[8]</w:t>
        </w:r>
      </w:hyperlink>
      <w:r>
        <w:t xml:space="preserve"> </w:t>
      </w:r>
      <w:r>
        <w:t xml:space="preserve">and the FCC International Bureau Filing System</w:t>
      </w:r>
      <w:r>
        <w:t xml:space="preserve"> </w:t>
      </w:r>
      <w:hyperlink w:anchor="ref-7">
        <w:r>
          <w:rPr>
            <w:rStyle w:val="Hyperlink"/>
          </w:rPr>
          <w:t xml:space="preserve">[7]</w:t>
        </w:r>
      </w:hyperlink>
      <w:r>
        <w:t xml:space="preserve"> </w:t>
      </w:r>
      <w:r>
        <w:t xml:space="preserve">is the natural next step and is described in Section 7.8 below.</w:t>
      </w:r>
    </w:p>
    <w:p>
      <w:pPr>
        <w:pStyle w:val="BodyText"/>
        <w:spacing w:line="480" w:lineRule="auto"/>
        <w:ind w:firstLine="720"/>
      </w:pPr>
      <w:r>
        <w:t xml:space="preserve">Second, the milestone-miss outcome is observed on the regulatory record rather than on independent on-orbit telemetry. As Karra and Jah show, on-orbit behavior does not always match what filings say [1, 11], and the regulatory record may therefore overstate compliance for operators who file conforming notifications without operating the corresponding hardware. The limitation is acknowledged in both empirical chapters and constrains the interpretation of the dependent variable: this dissertation measures regulatory milestone outcomes, not physical deployment outcomes.</w:t>
      </w:r>
    </w:p>
    <w:p>
      <w:pPr>
        <w:pStyle w:val="BodyText"/>
        <w:spacing w:line="480" w:lineRule="auto"/>
        <w:ind w:firstLine="720"/>
      </w:pPr>
      <w:r>
        <w:t xml:space="preserve">Third, the coordination-duration variable is itself an outcome of regulatory bargaining and may be endogenous to operator characteristics that also predict milestone behavior. An operator with weak engineering execution may produce both a longer coordination episode and a higher probability of milestone miss, in which case the duration coefficient is biased upward by the omitted variable. The robustness check using the within-administration, within-band variation in incumbent counts is a partial response to this concern but does not eliminate it.</w:t>
      </w:r>
    </w:p>
    <w:p>
      <w:pPr>
        <w:pStyle w:val="BodyText"/>
        <w:spacing w:line="480" w:lineRule="auto"/>
        <w:ind w:firstLine="720"/>
      </w:pPr>
      <w:r>
        <w:t xml:space="preserve">Fourth, the incumbent-count variable is constructed from the ITU coordination identification reports and may understate the true congestion that operators experience in shared bands. The sensitivity analysis using alternative incumbency definitions is reported in the empirical chapters, but the limitation persists: the measured incumbent count is a regulatory artifact rather than a complete census of operational congestion.</w:t>
      </w:r>
    </w:p>
    <w:p>
      <w:pPr>
        <w:pStyle w:val="BodyText"/>
        <w:spacing w:line="480" w:lineRule="auto"/>
        <w:ind w:firstLine="720"/>
      </w:pPr>
      <w:r>
        <w:t xml:space="preserve">Fifth, the panel is right-censored at the observation cutoff. Seven of the thirty-five Cox observations are still in coordination at the end of the panel, and their true durations are unknown. The partial-likelihood estimator handles right-censoring without parametric assumptions on the baseline hazard, but the censored observations still reduce effective sample size for the coefficients of interest.</w:t>
      </w:r>
    </w:p>
    <w:p>
      <w:pPr>
        <w:pStyle w:val="BodyText"/>
        <w:spacing w:line="480" w:lineRule="auto"/>
        <w:ind w:firstLine="720"/>
      </w:pPr>
      <w:r>
        <w:t xml:space="preserve">Sixth, the sample draws from public filings and may underrepresent administrations that do not publish receipt dates in English-language sources. The bias this introduces is unknown in sign: it is plausible that the underrepresented administrations are slower (because they are less procedurally fluent), but equally plausible that they are faster (because they file fewer speculative networks). The robustness of the Cox coefficients to this potential bias cannot be tested with the present sample.</w:t>
      </w:r>
    </w:p>
    <w:p>
      <w:pPr>
        <w:pStyle w:val="BodyText"/>
        <w:spacing w:line="480" w:lineRule="auto"/>
        <w:ind w:firstLine="720"/>
      </w:pPr>
      <w:r>
        <w:t xml:space="preserve">A further limitation, distinct from the six above, concerns the relationship between the two estimators. The logit and the Cox model are estimated on overlapping but non-identical panels, and a single integrated estimator on a merged panel is the appropriate next step. The decision to present them separately reflects the iterative construction of the underlying datasets rather than a principled methodological choice, and is acknowledged here as a transitional artifact that the next round of data collection should retire.</w:t>
      </w:r>
    </w:p>
    <w:bookmarkEnd w:id="143"/>
    <w:bookmarkStart w:id="144" w:name="threats-to-external-validity"/>
    <w:p>
      <w:pPr>
        <w:pStyle w:val="Heading2"/>
        <w:spacing w:line="480" w:lineRule="auto"/>
      </w:pPr>
      <w:r>
        <w:t xml:space="preserve">7.7 Threats to External Validity</w:t>
      </w:r>
    </w:p>
    <w:p>
      <w:pPr>
        <w:pStyle w:val="FirstParagraph"/>
        <w:spacing w:line="480" w:lineRule="auto"/>
      </w:pPr>
      <w:r>
        <w:t xml:space="preserve">The threats to internal validity are addressed in the limitations section above. The threats to external validity warrant separate treatment because they govern whether the findings travel to the populations that NASA program management and JPL decision-making care about.</w:t>
      </w:r>
    </w:p>
    <w:p>
      <w:pPr>
        <w:pStyle w:val="BodyText"/>
        <w:spacing w:line="480" w:lineRule="auto"/>
        <w:ind w:firstLine="720"/>
      </w:pPr>
      <w:r>
        <w:t xml:space="preserve">The first threat is temporal. The panel begins in 1999 in the Cox specification and in 2008 in the logit specification, and ends in 2023 and 2021 respectively. The post-2023 period has seen continued growth in megaconstellation filings and continued evolution in the procedural posture of the ITU Radiocommunication Bureau. The findings may not generalize to filings made in the most recent eighteen months, and any program-management application should treat the coefficients as estimates whose stability across the most recent vintage of filings has not been tested.</w:t>
      </w:r>
    </w:p>
    <w:p>
      <w:pPr>
        <w:pStyle w:val="BodyText"/>
        <w:spacing w:line="480" w:lineRule="auto"/>
        <w:ind w:firstLine="720"/>
      </w:pPr>
      <w:r>
        <w:t xml:space="preserve">The second threat is regime. The post-WRC-19 indicator is in the specification, but the WRC-23 outcomes are not, and the regime will continue to evolve at successive Conferences. The findings describe a particular regulatory configuration, and the configuration is not stationary. Stilwell and colleagues describe ITU allocations as binding</w:t>
      </w:r>
      <w:r>
        <w:t xml:space="preserve"> </w:t>
      </w:r>
      <w:hyperlink w:anchor="ref-5">
        <w:r>
          <w:rPr>
            <w:rStyle w:val="Hyperlink"/>
          </w:rPr>
          <w:t xml:space="preserve">[5]</w:t>
        </w:r>
      </w:hyperlink>
      <w:r>
        <w:t xml:space="preserve">, but the binding force of those allocations is itself a function of a procedural regime that successive Conferences may revise.</w:t>
      </w:r>
    </w:p>
    <w:p>
      <w:pPr>
        <w:pStyle w:val="BodyText"/>
        <w:spacing w:line="480" w:lineRule="auto"/>
        <w:ind w:firstLine="720"/>
      </w:pPr>
      <w:r>
        <w:t xml:space="preserve">The third threat is administration. The findings are dominated by filings from a small number of administrations that account for the majority of NGSO filings in the public record. Whether the findings generalize to administrations with thinner filing histories is unknown.</w:t>
      </w:r>
    </w:p>
    <w:p>
      <w:pPr>
        <w:pStyle w:val="BodyText"/>
        <w:spacing w:line="480" w:lineRule="auto"/>
        <w:ind w:firstLine="720"/>
      </w:pPr>
      <w:r>
        <w:t xml:space="preserve">The fourth threat is band. The Cox specification estimates a frequency-band coefficient that is small and noisy, and the logit specification drops the Ka-band indicator because of quasi-separation in the maximum-likelihood estimator. The behavior of the coordination pipeline at frequencies outside the dominant Ku and Ka bands of the present panel is therefore not directly characterized.</w:t>
      </w:r>
    </w:p>
    <w:p>
      <w:pPr>
        <w:pStyle w:val="BodyText"/>
        <w:spacing w:line="480" w:lineRule="auto"/>
        <w:ind w:firstLine="720"/>
      </w:pPr>
      <w:r>
        <w:t xml:space="preserve">The fifth threat is operator type. The panel is dominated by commercial operators. Whether the findings apply with the same force to governmental and intergovernmental filings is a separate empirical question. Young and Thadani frame the LEO broadband competition as a commercial contest [4, 17], but ITU coordination is administered without regard to the operator’s commercial status, and the empirical question of whether the hazard structure differs for governmental filings remains open.</w:t>
      </w:r>
    </w:p>
    <w:bookmarkEnd w:id="144"/>
    <w:bookmarkStart w:id="145" w:name="future-research"/>
    <w:p>
      <w:pPr>
        <w:pStyle w:val="Heading2"/>
        <w:spacing w:line="480" w:lineRule="auto"/>
      </w:pPr>
      <w:r>
        <w:t xml:space="preserve">7.8 Future Research</w:t>
      </w:r>
    </w:p>
    <w:p>
      <w:pPr>
        <w:pStyle w:val="FirstParagraph"/>
        <w:spacing w:line="480" w:lineRule="auto"/>
      </w:pPr>
      <w:r>
        <w:t xml:space="preserve">The findings open a research program rather than closing a question. Five lines of future work follow directly from the limitations and threats above and are listed in priority order.</w:t>
      </w:r>
    </w:p>
    <w:p>
      <w:pPr>
        <w:pStyle w:val="BodyText"/>
        <w:spacing w:line="480" w:lineRule="auto"/>
        <w:ind w:firstLine="720"/>
      </w:pPr>
      <w:r>
        <w:t xml:space="preserve">First, population-scale replication. The logit and Cox results should be replicated on a population-scale panel constructed from bulk extracts of the ITU Space Network Systems Online database</w:t>
      </w:r>
      <w:r>
        <w:t xml:space="preserve"> </w:t>
      </w:r>
      <w:hyperlink w:anchor="ref-8">
        <w:r>
          <w:rPr>
            <w:rStyle w:val="Hyperlink"/>
          </w:rPr>
          <w:t xml:space="preserve">[8]</w:t>
        </w:r>
      </w:hyperlink>
      <w:r>
        <w:t xml:space="preserve"> </w:t>
      </w:r>
      <w:r>
        <w:t xml:space="preserve">and the FCC International Bureau Filing System</w:t>
      </w:r>
      <w:r>
        <w:t xml:space="preserve"> </w:t>
      </w:r>
      <w:hyperlink w:anchor="ref-7">
        <w:r>
          <w:rPr>
            <w:rStyle w:val="Hyperlink"/>
          </w:rPr>
          <w:t xml:space="preserve">[7]</w:t>
        </w:r>
      </w:hyperlink>
      <w:r>
        <w:t xml:space="preserve">, with linkage to GAO and operator records for the milestone-miss outcome</w:t>
      </w:r>
      <w:r>
        <w:t xml:space="preserve"> </w:t>
      </w:r>
      <w:hyperlink w:anchor="ref-9">
        <w:r>
          <w:rPr>
            <w:rStyle w:val="Hyperlink"/>
          </w:rPr>
          <w:t xml:space="preserve">[9]</w:t>
        </w:r>
      </w:hyperlink>
      <w:r>
        <w:t xml:space="preserve">. The hand-built panels of the present dissertation are a proof of concept; a population-scale panel would convert that proof into settled population parameters.</w:t>
      </w:r>
    </w:p>
    <w:p>
      <w:pPr>
        <w:pStyle w:val="BodyText"/>
        <w:spacing w:line="480" w:lineRule="auto"/>
        <w:ind w:firstLine="720"/>
      </w:pPr>
      <w:r>
        <w:t xml:space="preserve">Second, an integrated survival model with milestone-miss as a competing risk. The logit and the Cox specifications can be unified by treating milestone miss as a competing risk to BIU notification in a single survival model. This is the natural methodological next step and would resolve the present tension between the two estimators by placing them in a single likelihood.</w:t>
      </w:r>
    </w:p>
    <w:p>
      <w:pPr>
        <w:pStyle w:val="BodyText"/>
        <w:spacing w:line="480" w:lineRule="auto"/>
        <w:ind w:firstLine="720"/>
      </w:pPr>
      <w:r>
        <w:t xml:space="preserve">Third, regression-discontinuity around WRC-19. The non-significance of the post-WRC-19 indicator in the logit and the structural endogeneity between the milestone-miss outcome and the regime that defines it argue for a regression-discontinuity design that exploits the timing of WRC-19. Filings made shortly before and shortly after the relevant date would constitute the discontinuity, and the design would identify the local average treatment effect of the regime on a population whose other characteristics are continuous across the threshold.</w:t>
      </w:r>
    </w:p>
    <w:p>
      <w:pPr>
        <w:pStyle w:val="BodyText"/>
        <w:spacing w:line="480" w:lineRule="auto"/>
        <w:ind w:firstLine="720"/>
      </w:pPr>
      <w:r>
        <w:t xml:space="preserve">Fourth, linkage to space-domain awareness. The Karra and Jah agenda for independent compliance monitoring [1, 11] points toward linkage between the ITU filing record and on-orbit observation. A dataset that joined the coordination panel of the present dissertation to an independently observed deployment panel would permit a direct test of the divergence between filed and operational behavior, and would resolve the central limitation of the present dependent variable.</w:t>
      </w:r>
    </w:p>
    <w:p>
      <w:pPr>
        <w:pStyle w:val="BodyText"/>
        <w:spacing w:line="480" w:lineRule="auto"/>
        <w:ind w:firstLine="720"/>
      </w:pPr>
      <w:r>
        <w:t xml:space="preserve">Fifth, the cooperative-sovereignty extension. Ferguson and Haqq-Misra argue that ITU and Universal Postal Union arrangements offer lessons for cooperative-sovereignty governance on Mars</w:t>
      </w:r>
      <w:r>
        <w:t xml:space="preserve"> </w:t>
      </w:r>
      <w:hyperlink w:anchor="ref-24">
        <w:r>
          <w:rPr>
            <w:rStyle w:val="Hyperlink"/>
          </w:rPr>
          <w:t xml:space="preserve">[24]</w:t>
        </w:r>
      </w:hyperlink>
      <w:r>
        <w:t xml:space="preserve">. A comparative study that benchmarked the procedural performance of the ITU regime against the procedural performance of analogous regimes in other domains would inform the design of future cooperative-sovereignty arrangements in space. Colombo and colleagues frame this as the interaction between space capacity management and space traffic management</w:t>
      </w:r>
      <w:r>
        <w:t xml:space="preserve"> </w:t>
      </w:r>
      <w:hyperlink w:anchor="ref-19">
        <w:r>
          <w:rPr>
            <w:rStyle w:val="Hyperlink"/>
          </w:rPr>
          <w:t xml:space="preserve">[19]</w:t>
        </w:r>
      </w:hyperlink>
      <w:r>
        <w:t xml:space="preserve">, and the comparative study would inform both surfaces.</w:t>
      </w:r>
    </w:p>
    <w:p>
      <w:pPr>
        <w:pStyle w:val="BodyText"/>
        <w:spacing w:line="480" w:lineRule="auto"/>
        <w:ind w:firstLine="720"/>
      </w:pPr>
      <w:r>
        <w:t xml:space="preserve">A sixth and more speculative line of future work concerns the use of the coordination panel as an input to broader policy analyses of the space economy. SD13 in the Space Economy Papers corpus notes that ITU filings could be leveraged and updated as an existing structure for spectrum and orbit management</w:t>
      </w:r>
      <w:r>
        <w:t xml:space="preserve"> </w:t>
      </w:r>
      <w:hyperlink w:anchor="ref-6">
        <w:r>
          <w:rPr>
            <w:rStyle w:val="Hyperlink"/>
          </w:rPr>
          <w:t xml:space="preserve">[6]</w:t>
        </w:r>
      </w:hyperlink>
      <w:r>
        <w:t xml:space="preserve">, and the empirical performance of that existing structure is a precondition for any policy that proposes to leverage it. A coordination-duration panel of the kind constructed here is therefore a candidate input to a wider class of policy models that have not historically had quantitative ITU throughput as a parameter.</w:t>
      </w:r>
    </w:p>
    <w:bookmarkEnd w:id="145"/>
    <w:bookmarkStart w:id="146" w:name="synthesis"/>
    <w:p>
      <w:pPr>
        <w:pStyle w:val="Heading2"/>
        <w:spacing w:line="480" w:lineRule="auto"/>
      </w:pPr>
      <w:r>
        <w:t xml:space="preserve">7.9 Synthesis</w:t>
      </w:r>
    </w:p>
    <w:p>
      <w:pPr>
        <w:pStyle w:val="FirstParagraph"/>
        <w:spacing w:line="480" w:lineRule="auto"/>
      </w:pPr>
      <w:r>
        <w:t xml:space="preserve">Narrow, and consequential. Coordination drag is real, it is measurable, and it forecasts the regulatory outcome that NASA program management and JPL decision-making increasingly depend on. The drag is not uniform across the NGSO population: it is concentrated in the megaconstellation cohort, which is the cohort that the post-WRC-19 reforms were designed to discipline</w:t>
      </w:r>
      <w:r>
        <w:t xml:space="preserve"> </w:t>
      </w:r>
      <w:hyperlink w:anchor="ref-3">
        <w:r>
          <w:rPr>
            <w:rStyle w:val="Hyperlink"/>
          </w:rPr>
          <w:t xml:space="preserve">[3]</w:t>
        </w:r>
      </w:hyperlink>
      <w:r>
        <w:t xml:space="preserve">. The two estimators presented in the empirical chapters of this dissertation converge on that result from different methodological angles and on overlapping but distinct panels, and the convergence increases confidence in the substantive claim even as the panels themselves remain small. The limitations are real, and the dependence of the dependent variable on the regulatory record rather than on independent telemetry is a limitation that future work building on the agenda of Karra and Jah must resolve [1, 11]. Within those limitations, the findings give NASA and JPL a measured estimate of an upstream variable that has historically been treated as a categorical regulatory uncertainty, and give the ITU regime an empirical reading of the cohort effect that its reforms were designed to produce. The contribution of this dissertation is to place coordination drag inside the population of variables that program managers, laboratory architects, and regime designers can estimate, reason about, and act on.</w:t>
      </w:r>
    </w:p>
    <w:bookmarkEnd w:id="146"/>
    <w:bookmarkEnd w:id="147"/>
    <w:bookmarkStart w:id="189" w:name="chapter-8.-conclusion"/>
    <w:p>
      <w:pPr>
        <w:pStyle w:val="Heading1"/>
        <w:spacing w:line="480" w:lineRule="auto"/>
      </w:pPr>
      <w:r>
        <w:t xml:space="preserve">Chapter 8. Conclusion</w:t>
      </w:r>
    </w:p>
    <w:bookmarkStart w:id="148" w:name="restatement-of-the-problem"/>
    <w:p>
      <w:pPr>
        <w:pStyle w:val="Heading2"/>
        <w:spacing w:line="480" w:lineRule="auto"/>
      </w:pPr>
      <w:r>
        <w:t xml:space="preserve">8.1 Restatement of the Problem</w:t>
      </w:r>
    </w:p>
    <w:p>
      <w:pPr>
        <w:pStyle w:val="FirstParagraph"/>
        <w:spacing w:line="480" w:lineRule="auto"/>
      </w:pPr>
      <w:r>
        <w:t xml:space="preserve">This dissertation began with a simple observation about a complicated regime. The International Telecommunication Union (ITU) administers a coordination, notification, and recording procedure that every satellite network must traverse before its radio-frequency assignments acquire international protection, and the procedure has become a binding feature of the global space information-technology infrastructure rather than a back-office formality [3, 8]. The literature has treated this regime extensively as a legal and institutional object, examining the doctrinal contours of Articles 9 and 11 of the Radio Regulations, the bring-into-use milestone schedule introduced at WRC-19, and the cooperative-sovereignty logic that underwrites international spectrum allocation [3, 24]. What the literature had not done, and what this dissertation set out to do, was to measure the regime as a throughput system at the population level and to test whether the latency it imposes on filings predicts the downstream regulatory outcomes that operators are required to meet.</w:t>
      </w:r>
    </w:p>
    <w:p>
      <w:pPr>
        <w:pStyle w:val="BodyText"/>
        <w:spacing w:line="480" w:lineRule="auto"/>
        <w:ind w:firstLine="720"/>
      </w:pPr>
      <w:r>
        <w:t xml:space="preserve">The substantive problem motivating that measurement is that the coordination pipeline now operates under load conditions for which it was not originally designed. Sorge and colleagues document explicitly that large constellations have increased the overhead in frequency coordination between new and incumbent users and that the ITU procedures have become a binding constraint on deployment [2, 22]. Young and Thadani place this constraint inside the broader competitive arena of low-Earth-orbit broadband, where coordination throughput is one of several factors that determine which operators secure first-mover position in a shared spectrum environment [4, 17]. Karra and Jah show that even at the operational stage, alignment between ITU filings and observed on-orbit behavior is imperfect, suggesting that the coordination pipeline produces measurable drag at the very layer of the information infrastructure where its outputs are supposed to govern behavior [1, 11]. These three strands together constituted the empirical puzzle that the dissertation addressed: the pipeline is acknowledged to be slow, the slowness is asserted to matter, and yet the slowness itself has not been quantified across the filing population, nor has its consequence been estimated as a function of filing-level covariates.</w:t>
      </w:r>
    </w:p>
    <w:bookmarkEnd w:id="148"/>
    <w:bookmarkStart w:id="149" w:name="synthesis-of-the-argument"/>
    <w:p>
      <w:pPr>
        <w:pStyle w:val="Heading2"/>
        <w:spacing w:line="480" w:lineRule="auto"/>
      </w:pPr>
      <w:r>
        <w:t xml:space="preserve">8.2 Synthesis of the Argument</w:t>
      </w:r>
    </w:p>
    <w:p>
      <w:pPr>
        <w:pStyle w:val="FirstParagraph"/>
        <w:spacing w:line="480" w:lineRule="auto"/>
      </w:pPr>
      <w:r>
        <w:t xml:space="preserve">The argument advanced across the preceding chapters is that ITU frequency coordination should be understood and measured as an information-infrastructure throughput problem with quantifiable, falsifiable consequences for operator-side deployment outcomes, and that the binding constraint within that throughput problem is concentrated in the megaconstellation cohort rather than distributed evenly across the filing population.</w:t>
      </w:r>
    </w:p>
    <w:p>
      <w:pPr>
        <w:pStyle w:val="BodyText"/>
        <w:spacing w:line="480" w:lineRule="auto"/>
        <w:ind w:firstLine="720"/>
      </w:pPr>
      <w:r>
        <w:t xml:space="preserve">The first analytical paper estimated a binary logit on twenty-eight non-geostationary network filings drawn from the FCC International Bureau Filing System dockets, ITU Space Network Systems Online lookups, operator annual reports, GAO major-project assessments, and operator press kits [7, 8, 9]. The paper modelled the probability that a filing missed its first regulatory bring-into-use milestone as a function of the elapsed coordination duration, the count of co-frequency incumbent networks identified at Coordination Request stage, and an indicator for the post-WRC-19 regulatory regime. Both coefficients of substantive interest moved in the direction the hypothesis predicted and both cleared the five percent significance bar. Each additional month of coordination duration raised the log-odds of milestone miss by 0.31, and each additional incumbent network at Coordination Request stage raised the log-odds by 0.63. The pseudo R-squared of 0.58 on a hand-built sample of twenty-eight observations indicates that the variance in milestone outcomes is not free-floating noise but is meaningfully tied to upstream pipeline conditions. The regime indicator did not reach significance in that sample, which is consistent with both the small number of pre-2019 observations and the partial endogeneity of the milestone-miss outcome itself to the regime that defines it [3, 12].</w:t>
      </w:r>
    </w:p>
    <w:p>
      <w:pPr>
        <w:pStyle w:val="BodyText"/>
        <w:spacing w:line="480" w:lineRule="auto"/>
        <w:ind w:firstLine="720"/>
      </w:pPr>
      <w:r>
        <w:t xml:space="preserve">The second analytical paper turned to the duration variable directly, estimating a Cox proportional-hazards model on thirty-five filings spanning 1999 to 2023 [22, 17]. The Cox specification is appropriate because the dependent variable is a duration with informative right-censoring at the observation cutoff, and partial-likelihood estimation handles censored observations without imposing a parametric baseline. The model isolated a single coefficient that reached conventional significance: the megaconstellation indicator carried a coefficient of negative 1.74 with a p-value of 0.047, corresponding to a hazard of bring-into-use roughly eighty-two percent lower than otherwise-comparable filings. The non-geostationary indicator, the count of prior filings by the same operator, and the band lower-bound were all statistically indistinguishable from zero. Read together, these two results identify the binding constraint with some precision. The coordination pipeline is not uniformly slow across the filing population. It is sharply slow inside the megaconstellation cohort specifically, and within that cohort, additional months of coordination and additional incumbent counterparties translate into measurably higher probabilities of missing the milestone clock that the regime itself defines.</w:t>
      </w:r>
    </w:p>
    <w:p>
      <w:pPr>
        <w:pStyle w:val="BodyText"/>
        <w:spacing w:line="480" w:lineRule="auto"/>
        <w:ind w:firstLine="720"/>
      </w:pPr>
      <w:r>
        <w:t xml:space="preserve">The synthesis the two papers support is therefore narrower and more useful than the headline claim that ITU coordination is broken. The pipeline functions reasonably well for the legacy filings that anchor the sample, including early-period Ku-band non-geostationary networks of moderate size. It functions poorly, in the specific and measurable sense of producing both long coordination episodes and high milestone-miss probabilities, for the megaconstellation segment whose filings post-date the WRC-19 milestone schedule. The post-WRC-19 indicator did not separate cleanly from the megaconstellation effect in either model, which is consistent with the legal-institutional account in Allison that the milestone schedule was introduced precisely because the pipeline was straining under large-constellation load [3, 10, 12]. The two effects are entangled in the historical record because they were entangled in the policy choice that produced the historical record.</w:t>
      </w:r>
    </w:p>
    <w:bookmarkEnd w:id="149"/>
    <w:bookmarkStart w:id="150"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fourfold and is bounded by the modest sample sizes the public record currently permits.</w:t>
      </w:r>
    </w:p>
    <w:p>
      <w:pPr>
        <w:pStyle w:val="BodyText"/>
        <w:spacing w:line="480" w:lineRule="auto"/>
        <w:ind w:firstLine="720"/>
      </w:pPr>
      <w:r>
        <w:t xml:space="preserve">First, the dissertation operationalizes ITU frequency coordination as a quantifiable throughput system. Previous treatments have been qualitative, doctrinal, or anecdotal, with the literature treating coordination either as a legal-institutional object whose duration is implicitly a function of regulatory text, or as a strategic variable whose distribution is asserted but not estimated [3, 4, 17, 22]. By constructing filing-level coordination-event panels from the ITU Space Network Systems Online database, the FCC International Bureau Filing System, and corroborating operator and GAO sources, the dissertation places the regime inside a measurement frame in which hazard ratios, odds ratios, and confidence intervals can be reported [7, 8, 9]. This is a change in kind from the prior literature, not merely an extension of it.</w:t>
      </w:r>
    </w:p>
    <w:p>
      <w:pPr>
        <w:pStyle w:val="BodyText"/>
        <w:spacing w:line="480" w:lineRule="auto"/>
        <w:ind w:firstLine="720"/>
      </w:pPr>
      <w:r>
        <w:t xml:space="preserve">Second, the dissertation tests and partially confirms the operational claim that coordination drag predicts deployment slippage. The logit paper demonstrates that the two upstream pipeline variables most prominently named in the constellation literature, coordination duration and incumbent congestion, both raise the probability of milestone miss with the expected sign and at conventional significance levels in a small sample. This converts a widely repeated assertion in the policy literature into an estimated empirical relationship, with the limitations of a twenty-eight-observation sample disclosed transparently rather than obscured.</w:t>
      </w:r>
    </w:p>
    <w:p>
      <w:pPr>
        <w:pStyle w:val="BodyText"/>
        <w:spacing w:line="480" w:lineRule="auto"/>
        <w:ind w:firstLine="720"/>
      </w:pPr>
      <w:r>
        <w:t xml:space="preserve">Third, the dissertation localizes the binding constraint. The Cox model identifies the megaconstellation indicator as the only covariate with a statistically meaningful effect on the hazard of bring-into-use in a sample that also includes orbit-class, operator-type, prior-filings, and band-lower-bound covariates. This finding sharpens the policy conversation. Calls to accelerate ITU coordination across the board, or to introduce blanket procedural reforms at successive World Radiocommunication Conferences, are not well matched to the structure of the problem as the data show it. The binding constraint is the interaction of the milestone schedule with the largest networks, and reform conversations that ignore that interaction will misallocate effort [3, 19, 22].</w:t>
      </w:r>
    </w:p>
    <w:p>
      <w:pPr>
        <w:pStyle w:val="BodyText"/>
        <w:spacing w:line="480" w:lineRule="auto"/>
        <w:ind w:firstLine="720"/>
      </w:pPr>
      <w:r>
        <w:t xml:space="preserve">Fourth, the dissertation positions ITU coordination explicitly inside the space sustainability and space-traffic-management conversation. Colombo and colleagues argue that space capacity management and space-traffic management interact in ways that the policy literature has only begun to characterize</w:t>
      </w:r>
      <w:r>
        <w:t xml:space="preserve"> </w:t>
      </w:r>
      <w:hyperlink w:anchor="ref-19">
        <w:r>
          <w:rPr>
            <w:rStyle w:val="Hyperlink"/>
          </w:rPr>
          <w:t xml:space="preserve">[19]</w:t>
        </w:r>
      </w:hyperlink>
      <w:r>
        <w:t xml:space="preserve">, and Rathnasabapathy and colleagues develop a composite indicator that incentivizes operators toward long-term sustainability of the space environment</w:t>
      </w:r>
      <w:r>
        <w:t xml:space="preserve"> </w:t>
      </w:r>
      <w:hyperlink w:anchor="ref-25">
        <w:r>
          <w:rPr>
            <w:rStyle w:val="Hyperlink"/>
          </w:rPr>
          <w:t xml:space="preserve">[25]</w:t>
        </w:r>
      </w:hyperlink>
      <w:r>
        <w:t xml:space="preserve">. The hazard-ratio and odds-ratio estimates in this dissertation supply a quantitative bridge between the upstream filing-throughput layer and the downstream sustainability layer. If coordination drag predicts milestone slippage, and milestone slippage interacts with the on-orbit alignment problems documented by Karra and Jah [1, 11], then coordination throughput is not separable from the sustainability outcomes that the broader literature seeks to measure. The dissertation thereby supplies a concrete pathway by which the information-infrastructure layer of the space economy connects to the environmental and economic layers above it [2, 6, 20].</w:t>
      </w:r>
    </w:p>
    <w:bookmarkEnd w:id="150"/>
    <w:bookmarkStart w:id="151" w:name="limitations-and-boundary-conditions"/>
    <w:p>
      <w:pPr>
        <w:pStyle w:val="Heading2"/>
        <w:spacing w:line="480" w:lineRule="auto"/>
      </w:pPr>
      <w:r>
        <w:t xml:space="preserve">8.4 Limitations and Boundary Conditions</w:t>
      </w:r>
    </w:p>
    <w:p>
      <w:pPr>
        <w:pStyle w:val="FirstParagraph"/>
        <w:spacing w:line="480" w:lineRule="auto"/>
      </w:pPr>
      <w:r>
        <w:t xml:space="preserve">The contribution is bounded by three limitations that the analytical chapters disclosed and that the conclusion must restate explicitly so that the contribution is not overread.</w:t>
      </w:r>
    </w:p>
    <w:p>
      <w:pPr>
        <w:pStyle w:val="BodyText"/>
        <w:spacing w:line="480" w:lineRule="auto"/>
        <w:ind w:firstLine="720"/>
      </w:pPr>
      <w:r>
        <w:t xml:space="preserve">The first limitation is sample size. The logit operates on twenty-eight observations and the Cox model on thirty-five. These samples are sufficient to demonstrate the existence and direction of the central effects but are insufficient to support fine partitioning of the population into orbit-class, band, and administration sub-strata. Future work using ITU bulk extracts from the Space Network Systems Online and SpaceQry services should expand the sample to the full population of non-geostationary filings 2014 to 2025 and beyond</w:t>
      </w:r>
      <w:r>
        <w:t xml:space="preserve"> </w:t>
      </w:r>
      <w:hyperlink w:anchor="ref-8">
        <w:r>
          <w:rPr>
            <w:rStyle w:val="Hyperlink"/>
          </w:rPr>
          <w:t xml:space="preserve">[8]</w:t>
        </w:r>
      </w:hyperlink>
      <w:r>
        <w:t xml:space="preserve">.</w:t>
      </w:r>
    </w:p>
    <w:p>
      <w:pPr>
        <w:pStyle w:val="BodyText"/>
        <w:spacing w:line="480" w:lineRule="auto"/>
        <w:ind w:firstLine="720"/>
      </w:pPr>
      <w:r>
        <w:t xml:space="preserve">The second limitation is the truth surface. The milestone-miss outcome and the bring-into-use event are observed on the ITU regulatory record rather than on independent space-domain awareness data. Karra and Jah document that on-orbit behavior does not always align with what filings say, and any analysis that takes the filing record as the truth surface must accept that limitation [1, 11]. Future work should link the regulatory event panel to independent on-orbit telemetry where licensing permits, so that the coordination-throughput layer can be tested against the operational layer it is supposed to govern.</w:t>
      </w:r>
    </w:p>
    <w:p>
      <w:pPr>
        <w:pStyle w:val="BodyText"/>
        <w:spacing w:line="480" w:lineRule="auto"/>
        <w:ind w:firstLine="720"/>
      </w:pPr>
      <w:r>
        <w:t xml:space="preserve">The third limitation is the entanglement of the post-WRC-19 indicator with the megaconstellation cohort. The historical record places the regime change and the constellation surge in the same window, and the analytical models cannot fully disentangle them without out-of-sample data. The implication is not that the regime change had no effect but that the present sample cannot identify it separately from the cohort effect it was designed to address [3, 12].</w:t>
      </w:r>
    </w:p>
    <w:bookmarkEnd w:id="151"/>
    <w:bookmarkStart w:id="152" w:name="closing-statement"/>
    <w:p>
      <w:pPr>
        <w:pStyle w:val="Heading2"/>
        <w:spacing w:line="480" w:lineRule="auto"/>
      </w:pPr>
      <w:r>
        <w:t xml:space="preserve">8.5 Closing Statement</w:t>
      </w:r>
    </w:p>
    <w:p>
      <w:pPr>
        <w:pStyle w:val="FirstParagraph"/>
        <w:spacing w:line="480" w:lineRule="auto"/>
      </w:pPr>
      <w:r>
        <w:t xml:space="preserve">The international frequency coordination regime is a piece of information-technology infrastructure as surely as any database, indexing system, or queue. It has throughput, latency, and capacity, and like any congested throughput system it produces drag that propagates into the activities it is supposed to enable. This dissertation has shown, with the modesty appropriate to the public data presently available, that the drag is not a uniform property of the regime but is concentrated in the megaconstellation cohort, that within that cohort it predicts the milestone outcomes operators are required to meet, and that the binding constraint runs through the interaction of the WRC-19 milestone schedule with the largest filings rather than through procedural slowness in general. The implication for policy is that reform should be precise rather than blanket, and the implication for scholarship is that the information-infrastructure layer of the space economy can and should be measured directly, not inferred from doctrinal text or anecdotal report. The arc of inquiry that this dissertation began, from the qualitative regime description in the prior literature to the population-level hazard model that the public record can now support, is one that the field should continue. The orbital and spectral commons depend on it [1, 2, 3, 19, 25].</w:t>
      </w:r>
    </w:p>
    <w:bookmarkEnd w:id="152"/>
    <w:bookmarkStart w:id="188" w:name="references"/>
    <w:p>
      <w:pPr>
        <w:pStyle w:val="Heading2"/>
        <w:spacing w:line="480" w:lineRule="auto"/>
      </w:pPr>
      <w:r>
        <w:t xml:space="preserve">References</w:t>
      </w:r>
    </w:p>
    <w:p>
      <w:pPr>
        <w:pStyle w:val="FirstParagraph"/>
        <w:spacing w:line="480" w:lineRule="auto"/>
      </w:pPr>
      <w:bookmarkStart w:id="153" w:name="ref-1"/>
      <w:bookmarkEnd w:id="153"/>
      <w:r>
        <w:t xml:space="preserve">1. A. T. Karra and M. Jah,</w:t>
      </w:r>
      <w:r>
        <w:t xml:space="preserve"> </w:t>
      </w:r>
      <w:r>
        <w:t xml:space="preserve">“Towards greater transparency: an independent method for assessing harmful interference and compliance in GEO,”</w:t>
      </w:r>
      <w:r>
        <w:t xml:space="preserve"> </w:t>
      </w:r>
      <w:r>
        <w:t xml:space="preserve">Proc. Advanced Maui Optical and Space Surveillance Technologies (AMOS) Conference, 2025. doi:</w:t>
      </w:r>
      <w:r>
        <w:t xml:space="preserve"> </w:t>
      </w:r>
      <w:hyperlink r:id="rId154">
        <w:r>
          <w:rPr>
            <w:rStyle w:val="Hyperlink"/>
          </w:rPr>
          <w:t xml:space="preserve">10.64861/WFHJ7307</w:t>
        </w:r>
      </w:hyperlink>
    </w:p>
    <w:p>
      <w:pPr>
        <w:pStyle w:val="BodyText"/>
        <w:spacing w:line="480" w:lineRule="auto"/>
        <w:ind w:firstLine="720"/>
      </w:pPr>
      <w:bookmarkStart w:id="155" w:name="ref-2"/>
      <w:bookmarkEnd w:id="155"/>
      <w:r>
        <w:t xml:space="preserve">2. M. E. Sorge, D. Alary, F. Lacomba, H. Tung, and B. Singh,</w:t>
      </w:r>
      <w:r>
        <w:t xml:space="preserve"> </w:t>
      </w:r>
      <w:r>
        <w:t xml:space="preserve">“Space traffic management: large constellations,”</w:t>
      </w:r>
      <w:r>
        <w:t xml:space="preserve"> </w:t>
      </w:r>
      <w:r>
        <w:t xml:space="preserve">Acta Astronautica, vol. 229, 2025. doi:</w:t>
      </w:r>
      <w:r>
        <w:t xml:space="preserve"> </w:t>
      </w:r>
      <w:hyperlink r:id="rId156">
        <w:r>
          <w:rPr>
            <w:rStyle w:val="Hyperlink"/>
          </w:rPr>
          <w:t xml:space="preserve">10.1016/j.actaastro.2025.01.043</w:t>
        </w:r>
      </w:hyperlink>
    </w:p>
    <w:p>
      <w:pPr>
        <w:pStyle w:val="BodyText"/>
        <w:spacing w:line="480" w:lineRule="auto"/>
        <w:ind w:firstLine="720"/>
      </w:pPr>
      <w:bookmarkStart w:id="157" w:name="ref-3"/>
      <w:bookmarkEnd w:id="157"/>
      <w:r>
        <w:t xml:space="preserve">3. A. Allison,</w:t>
      </w:r>
      <w:r>
        <w:t xml:space="preserve"> </w:t>
      </w:r>
      <w:r>
        <w:t xml:space="preserve">“WRC-19: new space law enabling the sustainability of LEO,”</w:t>
      </w:r>
      <w:r>
        <w:t xml:space="preserve"> </w:t>
      </w:r>
      <w:r>
        <w:t xml:space="preserve">Proc. Advanced Maui Optical and Space Surveillance Technologies (AMOS) Conference, 2020.</w:t>
      </w:r>
    </w:p>
    <w:p>
      <w:pPr>
        <w:pStyle w:val="BodyText"/>
        <w:spacing w:line="480" w:lineRule="auto"/>
        <w:ind w:firstLine="720"/>
      </w:pPr>
      <w:bookmarkStart w:id="158" w:name="ref-4"/>
      <w:bookmarkEnd w:id="158"/>
      <w:r>
        <w:t xml:space="preserve">4. M. Young and A. Thadani,</w:t>
      </w:r>
      <w:r>
        <w:t xml:space="preserve"> </w:t>
      </w:r>
      <w:r>
        <w:t xml:space="preserve">“Low-orbit, high stakes: winning the LEO broadband competition,”</w:t>
      </w:r>
      <w:r>
        <w:t xml:space="preserve"> </w:t>
      </w:r>
      <w:r>
        <w:t xml:space="preserve">Proc. Advanced Maui Optical and Space Surveillance Technologies (AMOS) Conference, 2022.</w:t>
      </w:r>
    </w:p>
    <w:p>
      <w:pPr>
        <w:pStyle w:val="BodyText"/>
        <w:spacing w:line="480" w:lineRule="auto"/>
        <w:ind w:firstLine="720"/>
      </w:pPr>
      <w:bookmarkStart w:id="159" w:name="ref-5"/>
      <w:bookmarkEnd w:id="159"/>
      <w:r>
        <w:t xml:space="preserve">5. B. Stilwell et al.,</w:t>
      </w:r>
      <w:r>
        <w:t xml:space="preserve"> </w:t>
      </w:r>
      <w:r>
        <w:t xml:space="preserve">“Orbital classification,”</w:t>
      </w:r>
      <w:r>
        <w:t xml:space="preserve"> </w:t>
      </w:r>
      <w:r>
        <w:t xml:space="preserve">ASCEND 2025.</w:t>
      </w:r>
    </w:p>
    <w:p>
      <w:pPr>
        <w:pStyle w:val="BodyText"/>
        <w:spacing w:line="480" w:lineRule="auto"/>
        <w:ind w:firstLine="720"/>
      </w:pPr>
      <w:bookmarkStart w:id="160" w:name="ref-6"/>
      <w:bookmarkEnd w:id="160"/>
      <w:r>
        <w:t xml:space="preserve">6.</w:t>
      </w:r>
      <w:r>
        <w:t xml:space="preserve"> </w:t>
      </w:r>
      <w:r>
        <w:t xml:space="preserve">“The role of space in driving sustainability, security, and development,”</w:t>
      </w:r>
      <w:r>
        <w:t xml:space="preserve"> </w:t>
      </w:r>
      <w:r>
        <w:t xml:space="preserve">Space Economy Papers corpus, SD13.</w:t>
      </w:r>
    </w:p>
    <w:p>
      <w:pPr>
        <w:pStyle w:val="BodyText"/>
        <w:spacing w:line="480" w:lineRule="auto"/>
        <w:ind w:firstLine="720"/>
      </w:pPr>
      <w:bookmarkStart w:id="161" w:name="ref-7"/>
      <w:bookmarkEnd w:id="161"/>
      <w:r>
        <w:t xml:space="preserve">7. U.S. Federal Communications Commission, International Bureau Filing System (IBFS) Satellite Space Station dockets, 2008-2024. https://licensing.fcc.gov/myibfs/</w:t>
      </w:r>
    </w:p>
    <w:p>
      <w:pPr>
        <w:pStyle w:val="BodyText"/>
        <w:spacing w:line="480" w:lineRule="auto"/>
        <w:ind w:firstLine="720"/>
      </w:pPr>
      <w:bookmarkStart w:id="162" w:name="ref-8"/>
      <w:bookmarkEnd w:id="162"/>
      <w:r>
        <w:t xml:space="preserve">8. International Telecommunication Union, Space Network Systems Online (SNS) and SpaceQry, Radiocommunication Bureau, https://www.itu.int/ITU-R/space/snl/</w:t>
      </w:r>
    </w:p>
    <w:p>
      <w:pPr>
        <w:pStyle w:val="BodyText"/>
        <w:spacing w:line="480" w:lineRule="auto"/>
        <w:ind w:firstLine="720"/>
      </w:pPr>
      <w:bookmarkStart w:id="163" w:name="ref-9"/>
      <w:bookmarkEnd w:id="163"/>
      <w:r>
        <w:t xml:space="preserve">9. U.S. Government Accountability Office,</w:t>
      </w:r>
      <w:r>
        <w:t xml:space="preserve"> </w:t>
      </w:r>
      <w:r>
        <w:t xml:space="preserve">“Large Constellations of Satellites: Mitigating Environmental and Other Effects,”</w:t>
      </w:r>
      <w:r>
        <w:t xml:space="preserve"> </w:t>
      </w:r>
      <w:r>
        <w:t xml:space="preserve">GAO-23-106021, 2022.</w:t>
      </w:r>
    </w:p>
    <w:p>
      <w:pPr>
        <w:pStyle w:val="BodyText"/>
        <w:spacing w:line="480" w:lineRule="auto"/>
        <w:ind w:firstLine="720"/>
      </w:pPr>
      <w:bookmarkStart w:id="164" w:name="ref-10"/>
      <w:bookmarkEnd w:id="164"/>
      <w:r>
        <w:t xml:space="preserve">10. A. Allison,</w:t>
      </w:r>
      <w:r>
        <w:t xml:space="preserve"> </w:t>
      </w:r>
      <w:r>
        <w:t xml:space="preserve">“WRC-19: New Space Law Enabling the Sustainability of LEO,”</w:t>
      </w:r>
      <w:r>
        <w:t xml:space="preserve"> </w:t>
      </w:r>
      <w:r>
        <w:t xml:space="preserve">in Proc. AMOS Conference, 2020.</w:t>
      </w:r>
    </w:p>
    <w:p>
      <w:pPr>
        <w:pStyle w:val="BodyText"/>
        <w:spacing w:line="480" w:lineRule="auto"/>
        <w:ind w:firstLine="720"/>
      </w:pPr>
      <w:bookmarkStart w:id="165" w:name="ref-11"/>
      <w:bookmarkEnd w:id="165"/>
      <w:r>
        <w:t xml:space="preserve">11. Apoorva T Karra, The University of Texas at Austin; Moriba Jah, The University of Texas at Austin. Towards Greater Transparency: An Independent Method for Assessing Harmful Interference and Compliance in GEO (2025). doi:</w:t>
      </w:r>
      <w:r>
        <w:t xml:space="preserve"> </w:t>
      </w:r>
      <w:hyperlink r:id="rId154">
        <w:r>
          <w:rPr>
            <w:rStyle w:val="Hyperlink"/>
          </w:rPr>
          <w:t xml:space="preserve">10.64861/WFHJ7307</w:t>
        </w:r>
      </w:hyperlink>
    </w:p>
    <w:p>
      <w:pPr>
        <w:pStyle w:val="BodyText"/>
        <w:spacing w:line="480" w:lineRule="auto"/>
        <w:ind w:firstLine="720"/>
      </w:pPr>
      <w:bookmarkStart w:id="166" w:name="ref-12"/>
      <w:bookmarkEnd w:id="166"/>
      <w:r>
        <w:t xml:space="preserve">12. Audrey Allison, Boeing. WRC-19: New Space Law Enabling the Sustainability of LEO (2020).</w:t>
      </w:r>
    </w:p>
    <w:p>
      <w:pPr>
        <w:pStyle w:val="BodyText"/>
        <w:spacing w:line="480" w:lineRule="auto"/>
        <w:ind w:firstLine="720"/>
      </w:pPr>
      <w:bookmarkStart w:id="167" w:name="ref-13"/>
      <w:bookmarkEnd w:id="167"/>
      <w:r>
        <w:t xml:space="preserve">13. Mark A. Skinner (Boeing LTS) Thomas M. Kelecy, Stephen A. Gregory, Joseph P. Toth, and Dennis Liang (Boeing LTS) Dean Yamanaka, Stan Kent, (Boeing Satellite Systems), Customer Operations Support Center, Rodney Tjoelker and Dragos Margineantu, (Boeing Research &amp; Technology) Audrey L. Allison, (Boeing Frequency Management Services) Christopher Heiberg, (Boeing Space &amp; Intelligence Systems). Commercial Space Situational Awareness: An investigation of Ground-based SSA Concepts to Support Commercial GEO Satellite Operators (2013).</w:t>
      </w:r>
    </w:p>
    <w:p>
      <w:pPr>
        <w:pStyle w:val="BodyText"/>
        <w:spacing w:line="480" w:lineRule="auto"/>
        <w:ind w:firstLine="720"/>
      </w:pPr>
      <w:bookmarkStart w:id="168" w:name="ref-14"/>
      <w:bookmarkEnd w:id="168"/>
      <w:r>
        <w:t xml:space="preserve">14. Thomas G. Roberts, Massachusetts Institute of Technology; Richard Linares, Massachusetts Institute of Technology. A Survey of International Telecommunication Union (ITU) Space Station License Applications in the Geosynchronous Orbital Regime (GEO) (2022).</w:t>
      </w:r>
    </w:p>
    <w:p>
      <w:pPr>
        <w:pStyle w:val="BodyText"/>
        <w:spacing w:line="480" w:lineRule="auto"/>
        <w:ind w:firstLine="720"/>
      </w:pPr>
      <w:bookmarkStart w:id="169" w:name="ref-15"/>
      <w:bookmarkEnd w:id="169"/>
      <w:r>
        <w:t xml:space="preserve">15. Sage Andorka, Space Systems Command, Special Programs Directorate (SSC/ECZG), U.S. Space Force; Jeffery Cox, The Aerospace Corporation; Michael Fraizer, Space Systems Command, Special Programs Directorate (SSC/ECZG), U.S. Space Force. SDA Environment Toolkit for Defense (SET4D) – Enabling Attribution for Orbital Assets and Electro-magnetic Spectrum Links Through Streamlined R2O (2021).</w:t>
      </w:r>
    </w:p>
    <w:p>
      <w:pPr>
        <w:pStyle w:val="BodyText"/>
        <w:spacing w:line="480" w:lineRule="auto"/>
        <w:ind w:firstLine="720"/>
      </w:pPr>
      <w:bookmarkStart w:id="170" w:name="ref-16"/>
      <w:bookmarkEnd w:id="170"/>
      <w:r>
        <w:t xml:space="preserve">16. Jeffery M. Cox, The Aerospace Corporation; Sage K. Andorka, Space Systems Command, Space Domain Awareness Division (SSC/SZG); Bryan L. Davis, Space Systems Command, Space Domain Awareness Division (SSC/SZG); Jennifer L. Benson, Air Combat Command, 2d Weather Squadron. SDA Environmental Toolkit for Defense — Enabling Space Environment and Weather Support for SDA Ground-based Optical and Radar Sensors (2022).</w:t>
      </w:r>
    </w:p>
    <w:p>
      <w:pPr>
        <w:pStyle w:val="BodyText"/>
        <w:spacing w:line="480" w:lineRule="auto"/>
        <w:ind w:firstLine="720"/>
      </w:pPr>
      <w:bookmarkStart w:id="171" w:name="ref-17"/>
      <w:bookmarkEnd w:id="171"/>
      <w:r>
        <w:t xml:space="preserve">17. Makena Young, Center for Strategic and International Studies; Akhil Thadani, Center for Strategic and International Studies. Low-Orbit, High Stakes: Winning the LEO Broadband Competition (2022).</w:t>
      </w:r>
    </w:p>
    <w:p>
      <w:pPr>
        <w:pStyle w:val="BodyText"/>
        <w:spacing w:line="480" w:lineRule="auto"/>
        <w:ind w:firstLine="720"/>
      </w:pPr>
      <w:bookmarkStart w:id="172" w:name="ref-18"/>
      <w:bookmarkEnd w:id="172"/>
      <w:r>
        <w:t xml:space="preserve">18. Todd Harrison, Center for Strategic and International Studies. International Perspectives on Space Weapons (2020).</w:t>
      </w:r>
    </w:p>
    <w:p>
      <w:pPr>
        <w:pStyle w:val="BodyText"/>
        <w:spacing w:line="480" w:lineRule="auto"/>
        <w:ind w:firstLine="720"/>
      </w:pPr>
      <w:bookmarkStart w:id="173" w:name="ref-19"/>
      <w:bookmarkEnd w:id="173"/>
      <w:r>
        <w:t xml:space="preserve">19. Camilla Colombo; Peter Martinez; Francesca Letizia; Benedetta M. Cattani; Emmanuelle David; Diego A. Escobar; Satomi Kawamoto; Robert J. Rovetto; Ivan Sumelzo. Space capacity management and its interaction with space traffic management (2025). doi:</w:t>
      </w:r>
      <w:r>
        <w:t xml:space="preserve"> </w:t>
      </w:r>
      <w:hyperlink r:id="rId174">
        <w:r>
          <w:rPr>
            <w:rStyle w:val="Hyperlink"/>
          </w:rPr>
          <w:t xml:space="preserve">10.1016/j.actaastro.2025.01.069</w:t>
        </w:r>
      </w:hyperlink>
    </w:p>
    <w:p>
      <w:pPr>
        <w:pStyle w:val="BodyText"/>
        <w:spacing w:line="480" w:lineRule="auto"/>
        <w:ind w:firstLine="720"/>
      </w:pPr>
      <w:bookmarkStart w:id="175" w:name="ref-20"/>
      <w:bookmarkEnd w:id="175"/>
      <w:r>
        <w:t xml:space="preserve">20. Anish Dey; Jithin Jagadanandan. Balancing commercialization and sustainability in outer space: Addressing new challenges (2025). doi:</w:t>
      </w:r>
      <w:r>
        <w:t xml:space="preserve"> </w:t>
      </w:r>
      <w:hyperlink r:id="rId176">
        <w:r>
          <w:rPr>
            <w:rStyle w:val="Hyperlink"/>
          </w:rPr>
          <w:t xml:space="preserve">10.1016/j.actaastro.2025.02.010</w:t>
        </w:r>
      </w:hyperlink>
    </w:p>
    <w:p>
      <w:pPr>
        <w:pStyle w:val="BodyText"/>
        <w:spacing w:line="480" w:lineRule="auto"/>
        <w:ind w:firstLine="720"/>
      </w:pPr>
      <w:bookmarkStart w:id="177" w:name="ref-21"/>
      <w:bookmarkEnd w:id="177"/>
      <w:r>
        <w:t xml:space="preserve">21. Tuana Yazici. A proposal for the usage of reconnaissance satellites to monitor international human and wildlife trafficking hotspots (2022). doi:</w:t>
      </w:r>
      <w:r>
        <w:t xml:space="preserve"> </w:t>
      </w:r>
      <w:hyperlink r:id="rId178">
        <w:r>
          <w:rPr>
            <w:rStyle w:val="Hyperlink"/>
          </w:rPr>
          <w:t xml:space="preserve">10.1016/j.actaastro.2022.02.012</w:t>
        </w:r>
      </w:hyperlink>
    </w:p>
    <w:p>
      <w:pPr>
        <w:pStyle w:val="BodyText"/>
        <w:spacing w:line="480" w:lineRule="auto"/>
        <w:ind w:firstLine="720"/>
      </w:pPr>
      <w:bookmarkStart w:id="179" w:name="ref-22"/>
      <w:bookmarkEnd w:id="179"/>
      <w:r>
        <w:t xml:space="preserve">22. Marlon E. Sorge; Didier Alary; Florent Lacomba; Helen Tung; Balbir Singh. Space traffic management: Large constellations (2025). doi:</w:t>
      </w:r>
      <w:r>
        <w:t xml:space="preserve"> </w:t>
      </w:r>
      <w:hyperlink r:id="rId156">
        <w:r>
          <w:rPr>
            <w:rStyle w:val="Hyperlink"/>
          </w:rPr>
          <w:t xml:space="preserve">10.1016/j.actaastro.2025.01.043</w:t>
        </w:r>
      </w:hyperlink>
    </w:p>
    <w:p>
      <w:pPr>
        <w:pStyle w:val="BodyText"/>
        <w:spacing w:line="480" w:lineRule="auto"/>
        <w:ind w:firstLine="720"/>
      </w:pPr>
      <w:bookmarkStart w:id="180" w:name="ref-23"/>
      <w:bookmarkEnd w:id="180"/>
      <w:r>
        <w:t xml:space="preserve">23. Ksenia Osipova; Adriano Camps; Alessandro Golkar; Joan A. Ruiz-de-Azua; Lara Fernandez; Nicola Garzaniti. Architecting CubeSat constellations for messaging service, Part I (2024). doi:</w:t>
      </w:r>
      <w:r>
        <w:t xml:space="preserve"> </w:t>
      </w:r>
      <w:hyperlink r:id="rId181">
        <w:r>
          <w:rPr>
            <w:rStyle w:val="Hyperlink"/>
          </w:rPr>
          <w:t xml:space="preserve">10.1016/j.actaastro.2024.07.022</w:t>
        </w:r>
      </w:hyperlink>
    </w:p>
    <w:p>
      <w:pPr>
        <w:pStyle w:val="BodyText"/>
        <w:spacing w:line="480" w:lineRule="auto"/>
        <w:ind w:firstLine="720"/>
      </w:pPr>
      <w:bookmarkStart w:id="182" w:name="ref-24"/>
      <w:bookmarkEnd w:id="182"/>
      <w:r>
        <w:t xml:space="preserve">24. Alexander H. Ferdinand Ferguson; Jacob Haqq-Misra. Cooperative sovereignty on Mars: Lessons from the International Telecommunication Union and Universal Postal Union (2026). doi:</w:t>
      </w:r>
      <w:r>
        <w:t xml:space="preserve"> </w:t>
      </w:r>
      <w:hyperlink r:id="rId183">
        <w:r>
          <w:rPr>
            <w:rStyle w:val="Hyperlink"/>
          </w:rPr>
          <w:t xml:space="preserve">10.1016/j.actaastro.2026.02.012</w:t>
        </w:r>
      </w:hyperlink>
    </w:p>
    <w:p>
      <w:pPr>
        <w:pStyle w:val="BodyText"/>
        <w:spacing w:line="480" w:lineRule="auto"/>
        <w:ind w:firstLine="720"/>
      </w:pPr>
      <w:bookmarkStart w:id="184" w:name="ref-25"/>
      <w:bookmarkEnd w:id="184"/>
      <w:r>
        <w:t xml:space="preserve">25.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85">
        <w:r>
          <w:rPr>
            <w:rStyle w:val="Hyperlink"/>
          </w:rPr>
          <w:t xml:space="preserve">10.1016/j.actaastro.2025.03.034</w:t>
        </w:r>
      </w:hyperlink>
    </w:p>
    <w:p>
      <w:pPr>
        <w:pStyle w:val="BodyText"/>
        <w:spacing w:line="480" w:lineRule="auto"/>
        <w:ind w:firstLine="720"/>
      </w:pPr>
      <w:bookmarkStart w:id="186" w:name="ref-26"/>
      <w:bookmarkEnd w:id="186"/>
      <w:r>
        <w:t xml:space="preserve">26. Eva Höschlová; Radvan Bahbouh; Michal Huzva; Eva Chroustova; Kateřina Bernardová Sýkorová. Structure and dynamics of crew communication in three stages of the SIRIUS experiment (2024). doi:</w:t>
      </w:r>
      <w:r>
        <w:t xml:space="preserve"> </w:t>
      </w:r>
      <w:hyperlink r:id="rId187">
        <w:r>
          <w:rPr>
            <w:rStyle w:val="Hyperlink"/>
          </w:rPr>
          <w:t xml:space="preserve">10.1016/j.actaastro.2024.08.030</w:t>
        </w:r>
      </w:hyperlink>
    </w:p>
    <w:bookmarkEnd w:id="188"/>
    <w:bookmarkEnd w:id="189"/>
    <w:bookmarkStart w:id="20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7" w:name="X66437d0d7731ecfa2455ca304fde0689506b022"/>
    <w:p>
      <w:pPr>
        <w:pStyle w:val="Heading2"/>
        <w:spacing w:line="480" w:lineRule="auto"/>
      </w:pPr>
      <w:r>
        <w:t xml:space="preserve">A.1 Coordination Drag and Milestone Slippage: A Logit Model of ITU Filing Outcomes for Non-Geostationary Satellite Networks</w:t>
      </w:r>
    </w:p>
    <w:p>
      <w:pPr>
        <w:pStyle w:val="FirstParagraph"/>
        <w:spacing w:line="480" w:lineRule="auto"/>
      </w:pPr>
      <m:oMathPara>
        <m:oMathParaPr>
          <m:jc m:val="center"/>
        </m:oMathParaPr>
        <m:oMath>
          <m:r>
            <m:rPr>
              <m:sty m:val="p"/>
            </m:rPr>
            <m:t>Pr</m:t>
          </m:r>
          <m:r>
            <m:rPr>
              <m:sty m:val="p"/>
            </m:rPr>
            <m:t>(</m:t>
          </m:r>
          <m:sSub>
            <m:e>
              <m:r>
                <m:rPr>
                  <m:nor/>
                  <m:sty m:val="p"/>
                </m:rPr>
                <m:t>milestone_miss</m:t>
              </m:r>
            </m:e>
            <m:sub>
              <m:r>
                <m:t>i</m:t>
              </m:r>
            </m:sub>
          </m:sSub>
          <m:r>
            <m:rPr>
              <m:sty m:val="p"/>
            </m:rPr>
            <m:t>=</m:t>
          </m:r>
          <m:r>
            <m:t>1</m:t>
          </m:r>
          <m:r>
            <m:rPr>
              <m:sty m:val="p"/>
            </m:rPr>
            <m:t>∣</m:t>
          </m:r>
          <m:sSub>
            <m:e>
              <m:r>
                <m:t>X</m:t>
              </m:r>
            </m:e>
            <m:sub>
              <m:r>
                <m:t>i</m:t>
              </m:r>
            </m:sub>
          </m:sSub>
          <m:r>
            <m:rPr>
              <m:sty m:val="p"/>
            </m:rPr>
            <m:t>)</m:t>
          </m:r>
          <m:r>
            <m:rPr>
              <m:sty m:val="p"/>
            </m:rPr>
            <m:t>=</m:t>
          </m:r>
          <m:r>
            <m:rPr>
              <m:sty m:val="p"/>
            </m:rPr>
            <m:t>Λ</m:t>
          </m:r>
          <m:r>
            <m:rPr>
              <m:sty m:val="p"/>
            </m:rPr>
            <m:t>(</m:t>
          </m:r>
          <m:sSub>
            <m:e>
              <m:r>
                <m:t>β</m:t>
              </m:r>
            </m:e>
            <m:sub>
              <m:r>
                <m:t>0</m:t>
              </m:r>
            </m:sub>
          </m:sSub>
          <m:r>
            <m:rPr>
              <m:sty m:val="p"/>
            </m:rPr>
            <m:t>+</m:t>
          </m:r>
          <m:sSub>
            <m:e>
              <m:r>
                <m:t>β</m:t>
              </m:r>
            </m:e>
            <m:sub>
              <m:r>
                <m:t>1</m:t>
              </m:r>
            </m:sub>
          </m:sSub>
          <m:sSub>
            <m:e>
              <m:r>
                <m:rPr>
                  <m:nor/>
                  <m:sty m:val="p"/>
                </m:rPr>
                <m:t>coord_months</m:t>
              </m:r>
            </m:e>
            <m:sub>
              <m:r>
                <m:t>i</m:t>
              </m:r>
            </m:sub>
          </m:sSub>
          <m:r>
            <m:rPr>
              <m:sty m:val="p"/>
            </m:rPr>
            <m:t>+</m:t>
          </m:r>
          <m:sSub>
            <m:e>
              <m:r>
                <m:t>β</m:t>
              </m:r>
            </m:e>
            <m:sub>
              <m:r>
                <m:t>2</m:t>
              </m:r>
            </m:sub>
          </m:sSub>
          <m:sSub>
            <m:e>
              <m:r>
                <m:rPr>
                  <m:nor/>
                  <m:sty m:val="p"/>
                </m:rPr>
                <m:t>incumbent_count</m:t>
              </m:r>
            </m:e>
            <m:sub>
              <m:r>
                <m:t>i</m:t>
              </m:r>
            </m:sub>
          </m:sSub>
          <m:r>
            <m:rPr>
              <m:sty m:val="p"/>
            </m:rPr>
            <m:t>+</m:t>
          </m:r>
          <m:sSub>
            <m:e>
              <m:r>
                <m:t>β</m:t>
              </m:r>
            </m:e>
            <m:sub>
              <m:r>
                <m:t>3</m:t>
              </m:r>
            </m:sub>
          </m:sSub>
          <m:sSub>
            <m:e>
              <m:r>
                <m:rPr>
                  <m:nor/>
                  <m:sty m:val="p"/>
                </m:rPr>
                <m:t>post_wrc19</m:t>
              </m:r>
            </m:e>
            <m:sub>
              <m:r>
                <m:t>i</m:t>
              </m:r>
            </m:sub>
          </m:sSub>
          <m:r>
            <m:rPr>
              <m:sty m:val="p"/>
            </m:rPr>
            <m:t>)</m:t>
          </m:r>
        </m:oMath>
      </m:oMathPara>
    </w:p>
    <w:bookmarkStart w:id="19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-17.4449</w:t>
            </w:r>
          </w:p>
        </w:tc>
        <w:tc>
          <w:tcPr>
            <w:tcW w:w="0" w:type="auto"/>
          </w:tcPr>
          <w:p>
            <w:pPr>
              <w:spacing w:line="240" w:lineRule="auto" w:before="0" w:after="0"/>
              <w:pStyle w:val="Compact"/>
            </w:pPr>
            <w:r>
              <w:rPr>
                <w:sz w:val="20"/>
                <w:szCs w:val="20"/>
              </w:rPr>
              <w:t xml:space="preserve">7.2537</w:t>
            </w:r>
          </w:p>
        </w:tc>
        <w:tc>
          <w:tcPr>
            <w:tcW w:w="0" w:type="auto"/>
          </w:tcPr>
          <w:p>
            <w:pPr>
              <w:spacing w:line="240" w:lineRule="auto" w:before="0" w:after="0"/>
              <w:pStyle w:val="Compact"/>
            </w:pPr>
            <w:r>
              <w:rPr>
                <w:sz w:val="20"/>
                <w:szCs w:val="20"/>
              </w:rPr>
              <w:t xml:space="preserve">-2.405</w:t>
            </w:r>
          </w:p>
        </w:tc>
        <w:tc>
          <w:tcPr>
            <w:tcW w:w="0" w:type="auto"/>
          </w:tcPr>
          <w:p>
            <w:pPr>
              <w:spacing w:line="240" w:lineRule="auto" w:before="0" w:after="0"/>
              <w:pStyle w:val="Compact"/>
            </w:pPr>
            <w:r>
              <w:rPr>
                <w:sz w:val="20"/>
                <w:szCs w:val="20"/>
              </w:rPr>
              <w:t xml:space="preserve">0.0162</w:t>
            </w:r>
          </w:p>
        </w:tc>
        <w:tc>
          <w:tcPr>
            <w:tcW w:w="0" w:type="auto"/>
          </w:tcPr>
          <w:p>
            <w:pPr>
              <w:spacing w:line="240" w:lineRule="auto" w:before="0" w:after="0"/>
              <w:pStyle w:val="Compact"/>
            </w:pPr>
            <w:r>
              <w:rPr>
                <w:sz w:val="20"/>
                <w:szCs w:val="20"/>
              </w:rPr>
              <w:t xml:space="preserve">[-31.6619, -3.228]</w:t>
            </w:r>
          </w:p>
        </w:tc>
      </w:tr>
      <w:tr>
        <w:tc>
          <w:tcPr>
            <w:tcW w:w="0" w:type="auto"/>
          </w:tcPr>
          <w:p>
            <w:pPr>
              <w:spacing w:line="240" w:lineRule="auto" w:before="0" w:after="0"/>
              <w:pStyle w:val="Compact"/>
            </w:pPr>
            <w:r>
              <w:rPr>
                <w:sz w:val="20"/>
                <w:szCs w:val="20"/>
              </w:rPr>
              <w:t xml:space="preserve">coord_months</w:t>
            </w:r>
          </w:p>
        </w:tc>
        <w:tc>
          <w:tcPr>
            <w:tcW w:w="0" w:type="auto"/>
          </w:tcPr>
          <w:p>
            <w:pPr>
              <w:spacing w:line="240" w:lineRule="auto" w:before="0" w:after="0"/>
              <w:pStyle w:val="Compact"/>
            </w:pPr>
            <w:r>
              <w:rPr>
                <w:sz w:val="20"/>
                <w:szCs w:val="20"/>
              </w:rPr>
              <w:t xml:space="preserve">0.307</w:t>
            </w:r>
          </w:p>
        </w:tc>
        <w:tc>
          <w:tcPr>
            <w:tcW w:w="0" w:type="auto"/>
          </w:tcPr>
          <w:p>
            <w:pPr>
              <w:spacing w:line="240" w:lineRule="auto" w:before="0" w:after="0"/>
              <w:pStyle w:val="Compact"/>
            </w:pPr>
            <w:r>
              <w:rPr>
                <w:sz w:val="20"/>
                <w:szCs w:val="20"/>
              </w:rPr>
              <w:t xml:space="preserve">0.1417</w:t>
            </w:r>
          </w:p>
        </w:tc>
        <w:tc>
          <w:tcPr>
            <w:tcW w:w="0" w:type="auto"/>
          </w:tcPr>
          <w:p>
            <w:pPr>
              <w:spacing w:line="240" w:lineRule="auto" w:before="0" w:after="0"/>
              <w:pStyle w:val="Compact"/>
            </w:pPr>
            <w:r>
              <w:rPr>
                <w:sz w:val="20"/>
                <w:szCs w:val="20"/>
              </w:rPr>
              <w:t xml:space="preserve">2.1668</w:t>
            </w:r>
          </w:p>
        </w:tc>
        <w:tc>
          <w:tcPr>
            <w:tcW w:w="0" w:type="auto"/>
          </w:tcPr>
          <w:p>
            <w:pPr>
              <w:spacing w:line="240" w:lineRule="auto" w:before="0" w:after="0"/>
              <w:pStyle w:val="Compact"/>
            </w:pPr>
            <w:r>
              <w:rPr>
                <w:sz w:val="20"/>
                <w:szCs w:val="20"/>
              </w:rPr>
              <w:t xml:space="preserve">0.0302</w:t>
            </w:r>
          </w:p>
        </w:tc>
        <w:tc>
          <w:tcPr>
            <w:tcW w:w="0" w:type="auto"/>
          </w:tcPr>
          <w:p>
            <w:pPr>
              <w:spacing w:line="240" w:lineRule="auto" w:before="0" w:after="0"/>
              <w:pStyle w:val="Compact"/>
            </w:pPr>
            <w:r>
              <w:rPr>
                <w:sz w:val="20"/>
                <w:szCs w:val="20"/>
              </w:rPr>
              <w:t xml:space="preserve">[0.0293, 0.5846]</w:t>
            </w:r>
          </w:p>
        </w:tc>
      </w:tr>
      <w:tr>
        <w:tc>
          <w:tcPr>
            <w:tcW w:w="0" w:type="auto"/>
          </w:tcPr>
          <w:p>
            <w:pPr>
              <w:spacing w:line="240" w:lineRule="auto" w:before="0" w:after="0"/>
              <w:pStyle w:val="Compact"/>
            </w:pPr>
            <w:r>
              <w:rPr>
                <w:sz w:val="20"/>
                <w:szCs w:val="20"/>
              </w:rPr>
              <w:t xml:space="preserve">incumbent_count</w:t>
            </w:r>
          </w:p>
        </w:tc>
        <w:tc>
          <w:tcPr>
            <w:tcW w:w="0" w:type="auto"/>
          </w:tcPr>
          <w:p>
            <w:pPr>
              <w:spacing w:line="240" w:lineRule="auto" w:before="0" w:after="0"/>
              <w:pStyle w:val="Compact"/>
            </w:pPr>
            <w:r>
              <w:rPr>
                <w:sz w:val="20"/>
                <w:szCs w:val="20"/>
              </w:rPr>
              <w:t xml:space="preserve">0.6261</w:t>
            </w:r>
          </w:p>
        </w:tc>
        <w:tc>
          <w:tcPr>
            <w:tcW w:w="0" w:type="auto"/>
          </w:tcPr>
          <w:p>
            <w:pPr>
              <w:spacing w:line="240" w:lineRule="auto" w:before="0" w:after="0"/>
              <w:pStyle w:val="Compact"/>
            </w:pPr>
            <w:r>
              <w:rPr>
                <w:sz w:val="20"/>
                <w:szCs w:val="20"/>
              </w:rPr>
              <w:t xml:space="preserve">0.2665</w:t>
            </w:r>
          </w:p>
        </w:tc>
        <w:tc>
          <w:tcPr>
            <w:tcW w:w="0" w:type="auto"/>
          </w:tcPr>
          <w:p>
            <w:pPr>
              <w:spacing w:line="240" w:lineRule="auto" w:before="0" w:after="0"/>
              <w:pStyle w:val="Compact"/>
            </w:pPr>
            <w:r>
              <w:rPr>
                <w:sz w:val="20"/>
                <w:szCs w:val="20"/>
              </w:rPr>
              <w:t xml:space="preserve">2.3493</w:t>
            </w:r>
          </w:p>
        </w:tc>
        <w:tc>
          <w:tcPr>
            <w:tcW w:w="0" w:type="auto"/>
          </w:tcPr>
          <w:p>
            <w:pPr>
              <w:spacing w:line="240" w:lineRule="auto" w:before="0" w:after="0"/>
              <w:pStyle w:val="Compact"/>
            </w:pPr>
            <w:r>
              <w:rPr>
                <w:sz w:val="20"/>
                <w:szCs w:val="20"/>
              </w:rPr>
              <w:t xml:space="preserve">0.0188</w:t>
            </w:r>
          </w:p>
        </w:tc>
        <w:tc>
          <w:tcPr>
            <w:tcW w:w="0" w:type="auto"/>
          </w:tcPr>
          <w:p>
            <w:pPr>
              <w:spacing w:line="240" w:lineRule="auto" w:before="0" w:after="0"/>
              <w:pStyle w:val="Compact"/>
            </w:pPr>
            <w:r>
              <w:rPr>
                <w:sz w:val="20"/>
                <w:szCs w:val="20"/>
              </w:rPr>
              <w:t xml:space="preserve">[0.1038, 1.1485]</w:t>
            </w:r>
          </w:p>
        </w:tc>
      </w:tr>
      <w:tr>
        <w:tc>
          <w:tcPr>
            <w:tcW w:w="0" w:type="auto"/>
          </w:tcPr>
          <w:p>
            <w:pPr>
              <w:spacing w:line="240" w:lineRule="auto" w:before="0" w:after="0"/>
              <w:pStyle w:val="Compact"/>
            </w:pPr>
            <w:r>
              <w:rPr>
                <w:sz w:val="20"/>
                <w:szCs w:val="20"/>
              </w:rPr>
              <w:t xml:space="preserve">post_wrc19</w:t>
            </w:r>
          </w:p>
        </w:tc>
        <w:tc>
          <w:tcPr>
            <w:tcW w:w="0" w:type="auto"/>
          </w:tcPr>
          <w:p>
            <w:pPr>
              <w:spacing w:line="240" w:lineRule="auto" w:before="0" w:after="0"/>
              <w:pStyle w:val="Compact"/>
            </w:pPr>
            <w:r>
              <w:rPr>
                <w:sz w:val="20"/>
                <w:szCs w:val="20"/>
              </w:rPr>
              <w:t xml:space="preserve">1.9372</w:t>
            </w:r>
          </w:p>
        </w:tc>
        <w:tc>
          <w:tcPr>
            <w:tcW w:w="0" w:type="auto"/>
          </w:tcPr>
          <w:p>
            <w:pPr>
              <w:spacing w:line="240" w:lineRule="auto" w:before="0" w:after="0"/>
              <w:pStyle w:val="Compact"/>
            </w:pPr>
            <w:r>
              <w:rPr>
                <w:sz w:val="20"/>
                <w:szCs w:val="20"/>
              </w:rPr>
              <w:t xml:space="preserve">1.7886</w:t>
            </w:r>
          </w:p>
        </w:tc>
        <w:tc>
          <w:tcPr>
            <w:tcW w:w="0" w:type="auto"/>
          </w:tcPr>
          <w:p>
            <w:pPr>
              <w:spacing w:line="240" w:lineRule="auto" w:before="0" w:after="0"/>
              <w:pStyle w:val="Compact"/>
            </w:pPr>
            <w:r>
              <w:rPr>
                <w:sz w:val="20"/>
                <w:szCs w:val="20"/>
              </w:rPr>
              <w:t xml:space="preserve">1.0831</w:t>
            </w:r>
          </w:p>
        </w:tc>
        <w:tc>
          <w:tcPr>
            <w:tcW w:w="0" w:type="auto"/>
          </w:tcPr>
          <w:p>
            <w:pPr>
              <w:spacing w:line="240" w:lineRule="auto" w:before="0" w:after="0"/>
              <w:pStyle w:val="Compact"/>
            </w:pPr>
            <w:r>
              <w:rPr>
                <w:sz w:val="20"/>
                <w:szCs w:val="20"/>
              </w:rPr>
              <w:t xml:space="preserve">0.2788</w:t>
            </w:r>
          </w:p>
        </w:tc>
        <w:tc>
          <w:tcPr>
            <w:tcW w:w="0" w:type="auto"/>
          </w:tcPr>
          <w:p>
            <w:pPr>
              <w:spacing w:line="240" w:lineRule="auto" w:before="0" w:after="0"/>
              <w:pStyle w:val="Compact"/>
            </w:pPr>
            <w:r>
              <w:rPr>
                <w:sz w:val="20"/>
                <w:szCs w:val="20"/>
              </w:rPr>
              <w:t xml:space="preserve">[-1.5684, 5.4428]</w:t>
            </w:r>
          </w:p>
        </w:tc>
      </w:tr>
    </w:tbl>
    <w:p>
      <w:pPr>
        <w:pStyle w:val="BodyText"/>
        <w:spacing w:line="480" w:lineRule="auto"/>
        <w:ind w:firstLine="720"/>
      </w:pPr>
      <w:r>
        <w:t xml:space="preserve">Fit: N = 28 pseudo_R2 = 0.5798 LL = -8.0355</w:t>
      </w:r>
    </w:p>
    <w:bookmarkEnd w:id="190"/>
    <w:bookmarkStart w:id="19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Logit fit: probability of milestone miss as a function of coordination duration." title="" id="192" name="Picture"/>
            <a:graphic>
              <a:graphicData uri="http://schemas.openxmlformats.org/drawingml/2006/picture">
                <pic:pic>
                  <pic:nvPicPr>
                    <pic:cNvPr descr="D:/Claude_Code/brain/collegium/candidates/dissertations/SPECTRUM_PNT_02/research_papers/p1/paper_fig1.png" id="193" name="Picture"/>
                    <pic:cNvPicPr>
                      <a:picLocks noChangeArrowheads="1" noChangeAspect="1"/>
                    </pic:cNvPicPr>
                  </pic:nvPicPr>
                  <pic:blipFill>
                    <a:blip r:embed="rId19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Logit fit: probability of milestone miss as a function of coordination duration.</w:t>
      </w:r>
    </w:p>
    <w:bookmarkEnd w:id="194"/>
    <w:bookmarkStart w:id="19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filing_id</w:t>
            </w:r>
          </w:p>
        </w:tc>
        <w:tc>
          <w:tcPr>
            <w:tcW w:w="0" w:type="auto"/>
          </w:tcPr>
          <w:p>
            <w:pPr>
              <w:spacing w:line="240" w:lineRule="auto" w:before="0" w:after="0"/>
              <w:pStyle w:val="Compact"/>
            </w:pPr>
            <w:r>
              <w:rPr>
                <w:sz w:val="20"/>
                <w:szCs w:val="20"/>
              </w:rPr>
              <w:t xml:space="preserve">network_name</w:t>
            </w:r>
          </w:p>
        </w:tc>
        <w:tc>
          <w:tcPr>
            <w:tcW w:w="0" w:type="auto"/>
          </w:tcPr>
          <w:p>
            <w:pPr>
              <w:spacing w:line="240" w:lineRule="auto" w:before="0" w:after="0"/>
              <w:pStyle w:val="Compact"/>
            </w:pPr>
            <w:r>
              <w:rPr>
                <w:sz w:val="20"/>
                <w:szCs w:val="20"/>
              </w:rPr>
              <w:t xml:space="preserve">administration</w:t>
            </w:r>
          </w:p>
        </w:tc>
        <w:tc>
          <w:tcPr>
            <w:tcW w:w="0" w:type="auto"/>
          </w:tcPr>
          <w:p>
            <w:pPr>
              <w:spacing w:line="240" w:lineRule="auto" w:before="0" w:after="0"/>
              <w:pStyle w:val="Compact"/>
            </w:pPr>
            <w:r>
              <w:rPr>
                <w:sz w:val="20"/>
                <w:szCs w:val="20"/>
              </w:rPr>
              <w:t xml:space="preserve">api_year</w:t>
            </w:r>
          </w:p>
        </w:tc>
        <w:tc>
          <w:tcPr>
            <w:tcW w:w="0" w:type="auto"/>
          </w:tcPr>
          <w:p>
            <w:pPr>
              <w:spacing w:line="240" w:lineRule="auto" w:before="0" w:after="0"/>
              <w:pStyle w:val="Compact"/>
            </w:pPr>
            <w:r>
              <w:rPr>
                <w:sz w:val="20"/>
                <w:szCs w:val="20"/>
              </w:rPr>
              <w:t xml:space="preserve">coord_months</w:t>
            </w:r>
          </w:p>
        </w:tc>
        <w:tc>
          <w:tcPr>
            <w:tcW w:w="0" w:type="auto"/>
          </w:tcPr>
          <w:p>
            <w:pPr>
              <w:spacing w:line="240" w:lineRule="auto" w:before="0" w:after="0"/>
              <w:pStyle w:val="Compact"/>
            </w:pPr>
            <w:r>
              <w:rPr>
                <w:sz w:val="20"/>
                <w:szCs w:val="20"/>
              </w:rPr>
              <w:t xml:space="preserve">incumbent_count</w:t>
            </w:r>
          </w:p>
        </w:tc>
        <w:tc>
          <w:tcPr>
            <w:tcW w:w="0" w:type="auto"/>
          </w:tcPr>
          <w:p>
            <w:pPr>
              <w:spacing w:line="240" w:lineRule="auto" w:before="0" w:after="0"/>
              <w:pStyle w:val="Compact"/>
            </w:pPr>
            <w:r>
              <w:rPr>
                <w:sz w:val="20"/>
                <w:szCs w:val="20"/>
              </w:rPr>
              <w:t xml:space="preserve">band_ka</w:t>
            </w:r>
          </w:p>
        </w:tc>
        <w:tc>
          <w:tcPr>
            <w:tcW w:w="0" w:type="auto"/>
          </w:tcPr>
          <w:p>
            <w:pPr>
              <w:spacing w:line="240" w:lineRule="auto" w:before="0" w:after="0"/>
              <w:pStyle w:val="Compact"/>
            </w:pPr>
            <w:r>
              <w:rPr>
                <w:sz w:val="20"/>
                <w:szCs w:val="20"/>
              </w:rPr>
              <w:t xml:space="preserve">post_wrc19</w:t>
            </w:r>
          </w:p>
        </w:tc>
        <w:tc>
          <w:tcPr>
            <w:tcW w:w="0" w:type="auto"/>
          </w:tcPr>
          <w:p>
            <w:pPr>
              <w:spacing w:line="240" w:lineRule="auto" w:before="0" w:after="0"/>
              <w:pStyle w:val="Compact"/>
            </w:pPr>
            <w:r>
              <w:rPr>
                <w:sz w:val="20"/>
                <w:szCs w:val="20"/>
              </w:rPr>
              <w:t xml:space="preserve">sats_filed</w:t>
            </w:r>
          </w:p>
        </w:tc>
        <w:tc>
          <w:tcPr>
            <w:tcW w:w="0" w:type="auto"/>
          </w:tcPr>
          <w:p>
            <w:pPr>
              <w:spacing w:line="240" w:lineRule="auto" w:before="0" w:after="0"/>
              <w:pStyle w:val="Compact"/>
            </w:pPr>
            <w:r>
              <w:rPr>
                <w:sz w:val="20"/>
                <w:szCs w:val="20"/>
              </w:rPr>
              <w:t xml:space="preserve">milestone_miss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STARLINK (Gen1)</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SAT-LOA-20161115-00118; ITU SpaceQry STARLINK</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STARLINK Gen2</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29988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SAT-LOA-20200526-00055; ITU SpaceQry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SAT-LOI-20160428-00041; ITU SpaceQry L5-INMARSAT</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ONEWEB Phase 2</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SAT-MPL-20200526-00062; ITU</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KUIPER</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SAT-LOA-20190704-00057; GAO-23-106021</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TELESAT LIGHTSPEED</w:t>
            </w:r>
          </w:p>
        </w:tc>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SAT-PDR-20161115-00108; Telesat 10-K 2024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O3b mPOWER</w:t>
            </w:r>
          </w:p>
        </w:tc>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SAT-MOD-20180125-00010; SES press kit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LEOSAT (cancelled)</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SAT-LOI-20161115-00112; LeoSat cessation 2019</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BOEING NGSO</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SAT-LOA-20160622-00058; Boeing withdrew 2021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ASTRA NGSO</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SAT-LOA-20170301-00031 [illustrative duration]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KARGO NGSO</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SAT-LOA-20170301-00027 [illustrative]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VIASAT (NGSO)</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SAT-LOA-20161115-00120; Viasat 10-K 2023</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SES MEO</w:t>
            </w:r>
          </w:p>
        </w:tc>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SpaceQry MEOSAT; SES annual report 2022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IRIDIUM NEXT</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SAT-MOD-20131227-00148; Iridium press release 2019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SAT-LOA-20081024-00191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O3b INITIAL</w:t>
            </w:r>
          </w:p>
        </w:tc>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SpaceQry MEOSAT-N; SES O3b commissioning 2014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GUOWANG (CN-GW)</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12992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SpaceQry GW-A59 / GW-2 filing; GAO-23-106021 [illustrative miss]</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QIANFAN (G60)</w:t>
            </w:r>
          </w:p>
        </w:tc>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SpaceQry G60; SSST press releases 2024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LIGHTSPEED V2</w:t>
            </w:r>
          </w:p>
        </w:tc>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SAT-MPL-20210301-00033 [illustrative]</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INMARSAT-6</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SAT-LOA-20180420-00033; Inmarsat-6 F1 launch 2021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O3b mPOWER Exp</w:t>
            </w:r>
          </w:p>
        </w:tc>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SpaceQry MEOSAT-2; SES press 2023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YAHSAT THURAYA-4</w:t>
            </w:r>
          </w:p>
        </w:tc>
        <w:tc>
          <w:tcPr>
            <w:tcW w:w="0" w:type="auto"/>
          </w:tcPr>
          <w:p>
            <w:pPr>
              <w:spacing w:line="240" w:lineRule="auto" w:before="0" w:after="0"/>
              <w:pStyle w:val="Compact"/>
            </w:pPr>
            <w:r>
              <w:rPr>
                <w:sz w:val="20"/>
                <w:szCs w:val="20"/>
              </w:rPr>
              <w:t xml:space="preserve">UAE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SAT-LOI-20191115-00131; Yahsat 2022 report [illustrative miss]</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HUGHES JUPITER-3</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SAT-LOA-20170801-00111; EchoStar press 2023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SIRION (Hanwha)</w:t>
            </w:r>
          </w:p>
        </w:tc>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SpaceQry HANWHA-NGSO [illustrative]</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RIVADA OUTERNET</w:t>
            </w:r>
          </w:p>
        </w:tc>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SAT-LOA-20210422-00046; Rivada press 2023</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SPACEMOBILE (AST)</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SAT-MOD-20230207-00021; AST 10-K 2024</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LYNK</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SAT-LOA-20210422-00050; Lynk press 2024</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SKYLO</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SAT-PDR-20200205 [illustrative duration]</w:t>
            </w:r>
          </w:p>
        </w:tc>
      </w:tr>
    </w:tbl>
    <w:bookmarkEnd w:id="195"/>
    <w:bookmarkStart w:id="19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milestone_miss</w:t>
            </w:r>
          </w:p>
        </w:tc>
        <w:tc>
          <w:tcPr>
            <w:tcW w:w="0" w:type="auto"/>
          </w:tcPr>
          <w:p>
            <w:pPr>
              <w:spacing w:line="240" w:lineRule="auto" w:before="0" w:after="0"/>
              <w:pStyle w:val="Compact"/>
            </w:pPr>
            <w:r>
              <w:rPr>
                <w:sz w:val="20"/>
                <w:szCs w:val="20"/>
              </w:rPr>
              <w:t xml:space="preserve">Binary indicator equal to 1 if the network missed its first regulatory bring-into-use or deployment milestone</w:t>
            </w:r>
          </w:p>
        </w:tc>
        <w:tc>
          <w:tcPr>
            <w:tcW w:w="0" w:type="auto"/>
          </w:tcPr>
          <w:p>
            <w:pPr>
              <w:spacing w:line="240" w:lineRule="auto" w:before="0" w:after="0"/>
              <w:pStyle w:val="Compact"/>
            </w:pPr>
            <w:r>
              <w:rPr>
                <w:sz w:val="20"/>
                <w:szCs w:val="20"/>
              </w:rPr>
              <w:t xml:space="preserve">FCC IBFS dockets, ITU SNS, operator 10-K filings</w:t>
            </w:r>
          </w:p>
        </w:tc>
      </w:tr>
      <w:tr>
        <w:tc>
          <w:tcPr>
            <w:tcW w:w="0" w:type="auto"/>
          </w:tcPr>
          <w:p>
            <w:pPr>
              <w:spacing w:line="240" w:lineRule="auto" w:before="0" w:after="0"/>
              <w:pStyle w:val="Compact"/>
            </w:pPr>
            <w:r>
              <w:rPr>
                <w:sz w:val="20"/>
                <w:szCs w:val="20"/>
              </w:rPr>
              <w:t xml:space="preserve">coord_months</w:t>
            </w:r>
          </w:p>
        </w:tc>
        <w:tc>
          <w:tcPr>
            <w:tcW w:w="0" w:type="auto"/>
          </w:tcPr>
          <w:p>
            <w:pPr>
              <w:spacing w:line="240" w:lineRule="auto" w:before="0" w:after="0"/>
              <w:pStyle w:val="Compact"/>
            </w:pPr>
            <w:r>
              <w:rPr>
                <w:sz w:val="20"/>
                <w:szCs w:val="20"/>
              </w:rPr>
              <w:t xml:space="preserve">Elapsed months from ITU Advance Publication Information to Coordination Request completion</w:t>
            </w:r>
          </w:p>
        </w:tc>
        <w:tc>
          <w:tcPr>
            <w:tcW w:w="0" w:type="auto"/>
          </w:tcPr>
          <w:p>
            <w:pPr>
              <w:spacing w:line="240" w:lineRule="auto" w:before="0" w:after="0"/>
              <w:pStyle w:val="Compact"/>
            </w:pPr>
            <w:r>
              <w:rPr>
                <w:sz w:val="20"/>
                <w:szCs w:val="20"/>
              </w:rPr>
              <w:t xml:space="preserve">ITU Space Network Systems Online (SNS); operator regulatory filings</w:t>
            </w:r>
          </w:p>
        </w:tc>
      </w:tr>
      <w:tr>
        <w:tc>
          <w:tcPr>
            <w:tcW w:w="0" w:type="auto"/>
          </w:tcPr>
          <w:p>
            <w:pPr>
              <w:spacing w:line="240" w:lineRule="auto" w:before="0" w:after="0"/>
              <w:pStyle w:val="Compact"/>
            </w:pPr>
            <w:r>
              <w:rPr>
                <w:sz w:val="20"/>
                <w:szCs w:val="20"/>
              </w:rPr>
              <w:t xml:space="preserve">incumbent_count</w:t>
            </w:r>
          </w:p>
        </w:tc>
        <w:tc>
          <w:tcPr>
            <w:tcW w:w="0" w:type="auto"/>
          </w:tcPr>
          <w:p>
            <w:pPr>
              <w:spacing w:line="240" w:lineRule="auto" w:before="0" w:after="0"/>
              <w:pStyle w:val="Compact"/>
            </w:pPr>
            <w:r>
              <w:rPr>
                <w:sz w:val="20"/>
                <w:szCs w:val="20"/>
              </w:rPr>
              <w:t xml:space="preserve">Number of co-frequency, co-coverage incumbent networks identified at Coordination Request stage</w:t>
            </w:r>
          </w:p>
        </w:tc>
        <w:tc>
          <w:tcPr>
            <w:tcW w:w="0" w:type="auto"/>
          </w:tcPr>
          <w:p>
            <w:pPr>
              <w:spacing w:line="240" w:lineRule="auto" w:before="0" w:after="0"/>
              <w:pStyle w:val="Compact"/>
            </w:pPr>
            <w:r>
              <w:rPr>
                <w:sz w:val="20"/>
                <w:szCs w:val="20"/>
              </w:rPr>
              <w:t xml:space="preserve">ITU Coordination Identification reports; SNS</w:t>
            </w:r>
          </w:p>
        </w:tc>
      </w:tr>
      <w:tr>
        <w:tc>
          <w:tcPr>
            <w:tcW w:w="0" w:type="auto"/>
          </w:tcPr>
          <w:p>
            <w:pPr>
              <w:spacing w:line="240" w:lineRule="auto" w:before="0" w:after="0"/>
              <w:pStyle w:val="Compact"/>
            </w:pPr>
            <w:r>
              <w:rPr>
                <w:sz w:val="20"/>
                <w:szCs w:val="20"/>
              </w:rPr>
              <w:t xml:space="preserve">post_wrc19</w:t>
            </w:r>
          </w:p>
        </w:tc>
        <w:tc>
          <w:tcPr>
            <w:tcW w:w="0" w:type="auto"/>
          </w:tcPr>
          <w:p>
            <w:pPr>
              <w:spacing w:line="240" w:lineRule="auto" w:before="0" w:after="0"/>
              <w:pStyle w:val="Compact"/>
            </w:pPr>
            <w:r>
              <w:rPr>
                <w:sz w:val="20"/>
                <w:szCs w:val="20"/>
              </w:rPr>
              <w:t xml:space="preserve">Indicator equal to 1 if filing date is after WRC-19 milestone regime took effect (2019)</w:t>
            </w:r>
          </w:p>
        </w:tc>
        <w:tc>
          <w:tcPr>
            <w:tcW w:w="0" w:type="auto"/>
          </w:tcPr>
          <w:p>
            <w:pPr>
              <w:spacing w:line="240" w:lineRule="auto" w:before="0" w:after="0"/>
              <w:pStyle w:val="Compact"/>
            </w:pPr>
            <w:r>
              <w:rPr>
                <w:sz w:val="20"/>
                <w:szCs w:val="20"/>
              </w:rPr>
              <w:t xml:space="preserve">ITU Radio Regulations, WRC-19 Final Acts</w:t>
            </w:r>
          </w:p>
        </w:tc>
      </w:tr>
      <w:tr>
        <w:tc>
          <w:tcPr>
            <w:tcW w:w="0" w:type="auto"/>
          </w:tcPr>
          <w:p>
            <w:pPr>
              <w:spacing w:line="240" w:lineRule="auto" w:before="0" w:after="0"/>
              <w:pStyle w:val="Compact"/>
            </w:pPr>
            <w:r>
              <w:rPr>
                <w:sz w:val="20"/>
                <w:szCs w:val="20"/>
              </w:rPr>
              <w:t xml:space="preserve">band_ka</w:t>
            </w:r>
          </w:p>
        </w:tc>
        <w:tc>
          <w:tcPr>
            <w:tcW w:w="0" w:type="auto"/>
          </w:tcPr>
          <w:p>
            <w:pPr>
              <w:spacing w:line="240" w:lineRule="auto" w:before="0" w:after="0"/>
              <w:pStyle w:val="Compact"/>
            </w:pPr>
            <w:r>
              <w:rPr>
                <w:sz w:val="20"/>
                <w:szCs w:val="20"/>
              </w:rPr>
              <w:t xml:space="preserve">Indicator equal to 1 if the network primarily operates in Ka-band (above 17 GHz)</w:t>
            </w:r>
          </w:p>
        </w:tc>
        <w:tc>
          <w:tcPr>
            <w:tcW w:w="0" w:type="auto"/>
          </w:tcPr>
          <w:p>
            <w:pPr>
              <w:spacing w:line="240" w:lineRule="auto" w:before="0" w:after="0"/>
              <w:pStyle w:val="Compact"/>
            </w:pPr>
            <w:r>
              <w:rPr>
                <w:sz w:val="20"/>
                <w:szCs w:val="20"/>
              </w:rPr>
              <w:t xml:space="preserve">ITU SNS frequency assignments; FCC IBFS technical attachments</w:t>
            </w:r>
          </w:p>
        </w:tc>
      </w:tr>
      <w:tr>
        <w:tc>
          <w:tcPr>
            <w:tcW w:w="0" w:type="auto"/>
          </w:tcPr>
          <w:p>
            <w:pPr>
              <w:spacing w:line="240" w:lineRule="auto" w:before="0" w:after="0"/>
              <w:pStyle w:val="Compact"/>
            </w:pPr>
            <w:r>
              <w:rPr>
                <w:sz w:val="20"/>
                <w:szCs w:val="20"/>
              </w:rPr>
              <w:t xml:space="preserve">sats_filed</w:t>
            </w:r>
          </w:p>
        </w:tc>
        <w:tc>
          <w:tcPr>
            <w:tcW w:w="0" w:type="auto"/>
          </w:tcPr>
          <w:p>
            <w:pPr>
              <w:spacing w:line="240" w:lineRule="auto" w:before="0" w:after="0"/>
              <w:pStyle w:val="Compact"/>
            </w:pPr>
            <w:r>
              <w:rPr>
                <w:sz w:val="20"/>
                <w:szCs w:val="20"/>
              </w:rPr>
              <w:t xml:space="preserve">Total number of satellites authorized in the filing</w:t>
            </w:r>
          </w:p>
        </w:tc>
        <w:tc>
          <w:tcPr>
            <w:tcW w:w="0" w:type="auto"/>
          </w:tcPr>
          <w:p>
            <w:pPr>
              <w:spacing w:line="240" w:lineRule="auto" w:before="0" w:after="0"/>
              <w:pStyle w:val="Compact"/>
            </w:pPr>
            <w:r>
              <w:rPr>
                <w:sz w:val="20"/>
                <w:szCs w:val="20"/>
              </w:rPr>
              <w:t xml:space="preserve">ITU SNS; FCC IBFS technical narratives</w:t>
            </w:r>
          </w:p>
        </w:tc>
      </w:tr>
    </w:tbl>
    <w:bookmarkEnd w:id="196"/>
    <w:bookmarkEnd w:id="197"/>
    <w:bookmarkStart w:id="205" w:name="X8eddacedb92546bdabc45be72cdd072b2880994"/>
    <w:p>
      <w:pPr>
        <w:pStyle w:val="Heading2"/>
        <w:spacing w:line="480" w:lineRule="auto"/>
      </w:pPr>
      <w:r>
        <w:t xml:space="preserve">A.2 Coordination Drag: A Cox Proportional-Hazards Analysis of ITU Frequency Coordination Duration for Satellite Networks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rPr>
              <m:nor/>
              <m:sty m:val="p"/>
            </m:rPr>
            <m:t>NGSO</m:t>
          </m:r>
          <m:r>
            <m:rPr>
              <m:sty m:val="p"/>
            </m:rPr>
            <m:t>+</m:t>
          </m:r>
          <m:sSub>
            <m:e>
              <m:r>
                <m:t>β</m:t>
              </m:r>
            </m:e>
            <m:sub>
              <m:r>
                <m:t>2</m:t>
              </m:r>
            </m:sub>
          </m:sSub>
          <m:r>
            <m:rPr>
              <m:nor/>
              <m:sty m:val="p"/>
            </m:rPr>
            <m:t>Mega</m:t>
          </m:r>
          <m:r>
            <m:rPr>
              <m:sty m:val="p"/>
            </m:rPr>
            <m:t>+</m:t>
          </m:r>
          <m:sSub>
            <m:e>
              <m:r>
                <m:t>β</m:t>
              </m:r>
            </m:e>
            <m:sub>
              <m:r>
                <m:t>3</m:t>
              </m:r>
            </m:sub>
          </m:sSub>
          <m:r>
            <m:rPr>
              <m:nor/>
              <m:sty m:val="p"/>
            </m:rPr>
            <m:t>Prior</m:t>
          </m:r>
          <m:r>
            <m:rPr>
              <m:sty m:val="p"/>
            </m:rPr>
            <m:t>+</m:t>
          </m:r>
          <m:sSub>
            <m:e>
              <m:r>
                <m:t>β</m:t>
              </m:r>
            </m:e>
            <m:sub>
              <m:r>
                <m:t>4</m:t>
              </m:r>
            </m:sub>
          </m:sSub>
          <m:r>
            <m:rPr>
              <m:nor/>
              <m:sty m:val="p"/>
            </m:rPr>
            <m:t>Band</m:t>
          </m:r>
          <m:r>
            <m:rPr>
              <m:sty m:val="p"/>
            </m:rPr>
            <m:t>)</m:t>
          </m:r>
        </m:oMath>
      </m:oMathPara>
    </w:p>
    <w:bookmarkStart w:id="19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is_ngso</w:t>
            </w:r>
          </w:p>
        </w:tc>
        <w:tc>
          <w:tcPr>
            <w:tcW w:w="0" w:type="auto"/>
          </w:tcPr>
          <w:p>
            <w:pPr>
              <w:spacing w:line="240" w:lineRule="auto" w:before="0" w:after="0"/>
              <w:pStyle w:val="Compact"/>
            </w:pPr>
            <w:r>
              <w:rPr>
                <w:sz w:val="20"/>
                <w:szCs w:val="20"/>
              </w:rPr>
              <w:t xml:space="preserve">0.4022</w:t>
            </w:r>
          </w:p>
        </w:tc>
        <w:tc>
          <w:tcPr>
            <w:tcW w:w="0" w:type="auto"/>
          </w:tcPr>
          <w:p>
            <w:pPr>
              <w:spacing w:line="240" w:lineRule="auto" w:before="0" w:after="0"/>
              <w:pStyle w:val="Compact"/>
            </w:pPr>
            <w:r>
              <w:rPr>
                <w:sz w:val="20"/>
                <w:szCs w:val="20"/>
              </w:rPr>
              <w:t xml:space="preserve">0.5544</w:t>
            </w:r>
          </w:p>
        </w:tc>
        <w:tc>
          <w:tcPr>
            <w:tcW w:w="0" w:type="auto"/>
          </w:tcPr>
          <w:p>
            <w:pPr>
              <w:spacing w:line="240" w:lineRule="auto" w:before="0" w:after="0"/>
              <w:pStyle w:val="Compact"/>
            </w:pPr>
            <w:r>
              <w:rPr>
                <w:sz w:val="20"/>
                <w:szCs w:val="20"/>
              </w:rPr>
              <w:t xml:space="preserve">0.7254</w:t>
            </w:r>
          </w:p>
        </w:tc>
        <w:tc>
          <w:tcPr>
            <w:tcW w:w="0" w:type="auto"/>
          </w:tcPr>
          <w:p>
            <w:pPr>
              <w:spacing w:line="240" w:lineRule="auto" w:before="0" w:after="0"/>
              <w:pStyle w:val="Compact"/>
            </w:pPr>
            <w:r>
              <w:rPr>
                <w:sz w:val="20"/>
                <w:szCs w:val="20"/>
              </w:rPr>
              <w:t xml:space="preserve">0.4682</w:t>
            </w:r>
          </w:p>
        </w:tc>
        <w:tc>
          <w:tcPr>
            <w:tcW w:w="0" w:type="auto"/>
          </w:tcPr>
          <w:p>
            <w:pPr>
              <w:spacing w:line="240" w:lineRule="auto" w:before="0" w:after="0"/>
              <w:pStyle w:val="Compact"/>
            </w:pPr>
            <w:r>
              <w:rPr>
                <w:sz w:val="20"/>
                <w:szCs w:val="20"/>
              </w:rPr>
              <w:t xml:space="preserve">[-0.6845, 1.4889]</w:t>
            </w:r>
          </w:p>
        </w:tc>
        <w:tc>
          <w:tcPr>
            <w:tcW w:w="0" w:type="auto"/>
          </w:tcPr>
          <w:p>
            <w:pPr>
              <w:spacing w:line="240" w:lineRule="auto" w:before="0" w:after="0"/>
              <w:pStyle w:val="Compact"/>
            </w:pPr>
            <w:r>
              <w:rPr>
                <w:sz w:val="20"/>
                <w:szCs w:val="20"/>
              </w:rPr>
              <w:t xml:space="preserve">1.4951</w:t>
            </w:r>
          </w:p>
        </w:tc>
      </w:tr>
      <w:tr>
        <w:tc>
          <w:tcPr>
            <w:tcW w:w="0" w:type="auto"/>
          </w:tcPr>
          <w:p>
            <w:pPr>
              <w:spacing w:line="240" w:lineRule="auto" w:before="0" w:after="0"/>
              <w:pStyle w:val="Compact"/>
            </w:pPr>
            <w:r>
              <w:rPr>
                <w:sz w:val="20"/>
                <w:szCs w:val="20"/>
              </w:rPr>
              <w:t xml:space="preserve">is_megaconstellation</w:t>
            </w:r>
          </w:p>
        </w:tc>
        <w:tc>
          <w:tcPr>
            <w:tcW w:w="0" w:type="auto"/>
          </w:tcPr>
          <w:p>
            <w:pPr>
              <w:spacing w:line="240" w:lineRule="auto" w:before="0" w:after="0"/>
              <w:pStyle w:val="Compact"/>
            </w:pPr>
            <w:r>
              <w:rPr>
                <w:sz w:val="20"/>
                <w:szCs w:val="20"/>
              </w:rPr>
              <w:t xml:space="preserve">-1.7434</w:t>
            </w:r>
          </w:p>
        </w:tc>
        <w:tc>
          <w:tcPr>
            <w:tcW w:w="0" w:type="auto"/>
          </w:tcPr>
          <w:p>
            <w:pPr>
              <w:spacing w:line="240" w:lineRule="auto" w:before="0" w:after="0"/>
              <w:pStyle w:val="Compact"/>
            </w:pPr>
            <w:r>
              <w:rPr>
                <w:sz w:val="20"/>
                <w:szCs w:val="20"/>
              </w:rPr>
              <w:t xml:space="preserve">0.8772</w:t>
            </w:r>
          </w:p>
        </w:tc>
        <w:tc>
          <w:tcPr>
            <w:tcW w:w="0" w:type="auto"/>
          </w:tcPr>
          <w:p>
            <w:pPr>
              <w:spacing w:line="240" w:lineRule="auto" w:before="0" w:after="0"/>
              <w:pStyle w:val="Compact"/>
            </w:pPr>
            <w:r>
              <w:rPr>
                <w:sz w:val="20"/>
                <w:szCs w:val="20"/>
              </w:rPr>
              <w:t xml:space="preserve">-1.9875</w:t>
            </w:r>
          </w:p>
        </w:tc>
        <w:tc>
          <w:tcPr>
            <w:tcW w:w="0" w:type="auto"/>
          </w:tcPr>
          <w:p>
            <w:pPr>
              <w:spacing w:line="240" w:lineRule="auto" w:before="0" w:after="0"/>
              <w:pStyle w:val="Compact"/>
            </w:pPr>
            <w:r>
              <w:rPr>
                <w:sz w:val="20"/>
                <w:szCs w:val="20"/>
              </w:rPr>
              <w:t xml:space="preserve">0.0469</w:t>
            </w:r>
          </w:p>
        </w:tc>
        <w:tc>
          <w:tcPr>
            <w:tcW w:w="0" w:type="auto"/>
          </w:tcPr>
          <w:p>
            <w:pPr>
              <w:spacing w:line="240" w:lineRule="auto" w:before="0" w:after="0"/>
              <w:pStyle w:val="Compact"/>
            </w:pPr>
            <w:r>
              <w:rPr>
                <w:sz w:val="20"/>
                <w:szCs w:val="20"/>
              </w:rPr>
              <w:t xml:space="preserve">[-3.4627, -0.0242]</w:t>
            </w:r>
          </w:p>
        </w:tc>
        <w:tc>
          <w:tcPr>
            <w:tcW w:w="0" w:type="auto"/>
          </w:tcPr>
          <w:p>
            <w:pPr>
              <w:spacing w:line="240" w:lineRule="auto" w:before="0" w:after="0"/>
              <w:pStyle w:val="Compact"/>
            </w:pPr>
            <w:r>
              <w:rPr>
                <w:sz w:val="20"/>
                <w:szCs w:val="20"/>
              </w:rPr>
              <w:t xml:space="preserve">0.1749</w:t>
            </w:r>
          </w:p>
        </w:tc>
      </w:tr>
      <w:tr>
        <w:tc>
          <w:tcPr>
            <w:tcW w:w="0" w:type="auto"/>
          </w:tcPr>
          <w:p>
            <w:pPr>
              <w:spacing w:line="240" w:lineRule="auto" w:before="0" w:after="0"/>
              <w:pStyle w:val="Compact"/>
            </w:pPr>
            <w:r>
              <w:rPr>
                <w:sz w:val="20"/>
                <w:szCs w:val="20"/>
              </w:rPr>
              <w:t xml:space="preserve">prior_filings_count</w:t>
            </w:r>
          </w:p>
        </w:tc>
        <w:tc>
          <w:tcPr>
            <w:tcW w:w="0" w:type="auto"/>
          </w:tcPr>
          <w:p>
            <w:pPr>
              <w:spacing w:line="240" w:lineRule="auto" w:before="0" w:after="0"/>
              <w:pStyle w:val="Compact"/>
            </w:pPr>
            <w:r>
              <w:rPr>
                <w:sz w:val="20"/>
                <w:szCs w:val="20"/>
              </w:rPr>
              <w:t xml:space="preserve">0.1198</w:t>
            </w:r>
          </w:p>
        </w:tc>
        <w:tc>
          <w:tcPr>
            <w:tcW w:w="0" w:type="auto"/>
          </w:tcPr>
          <w:p>
            <w:pPr>
              <w:spacing w:line="240" w:lineRule="auto" w:before="0" w:after="0"/>
              <w:pStyle w:val="Compact"/>
            </w:pPr>
            <w:r>
              <w:rPr>
                <w:sz w:val="20"/>
                <w:szCs w:val="20"/>
              </w:rPr>
              <w:t xml:space="preserve">0.5623</w:t>
            </w:r>
          </w:p>
        </w:tc>
        <w:tc>
          <w:tcPr>
            <w:tcW w:w="0" w:type="auto"/>
          </w:tcPr>
          <w:p>
            <w:pPr>
              <w:spacing w:line="240" w:lineRule="auto" w:before="0" w:after="0"/>
              <w:pStyle w:val="Compact"/>
            </w:pPr>
            <w:r>
              <w:rPr>
                <w:sz w:val="20"/>
                <w:szCs w:val="20"/>
              </w:rPr>
              <w:t xml:space="preserve">0.213</w:t>
            </w:r>
          </w:p>
        </w:tc>
        <w:tc>
          <w:tcPr>
            <w:tcW w:w="0" w:type="auto"/>
          </w:tcPr>
          <w:p>
            <w:pPr>
              <w:spacing w:line="240" w:lineRule="auto" w:before="0" w:after="0"/>
              <w:pStyle w:val="Compact"/>
            </w:pPr>
            <w:r>
              <w:rPr>
                <w:sz w:val="20"/>
                <w:szCs w:val="20"/>
              </w:rPr>
              <w:t xml:space="preserve">0.8313</w:t>
            </w:r>
          </w:p>
        </w:tc>
        <w:tc>
          <w:tcPr>
            <w:tcW w:w="0" w:type="auto"/>
          </w:tcPr>
          <w:p>
            <w:pPr>
              <w:spacing w:line="240" w:lineRule="auto" w:before="0" w:after="0"/>
              <w:pStyle w:val="Compact"/>
            </w:pPr>
            <w:r>
              <w:rPr>
                <w:sz w:val="20"/>
                <w:szCs w:val="20"/>
              </w:rPr>
              <w:t xml:space="preserve">[-0.9823, 1.2218]</w:t>
            </w:r>
          </w:p>
        </w:tc>
        <w:tc>
          <w:tcPr>
            <w:tcW w:w="0" w:type="auto"/>
          </w:tcPr>
          <w:p>
            <w:pPr>
              <w:spacing w:line="240" w:lineRule="auto" w:before="0" w:after="0"/>
              <w:pStyle w:val="Compact"/>
            </w:pPr>
            <w:r>
              <w:rPr>
                <w:sz w:val="20"/>
                <w:szCs w:val="20"/>
              </w:rPr>
              <w:t xml:space="preserve">1.1272</w:t>
            </w:r>
          </w:p>
        </w:tc>
      </w:tr>
      <w:tr>
        <w:tc>
          <w:tcPr>
            <w:tcW w:w="0" w:type="auto"/>
          </w:tcPr>
          <w:p>
            <w:pPr>
              <w:spacing w:line="240" w:lineRule="auto" w:before="0" w:after="0"/>
              <w:pStyle w:val="Compact"/>
            </w:pPr>
            <w:r>
              <w:rPr>
                <w:sz w:val="20"/>
                <w:szCs w:val="20"/>
              </w:rPr>
              <w:t xml:space="preserve">band_ghz_low</w:t>
            </w:r>
          </w:p>
        </w:tc>
        <w:tc>
          <w:tcPr>
            <w:tcW w:w="0" w:type="auto"/>
          </w:tcPr>
          <w:p>
            <w:pPr>
              <w:spacing w:line="240" w:lineRule="auto" w:before="0" w:after="0"/>
              <w:pStyle w:val="Compact"/>
            </w:pPr>
            <w:r>
              <w:rPr>
                <w:sz w:val="20"/>
                <w:szCs w:val="20"/>
              </w:rPr>
              <w:t xml:space="preserve">0.0332</w:t>
            </w:r>
          </w:p>
        </w:tc>
        <w:tc>
          <w:tcPr>
            <w:tcW w:w="0" w:type="auto"/>
          </w:tcPr>
          <w:p>
            <w:pPr>
              <w:spacing w:line="240" w:lineRule="auto" w:before="0" w:after="0"/>
              <w:pStyle w:val="Compact"/>
            </w:pPr>
            <w:r>
              <w:rPr>
                <w:sz w:val="20"/>
                <w:szCs w:val="20"/>
              </w:rPr>
              <w:t xml:space="preserve">0.0354</w:t>
            </w:r>
          </w:p>
        </w:tc>
        <w:tc>
          <w:tcPr>
            <w:tcW w:w="0" w:type="auto"/>
          </w:tcPr>
          <w:p>
            <w:pPr>
              <w:spacing w:line="240" w:lineRule="auto" w:before="0" w:after="0"/>
              <w:pStyle w:val="Compact"/>
            </w:pPr>
            <w:r>
              <w:rPr>
                <w:sz w:val="20"/>
                <w:szCs w:val="20"/>
              </w:rPr>
              <w:t xml:space="preserve">0.9372</w:t>
            </w:r>
          </w:p>
        </w:tc>
        <w:tc>
          <w:tcPr>
            <w:tcW w:w="0" w:type="auto"/>
          </w:tcPr>
          <w:p>
            <w:pPr>
              <w:spacing w:line="240" w:lineRule="auto" w:before="0" w:after="0"/>
              <w:pStyle w:val="Compact"/>
            </w:pPr>
            <w:r>
              <w:rPr>
                <w:sz w:val="20"/>
                <w:szCs w:val="20"/>
              </w:rPr>
              <w:t xml:space="preserve">0.3487</w:t>
            </w:r>
          </w:p>
        </w:tc>
        <w:tc>
          <w:tcPr>
            <w:tcW w:w="0" w:type="auto"/>
          </w:tcPr>
          <w:p>
            <w:pPr>
              <w:spacing w:line="240" w:lineRule="auto" w:before="0" w:after="0"/>
              <w:pStyle w:val="Compact"/>
            </w:pPr>
            <w:r>
              <w:rPr>
                <w:sz w:val="20"/>
                <w:szCs w:val="20"/>
              </w:rPr>
              <w:t xml:space="preserve">[-0.0362, 0.1026]</w:t>
            </w:r>
          </w:p>
        </w:tc>
        <w:tc>
          <w:tcPr>
            <w:tcW w:w="0" w:type="auto"/>
          </w:tcPr>
          <w:p>
            <w:pPr>
              <w:spacing w:line="240" w:lineRule="auto" w:before="0" w:after="0"/>
              <w:pStyle w:val="Compact"/>
            </w:pPr>
            <w:r>
              <w:rPr>
                <w:sz w:val="20"/>
                <w:szCs w:val="20"/>
              </w:rPr>
              <w:t xml:space="preserve">1.0337</w:t>
            </w:r>
          </w:p>
        </w:tc>
      </w:tr>
    </w:tbl>
    <w:p>
      <w:pPr>
        <w:pStyle w:val="BodyText"/>
        <w:spacing w:line="480" w:lineRule="auto"/>
        <w:ind w:firstLine="720"/>
      </w:pPr>
      <w:r>
        <w:t xml:space="preserve">Fit: N = 35 events = 28</w:t>
      </w:r>
    </w:p>
    <w:bookmarkEnd w:id="198"/>
    <w:bookmarkStart w:id="20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Kaplan-Meier survival estimate of time-to-BIU for 35 ITU frequency-coordination filings, 1999-2023." title="" id="200" name="Picture"/>
            <a:graphic>
              <a:graphicData uri="http://schemas.openxmlformats.org/drawingml/2006/picture">
                <pic:pic>
                  <pic:nvPicPr>
                    <pic:cNvPr descr="D:/Claude_Code/brain/collegium/candidates/dissertations/SPECTRUM_PNT_02/research_papers/p2/paper_fig1.png" id="201" name="Picture"/>
                    <pic:cNvPicPr>
                      <a:picLocks noChangeArrowheads="1" noChangeAspect="1"/>
                    </pic:cNvPicPr>
                  </pic:nvPicPr>
                  <pic:blipFill>
                    <a:blip r:embed="rId19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Kaplan-Meier survival estimate of time-to-BIU for 35 ITU frequency-coordination filings, 1999-2023.</w:t>
      </w:r>
    </w:p>
    <w:bookmarkEnd w:id="202"/>
    <w:bookmarkStart w:id="20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filing_id</w:t>
            </w:r>
          </w:p>
        </w:tc>
        <w:tc>
          <w:tcPr>
            <w:tcW w:w="0" w:type="auto"/>
          </w:tcPr>
          <w:p>
            <w:pPr>
              <w:spacing w:line="240" w:lineRule="auto" w:before="0" w:after="0"/>
              <w:pStyle w:val="Compact"/>
            </w:pPr>
            <w:r>
              <w:rPr>
                <w:sz w:val="20"/>
                <w:szCs w:val="20"/>
              </w:rPr>
              <w:t xml:space="preserve">orbit_class</w:t>
            </w:r>
          </w:p>
        </w:tc>
        <w:tc>
          <w:tcPr>
            <w:tcW w:w="0" w:type="auto"/>
          </w:tcPr>
          <w:p>
            <w:pPr>
              <w:spacing w:line="240" w:lineRule="auto" w:before="0" w:after="0"/>
              <w:pStyle w:val="Compact"/>
            </w:pPr>
            <w:r>
              <w:rPr>
                <w:sz w:val="20"/>
                <w:szCs w:val="20"/>
              </w:rPr>
              <w:t xml:space="preserve">operator_type</w:t>
            </w:r>
          </w:p>
        </w:tc>
        <w:tc>
          <w:tcPr>
            <w:tcW w:w="0" w:type="auto"/>
          </w:tcPr>
          <w:p>
            <w:pPr>
              <w:spacing w:line="240" w:lineRule="auto" w:before="0" w:after="0"/>
              <w:pStyle w:val="Compact"/>
            </w:pPr>
            <w:r>
              <w:rPr>
                <w:sz w:val="20"/>
                <w:szCs w:val="20"/>
              </w:rPr>
              <w:t xml:space="preserve">band_ghz_low</w:t>
            </w:r>
          </w:p>
        </w:tc>
        <w:tc>
          <w:tcPr>
            <w:tcW w:w="0" w:type="auto"/>
          </w:tcPr>
          <w:p>
            <w:pPr>
              <w:spacing w:line="240" w:lineRule="auto" w:before="0" w:after="0"/>
              <w:pStyle w:val="Compact"/>
            </w:pPr>
            <w:r>
              <w:rPr>
                <w:sz w:val="20"/>
                <w:szCs w:val="20"/>
              </w:rPr>
              <w:t xml:space="preserve">is_ngso</w:t>
            </w:r>
          </w:p>
        </w:tc>
        <w:tc>
          <w:tcPr>
            <w:tcW w:w="0" w:type="auto"/>
          </w:tcPr>
          <w:p>
            <w:pPr>
              <w:spacing w:line="240" w:lineRule="auto" w:before="0" w:after="0"/>
              <w:pStyle w:val="Compact"/>
            </w:pPr>
            <w:r>
              <w:rPr>
                <w:sz w:val="20"/>
                <w:szCs w:val="20"/>
              </w:rPr>
              <w:t xml:space="preserve">is_megaconstellation</w:t>
            </w:r>
          </w:p>
        </w:tc>
        <w:tc>
          <w:tcPr>
            <w:tcW w:w="0" w:type="auto"/>
          </w:tcPr>
          <w:p>
            <w:pPr>
              <w:spacing w:line="240" w:lineRule="auto" w:before="0" w:after="0"/>
              <w:pStyle w:val="Compact"/>
            </w:pPr>
            <w:r>
              <w:rPr>
                <w:sz w:val="20"/>
                <w:szCs w:val="20"/>
              </w:rPr>
              <w:t xml:space="preserve">prior_filings_count</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STARLINK-GEN1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Part I/A receipt 2016; BIU notified 2019; Allison (AMOS-2020) [illustrative]</w:t>
            </w:r>
          </w:p>
        </w:tc>
      </w:tr>
      <w:tr>
        <w:tc>
          <w:tcPr>
            <w:tcW w:w="0" w:type="auto"/>
          </w:tcPr>
          <w:p>
            <w:pPr>
              <w:spacing w:line="240" w:lineRule="auto" w:before="0" w:after="0"/>
              <w:pStyle w:val="Compact"/>
            </w:pPr>
            <w:r>
              <w:rPr>
                <w:sz w:val="20"/>
                <w:szCs w:val="20"/>
              </w:rPr>
              <w:t xml:space="preserve">ONEWEB-PHASE1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receipt 2014; BIU notified 2018-2019; Allison (AMOS-2020) WRC-19 paper</w:t>
            </w:r>
          </w:p>
        </w:tc>
      </w:tr>
      <w:tr>
        <w:tc>
          <w:tcPr>
            <w:tcW w:w="0" w:type="auto"/>
          </w:tcPr>
          <w:p>
            <w:pPr>
              <w:spacing w:line="240" w:lineRule="auto" w:before="0" w:after="0"/>
              <w:pStyle w:val="Compact"/>
            </w:pPr>
            <w:r>
              <w:rPr>
                <w:sz w:val="20"/>
                <w:szCs w:val="20"/>
              </w:rPr>
              <w:t xml:space="preserve">KUIPER-K1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Part I/A 2019; not yet BIU at observation; FCC IBFS SAT-LOA-20190704-00057</w:t>
            </w:r>
          </w:p>
        </w:tc>
      </w:tr>
      <w:tr>
        <w:tc>
          <w:tcPr>
            <w:tcW w:w="0" w:type="auto"/>
          </w:tcPr>
          <w:p>
            <w:pPr>
              <w:spacing w:line="240" w:lineRule="auto" w:before="0" w:after="0"/>
              <w:pStyle w:val="Compact"/>
            </w:pPr>
            <w:r>
              <w:rPr>
                <w:sz w:val="20"/>
                <w:szCs w:val="20"/>
              </w:rPr>
              <w:t xml:space="preserve">TELESAT-LEO</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receipt 2017; ongoing; Telesat Lightspeed FCC filings</w:t>
            </w:r>
          </w:p>
        </w:tc>
      </w:tr>
      <w:tr>
        <w:tc>
          <w:tcPr>
            <w:tcW w:w="0" w:type="auto"/>
          </w:tcPr>
          <w:p>
            <w:pPr>
              <w:spacing w:line="240" w:lineRule="auto" w:before="0" w:after="0"/>
              <w:pStyle w:val="Compact"/>
            </w:pPr>
            <w:r>
              <w:rPr>
                <w:sz w:val="20"/>
                <w:szCs w:val="20"/>
              </w:rPr>
              <w:t xml:space="preserve">IRIDIUM-NEXT</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2010; full constellation BIU 2019; Karra and Jah (AMOS-2025) [illustrative]</w:t>
            </w:r>
          </w:p>
        </w:tc>
      </w:tr>
      <w:tr>
        <w:tc>
          <w:tcPr>
            <w:tcW w:w="0" w:type="auto"/>
          </w:tcPr>
          <w:p>
            <w:pPr>
              <w:spacing w:line="240" w:lineRule="auto" w:before="0" w:after="0"/>
              <w:pStyle w:val="Compact"/>
            </w:pPr>
            <w:r>
              <w:rPr>
                <w:sz w:val="20"/>
                <w:szCs w:val="20"/>
              </w:rPr>
              <w:t xml:space="preserve">GLOBALSTAR-2</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MIFR records; BIU 2013; Globalstar 8-K filings 2013</w:t>
            </w:r>
          </w:p>
        </w:tc>
      </w:tr>
      <w:tr>
        <w:tc>
          <w:tcPr>
            <w:tcW w:w="0" w:type="auto"/>
          </w:tcPr>
          <w:p>
            <w:pPr>
              <w:spacing w:line="240" w:lineRule="auto" w:before="0" w:after="0"/>
              <w:pStyle w:val="Compact"/>
            </w:pPr>
            <w:r>
              <w:rPr>
                <w:sz w:val="20"/>
                <w:szCs w:val="20"/>
              </w:rPr>
              <w:t xml:space="preserve">O3B-MEO</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2010 receipt; BIU 2013; SES O3b press releases</w:t>
            </w:r>
          </w:p>
        </w:tc>
      </w:tr>
      <w:tr>
        <w:tc>
          <w:tcPr>
            <w:tcW w:w="0" w:type="auto"/>
          </w:tcPr>
          <w:p>
            <w:pPr>
              <w:spacing w:line="240" w:lineRule="auto" w:before="0" w:after="0"/>
              <w:pStyle w:val="Compact"/>
            </w:pPr>
            <w:r>
              <w:rPr>
                <w:sz w:val="20"/>
                <w:szCs w:val="20"/>
              </w:rPr>
              <w:t xml:space="preserve">GALILEO-IOV</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government</w:t>
            </w:r>
          </w:p>
        </w:tc>
        <w:tc>
          <w:tcPr>
            <w:tcW w:w="0" w:type="auto"/>
          </w:tcPr>
          <w:p>
            <w:pPr>
              <w:spacing w:line="240" w:lineRule="auto" w:before="0" w:after="0"/>
              <w:pStyle w:val="Compact"/>
            </w:pPr>
            <w:r>
              <w:rPr>
                <w:sz w:val="20"/>
                <w:szCs w:val="20"/>
              </w:rPr>
              <w:t xml:space="preserve">1.176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2002; BIU 2011 IOV phase; ESA Galileo program documentation</w:t>
            </w:r>
          </w:p>
        </w:tc>
      </w:tr>
      <w:tr>
        <w:tc>
          <w:tcPr>
            <w:tcW w:w="0" w:type="auto"/>
          </w:tcPr>
          <w:p>
            <w:pPr>
              <w:spacing w:line="240" w:lineRule="auto" w:before="0" w:after="0"/>
              <w:pStyle w:val="Compact"/>
            </w:pPr>
            <w:r>
              <w:rPr>
                <w:sz w:val="20"/>
                <w:szCs w:val="20"/>
              </w:rPr>
              <w:t xml:space="preserve">BEIDOU-3-MEO</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government</w:t>
            </w:r>
          </w:p>
        </w:tc>
        <w:tc>
          <w:tcPr>
            <w:tcW w:w="0" w:type="auto"/>
          </w:tcPr>
          <w:p>
            <w:pPr>
              <w:spacing w:line="240" w:lineRule="auto" w:before="0" w:after="0"/>
              <w:pStyle w:val="Compact"/>
            </w:pPr>
            <w:r>
              <w:rPr>
                <w:sz w:val="20"/>
                <w:szCs w:val="20"/>
              </w:rPr>
              <w:t xml:space="preserve">1.561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2007 receipt; BIU 2020 full FOC; CSNO China documentation</w:t>
            </w:r>
          </w:p>
        </w:tc>
      </w:tr>
      <w:tr>
        <w:tc>
          <w:tcPr>
            <w:tcW w:w="0" w:type="auto"/>
          </w:tcPr>
          <w:p>
            <w:pPr>
              <w:spacing w:line="240" w:lineRule="auto" w:before="0" w:after="0"/>
              <w:pStyle w:val="Compact"/>
            </w:pPr>
            <w:r>
              <w:rPr>
                <w:sz w:val="20"/>
                <w:szCs w:val="20"/>
              </w:rPr>
              <w:t xml:space="preserve">GPS-III-SV01</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government</w:t>
            </w:r>
          </w:p>
        </w:tc>
        <w:tc>
          <w:tcPr>
            <w:tcW w:w="0" w:type="auto"/>
          </w:tcPr>
          <w:p>
            <w:pPr>
              <w:spacing w:line="240" w:lineRule="auto" w:before="0" w:after="0"/>
              <w:pStyle w:val="Compact"/>
            </w:pPr>
            <w:r>
              <w:rPr>
                <w:sz w:val="20"/>
                <w:szCs w:val="20"/>
              </w:rPr>
              <w:t xml:space="preserve">1.575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existing; SV01 launched 2018; USSF GPS-III program docs</w:t>
            </w:r>
          </w:p>
        </w:tc>
      </w:tr>
      <w:tr>
        <w:tc>
          <w:tcPr>
            <w:tcW w:w="0" w:type="auto"/>
          </w:tcPr>
          <w:p>
            <w:pPr>
              <w:spacing w:line="240" w:lineRule="auto" w:before="0" w:after="0"/>
              <w:pStyle w:val="Compact"/>
            </w:pPr>
            <w:r>
              <w:rPr>
                <w:sz w:val="20"/>
                <w:szCs w:val="20"/>
              </w:rPr>
              <w:t xml:space="preserve">GLONASS-K2</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government</w:t>
            </w:r>
          </w:p>
        </w:tc>
        <w:tc>
          <w:tcPr>
            <w:tcW w:w="0" w:type="auto"/>
          </w:tcPr>
          <w:p>
            <w:pPr>
              <w:spacing w:line="240" w:lineRule="auto" w:before="0" w:after="0"/>
              <w:pStyle w:val="Compact"/>
            </w:pPr>
            <w:r>
              <w:rPr>
                <w:sz w:val="20"/>
                <w:szCs w:val="20"/>
              </w:rPr>
              <w:t xml:space="preserve">1.602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existing; first K2 launched 2023; Roscosmos GLONASS documentation</w:t>
            </w:r>
          </w:p>
        </w:tc>
      </w:tr>
      <w:tr>
        <w:tc>
          <w:tcPr>
            <w:tcW w:w="0" w:type="auto"/>
          </w:tcPr>
          <w:p>
            <w:pPr>
              <w:spacing w:line="240" w:lineRule="auto" w:before="0" w:after="0"/>
              <w:pStyle w:val="Compact"/>
            </w:pPr>
            <w:r>
              <w:rPr>
                <w:sz w:val="20"/>
                <w:szCs w:val="20"/>
              </w:rPr>
              <w:t xml:space="preserve">INTELSAT-901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1999; BIU 2001; Intelsat fleet records [illustrative]</w:t>
            </w:r>
          </w:p>
        </w:tc>
      </w:tr>
      <w:tr>
        <w:tc>
          <w:tcPr>
            <w:tcW w:w="0" w:type="auto"/>
          </w:tcPr>
          <w:p>
            <w:pPr>
              <w:spacing w:line="240" w:lineRule="auto" w:before="0" w:after="0"/>
              <w:pStyle w:val="Compact"/>
            </w:pPr>
            <w:r>
              <w:rPr>
                <w:sz w:val="20"/>
                <w:szCs w:val="20"/>
              </w:rPr>
              <w:t xml:space="preserve">SES-17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2017; launched and BIU 2021; SES press release</w:t>
            </w:r>
          </w:p>
        </w:tc>
      </w:tr>
      <w:tr>
        <w:tc>
          <w:tcPr>
            <w:tcW w:w="0" w:type="auto"/>
          </w:tcPr>
          <w:p>
            <w:pPr>
              <w:spacing w:line="240" w:lineRule="auto" w:before="0" w:after="0"/>
              <w:pStyle w:val="Compact"/>
            </w:pPr>
            <w:r>
              <w:rPr>
                <w:sz w:val="20"/>
                <w:szCs w:val="20"/>
              </w:rPr>
              <w:t xml:space="preserve">VIASAT-3-AMER</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2017; BIU 2023 partial; Viasat 10-K 2023</w:t>
            </w:r>
          </w:p>
        </w:tc>
      </w:tr>
      <w:tr>
        <w:tc>
          <w:tcPr>
            <w:tcW w:w="0" w:type="auto"/>
          </w:tcPr>
          <w:p>
            <w:pPr>
              <w:spacing w:line="240" w:lineRule="auto" w:before="0" w:after="0"/>
              <w:pStyle w:val="Compact"/>
            </w:pPr>
            <w:r>
              <w:rPr>
                <w:sz w:val="20"/>
                <w:szCs w:val="20"/>
              </w:rPr>
              <w:t xml:space="preserve">JUPITER-3</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2018; BIU 2023; Hughes/EchoStar press release</w:t>
            </w:r>
          </w:p>
        </w:tc>
      </w:tr>
      <w:tr>
        <w:tc>
          <w:tcPr>
            <w:tcW w:w="0" w:type="auto"/>
          </w:tcPr>
          <w:p>
            <w:pPr>
              <w:spacing w:line="240" w:lineRule="auto" w:before="0" w:after="0"/>
              <w:pStyle w:val="Compact"/>
            </w:pPr>
            <w:r>
              <w:rPr>
                <w:sz w:val="20"/>
                <w:szCs w:val="20"/>
              </w:rPr>
              <w:t xml:space="preserve">INMARSAT-6-F1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2017; BIU 2021; Inmarsat annual report 2022</w:t>
            </w:r>
          </w:p>
        </w:tc>
      </w:tr>
      <w:tr>
        <w:tc>
          <w:tcPr>
            <w:tcW w:w="0" w:type="auto"/>
          </w:tcPr>
          <w:p>
            <w:pPr>
              <w:spacing w:line="240" w:lineRule="auto" w:before="0" w:after="0"/>
              <w:pStyle w:val="Compact"/>
            </w:pPr>
            <w:r>
              <w:rPr>
                <w:sz w:val="20"/>
                <w:szCs w:val="20"/>
              </w:rPr>
              <w:t xml:space="preserve">THURAYA-4</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2019; not yet BIU at observation; Yahsat/Thuraya announcements</w:t>
            </w:r>
          </w:p>
        </w:tc>
      </w:tr>
      <w:tr>
        <w:tc>
          <w:tcPr>
            <w:tcW w:w="0" w:type="auto"/>
          </w:tcPr>
          <w:p>
            <w:pPr>
              <w:spacing w:line="240" w:lineRule="auto" w:before="0" w:after="0"/>
              <w:pStyle w:val="Compact"/>
            </w:pPr>
            <w:r>
              <w:rPr>
                <w:sz w:val="20"/>
                <w:szCs w:val="20"/>
              </w:rPr>
              <w:t xml:space="preserve">EUTELSAT-KONNECT-VHTS</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2018; BIU 2023; Eutelsat press 2023</w:t>
            </w:r>
          </w:p>
        </w:tc>
      </w:tr>
      <w:tr>
        <w:tc>
          <w:tcPr>
            <w:tcW w:w="0" w:type="auto"/>
          </w:tcPr>
          <w:p>
            <w:pPr>
              <w:spacing w:line="240" w:lineRule="auto" w:before="0" w:after="0"/>
              <w:pStyle w:val="Compact"/>
            </w:pPr>
            <w:r>
              <w:rPr>
                <w:sz w:val="20"/>
                <w:szCs w:val="20"/>
              </w:rPr>
              <w:t xml:space="preserve">NILESAT-301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2019; BIU 2022; Nilesat press release [illustrative]</w:t>
            </w:r>
          </w:p>
        </w:tc>
      </w:tr>
      <w:tr>
        <w:tc>
          <w:tcPr>
            <w:tcW w:w="0" w:type="auto"/>
          </w:tcPr>
          <w:p>
            <w:pPr>
              <w:spacing w:line="240" w:lineRule="auto" w:before="0" w:after="0"/>
              <w:pStyle w:val="Compact"/>
            </w:pPr>
            <w:r>
              <w:rPr>
                <w:sz w:val="20"/>
                <w:szCs w:val="20"/>
              </w:rPr>
              <w:t xml:space="preserve">ARABSAT-6A</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2015; BIU 2019; Arabsat documentation</w:t>
            </w:r>
          </w:p>
        </w:tc>
      </w:tr>
      <w:tr>
        <w:tc>
          <w:tcPr>
            <w:tcW w:w="0" w:type="auto"/>
          </w:tcPr>
          <w:p>
            <w:pPr>
              <w:spacing w:line="240" w:lineRule="auto" w:before="0" w:after="0"/>
              <w:pStyle w:val="Compact"/>
            </w:pPr>
            <w:r>
              <w:rPr>
                <w:sz w:val="20"/>
                <w:szCs w:val="20"/>
              </w:rPr>
              <w:t xml:space="preserve">TDRS-M</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government</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existing NASA TDRS; TDRS-M ops 2017; NASA SCaN documentation [illustrative]</w:t>
            </w:r>
          </w:p>
        </w:tc>
      </w:tr>
      <w:tr>
        <w:tc>
          <w:tcPr>
            <w:tcW w:w="0" w:type="auto"/>
          </w:tcPr>
          <w:p>
            <w:pPr>
              <w:spacing w:line="240" w:lineRule="auto" w:before="0" w:after="0"/>
              <w:pStyle w:val="Compact"/>
            </w:pPr>
            <w:r>
              <w:rPr>
                <w:sz w:val="20"/>
                <w:szCs w:val="20"/>
              </w:rPr>
              <w:t xml:space="preserve">WGS-11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government</w:t>
            </w:r>
          </w:p>
        </w:tc>
        <w:tc>
          <w:tcPr>
            <w:tcW w:w="0" w:type="auto"/>
          </w:tcPr>
          <w:p>
            <w:pPr>
              <w:spacing w:line="240" w:lineRule="auto" w:before="0" w:after="0"/>
              <w:pStyle w:val="Compact"/>
            </w:pPr>
            <w:r>
              <w:rPr>
                <w:sz w:val="20"/>
                <w:szCs w:val="20"/>
              </w:rPr>
              <w:t xml:space="preserve">7.25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US WGS network; not yet BIU; USSF WGS program documentation</w:t>
            </w:r>
          </w:p>
        </w:tc>
      </w:tr>
      <w:tr>
        <w:tc>
          <w:tcPr>
            <w:tcW w:w="0" w:type="auto"/>
          </w:tcPr>
          <w:p>
            <w:pPr>
              <w:spacing w:line="240" w:lineRule="auto" w:before="0" w:after="0"/>
              <w:pStyle w:val="Compact"/>
            </w:pPr>
            <w:r>
              <w:rPr>
                <w:sz w:val="20"/>
                <w:szCs w:val="20"/>
              </w:rPr>
              <w:t xml:space="preserve">KOREASAT-7</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2013; BIU 2017; KT SAT press release</w:t>
            </w:r>
          </w:p>
        </w:tc>
      </w:tr>
      <w:tr>
        <w:tc>
          <w:tcPr>
            <w:tcW w:w="0" w:type="auto"/>
          </w:tcPr>
          <w:p>
            <w:pPr>
              <w:spacing w:line="240" w:lineRule="auto" w:before="0" w:after="0"/>
              <w:pStyle w:val="Compact"/>
            </w:pPr>
            <w:r>
              <w:rPr>
                <w:sz w:val="20"/>
                <w:szCs w:val="20"/>
              </w:rPr>
              <w:t xml:space="preserve">HISPASAT-AG1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2014; BIU 2017; Hispasat annual report</w:t>
            </w:r>
          </w:p>
        </w:tc>
      </w:tr>
      <w:tr>
        <w:tc>
          <w:tcPr>
            <w:tcW w:w="0" w:type="auto"/>
          </w:tcPr>
          <w:p>
            <w:pPr>
              <w:spacing w:line="240" w:lineRule="auto" w:before="0" w:after="0"/>
              <w:pStyle w:val="Compact"/>
            </w:pPr>
            <w:r>
              <w:rPr>
                <w:sz w:val="20"/>
                <w:szCs w:val="20"/>
              </w:rPr>
              <w:t xml:space="preserve">APSTAR-6D</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2017; BIU 2020; APT Satellite documentation</w:t>
            </w:r>
          </w:p>
        </w:tc>
      </w:tr>
      <w:tr>
        <w:tc>
          <w:tcPr>
            <w:tcW w:w="0" w:type="auto"/>
          </w:tcPr>
          <w:p>
            <w:pPr>
              <w:spacing w:line="240" w:lineRule="auto" w:before="0" w:after="0"/>
              <w:pStyle w:val="Compact"/>
            </w:pPr>
            <w:r>
              <w:rPr>
                <w:sz w:val="20"/>
                <w:szCs w:val="20"/>
              </w:rPr>
              <w:t xml:space="preserve">GUOWANG-NGSO</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government</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CHINASAT-GW filings 2020; not yet BIU; Young and Thadani (AMOS-2022)</w:t>
            </w:r>
          </w:p>
        </w:tc>
      </w:tr>
      <w:tr>
        <w:tc>
          <w:tcPr>
            <w:tcW w:w="0" w:type="auto"/>
          </w:tcPr>
          <w:p>
            <w:pPr>
              <w:spacing w:line="240" w:lineRule="auto" w:before="0" w:after="0"/>
              <w:pStyle w:val="Compact"/>
            </w:pPr>
            <w:r>
              <w:rPr>
                <w:sz w:val="20"/>
                <w:szCs w:val="20"/>
              </w:rPr>
              <w:t xml:space="preserve">LIGHTSPEED-LEO</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Telesat 2017; ongoing; Telesat earnings 2023</w:t>
            </w:r>
          </w:p>
        </w:tc>
      </w:tr>
      <w:tr>
        <w:tc>
          <w:tcPr>
            <w:tcW w:w="0" w:type="auto"/>
          </w:tcPr>
          <w:p>
            <w:pPr>
              <w:spacing w:line="240" w:lineRule="auto" w:before="0" w:after="0"/>
              <w:pStyle w:val="Compact"/>
            </w:pPr>
            <w:r>
              <w:rPr>
                <w:sz w:val="20"/>
                <w:szCs w:val="20"/>
              </w:rPr>
              <w:t xml:space="preserve">SPACEMOBILE-LEO</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ITU SNL filings via various admin 2020-2021; not yet BIU; AST SpaceMobile 10-K</w:t>
            </w:r>
          </w:p>
        </w:tc>
      </w:tr>
      <w:tr>
        <w:tc>
          <w:tcPr>
            <w:tcW w:w="0" w:type="auto"/>
          </w:tcPr>
          <w:p>
            <w:pPr>
              <w:spacing w:line="240" w:lineRule="auto" w:before="0" w:after="0"/>
              <w:pStyle w:val="Compact"/>
            </w:pPr>
            <w:r>
              <w:rPr>
                <w:sz w:val="20"/>
                <w:szCs w:val="20"/>
              </w:rPr>
              <w:t xml:space="preserve">LYNK-LEO</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receipt 2019; BIU notified 2022; Lynk Global press release</w:t>
            </w:r>
          </w:p>
        </w:tc>
      </w:tr>
      <w:tr>
        <w:tc>
          <w:tcPr>
            <w:tcW w:w="0" w:type="auto"/>
          </w:tcPr>
          <w:p>
            <w:pPr>
              <w:spacing w:line="240" w:lineRule="auto" w:before="0" w:after="0"/>
              <w:pStyle w:val="Compact"/>
            </w:pPr>
            <w:r>
              <w:rPr>
                <w:sz w:val="20"/>
                <w:szCs w:val="20"/>
              </w:rPr>
              <w:t xml:space="preserve">SWARM-LEO</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0.137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2018; BIU 2019 full deployment; Swarm/SpaceX docs</w:t>
            </w:r>
          </w:p>
        </w:tc>
      </w:tr>
      <w:tr>
        <w:tc>
          <w:tcPr>
            <w:tcW w:w="0" w:type="auto"/>
          </w:tcPr>
          <w:p>
            <w:pPr>
              <w:spacing w:line="240" w:lineRule="auto" w:before="0" w:after="0"/>
              <w:pStyle w:val="Compact"/>
            </w:pPr>
            <w:r>
              <w:rPr>
                <w:sz w:val="20"/>
                <w:szCs w:val="20"/>
              </w:rPr>
              <w:t xml:space="preserve">PLANET-FLOCK</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recurring; BIU per generation; Planet S-1 filing 2021</w:t>
            </w:r>
          </w:p>
        </w:tc>
      </w:tr>
      <w:tr>
        <w:tc>
          <w:tcPr>
            <w:tcW w:w="0" w:type="auto"/>
          </w:tcPr>
          <w:p>
            <w:pPr>
              <w:spacing w:line="240" w:lineRule="auto" w:before="0" w:after="0"/>
              <w:pStyle w:val="Compact"/>
            </w:pPr>
            <w:r>
              <w:rPr>
                <w:sz w:val="20"/>
                <w:szCs w:val="20"/>
              </w:rPr>
              <w:t xml:space="preserve">SPIRE-LEMUR</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filings 2014-2016; BIU 2017; Spire Global 10-K 2022</w:t>
            </w:r>
          </w:p>
        </w:tc>
      </w:tr>
      <w:tr>
        <w:tc>
          <w:tcPr>
            <w:tcW w:w="0" w:type="auto"/>
          </w:tcPr>
          <w:p>
            <w:pPr>
              <w:spacing w:line="240" w:lineRule="auto" w:before="0" w:after="0"/>
              <w:pStyle w:val="Compact"/>
            </w:pPr>
            <w:r>
              <w:rPr>
                <w:sz w:val="20"/>
                <w:szCs w:val="20"/>
              </w:rPr>
              <w:t xml:space="preserve">BLACKSKY-GEN2</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2018; BIU 2021; BlackSky 10-K 2022</w:t>
            </w:r>
          </w:p>
        </w:tc>
      </w:tr>
      <w:tr>
        <w:tc>
          <w:tcPr>
            <w:tcW w:w="0" w:type="auto"/>
          </w:tcPr>
          <w:p>
            <w:pPr>
              <w:spacing w:line="240" w:lineRule="auto" w:before="0" w:after="0"/>
              <w:pStyle w:val="Compact"/>
            </w:pPr>
            <w:r>
              <w:rPr>
                <w:sz w:val="20"/>
                <w:szCs w:val="20"/>
              </w:rPr>
              <w:t xml:space="preserve">ICEYE-X</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via Finland admin 2017; BIU 2018; ICEYE press release</w:t>
            </w:r>
          </w:p>
        </w:tc>
      </w:tr>
      <w:tr>
        <w:tc>
          <w:tcPr>
            <w:tcW w:w="0" w:type="auto"/>
          </w:tcPr>
          <w:p>
            <w:pPr>
              <w:spacing w:line="240" w:lineRule="auto" w:before="0" w:after="0"/>
              <w:pStyle w:val="Compact"/>
            </w:pPr>
            <w:r>
              <w:rPr>
                <w:sz w:val="20"/>
                <w:szCs w:val="20"/>
              </w:rPr>
              <w:t xml:space="preserve">CAPELLA-WHITNEY</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ITU SNL 2018; BIU 2020; Capella Space FCC IBFS filings</w:t>
            </w:r>
          </w:p>
        </w:tc>
      </w:tr>
    </w:tbl>
    <w:bookmarkEnd w:id="203"/>
    <w:bookmarkStart w:id="204"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elapsed from ITU SNL/MIFR filing receipt to Brought-Into-Use (BIU) notification or right-censoring</w:t>
            </w:r>
          </w:p>
        </w:tc>
        <w:tc>
          <w:tcPr>
            <w:tcW w:w="0" w:type="auto"/>
          </w:tcPr>
          <w:p>
            <w:pPr>
              <w:spacing w:line="240" w:lineRule="auto" w:before="0" w:after="0"/>
              <w:pStyle w:val="Compact"/>
            </w:pPr>
            <w:r>
              <w:rPr>
                <w:sz w:val="20"/>
                <w:szCs w:val="20"/>
              </w:rPr>
              <w:t xml:space="preserve">ITU Space Network List; operator filings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BIU successfully notified within observation window; 0 if right-censored</w:t>
            </w:r>
          </w:p>
        </w:tc>
        <w:tc>
          <w:tcPr>
            <w:tcW w:w="0" w:type="auto"/>
          </w:tcPr>
          <w:p>
            <w:pPr>
              <w:spacing w:line="240" w:lineRule="auto" w:before="0" w:after="0"/>
              <w:pStyle w:val="Compact"/>
            </w:pPr>
            <w:r>
              <w:rPr>
                <w:sz w:val="20"/>
                <w:szCs w:val="20"/>
              </w:rPr>
              <w:t xml:space="preserve">ITU MIFR records</w:t>
            </w:r>
          </w:p>
        </w:tc>
      </w:tr>
      <w:tr>
        <w:tc>
          <w:tcPr>
            <w:tcW w:w="0" w:type="auto"/>
          </w:tcPr>
          <w:p>
            <w:pPr>
              <w:spacing w:line="240" w:lineRule="auto" w:before="0" w:after="0"/>
              <w:pStyle w:val="Compact"/>
            </w:pPr>
            <w:r>
              <w:rPr>
                <w:sz w:val="20"/>
                <w:szCs w:val="20"/>
              </w:rPr>
              <w:t xml:space="preserve">is_ngso</w:t>
            </w:r>
          </w:p>
        </w:tc>
        <w:tc>
          <w:tcPr>
            <w:tcW w:w="0" w:type="auto"/>
          </w:tcPr>
          <w:p>
            <w:pPr>
              <w:spacing w:line="240" w:lineRule="auto" w:before="0" w:after="0"/>
              <w:pStyle w:val="Compact"/>
            </w:pPr>
            <w:r>
              <w:rPr>
                <w:sz w:val="20"/>
                <w:szCs w:val="20"/>
              </w:rPr>
              <w:t xml:space="preserve">1 if non-geostationary orbit network; 0 if GEO</w:t>
            </w:r>
          </w:p>
        </w:tc>
        <w:tc>
          <w:tcPr>
            <w:tcW w:w="0" w:type="auto"/>
          </w:tcPr>
          <w:p>
            <w:pPr>
              <w:spacing w:line="240" w:lineRule="auto" w:before="0" w:after="0"/>
              <w:pStyle w:val="Compact"/>
            </w:pPr>
            <w:r>
              <w:rPr>
                <w:sz w:val="20"/>
                <w:szCs w:val="20"/>
              </w:rPr>
              <w:t xml:space="preserve">ITU SNL filing classification</w:t>
            </w:r>
          </w:p>
        </w:tc>
      </w:tr>
      <w:tr>
        <w:tc>
          <w:tcPr>
            <w:tcW w:w="0" w:type="auto"/>
          </w:tcPr>
          <w:p>
            <w:pPr>
              <w:spacing w:line="240" w:lineRule="auto" w:before="0" w:after="0"/>
              <w:pStyle w:val="Compact"/>
            </w:pPr>
            <w:r>
              <w:rPr>
                <w:sz w:val="20"/>
                <w:szCs w:val="20"/>
              </w:rPr>
              <w:t xml:space="preserve">is_megaconstellation</w:t>
            </w:r>
          </w:p>
        </w:tc>
        <w:tc>
          <w:tcPr>
            <w:tcW w:w="0" w:type="auto"/>
          </w:tcPr>
          <w:p>
            <w:pPr>
              <w:spacing w:line="240" w:lineRule="auto" w:before="0" w:after="0"/>
              <w:pStyle w:val="Compact"/>
            </w:pPr>
            <w:r>
              <w:rPr>
                <w:sz w:val="20"/>
                <w:szCs w:val="20"/>
              </w:rPr>
              <w:t xml:space="preserve">1 if planned constellation size exceeds 1000 satellites; 0 otherwise</w:t>
            </w:r>
          </w:p>
        </w:tc>
        <w:tc>
          <w:tcPr>
            <w:tcW w:w="0" w:type="auto"/>
          </w:tcPr>
          <w:p>
            <w:pPr>
              <w:spacing w:line="240" w:lineRule="auto" w:before="0" w:after="0"/>
              <w:pStyle w:val="Compact"/>
            </w:pPr>
            <w:r>
              <w:rPr>
                <w:sz w:val="20"/>
                <w:szCs w:val="20"/>
              </w:rPr>
              <w:t xml:space="preserve">Operator filings and FCC IBFS records</w:t>
            </w:r>
          </w:p>
        </w:tc>
      </w:tr>
      <w:tr>
        <w:tc>
          <w:tcPr>
            <w:tcW w:w="0" w:type="auto"/>
          </w:tcPr>
          <w:p>
            <w:pPr>
              <w:spacing w:line="240" w:lineRule="auto" w:before="0" w:after="0"/>
              <w:pStyle w:val="Compact"/>
            </w:pPr>
            <w:r>
              <w:rPr>
                <w:sz w:val="20"/>
                <w:szCs w:val="20"/>
              </w:rPr>
              <w:t xml:space="preserve">prior_filings_count</w:t>
            </w:r>
          </w:p>
        </w:tc>
        <w:tc>
          <w:tcPr>
            <w:tcW w:w="0" w:type="auto"/>
          </w:tcPr>
          <w:p>
            <w:pPr>
              <w:spacing w:line="240" w:lineRule="auto" w:before="0" w:after="0"/>
              <w:pStyle w:val="Compact"/>
            </w:pPr>
            <w:r>
              <w:rPr>
                <w:sz w:val="20"/>
                <w:szCs w:val="20"/>
              </w:rPr>
              <w:t xml:space="preserve">Count of prior coordination filings by same operator in same band class</w:t>
            </w:r>
          </w:p>
        </w:tc>
        <w:tc>
          <w:tcPr>
            <w:tcW w:w="0" w:type="auto"/>
          </w:tcPr>
          <w:p>
            <w:pPr>
              <w:spacing w:line="240" w:lineRule="auto" w:before="0" w:after="0"/>
              <w:pStyle w:val="Compact"/>
            </w:pPr>
            <w:r>
              <w:rPr>
                <w:sz w:val="20"/>
                <w:szCs w:val="20"/>
              </w:rPr>
              <w:t xml:space="preserve">ITU SNL historical records</w:t>
            </w:r>
          </w:p>
        </w:tc>
      </w:tr>
      <w:tr>
        <w:tc>
          <w:tcPr>
            <w:tcW w:w="0" w:type="auto"/>
          </w:tcPr>
          <w:p>
            <w:pPr>
              <w:spacing w:line="240" w:lineRule="auto" w:before="0" w:after="0"/>
              <w:pStyle w:val="Compact"/>
            </w:pPr>
            <w:r>
              <w:rPr>
                <w:sz w:val="20"/>
                <w:szCs w:val="20"/>
              </w:rPr>
              <w:t xml:space="preserve">band_ghz_low</w:t>
            </w:r>
          </w:p>
        </w:tc>
        <w:tc>
          <w:tcPr>
            <w:tcW w:w="0" w:type="auto"/>
          </w:tcPr>
          <w:p>
            <w:pPr>
              <w:spacing w:line="240" w:lineRule="auto" w:before="0" w:after="0"/>
              <w:pStyle w:val="Compact"/>
            </w:pPr>
            <w:r>
              <w:rPr>
                <w:sz w:val="20"/>
                <w:szCs w:val="20"/>
              </w:rPr>
              <w:t xml:space="preserve">Lower bound of primary downlink frequency band in GHz</w:t>
            </w:r>
          </w:p>
        </w:tc>
        <w:tc>
          <w:tcPr>
            <w:tcW w:w="0" w:type="auto"/>
          </w:tcPr>
          <w:p>
            <w:pPr>
              <w:spacing w:line="240" w:lineRule="auto" w:before="0" w:after="0"/>
              <w:pStyle w:val="Compact"/>
            </w:pPr>
            <w:r>
              <w:rPr>
                <w:sz w:val="20"/>
                <w:szCs w:val="20"/>
              </w:rPr>
              <w:t xml:space="preserve">ITU Radio Regulations Article 5 allocations</w:t>
            </w:r>
          </w:p>
        </w:tc>
      </w:tr>
    </w:tbl>
    <w:bookmarkEnd w:id="204"/>
    <w:bookmarkEnd w:id="205"/>
    <w:bookmarkEnd w:id="20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1" Type="http://schemas.openxmlformats.org/officeDocument/2006/relationships/image" Target="media/rId191.png"/><Relationship Id="rId199" Type="http://schemas.openxmlformats.org/officeDocument/2006/relationships/image" Target="media/rId199.png"/><Relationship Id="rId178" Type="http://schemas.openxmlformats.org/officeDocument/2006/relationships/hyperlink" Target="https://doi.org/10.1016/j.actaastro.2022.02.012" TargetMode="External"/><Relationship Id="rId181" Type="http://schemas.openxmlformats.org/officeDocument/2006/relationships/hyperlink" Target="https://doi.org/10.1016/j.actaastro.2024.07.022" TargetMode="External"/><Relationship Id="rId187" Type="http://schemas.openxmlformats.org/officeDocument/2006/relationships/hyperlink" Target="https://doi.org/10.1016/j.actaastro.2024.08.030" TargetMode="External"/><Relationship Id="rId156" Type="http://schemas.openxmlformats.org/officeDocument/2006/relationships/hyperlink" Target="https://doi.org/10.1016/j.actaastro.2025.01.043" TargetMode="External"/><Relationship Id="rId174" Type="http://schemas.openxmlformats.org/officeDocument/2006/relationships/hyperlink" Target="https://doi.org/10.1016/j.actaastro.2025.01.069" TargetMode="External"/><Relationship Id="rId176" Type="http://schemas.openxmlformats.org/officeDocument/2006/relationships/hyperlink" Target="https://doi.org/10.1016/j.actaastro.2025.02.010" TargetMode="External"/><Relationship Id="rId185" Type="http://schemas.openxmlformats.org/officeDocument/2006/relationships/hyperlink" Target="https://doi.org/10.1016/j.actaastro.2025.03.034" TargetMode="External"/><Relationship Id="rId183" Type="http://schemas.openxmlformats.org/officeDocument/2006/relationships/hyperlink" Target="https://doi.org/10.1016/j.actaastro.2026.02.012" TargetMode="External"/><Relationship Id="rId154" Type="http://schemas.openxmlformats.org/officeDocument/2006/relationships/hyperlink" Target="https://doi.org/10.64861/WFHJ7307" TargetMode="External"/></Relationships>
</file>

<file path=word/_rels/footnotes.xml.rels><?xml version='1.0' encoding='UTF-8' standalone='yes'?>
<Relationships xmlns="http://schemas.openxmlformats.org/package/2006/relationships"><Relationship Id="rId178" Type="http://schemas.openxmlformats.org/officeDocument/2006/relationships/hyperlink" Target="https://doi.org/10.1016/j.actaastro.2022.02.012" TargetMode="External"/><Relationship Id="rId181" Type="http://schemas.openxmlformats.org/officeDocument/2006/relationships/hyperlink" Target="https://doi.org/10.1016/j.actaastro.2024.07.022" TargetMode="External"/><Relationship Id="rId187" Type="http://schemas.openxmlformats.org/officeDocument/2006/relationships/hyperlink" Target="https://doi.org/10.1016/j.actaastro.2024.08.030" TargetMode="External"/><Relationship Id="rId156" Type="http://schemas.openxmlformats.org/officeDocument/2006/relationships/hyperlink" Target="https://doi.org/10.1016/j.actaastro.2025.01.043" TargetMode="External"/><Relationship Id="rId174" Type="http://schemas.openxmlformats.org/officeDocument/2006/relationships/hyperlink" Target="https://doi.org/10.1016/j.actaastro.2025.01.069" TargetMode="External"/><Relationship Id="rId176" Type="http://schemas.openxmlformats.org/officeDocument/2006/relationships/hyperlink" Target="https://doi.org/10.1016/j.actaastro.2025.02.010" TargetMode="External"/><Relationship Id="rId185" Type="http://schemas.openxmlformats.org/officeDocument/2006/relationships/hyperlink" Target="https://doi.org/10.1016/j.actaastro.2025.03.034" TargetMode="External"/><Relationship Id="rId183" Type="http://schemas.openxmlformats.org/officeDocument/2006/relationships/hyperlink" Target="https://doi.org/10.1016/j.actaastro.2026.02.012" TargetMode="External"/><Relationship Id="rId154" Type="http://schemas.openxmlformats.org/officeDocument/2006/relationships/hyperlink" Target="https://doi.org/10.64861/WFHJ73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Coordination Drag: How Long Does ITU Frequency Coordination Actually Take, and Does It Predict Constellation Deployment Outcomes</dc:title>
  <dc:creator>Lucia Iverson (1B-ITI-123)</dc:creator>
  <cp:keywords/>
  <dcterms:created xsi:type="dcterms:W3CDTF">2026-07-02T16:25:43Z</dcterms:created>
  <dcterms:modified xsi:type="dcterms:W3CDTF">2026-07-02T16:25:43Z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