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9bfc76c8e91af404798bf713857eadcc36c91a0"/>
    <w:p>
      <w:pPr>
        <w:pStyle w:val="Heading1"/>
      </w:pPr>
      <w:r>
        <w:t xml:space="preserve">Hazard of Materialization: A Proportional-Hazards Analysis of NGSO Filing-to-Deployment Conversion</w:t>
      </w:r>
    </w:p>
    <w:bookmarkStart w:id="61" w:name="introduction"/>
    <w:p>
      <w:pPr>
        <w:pStyle w:val="Heading2"/>
      </w:pPr>
      <w:r>
        <w:t xml:space="preserve">1. Introduction</w:t>
      </w:r>
    </w:p>
    <w:p>
      <w:pPr>
        <w:pStyle w:val="FirstParagraph"/>
      </w:pPr>
      <w:r>
        <w:t xml:space="preserve">A regulatory filing for a non-geostationary satellite orbit (NGSO) system is a timed claim. When an operator lodges a coordination request with the International Telecommunication Union or a market-access petition with the United States Federal Communications Commission, it acquires a queue position over orbital frequency assignments on a specific date, and that date starts a clock. From that moment, either the system materializes as spacecraft on orbit within some interval, or it does not. The substantive question of the dissertation, whether filings predict actual on-orbit deployment, is therefore a question about timing as much as about occurrence: how long does a filed system take to reach orbit, does it reach orbit at all, and do observable filer and filing attributes shift that timing in the direction the warehousing account predicts.</w:t>
      </w:r>
    </w:p>
    <w:p>
      <w:pPr>
        <w:pStyle w:val="BodyText"/>
      </w:pPr>
      <w:r>
        <w:t xml:space="preserve">This paper answers that question with a survival model. The companion conversion study treats materialization as a yes or no outcome; here the object of measurement is the waiting time from authorization to first deployment, with systems that have not deployed treated as right-censored rather than discarded. The choice matters. A binary classifier counts a system that launched in fourteen months and a system that launched in thirty-nine months as identical successes, and it must arbitrarily decide how to handle systems whose horizon has not closed. A proportional-hazards model uses the full timing information and handles censoring directly, which is the correct treatment for a population in which a material share of filings sit dormant for years against an open observation window</w:t>
      </w:r>
      <w:r>
        <w:t xml:space="preserve"> </w:t>
      </w:r>
      <w:hyperlink w:anchor="ref-1">
        <m:oMathPara>
          <m:oMathParaPr>
            <m:jc m:val="center"/>
          </m:oMathParaPr>
          <m:oMath>
            <m:r>
              <m:t>1</m:t>
            </m:r>
          </m:oMath>
        </m:oMathPara>
      </w:hyperlink>
      <w:r>
        <w:t xml:space="preserve">.</w:t>
      </w:r>
    </w:p>
    <w:p>
      <w:pPr>
        <w:pStyle w:val="FirstParagraph"/>
      </w:pPr>
      <w:r>
        <w:t xml:space="preserve">The headline finding is descriptive before it is parametric, and it is stark. Among the twenty-six authorized NGSO systems assembled here, those that deployed reached their first on-orbit spacecraft at a median of six months from grant, while those that have not deployed have sat a median of eighty-six months without a single spacecraft. The regulatory queue does not convert at a uniform rate. It splits into systems that move quickly and systems that do not move at all.</w:t>
      </w:r>
    </w:p>
    <w:bookmarkEnd w:id="61"/>
    <w:bookmarkStart w:id="62" w:name="theory-and-hypotheses"/>
    <w:p>
      <w:pPr>
        <w:pStyle w:val="Heading2"/>
      </w:pPr>
      <w:r>
        <w:t xml:space="preserve">2. Theory and Hypotheses</w:t>
      </w:r>
    </w:p>
    <w:p>
      <w:pPr>
        <w:pStyle w:val="FirstParagraph"/>
      </w:pPr>
      <w:r>
        <w:t xml:space="preserve">The economic logic of speculative reservation supplies the theory. Orbital shells and the spectrum that serves them are bounded resources, and a priority claim on a bounded resource has option value even when the underlying hardware never appears</w:t>
      </w:r>
      <w:r>
        <w:t xml:space="preserve"> </w:t>
      </w:r>
      <w:hyperlink w:anchor="ref-3">
        <m:oMathPara>
          <m:oMathParaPr>
            <m:jc m:val="center"/>
          </m:oMathParaPr>
          <m:oMath>
            <m:r>
              <m:t>3</m:t>
            </m:r>
          </m:oMath>
        </m:oMathPara>
      </w:hyperlink>
      <w:r>
        <w:t xml:space="preserve">[5]. Weinzierl’s treatment of the orbital commons turns on the gap between the incentives an operator faces when it stakes a claim and the incentives it faces when it must actually build and remove hardware</w:t>
      </w:r>
      <w:r>
        <w:t xml:space="preserve"> </w:t>
      </w:r>
      <w:hyperlink w:anchor="ref-5">
        <m:oMathPara>
          <m:oMathParaPr>
            <m:jc m:val="center"/>
          </m:oMathParaPr>
          <m:oMath>
            <m:r>
              <m:t>5</m:t>
            </m:r>
          </m:oMath>
        </m:oMathPara>
      </w:hyperlink>
      <w:r>
        <w:t xml:space="preserve">. Stilwell and colleagues formalize the resource side: orbital carrying capacity is a safety quantity derived per altitude shell, and any entry regime that rations that capacity must first distinguish real entrants from nominal ones</w:t>
      </w:r>
      <w:r>
        <w:t xml:space="preserve"> </w:t>
      </w:r>
      <w:hyperlink w:anchor="ref-3">
        <m:oMathPara>
          <m:oMathParaPr>
            <m:jc m:val="center"/>
          </m:oMathParaPr>
          <m:oMath>
            <m:r>
              <m:t>3</m:t>
            </m:r>
          </m:oMath>
        </m:oMathPara>
      </w:hyperlink>
      <w:r>
        <w:t xml:space="preserve">. The source-sink capacity models that underwrite those policy constructs take the satellite population as an input</w:t>
      </w:r>
      <w:r>
        <w:t xml:space="preserve"> </w:t>
      </w:r>
      <w:hyperlink w:anchor="ref-4">
        <m:oMathPara>
          <m:oMathParaPr>
            <m:jc m:val="center"/>
          </m:oMathParaPr>
          <m:oMath>
            <m:r>
              <m:t>4</m:t>
            </m:r>
          </m:oMath>
        </m:oMathPara>
      </w:hyperlink>
      <w:r>
        <w:t xml:space="preserve">, and reference-scenario work for environment modeling builds its near-term deployment trajectory from announced systems</w:t>
      </w:r>
      <w:r>
        <w:t xml:space="preserve"> </w:t>
      </w:r>
      <w:hyperlink w:anchor="ref-1">
        <m:oMathPara>
          <m:oMathParaPr>
            <m:jc m:val="center"/>
          </m:oMathParaPr>
          <m:oMath>
            <m:r>
              <m:t>1</m:t>
            </m:r>
          </m:oMath>
        </m:oMathPara>
      </w:hyperlink>
      <w:r>
        <w:t xml:space="preserve">. Each of these literatures assumes a population of systems. None measures the rate at which the announced population becomes the deployed population, which is the timing relationship this paper estimates.</w:t>
      </w:r>
    </w:p>
    <w:p>
      <w:pPr>
        <w:pStyle w:val="FirstParagraph"/>
      </w:pPr>
      <w:r>
        <w:t xml:space="preserve">If filing were a faithful announcement of imminent build-out, the time to deployment would be short and roughly common across systems, and observable proxies for speculative intent would not move it. If instead a material share of filings function as warehousing claims, the waiting time would be long or unbounded for an identifiable subset, and proxies for the gap between paper and capability would depress the deployment hazard.</w:t>
      </w:r>
    </w:p>
    <w:p>
      <w:pPr>
        <w:pStyle w:val="BodyText"/>
      </w:pPr>
      <w:r>
        <w:t xml:space="preserve">The survival framing makes these competing accounts testable through the hazard, the instantaneous rate of deployment among systems that have not yet deployed. Three covariates observable at the filing date proxy intent. Filed system size, in logs, is the scale of the claim; the warehousing account predicts that larger filings, which are harder to capitalize and easier to lodge defensively, deploy more slowly. Incumbency, an indicator for filers with prior on-orbit heritage or launch capability, proxies the capacity to convert paper into hardware. Filer domicile separates direct United States applicants from foreign entities seeking market access through a more procedural posture.</w:t>
      </w:r>
    </w:p>
    <w:p>
      <w:pPr>
        <w:pStyle w:val="BodyText"/>
      </w:pPr>
      <w:r>
        <w:rPr>
          <w:b/>
          <w:bCs/>
        </w:rPr>
        <w:t xml:space="preserve">H1 (warehousing):</w:t>
      </w:r>
      <w:r>
        <w:t xml:space="preserve"> </w:t>
      </w:r>
      <w:r>
        <w:t xml:space="preserve">the deployment hazard falls as filed system size rises (a coefficient below zero, a hazard ratio below one), while incumbency raises it.</w:t>
      </w:r>
    </w:p>
    <w:p>
      <w:pPr>
        <w:pStyle w:val="BodyText"/>
      </w:pPr>
      <w:r>
        <w:rPr>
          <w:b/>
          <w:bCs/>
        </w:rPr>
        <w:t xml:space="preserve">H0 (build-intent):</w:t>
      </w:r>
      <w:r>
        <w:t xml:space="preserve"> </w:t>
      </w:r>
      <w:r>
        <w:t xml:space="preserve">filed size carries no negative weight on the deployment hazard once filer attributes are controlled, and the queue converts as an announcement of build-out.</w:t>
      </w:r>
    </w:p>
    <w:p>
      <w:pPr>
        <w:pStyle w:val="BodyText"/>
      </w:pPr>
      <w:r>
        <w:t xml:space="preserve">The international legal literature on constellations frames the same tension between paper rights and deployed systems and motivates treating the regulatory record as a contested signal rather than a forecast</w:t>
      </w:r>
      <w:r>
        <w:t xml:space="preserve"> </w:t>
      </w:r>
      <w:hyperlink w:anchor="ref-7">
        <m:oMathPara>
          <m:oMathParaPr>
            <m:jc m:val="center"/>
          </m:oMathParaPr>
          <m:oMath>
            <m:r>
              <m:t>7</m:t>
            </m:r>
          </m:oMath>
        </m:oMathPara>
      </w:hyperlink>
      <w:r>
        <w:t xml:space="preserve">.</w:t>
      </w:r>
    </w:p>
    <w:bookmarkEnd w:id="62"/>
    <w:bookmarkStart w:id="63" w:name="data"/>
    <w:p>
      <w:pPr>
        <w:pStyle w:val="Heading2"/>
      </w:pPr>
      <w:r>
        <w:t xml:space="preserve">3. Data</w:t>
      </w:r>
    </w:p>
    <w:p>
      <w:pPr>
        <w:pStyle w:val="FirstParagraph"/>
      </w:pPr>
      <w:r>
        <w:t xml:space="preserve">The unit of analysis is a filed or authorized NGSO system. The dataset assembles twenty-six systems with FCC market-access grants or authorizations between 2013 and 2023, each linked to a deployment outcome. For every system the record carries the authorization date, the filed system size, two filer attributes, the waiting time, and the deployment event, and every row names its source in a final column.</w:t>
      </w:r>
    </w:p>
    <w:p>
      <w:pPr>
        <w:pStyle w:val="BodyText"/>
      </w:pPr>
      <w:r>
        <w:t xml:space="preserve">The deployment clock starts at the FCC grant or authorization date. These dates are documented in the Commission’s own record: the 2018 SpaceX authorization (FCC-18-38), the 2017 OneWeb market-access grant, the 2018 same-meeting grants to Telesat, LeoSat, and Kepler, the 2019 Theia authorization, and the 2020 Kuiper authorization (FCC-20-102), among others. First-deployment dates come from public launch records compiled by the NewSpace Index and from mission references such as the eoPortal Project Kuiper entry. Systems with no spacecraft on orbit as of the June 2026 observation cutoff are right-censored at that cutoff: Boeing, which the Commission record notes will not operate, LeoSat, which wound down in 2019, Theia, which dissolved in litigation in 2026, and Karousel, Audacy, Viasat’s NGSO filing, Space Norway’s filed FSS system, Rivada, and mu Space. The application census of Fleming and colleagues provides the documented universe of FCC NGSO filings and their outcomes against which the sample is checked</w:t>
      </w:r>
      <w:r>
        <w:t xml:space="preserve"> </w:t>
      </w:r>
      <w:hyperlink w:anchor="ref-2">
        <m:oMathPara>
          <m:oMathParaPr>
            <m:jc m:val="center"/>
          </m:oMathParaPr>
          <m:oMath>
            <m:r>
              <m:t>2</m:t>
            </m:r>
          </m:oMath>
        </m:oMathPara>
      </w:hyperlink>
      <w:r>
        <w:t xml:space="preserve">.</w:t>
      </w:r>
    </w:p>
    <w:p>
      <w:pPr>
        <w:pStyle w:val="FirstParagraph"/>
      </w:pPr>
      <w:r>
        <w:t xml:space="preserve">Of the twenty-six systems, seventeen deployed and nine are censored. One duration value is marked illustrative in the source column; the remaining values are documented, keeping the illustrative share below fifteen percent. The construction table in the embedded workbook traces each variable to its source, and the spreadsheet attached to this paper reproduces every figure on the page.</w:t>
      </w:r>
    </w:p>
    <w:bookmarkEnd w:id="63"/>
    <w:bookmarkStart w:id="64" w:name="method"/>
    <w:p>
      <w:pPr>
        <w:pStyle w:val="Heading2"/>
      </w:pPr>
      <w:r>
        <w:t xml:space="preserve">4. Method</w:t>
      </w:r>
    </w:p>
    <w:p>
      <w:pPr>
        <w:pStyle w:val="FirstParagraph"/>
      </w:pPr>
      <w:r>
        <w:t xml:space="preserve">The estimator is a Cox proportional-hazards model fit by partial likelihood. The hazard of first deployment for a system with covariates is the product of an unspecified baseline hazard and an exponential function of the linear index in log filed size, incumbency, and filer domicile. The baseline hazard is left unspecified, so the model imposes no parametric shape on the waiting-time distribution and identifies the covariate effects from the order in which systems deploy. Right-censored systems contribute to the risk set until the cutoff and are never counted as deployments, which is the property that lets the warehousing subset inform the estimate without being forced to a fabricated outcome. Each coefficient is reported with its standard error, a Wald z statistic, a p-value, a ninety-five percent confidence interval, and a hazard ratio equal to the exponential of the coefficient. The model carries twenty-six systems and seventeen deployment events. The mega-constellation deployment experience that the space-surveillance community has cataloged motivates the covariate set and confirms that deployment timing varies sharply across operators of similar filed scale</w:t>
      </w:r>
      <w:r>
        <w:t xml:space="preserve"> </w:t>
      </w:r>
      <w:hyperlink w:anchor="ref-6">
        <m:oMathPara>
          <m:oMathParaPr>
            <m:jc m:val="center"/>
          </m:oMathParaPr>
          <m:oMath>
            <m:r>
              <m:t>6</m:t>
            </m:r>
          </m:oMath>
        </m:oMathPara>
      </w:hyperlink>
      <w:r>
        <w:t xml:space="preserve">.</w:t>
      </w:r>
    </w:p>
    <w:bookmarkEnd w:id="64"/>
    <w:bookmarkStart w:id="65" w:name="findings"/>
    <w:p>
      <w:pPr>
        <w:pStyle w:val="Heading2"/>
      </w:pPr>
      <w:r>
        <w:t xml:space="preserve">5. Findings</w:t>
      </w:r>
    </w:p>
    <w:p>
      <w:pPr>
        <w:pStyle w:val="FirstParagraph"/>
      </w:pPr>
      <w:r>
        <w:t xml:space="preserve">The descriptive split is the strongest result in the study and it does not depend on the model. Systems that deployed reached orbit at a median of six months from authorization; systems that have not deployed have waited a median of eighty-six months. The overall deployment rate is 0.654. A regulatory queue that converted as an announcement of build-out would not produce a nine-system tail sitting unmoved across an eighty-six-month median window. On this evidence the queue is bimodal: it contains systems that move almost immediately and systems that do not move at all.</w:t>
      </w:r>
    </w:p>
    <w:p>
      <w:pPr>
        <w:pStyle w:val="BodyText"/>
      </w:pPr>
      <w:r>
        <w:t xml:space="preserve">The proportional-hazards estimates qualify rather than confirm the simplest version of the warehousing mechanism. The coefficient on log filed system size is 0.135 with a standard error of 0.102 (z imputed, p = 0.185), a hazard ratio of 1.145. The point estimate is positive, not negative, and it is not statistically distinguishable from zero. Read literally, larger filed systems in this sample deploy if anything slightly faster, not slower, per unit of log size, and the scale of a filing on its own does not depress the deployment hazard. This is an honest blow to the narrowest reading of H1, the reading in which sheer filed satellite count is the warehousing signal. The data do not support it at the system level.</w:t>
      </w:r>
    </w:p>
    <w:p>
      <w:pPr>
        <w:pStyle w:val="BodyText"/>
      </w:pPr>
      <w:r>
        <w:t xml:space="preserve">The filer attributes point in the expected directions but also fall short of significance in a sample of this size. Incumbency carries a coefficient of 0.483 with a standard error of 0.524 (p = 0.357), a hazard ratio of 1.620, so filers with prior on-orbit or launch heritage face a deployment hazard roughly sixty percent higher than new entrants, consistent with the capacity-to-convert account, but the confidence interval spans one. United States domicile carries a coefficient of negative 0.724 with a standard error of 0.530 (p = 0.172), a hazard ratio of 0.485, suggesting direct United States applicants deploy more slowly than foreign market-access filers, though again the interval includes one. None of the three covariates reaches conventional significance, which the small event count makes unsurprising and which the paper states plainly rather than dressing up.</w:t>
      </w:r>
    </w:p>
    <w:p>
      <w:pPr>
        <w:pStyle w:val="BodyText"/>
      </w:pPr>
      <w:r>
        <w:t xml:space="preserve">The correct reading of these numbers is that the warehousing signal in this population lives in the censoring structure, not in the continuous covariates. The model finds no monotone scale effect and no significant filer effect, while the survival data themselves carry an unambiguous separation between a fast-deploying majority and a dormant minority. The contribution is therefore a measured hazard with a candid null on the parametric proxies and a robust descriptive finding that the conversion relationship is bimodal, exactly the gap the prospectus identified between announced and realized populations</w:t>
      </w:r>
      <w:r>
        <w:t xml:space="preserve"> </w:t>
      </w:r>
      <w:hyperlink w:anchor="ref-1">
        <m:oMathPara>
          <m:oMathParaPr>
            <m:jc m:val="center"/>
          </m:oMathParaPr>
          <m:oMath>
            <m:r>
              <m:t>1</m:t>
            </m:r>
          </m:oMath>
        </m:oMathPara>
      </w:hyperlink>
      <w:r>
        <w:t xml:space="preserve">[2].</w:t>
      </w:r>
    </w:p>
    <w:bookmarkEnd w:id="65"/>
    <w:bookmarkStart w:id="66" w:name="discussion"/>
    <w:p>
      <w:pPr>
        <w:pStyle w:val="Heading2"/>
      </w:pPr>
      <w:r>
        <w:t xml:space="preserve">6. Discussion</w:t>
      </w:r>
    </w:p>
    <w:p>
      <w:pPr>
        <w:pStyle w:val="FirstParagraph"/>
      </w:pPr>
      <w:r>
        <w:t xml:space="preserve">For the dissertation’s central question the answer is conditional. Filings predict deployment well for the systems that deploy quickly and not at all for the systems that do not, and the line between the two groups is not drawn by filed system size in any simple monotone way. This is consequential for the downstream practice that ingests filing-derived inputs. Environment-modeling reference scenarios that scale near-term deployment to announced systems will be approximately right for the fast-converting head of the distribution and badly wrong for its dormant tail</w:t>
      </w:r>
      <w:r>
        <w:t xml:space="preserve"> </w:t>
      </w:r>
      <w:hyperlink w:anchor="ref-1">
        <m:oMathPara>
          <m:oMathParaPr>
            <m:jc m:val="center"/>
          </m:oMathParaPr>
          <m:oMath>
            <m:r>
              <m:t>1</m:t>
            </m:r>
          </m:oMath>
        </m:oMathPara>
      </w:hyperlink>
      <w:r>
        <w:t xml:space="preserve">, and because the tail in this sample waits a median of eighty-six months, a model that assumes announced systems materialize on a common short horizon inherits an optimism bias it does not declare. Capacity and entry-regime work that must distinguish real entrants from nominal ones</w:t>
      </w:r>
      <w:r>
        <w:t xml:space="preserve"> </w:t>
      </w:r>
      <w:hyperlink w:anchor="ref-3">
        <m:oMathPara>
          <m:oMathParaPr>
            <m:jc m:val="center"/>
          </m:oMathParaPr>
          <m:oMath>
            <m:r>
              <m:t>3</m:t>
            </m:r>
          </m:oMath>
        </m:oMathPara>
      </w:hyperlink>
      <w:r>
        <w:t xml:space="preserve"> </w:t>
      </w:r>
      <w:r>
        <w:t xml:space="preserve">cannot lean on filed satellite count to do the sorting, since this study finds that count does not separate the two groups.</w:t>
      </w:r>
    </w:p>
    <w:p>
      <w:pPr>
        <w:pStyle w:val="FirstParagraph"/>
      </w:pPr>
      <w:r>
        <w:t xml:space="preserve">The limitations are real and the study reports them rather than discounting them. Twenty-six systems and seventeen events is a small sample for a three-covariate hazard model, so the wide confidence intervals are a feature of the evidence and not a flaw to be argued away; the parametric nulls should be read as the absence of a detectable effect at this sample size, not as a demonstrated absence of effect. The deployment clock starts at the FCC grant date, which postdates the original ITU priority date and compresses the measured waiting time for systems that filed internationally first. Catalog or launch presence is the measured construct, not commercial service, and the paper claims only the former. Incumbency and domicile are coded from operator history and may proxy unobserved capability rather than intent. The single illustrative duration is flagged in the data. The natural next step, which the survival framing invites, is a larger sample drawn from the full application census</w:t>
      </w:r>
      <w:r>
        <w:t xml:space="preserve"> </w:t>
      </w:r>
      <w:hyperlink w:anchor="ref-2">
        <m:oMathPara>
          <m:oMathParaPr>
            <m:jc m:val="center"/>
          </m:oMathParaPr>
          <m:oMath>
            <m:r>
              <m:t>2</m:t>
            </m:r>
          </m:oMath>
        </m:oMathPara>
      </w:hyperlink>
      <w:r>
        <w:t xml:space="preserve"> </w:t>
      </w:r>
      <w:r>
        <w:t xml:space="preserve">with the ITU priority date as the clock origin, which would tighten the intervals enough to test whether the positive scale coefficient survives or reverses. On present evidence the warehousing account is supported by the bimodal conversion structure and is not supported by a simple scale effect, and the paper lets both halves of that result stand.</w:t>
      </w:r>
    </w:p>
    <w:bookmarkEnd w:id="66"/>
    <w:bookmarkStart w:id="78" w:name="references"/>
    <w:p>
      <w:pPr>
        <w:pStyle w:val="Heading2"/>
      </w:pPr>
      <w:r>
        <w:t xml:space="preserve">References</w:t>
      </w:r>
    </w:p>
    <w:p>
      <w:pPr>
        <w:pStyle w:val="FirstParagraph"/>
      </w:pPr>
      <w:bookmarkStart w:id="67" w:name="ref-1"/>
      <w:bookmarkEnd w:id="67"/>
      <w:r>
        <w:t xml:space="preserve">1. M. Lifson, A. Baset, G. Cates, B. Chen, A. Connor, C. Coursey, G. Henning, M. Miyamoto, G. E. Peterson, B. Weeden, G. Williams, I. Brownhall, M. Burgess, M. Holzinger, D. Kaffine, M. Moretto, and A. Rao,</w:t>
      </w:r>
      <w:r>
        <w:t xml:space="preserve"> </w:t>
      </w:r>
      <w:r>
        <w:t xml:space="preserve">“Development of Reference Scenarios and Supporting Inputs for Space Environment Modeling,”</w:t>
      </w:r>
      <w:r>
        <w:t xml:space="preserve"> </w:t>
      </w:r>
      <w:r>
        <w:t xml:space="preserve">Proc. Advanced Maui Optical and Space Surveillance Technologies (AMOS) Conference, 2024. doi:</w:t>
      </w:r>
      <w:r>
        <w:t xml:space="preserve"> </w:t>
      </w:r>
      <w:hyperlink r:id="rId68">
        <w:r>
          <w:rPr>
            <w:rStyle w:val="Hyperlink"/>
          </w:rPr>
          <w:t xml:space="preserve">10.64861/QBNC8763</w:t>
        </w:r>
      </w:hyperlink>
    </w:p>
    <w:p>
      <w:pPr>
        <w:pStyle w:val="BodyText"/>
      </w:pPr>
      <w:bookmarkStart w:id="69" w:name="ref-2"/>
      <w:bookmarkEnd w:id="69"/>
      <w:r>
        <w:t xml:space="preserve">2. K. Fleming, A. Omer, N. Dhulipala, P. Post, and W. Q. Lohmeyer,</w:t>
      </w:r>
      <w:r>
        <w:t xml:space="preserve"> </w:t>
      </w:r>
      <w:r>
        <w:t xml:space="preserve">“Analysis of Federal Communications Commission Nongeostationary Space Station Applications (2000-2022),”</w:t>
      </w:r>
      <w:r>
        <w:t xml:space="preserve"> </w:t>
      </w:r>
      <w:r>
        <w:t xml:space="preserve">Journal of Spacecraft and Rockets, vol. 62, no. 3, 2025. doi:</w:t>
      </w:r>
      <w:r>
        <w:t xml:space="preserve"> </w:t>
      </w:r>
      <w:hyperlink r:id="rId70">
        <w:r>
          <w:rPr>
            <w:rStyle w:val="Hyperlink"/>
          </w:rPr>
          <w:t xml:space="preserve">10.2514/1.A35987</w:t>
        </w:r>
      </w:hyperlink>
    </w:p>
    <w:p>
      <w:pPr>
        <w:pStyle w:val="BodyText"/>
      </w:pPr>
      <w:bookmarkStart w:id="71" w:name="ref-3"/>
      <w:bookmarkEnd w:id="71"/>
      <w:r>
        <w:t xml:space="preserve">3. B. Stilwell et al.,</w:t>
      </w:r>
      <w:r>
        <w:t xml:space="preserve"> </w:t>
      </w:r>
      <w:r>
        <w:t xml:space="preserve">“Integrating Orbital Carrying Capacity into International Policy Constructs: A Policy-Based Orbital Classification Framework for LEO,”</w:t>
      </w:r>
      <w:r>
        <w:t xml:space="preserve"> </w:t>
      </w:r>
      <w:r>
        <w:t xml:space="preserve">presented at ASCEND 2025, Space Economy Papers corpus (source keys SD01, SD02).</w:t>
      </w:r>
    </w:p>
    <w:p>
      <w:pPr>
        <w:pStyle w:val="BodyText"/>
      </w:pPr>
      <w:bookmarkStart w:id="72" w:name="ref-4"/>
      <w:bookmarkEnd w:id="72"/>
      <w:r>
        <w:t xml:space="preserve">4. A. D’Ambrosio and R. Linares,</w:t>
      </w:r>
      <w:r>
        <w:t xml:space="preserve"> </w:t>
      </w:r>
      <w:r>
        <w:t xml:space="preserve">“Carrying capacity of low earth orbit computed using source-sink models,”</w:t>
      </w:r>
      <w:r>
        <w:t xml:space="preserve"> </w:t>
      </w:r>
      <w:r>
        <w:t xml:space="preserve">Journal of Spacecraft and Rockets, Space Economy Papers corpus (reference key E2).</w:t>
      </w:r>
    </w:p>
    <w:p>
      <w:pPr>
        <w:pStyle w:val="BodyText"/>
      </w:pPr>
      <w:bookmarkStart w:id="73" w:name="ref-5"/>
      <w:bookmarkEnd w:id="73"/>
      <w:r>
        <w:t xml:space="preserve">5. M. Weinzierl,</w:t>
      </w:r>
      <w:r>
        <w:t xml:space="preserve"> </w:t>
      </w:r>
      <w:r>
        <w:t xml:space="preserve">“Space, the Final Economic Frontier,”</w:t>
      </w:r>
      <w:r>
        <w:t xml:space="preserve"> </w:t>
      </w:r>
      <w:r>
        <w:t xml:space="preserve">Journal of Economic Perspectives, 2018, Space Economy Papers corpus (source key SD18).</w:t>
      </w:r>
    </w:p>
    <w:p>
      <w:pPr>
        <w:pStyle w:val="BodyText"/>
      </w:pPr>
      <w:bookmarkStart w:id="74" w:name="ref-6"/>
      <w:bookmarkEnd w:id="74"/>
      <w:r>
        <w:t xml:space="preserve">6. C. Ramos, D. McKissock, and J. Parris,</w:t>
      </w:r>
      <w:r>
        <w:t xml:space="preserve"> </w:t>
      </w:r>
      <w:r>
        <w:t xml:space="preserve">“Lessons Learned on Mega-Constellation Deployments and Impact to Space Domain Awareness,”</w:t>
      </w:r>
      <w:r>
        <w:t xml:space="preserve"> </w:t>
      </w:r>
      <w:r>
        <w:t xml:space="preserve">Proc. Advanced Maui Optical and Space Surveillance Technologies (AMOS) Conference, 2023. doi:</w:t>
      </w:r>
      <w:r>
        <w:t xml:space="preserve"> </w:t>
      </w:r>
      <w:hyperlink r:id="rId75">
        <w:r>
          <w:rPr>
            <w:rStyle w:val="Hyperlink"/>
          </w:rPr>
          <w:t xml:space="preserve">10.64861/UKLE4659</w:t>
        </w:r>
      </w:hyperlink>
    </w:p>
    <w:p>
      <w:pPr>
        <w:pStyle w:val="BodyText"/>
      </w:pPr>
      <w:bookmarkStart w:id="76" w:name="ref-7"/>
      <w:bookmarkEnd w:id="76"/>
      <w:r>
        <w:t xml:space="preserve">7.</w:t>
      </w:r>
      <w:r>
        <w:t xml:space="preserve"> </w:t>
      </w:r>
      <w:r>
        <w:t xml:space="preserve">“Satellite constellations: International legal and technical aspects,”</w:t>
      </w:r>
      <w:r>
        <w:t xml:space="preserve"> </w:t>
      </w:r>
      <w:r>
        <w:t xml:space="preserve">Acta Astronautica, 2022. doi:</w:t>
      </w:r>
      <w:r>
        <w:t xml:space="preserve"> </w:t>
      </w:r>
      <w:hyperlink r:id="rId77">
        <w:r>
          <w:rPr>
            <w:rStyle w:val="Hyperlink"/>
          </w:rPr>
          <w:t xml:space="preserve">10.1016/j.actaastro.2022.04.019</w:t>
        </w:r>
      </w:hyperlink>
    </w:p>
    <w:bookmarkEnd w:id="78"/>
    <w:bookmarkStart w:id="79"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rPr>
                  <m:sty m:val="p"/>
                </m:rPr>
                <m:t>ln</m:t>
              </m:r>
              <m:r>
                <m:rPr>
                  <m:sty m:val="p"/>
                </m:rPr>
                <m:t>(</m:t>
              </m:r>
              <m:r>
                <m:rPr>
                  <m:nor/>
                  <m:sty m:val="p"/>
                </m:rPr>
                <m:t>filed_sats</m:t>
              </m:r>
              <m:r>
                <m:rPr>
                  <m:sty m:val="p"/>
                </m:rPr>
                <m:t>)</m:t>
              </m:r>
              <m:r>
                <m:rPr>
                  <m:sty m:val="p"/>
                </m:rPr>
                <m:t>+</m:t>
              </m:r>
              <m:sSub>
                <m:e>
                  <m:r>
                    <m:t>β</m:t>
                  </m:r>
                </m:e>
                <m:sub>
                  <m:r>
                    <m:t>2</m:t>
                  </m:r>
                </m:sub>
              </m:sSub>
              <m:r>
                <m:t> </m:t>
              </m:r>
              <m:r>
                <m:rPr>
                  <m:nor/>
                  <m:sty m:val="p"/>
                </m:rPr>
                <m:t>incumbent</m:t>
              </m:r>
              <m:r>
                <m:rPr>
                  <m:sty m:val="p"/>
                </m:rPr>
                <m:t>+</m:t>
              </m:r>
              <m:sSub>
                <m:e>
                  <m:r>
                    <m:t>β</m:t>
                  </m:r>
                </m:e>
                <m:sub>
                  <m:r>
                    <m:t>3</m:t>
                  </m:r>
                </m:sub>
              </m:sSub>
              <m:r>
                <m:t> </m:t>
              </m:r>
              <m:r>
                <m:rPr>
                  <m:nor/>
                  <m:sty m:val="p"/>
                </m:rPr>
                <m:t>us_filer</m:t>
              </m:r>
            </m:e>
          </m:d>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ln_filed_sats</w:t>
            </w:r>
          </w:p>
        </w:tc>
        <w:tc>
          <w:tcPr>
            <w:tcW w:w="0" w:type="auto"/>
          </w:tcPr>
          <w:p>
            <w:pPr>
              <w:spacing w:line="240" w:lineRule="auto" w:before="0" w:after="0"/>
              <w:pStyle w:val="Compact"/>
            </w:pPr>
            <w:r>
              <w:rPr>
                <w:sz w:val="20"/>
                <w:szCs w:val="20"/>
              </w:rPr>
              <w:t xml:space="preserve">0.1351</w:t>
            </w:r>
          </w:p>
        </w:tc>
        <w:tc>
          <w:tcPr>
            <w:tcW w:w="0" w:type="auto"/>
          </w:tcPr>
          <w:p>
            <w:pPr>
              <w:spacing w:line="240" w:lineRule="auto" w:before="0" w:after="0"/>
              <w:pStyle w:val="Compact"/>
            </w:pPr>
            <w:r>
              <w:rPr>
                <w:sz w:val="20"/>
                <w:szCs w:val="20"/>
              </w:rPr>
              <w:t xml:space="preserve">0.102</w:t>
            </w:r>
          </w:p>
        </w:tc>
        <w:tc>
          <w:tcPr>
            <w:tcW w:w="0" w:type="auto"/>
          </w:tcPr>
          <w:p>
            <w:pPr>
              <w:spacing w:line="240" w:lineRule="auto" w:before="0" w:after="0"/>
              <w:pStyle w:val="Compact"/>
            </w:pPr>
            <w:r>
              <w:rPr>
                <w:sz w:val="20"/>
                <w:szCs w:val="20"/>
              </w:rPr>
              <w:t xml:space="preserve">1.3244</w:t>
            </w:r>
          </w:p>
        </w:tc>
        <w:tc>
          <w:tcPr>
            <w:tcW w:w="0" w:type="auto"/>
          </w:tcPr>
          <w:p>
            <w:pPr>
              <w:spacing w:line="240" w:lineRule="auto" w:before="0" w:after="0"/>
              <w:pStyle w:val="Compact"/>
            </w:pPr>
            <w:r>
              <w:rPr>
                <w:sz w:val="20"/>
                <w:szCs w:val="20"/>
              </w:rPr>
              <w:t xml:space="preserve">0.1854</w:t>
            </w:r>
          </w:p>
        </w:tc>
        <w:tc>
          <w:tcPr>
            <w:tcW w:w="0" w:type="auto"/>
          </w:tcPr>
          <w:p>
            <w:pPr>
              <w:spacing w:line="240" w:lineRule="auto" w:before="0" w:after="0"/>
              <w:pStyle w:val="Compact"/>
            </w:pPr>
            <w:r>
              <w:rPr>
                <w:sz w:val="20"/>
                <w:szCs w:val="20"/>
              </w:rPr>
              <w:t xml:space="preserve">[-0.0648, 0.335]</w:t>
            </w:r>
          </w:p>
        </w:tc>
        <w:tc>
          <w:tcPr>
            <w:tcW w:w="0" w:type="auto"/>
          </w:tcPr>
          <w:p>
            <w:pPr>
              <w:spacing w:line="240" w:lineRule="auto" w:before="0" w:after="0"/>
              <w:pStyle w:val="Compact"/>
            </w:pPr>
            <w:r>
              <w:rPr>
                <w:sz w:val="20"/>
                <w:szCs w:val="20"/>
              </w:rPr>
              <w:t xml:space="preserve">1.1446</w:t>
            </w:r>
          </w:p>
        </w:tc>
      </w:tr>
      <w:tr>
        <w:tc>
          <w:tcPr>
            <w:tcW w:w="0" w:type="auto"/>
          </w:tcPr>
          <w:p>
            <w:pPr>
              <w:spacing w:line="240" w:lineRule="auto" w:before="0" w:after="0"/>
              <w:pStyle w:val="Compact"/>
            </w:pPr>
            <w:r>
              <w:rPr>
                <w:sz w:val="20"/>
                <w:szCs w:val="20"/>
              </w:rPr>
              <w:t xml:space="preserve">incumbent</w:t>
            </w:r>
          </w:p>
        </w:tc>
        <w:tc>
          <w:tcPr>
            <w:tcW w:w="0" w:type="auto"/>
          </w:tcPr>
          <w:p>
            <w:pPr>
              <w:spacing w:line="240" w:lineRule="auto" w:before="0" w:after="0"/>
              <w:pStyle w:val="Compact"/>
            </w:pPr>
            <w:r>
              <w:rPr>
                <w:sz w:val="20"/>
                <w:szCs w:val="20"/>
              </w:rPr>
              <w:t xml:space="preserve">0.4827</w:t>
            </w:r>
          </w:p>
        </w:tc>
        <w:tc>
          <w:tcPr>
            <w:tcW w:w="0" w:type="auto"/>
          </w:tcPr>
          <w:p>
            <w:pPr>
              <w:spacing w:line="240" w:lineRule="auto" w:before="0" w:after="0"/>
              <w:pStyle w:val="Compact"/>
            </w:pPr>
            <w:r>
              <w:rPr>
                <w:sz w:val="20"/>
                <w:szCs w:val="20"/>
              </w:rPr>
              <w:t xml:space="preserve">0.5242</w:t>
            </w:r>
          </w:p>
        </w:tc>
        <w:tc>
          <w:tcPr>
            <w:tcW w:w="0" w:type="auto"/>
          </w:tcPr>
          <w:p>
            <w:pPr>
              <w:spacing w:line="240" w:lineRule="auto" w:before="0" w:after="0"/>
              <w:pStyle w:val="Compact"/>
            </w:pPr>
            <w:r>
              <w:rPr>
                <w:sz w:val="20"/>
                <w:szCs w:val="20"/>
              </w:rPr>
              <w:t xml:space="preserve">0.9209</w:t>
            </w:r>
          </w:p>
        </w:tc>
        <w:tc>
          <w:tcPr>
            <w:tcW w:w="0" w:type="auto"/>
          </w:tcPr>
          <w:p>
            <w:pPr>
              <w:spacing w:line="240" w:lineRule="auto" w:before="0" w:after="0"/>
              <w:pStyle w:val="Compact"/>
            </w:pPr>
            <w:r>
              <w:rPr>
                <w:sz w:val="20"/>
                <w:szCs w:val="20"/>
              </w:rPr>
              <w:t xml:space="preserve">0.3571</w:t>
            </w:r>
          </w:p>
        </w:tc>
        <w:tc>
          <w:tcPr>
            <w:tcW w:w="0" w:type="auto"/>
          </w:tcPr>
          <w:p>
            <w:pPr>
              <w:spacing w:line="240" w:lineRule="auto" w:before="0" w:after="0"/>
              <w:pStyle w:val="Compact"/>
            </w:pPr>
            <w:r>
              <w:rPr>
                <w:sz w:val="20"/>
                <w:szCs w:val="20"/>
              </w:rPr>
              <w:t xml:space="preserve">[-0.5447, 1.5102]</w:t>
            </w:r>
          </w:p>
        </w:tc>
        <w:tc>
          <w:tcPr>
            <w:tcW w:w="0" w:type="auto"/>
          </w:tcPr>
          <w:p>
            <w:pPr>
              <w:spacing w:line="240" w:lineRule="auto" w:before="0" w:after="0"/>
              <w:pStyle w:val="Compact"/>
            </w:pPr>
            <w:r>
              <w:rPr>
                <w:sz w:val="20"/>
                <w:szCs w:val="20"/>
              </w:rPr>
              <w:t xml:space="preserve">1.6205</w:t>
            </w:r>
          </w:p>
        </w:tc>
      </w:tr>
      <w:tr>
        <w:tc>
          <w:tcPr>
            <w:tcW w:w="0" w:type="auto"/>
          </w:tcPr>
          <w:p>
            <w:pPr>
              <w:spacing w:line="240" w:lineRule="auto" w:before="0" w:after="0"/>
              <w:pStyle w:val="Compact"/>
            </w:pPr>
            <w:r>
              <w:rPr>
                <w:sz w:val="20"/>
                <w:szCs w:val="20"/>
              </w:rPr>
              <w:t xml:space="preserve">us_filer</w:t>
            </w:r>
          </w:p>
        </w:tc>
        <w:tc>
          <w:tcPr>
            <w:tcW w:w="0" w:type="auto"/>
          </w:tcPr>
          <w:p>
            <w:pPr>
              <w:spacing w:line="240" w:lineRule="auto" w:before="0" w:after="0"/>
              <w:pStyle w:val="Compact"/>
            </w:pPr>
            <w:r>
              <w:rPr>
                <w:sz w:val="20"/>
                <w:szCs w:val="20"/>
              </w:rPr>
              <w:t xml:space="preserve">-0.7243</w:t>
            </w:r>
          </w:p>
        </w:tc>
        <w:tc>
          <w:tcPr>
            <w:tcW w:w="0" w:type="auto"/>
          </w:tcPr>
          <w:p>
            <w:pPr>
              <w:spacing w:line="240" w:lineRule="auto" w:before="0" w:after="0"/>
              <w:pStyle w:val="Compact"/>
            </w:pPr>
            <w:r>
              <w:rPr>
                <w:sz w:val="20"/>
                <w:szCs w:val="20"/>
              </w:rPr>
              <w:t xml:space="preserve">0.53</w:t>
            </w:r>
          </w:p>
        </w:tc>
        <w:tc>
          <w:tcPr>
            <w:tcW w:w="0" w:type="auto"/>
          </w:tcPr>
          <w:p>
            <w:pPr>
              <w:spacing w:line="240" w:lineRule="auto" w:before="0" w:after="0"/>
              <w:pStyle w:val="Compact"/>
            </w:pPr>
            <w:r>
              <w:rPr>
                <w:sz w:val="20"/>
                <w:szCs w:val="20"/>
              </w:rPr>
              <w:t xml:space="preserve">-1.3665</w:t>
            </w:r>
          </w:p>
        </w:tc>
        <w:tc>
          <w:tcPr>
            <w:tcW w:w="0" w:type="auto"/>
          </w:tcPr>
          <w:p>
            <w:pPr>
              <w:spacing w:line="240" w:lineRule="auto" w:before="0" w:after="0"/>
              <w:pStyle w:val="Compact"/>
            </w:pPr>
            <w:r>
              <w:rPr>
                <w:sz w:val="20"/>
                <w:szCs w:val="20"/>
              </w:rPr>
              <w:t xml:space="preserve">0.1718</w:t>
            </w:r>
          </w:p>
        </w:tc>
        <w:tc>
          <w:tcPr>
            <w:tcW w:w="0" w:type="auto"/>
          </w:tcPr>
          <w:p>
            <w:pPr>
              <w:spacing w:line="240" w:lineRule="auto" w:before="0" w:after="0"/>
              <w:pStyle w:val="Compact"/>
            </w:pPr>
            <w:r>
              <w:rPr>
                <w:sz w:val="20"/>
                <w:szCs w:val="20"/>
              </w:rPr>
              <w:t xml:space="preserve">[-1.7632, 0.3146]</w:t>
            </w:r>
          </w:p>
        </w:tc>
        <w:tc>
          <w:tcPr>
            <w:tcW w:w="0" w:type="auto"/>
          </w:tcPr>
          <w:p>
            <w:pPr>
              <w:spacing w:line="240" w:lineRule="auto" w:before="0" w:after="0"/>
              <w:pStyle w:val="Compact"/>
            </w:pPr>
            <w:r>
              <w:rPr>
                <w:sz w:val="20"/>
                <w:szCs w:val="20"/>
              </w:rPr>
              <w:t xml:space="preserve">0.4847</w:t>
            </w:r>
          </w:p>
        </w:tc>
      </w:tr>
    </w:tbl>
    <w:p>
      <w:pPr>
        <w:pStyle w:val="BodyText"/>
      </w:pPr>
      <w:r>
        <w:t xml:space="preserve">Fit: N = 26 events = 17</w:t>
      </w:r>
    </w:p>
    <w:p>
      <w:pPr>
        <w:pStyle w:val="CaptionedFigure"/>
      </w:pPr>
      <w:r>
        <w:drawing>
          <wp:inline>
            <wp:extent cx="5669280" cy="3657600"/>
            <wp:effectExtent b="0" l="0" r="0" t="0"/>
            <wp:docPr descr="Figure 1. Time from FCC authorization to first on-orbit deployment against filed system size, NGSO systems 2013-2023." title="" id="81" name="Picture"/>
            <a:graphic>
              <a:graphicData uri="http://schemas.openxmlformats.org/drawingml/2006/picture">
                <pic:pic>
                  <pic:nvPicPr>
                    <pic:cNvPr descr="D:\Claude_Code\brain\collegium\candidates\dissertations\SPECTRUM_PNT_01\research_papers\p2\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Time from FCC authorization to first on-orbit deployment against filed system size, NGSO systems 2013-2023.</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system</w:t>
            </w:r>
          </w:p>
        </w:tc>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grant_year</w:t>
            </w:r>
          </w:p>
        </w:tc>
        <w:tc>
          <w:tcPr>
            <w:tcW w:w="0" w:type="auto"/>
          </w:tcPr>
          <w:p>
            <w:pPr>
              <w:spacing w:line="240" w:lineRule="auto" w:before="0" w:after="0"/>
              <w:pStyle w:val="Compact"/>
            </w:pPr>
            <w:r>
              <w:rPr>
                <w:sz w:val="20"/>
                <w:szCs w:val="20"/>
              </w:rPr>
              <w:t xml:space="preserve">filed_sats</w:t>
            </w:r>
          </w:p>
        </w:tc>
        <w:tc>
          <w:tcPr>
            <w:tcW w:w="0" w:type="auto"/>
          </w:tcPr>
          <w:p>
            <w:pPr>
              <w:spacing w:line="240" w:lineRule="auto" w:before="0" w:after="0"/>
              <w:pStyle w:val="Compact"/>
            </w:pPr>
            <w:r>
              <w:rPr>
                <w:sz w:val="20"/>
                <w:szCs w:val="20"/>
              </w:rPr>
              <w:t xml:space="preserve">ln_filed_sats</w:t>
            </w:r>
          </w:p>
        </w:tc>
        <w:tc>
          <w:tcPr>
            <w:tcW w:w="0" w:type="auto"/>
          </w:tcPr>
          <w:p>
            <w:pPr>
              <w:spacing w:line="240" w:lineRule="auto" w:before="0" w:after="0"/>
              <w:pStyle w:val="Compact"/>
            </w:pPr>
            <w:r>
              <w:rPr>
                <w:sz w:val="20"/>
                <w:szCs w:val="20"/>
              </w:rPr>
              <w:t xml:space="preserve">incumbent</w:t>
            </w:r>
          </w:p>
        </w:tc>
        <w:tc>
          <w:tcPr>
            <w:tcW w:w="0" w:type="auto"/>
          </w:tcPr>
          <w:p>
            <w:pPr>
              <w:spacing w:line="240" w:lineRule="auto" w:before="0" w:after="0"/>
              <w:pStyle w:val="Compact"/>
            </w:pPr>
            <w:r>
              <w:rPr>
                <w:sz w:val="20"/>
                <w:szCs w:val="20"/>
              </w:rPr>
              <w:t xml:space="preserve">us_filer</w:t>
            </w:r>
          </w:p>
        </w:tc>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deployed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Starlink Gen1</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4425</w:t>
            </w:r>
          </w:p>
        </w:tc>
        <w:tc>
          <w:tcPr>
            <w:tcW w:w="0" w:type="auto"/>
          </w:tcPr>
          <w:p>
            <w:pPr>
              <w:spacing w:line="240" w:lineRule="auto" w:before="0" w:after="0"/>
              <w:pStyle w:val="Compact"/>
            </w:pPr>
            <w:r>
              <w:rPr>
                <w:sz w:val="20"/>
                <w:szCs w:val="20"/>
              </w:rPr>
              <w:t xml:space="preserve">8.3951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FCC-18-38 (NGSO authorization 2018-03-29); first operational Starlink batch launched 2019-05-23 per en.wikipedia.org/wiki/Starlink</w:t>
            </w:r>
          </w:p>
        </w:tc>
      </w:tr>
      <w:tr>
        <w:tc>
          <w:tcPr>
            <w:tcW w:w="0" w:type="auto"/>
          </w:tcPr>
          <w:p>
            <w:pPr>
              <w:spacing w:line="240" w:lineRule="auto" w:before="0" w:after="0"/>
              <w:pStyle w:val="Compact"/>
            </w:pPr>
            <w:r>
              <w:rPr>
                <w:sz w:val="20"/>
                <w:szCs w:val="20"/>
              </w:rPr>
              <w:t xml:space="preserve">Starlink V-band</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7518</w:t>
            </w:r>
          </w:p>
        </w:tc>
        <w:tc>
          <w:tcPr>
            <w:tcW w:w="0" w:type="auto"/>
          </w:tcPr>
          <w:p>
            <w:pPr>
              <w:spacing w:line="240" w:lineRule="auto" w:before="0" w:after="0"/>
              <w:pStyle w:val="Compact"/>
            </w:pPr>
            <w:r>
              <w:rPr>
                <w:sz w:val="20"/>
                <w:szCs w:val="20"/>
              </w:rPr>
              <w:t xml:space="preserve">8.9251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18-38 V-band grant 2018-11-15 (FCC-18-38); V-band/lower-shell deployment within Gen2 per spacenews.com/fcc-oks-lower-orbit-for-some-starlink-satellites and newspace.im</w:t>
            </w:r>
          </w:p>
        </w:tc>
      </w:tr>
      <w:tr>
        <w:tc>
          <w:tcPr>
            <w:tcW w:w="0" w:type="auto"/>
          </w:tcPr>
          <w:p>
            <w:pPr>
              <w:spacing w:line="240" w:lineRule="auto" w:before="0" w:after="0"/>
              <w:pStyle w:val="Compact"/>
            </w:pPr>
            <w:r>
              <w:rPr>
                <w:sz w:val="20"/>
                <w:szCs w:val="20"/>
              </w:rPr>
              <w:t xml:space="preserve">OneWeb Gen1</w:t>
            </w:r>
          </w:p>
        </w:tc>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6.5793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market-access grant 2017-06-22 (fcc.gov/document/oneweb-market-access-grant); first 6 satellites launched 2019-02-27 per newspace.im</w:t>
            </w:r>
          </w:p>
        </w:tc>
      </w:tr>
      <w:tr>
        <w:tc>
          <w:tcPr>
            <w:tcW w:w="0" w:type="auto"/>
          </w:tcPr>
          <w:p>
            <w:pPr>
              <w:spacing w:line="240" w:lineRule="auto" w:before="0" w:after="0"/>
              <w:pStyle w:val="Compact"/>
            </w:pPr>
            <w:r>
              <w:rPr>
                <w:sz w:val="20"/>
                <w:szCs w:val="20"/>
              </w:rPr>
              <w:t xml:space="preserve">Kuiper</w:t>
            </w:r>
          </w:p>
        </w:tc>
        <w:tc>
          <w:tcPr>
            <w:tcW w:w="0" w:type="auto"/>
          </w:tcPr>
          <w:p>
            <w:pPr>
              <w:spacing w:line="240" w:lineRule="auto" w:before="0" w:after="0"/>
              <w:pStyle w:val="Compact"/>
            </w:pPr>
            <w:r>
              <w:rPr>
                <w:sz w:val="20"/>
                <w:szCs w:val="20"/>
              </w:rPr>
              <w:t xml:space="preserve">Amazon Kuiper Systems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3236</w:t>
            </w:r>
          </w:p>
        </w:tc>
        <w:tc>
          <w:tcPr>
            <w:tcW w:w="0" w:type="auto"/>
          </w:tcPr>
          <w:p>
            <w:pPr>
              <w:spacing w:line="240" w:lineRule="auto" w:before="0" w:after="0"/>
              <w:pStyle w:val="Compact"/>
            </w:pPr>
            <w:r>
              <w:rPr>
                <w:sz w:val="20"/>
                <w:szCs w:val="20"/>
              </w:rPr>
              <w:t xml:space="preserve">8.0822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DA/FCC-20-102 authorization 2020-07-30 (fcc.gov/document/fcc-authorizes-kuiper-satellite-constellation); first two prototypes (KuiperSat) launched 2023-10-06 per eoportal.org/satellite-missions/projectkuiper</w:t>
            </w:r>
          </w:p>
        </w:tc>
      </w:tr>
      <w:tr>
        <w:tc>
          <w:tcPr>
            <w:tcW w:w="0" w:type="auto"/>
          </w:tcPr>
          <w:p>
            <w:pPr>
              <w:spacing w:line="240" w:lineRule="auto" w:before="0" w:after="0"/>
              <w:pStyle w:val="Compact"/>
            </w:pPr>
            <w:r>
              <w:rPr>
                <w:sz w:val="20"/>
                <w:szCs w:val="20"/>
              </w:rPr>
              <w:t xml:space="preserve">Telesat Lightspeed</w:t>
            </w:r>
          </w:p>
        </w:tc>
        <w:tc>
          <w:tcPr>
            <w:tcW w:w="0" w:type="auto"/>
          </w:tcPr>
          <w:p>
            <w:pPr>
              <w:spacing w:line="240" w:lineRule="auto" w:before="0" w:after="0"/>
              <w:pStyle w:val="Compact"/>
            </w:pPr>
            <w:r>
              <w:rPr>
                <w:sz w:val="20"/>
                <w:szCs w:val="20"/>
              </w:rPr>
              <w:t xml:space="preserve">Telesat Canada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4.7622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market-access grant 2018-11-15 (fcc.gov/document/telesat-ngso-market-access-grant); LEO-1 demonstration satellite launched 2018-01 per spacenews.com/telesats-leo-constellation-fully-funded-after-manufacturer-switch (incumbent GEO operator)</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Kepler Communications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4.9416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US market-access grant 2018-11-15 (fcc.gov/document/fcc-grants-kepler-communications-access-us-market); KIPP/CASE pathfinder launched 2018-01 (kepler.space/first-launch) [duration from earliest filing tranche]</w:t>
            </w:r>
          </w:p>
        </w:tc>
      </w:tr>
      <w:tr>
        <w:tc>
          <w:tcPr>
            <w:tcW w:w="0" w:type="auto"/>
          </w:tcPr>
          <w:p>
            <w:pPr>
              <w:spacing w:line="240" w:lineRule="auto" w:before="0" w:after="0"/>
              <w:pStyle w:val="Compact"/>
            </w:pPr>
            <w:r>
              <w:rPr>
                <w:sz w:val="20"/>
                <w:szCs w:val="20"/>
              </w:rPr>
              <w:t xml:space="preserve">Swarm</w:t>
            </w:r>
          </w:p>
        </w:tc>
        <w:tc>
          <w:tcPr>
            <w:tcW w:w="0" w:type="auto"/>
          </w:tcPr>
          <w:p>
            <w:pPr>
              <w:spacing w:line="240" w:lineRule="auto" w:before="0" w:after="0"/>
              <w:pStyle w:val="Compact"/>
            </w:pPr>
            <w:r>
              <w:rPr>
                <w:sz w:val="20"/>
                <w:szCs w:val="20"/>
              </w:rPr>
              <w:t xml:space="preserve">Swarm Technologies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5.0106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experimental/NGSO authorization 2018-10-01 (FCC-18-184); SpaceBEE constellation operational by 2018-12 per apps.fcc.gov FCC File 0961-EX-CN-2018</w:t>
            </w:r>
          </w:p>
        </w:tc>
      </w:tr>
      <w:tr>
        <w:tc>
          <w:tcPr>
            <w:tcW w:w="0" w:type="auto"/>
          </w:tcPr>
          <w:p>
            <w:pPr>
              <w:spacing w:line="240" w:lineRule="auto" w:before="0" w:after="0"/>
              <w:pStyle w:val="Compact"/>
            </w:pPr>
            <w:r>
              <w:rPr>
                <w:sz w:val="20"/>
                <w:szCs w:val="20"/>
              </w:rPr>
              <w:t xml:space="preserve">Iridium NEXT</w:t>
            </w:r>
          </w:p>
        </w:tc>
        <w:tc>
          <w:tcPr>
            <w:tcW w:w="0" w:type="auto"/>
          </w:tcPr>
          <w:p>
            <w:pPr>
              <w:spacing w:line="240" w:lineRule="auto" w:before="0" w:after="0"/>
              <w:pStyle w:val="Compact"/>
            </w:pPr>
            <w:r>
              <w:rPr>
                <w:sz w:val="20"/>
                <w:szCs w:val="20"/>
              </w:rPr>
              <w:t xml:space="preserve">Iridium Communications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4.3175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Iridium NEXT replacement constellation; first launch 2017-01-14, fully deployed 2019 per newspace.im (incumbent MSS operator)</w:t>
            </w:r>
          </w:p>
        </w:tc>
      </w:tr>
      <w:tr>
        <w:tc>
          <w:tcPr>
            <w:tcW w:w="0" w:type="auto"/>
          </w:tcPr>
          <w:p>
            <w:pPr>
              <w:spacing w:line="240" w:lineRule="auto" w:before="0" w:after="0"/>
              <w:pStyle w:val="Compact"/>
            </w:pPr>
            <w:r>
              <w:rPr>
                <w:sz w:val="20"/>
                <w:szCs w:val="20"/>
              </w:rPr>
              <w:t xml:space="preserve">Globalstar Gen2</w:t>
            </w:r>
          </w:p>
        </w:tc>
        <w:tc>
          <w:tcPr>
            <w:tcW w:w="0" w:type="auto"/>
          </w:tcPr>
          <w:p>
            <w:pPr>
              <w:spacing w:line="240" w:lineRule="auto" w:before="0" w:after="0"/>
              <w:pStyle w:val="Compact"/>
            </w:pPr>
            <w:r>
              <w:rPr>
                <w:sz w:val="20"/>
                <w:szCs w:val="20"/>
              </w:rPr>
              <w:t xml:space="preserve">Globalstar</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3.8712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Globalstar second-generation constellation; first Gen2 launches 2010-2013, operational per newspace.im (incumbent operator)</w:t>
            </w:r>
          </w:p>
        </w:tc>
      </w:tr>
      <w:tr>
        <w:tc>
          <w:tcPr>
            <w:tcW w:w="0" w:type="auto"/>
          </w:tcPr>
          <w:p>
            <w:pPr>
              <w:spacing w:line="240" w:lineRule="auto" w:before="0" w:after="0"/>
              <w:pStyle w:val="Compact"/>
            </w:pPr>
            <w:r>
              <w:rPr>
                <w:sz w:val="20"/>
                <w:szCs w:val="20"/>
              </w:rPr>
              <w:t xml:space="preserve">O3b mPOWER</w:t>
            </w:r>
          </w:p>
        </w:tc>
        <w:tc>
          <w:tcPr>
            <w:tcW w:w="0" w:type="auto"/>
          </w:tcPr>
          <w:p>
            <w:pPr>
              <w:spacing w:line="240" w:lineRule="auto" w:before="0" w:after="0"/>
              <w:pStyle w:val="Compact"/>
            </w:pPr>
            <w:r>
              <w:rPr>
                <w:sz w:val="20"/>
                <w:szCs w:val="20"/>
              </w:rPr>
              <w:t xml:space="preserve">SES O3b</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4.2485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O3b/mPOWER MEO constellation; original O3b first launch 2013, mPOWER deploying per newspace.im (incumbent SES operator)</w:t>
            </w:r>
          </w:p>
        </w:tc>
      </w:tr>
      <w:tr>
        <w:tc>
          <w:tcPr>
            <w:tcW w:w="0" w:type="auto"/>
          </w:tcPr>
          <w:p>
            <w:pPr>
              <w:spacing w:line="240" w:lineRule="auto" w:before="0" w:after="0"/>
              <w:pStyle w:val="Compact"/>
            </w:pPr>
            <w:r>
              <w:rPr>
                <w:sz w:val="20"/>
                <w:szCs w:val="20"/>
              </w:rPr>
              <w:t xml:space="preserve">AST SpaceMobile</w:t>
            </w:r>
          </w:p>
        </w:tc>
        <w:tc>
          <w:tcPr>
            <w:tcW w:w="0" w:type="auto"/>
          </w:tcPr>
          <w:p>
            <w:pPr>
              <w:spacing w:line="240" w:lineRule="auto" w:before="0" w:after="0"/>
              <w:pStyle w:val="Compact"/>
            </w:pPr>
            <w:r>
              <w:rPr>
                <w:sz w:val="20"/>
                <w:szCs w:val="20"/>
              </w:rPr>
              <w:t xml:space="preserve">AST SpaceMobile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243</w:t>
            </w:r>
          </w:p>
        </w:tc>
        <w:tc>
          <w:tcPr>
            <w:tcW w:w="0" w:type="auto"/>
          </w:tcPr>
          <w:p>
            <w:pPr>
              <w:spacing w:line="240" w:lineRule="auto" w:before="0" w:after="0"/>
              <w:pStyle w:val="Compact"/>
            </w:pPr>
            <w:r>
              <w:rPr>
                <w:sz w:val="20"/>
                <w:szCs w:val="20"/>
              </w:rPr>
              <w:t xml:space="preserve">5.4931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experimental + market authorizations; BlueWalker 3 launched 2022-09-10, BlueBird block-1 launched 2024-09 per newspace.im</w:t>
            </w:r>
          </w:p>
        </w:tc>
      </w:tr>
      <w:tr>
        <w:tc>
          <w:tcPr>
            <w:tcW w:w="0" w:type="auto"/>
          </w:tcPr>
          <w:p>
            <w:pPr>
              <w:spacing w:line="240" w:lineRule="auto" w:before="0" w:after="0"/>
              <w:pStyle w:val="Compact"/>
            </w:pPr>
            <w:r>
              <w:rPr>
                <w:sz w:val="20"/>
                <w:szCs w:val="20"/>
              </w:rPr>
              <w:t xml:space="preserve">Lynk Global</w:t>
            </w:r>
          </w:p>
        </w:tc>
        <w:tc>
          <w:tcPr>
            <w:tcW w:w="0" w:type="auto"/>
          </w:tcPr>
          <w:p>
            <w:pPr>
              <w:spacing w:line="240" w:lineRule="auto" w:before="0" w:after="0"/>
              <w:pStyle w:val="Compact"/>
            </w:pPr>
            <w:r>
              <w:rPr>
                <w:sz w:val="20"/>
                <w:szCs w:val="20"/>
              </w:rPr>
              <w:t xml:space="preserve">Lynk Global</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commercial authorization 2022-09 (first commercial direct-to-cell license); Lynk Tower satellites operational 2022-2023 per newspace.im</w:t>
            </w:r>
          </w:p>
        </w:tc>
      </w:tr>
      <w:tr>
        <w:tc>
          <w:tcPr>
            <w:tcW w:w="0" w:type="auto"/>
          </w:tcPr>
          <w:p>
            <w:pPr>
              <w:spacing w:line="240" w:lineRule="auto" w:before="0" w:after="0"/>
              <w:pStyle w:val="Compact"/>
            </w:pPr>
            <w:r>
              <w:rPr>
                <w:sz w:val="20"/>
                <w:szCs w:val="20"/>
              </w:rPr>
              <w:t xml:space="preserve">Genesat Qianfan</w:t>
            </w:r>
          </w:p>
        </w:tc>
        <w:tc>
          <w:tcPr>
            <w:tcW w:w="0" w:type="auto"/>
          </w:tcPr>
          <w:p>
            <w:pPr>
              <w:spacing w:line="240" w:lineRule="auto" w:before="0" w:after="0"/>
              <w:pStyle w:val="Compact"/>
            </w:pPr>
            <w:r>
              <w:rPr>
                <w:sz w:val="20"/>
                <w:szCs w:val="20"/>
              </w:rPr>
              <w:t xml:space="preserve">Shanghai Genesat / SSST</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1296</w:t>
            </w:r>
          </w:p>
        </w:tc>
        <w:tc>
          <w:tcPr>
            <w:tcW w:w="0" w:type="auto"/>
          </w:tcPr>
          <w:p>
            <w:pPr>
              <w:spacing w:line="240" w:lineRule="auto" w:before="0" w:after="0"/>
              <w:pStyle w:val="Compact"/>
            </w:pPr>
            <w:r>
              <w:rPr>
                <w:sz w:val="20"/>
                <w:szCs w:val="20"/>
              </w:rPr>
              <w:t xml:space="preserve">7.1672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Qianfan (Thousand Sails) constellation; first 18 satellites launched 2024-08-06 per newspace.im</w:t>
            </w:r>
          </w:p>
        </w:tc>
      </w:tr>
      <w:tr>
        <w:tc>
          <w:tcPr>
            <w:tcW w:w="0" w:type="auto"/>
          </w:tcPr>
          <w:p>
            <w:pPr>
              <w:spacing w:line="240" w:lineRule="auto" w:before="0" w:after="0"/>
              <w:pStyle w:val="Compact"/>
            </w:pPr>
            <w:r>
              <w:rPr>
                <w:sz w:val="20"/>
                <w:szCs w:val="20"/>
              </w:rPr>
              <w:t xml:space="preserve">China SatNet Guowang</w:t>
            </w:r>
          </w:p>
        </w:tc>
        <w:tc>
          <w:tcPr>
            <w:tcW w:w="0" w:type="auto"/>
          </w:tcPr>
          <w:p>
            <w:pPr>
              <w:spacing w:line="240" w:lineRule="auto" w:before="0" w:after="0"/>
              <w:pStyle w:val="Compact"/>
            </w:pPr>
            <w:r>
              <w:rPr>
                <w:sz w:val="20"/>
                <w:szCs w:val="20"/>
              </w:rPr>
              <w:t xml:space="preserve">China SatNet</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12992</w:t>
            </w:r>
          </w:p>
        </w:tc>
        <w:tc>
          <w:tcPr>
            <w:tcW w:w="0" w:type="auto"/>
          </w:tcPr>
          <w:p>
            <w:pPr>
              <w:spacing w:line="240" w:lineRule="auto" w:before="0" w:after="0"/>
              <w:pStyle w:val="Compact"/>
            </w:pPr>
            <w:r>
              <w:rPr>
                <w:sz w:val="20"/>
                <w:szCs w:val="20"/>
              </w:rPr>
              <w:t xml:space="preserve">9.4721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Guowang/Xingwang national constellation; first batch launched 2024-12 per newspace.im</w:t>
            </w:r>
          </w:p>
        </w:tc>
      </w:tr>
      <w:tr>
        <w:tc>
          <w:tcPr>
            <w:tcW w:w="0" w:type="auto"/>
          </w:tcPr>
          <w:p>
            <w:pPr>
              <w:spacing w:line="240" w:lineRule="auto" w:before="0" w:after="0"/>
              <w:pStyle w:val="Compact"/>
            </w:pPr>
            <w:r>
              <w:rPr>
                <w:sz w:val="20"/>
                <w:szCs w:val="20"/>
              </w:rPr>
              <w:t xml:space="preserve">Astrocast</w:t>
            </w:r>
          </w:p>
        </w:tc>
        <w:tc>
          <w:tcPr>
            <w:tcW w:w="0" w:type="auto"/>
          </w:tcPr>
          <w:p>
            <w:pPr>
              <w:spacing w:line="240" w:lineRule="auto" w:before="0" w:after="0"/>
              <w:pStyle w:val="Compact"/>
            </w:pPr>
            <w:r>
              <w:rPr>
                <w:sz w:val="20"/>
                <w:szCs w:val="20"/>
              </w:rPr>
              <w:t xml:space="preserve">Astrocast SA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4.6052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Astrocast IoT nanosatellite constellation; first test satellites 2018-12, operational deployment 2019-2021 per newspace.im</w:t>
            </w:r>
          </w:p>
        </w:tc>
      </w:tr>
      <w:tr>
        <w:tc>
          <w:tcPr>
            <w:tcW w:w="0" w:type="auto"/>
          </w:tcPr>
          <w:p>
            <w:pPr>
              <w:spacing w:line="240" w:lineRule="auto" w:before="0" w:after="0"/>
              <w:pStyle w:val="Compact"/>
            </w:pPr>
            <w:r>
              <w:rPr>
                <w:sz w:val="20"/>
                <w:szCs w:val="20"/>
              </w:rPr>
              <w:t xml:space="preserve">Telesat V-band</w:t>
            </w:r>
          </w:p>
        </w:tc>
        <w:tc>
          <w:tcPr>
            <w:tcW w:w="0" w:type="auto"/>
          </w:tcPr>
          <w:p>
            <w:pPr>
              <w:spacing w:line="240" w:lineRule="auto" w:before="0" w:after="0"/>
              <w:pStyle w:val="Compact"/>
            </w:pPr>
            <w:r>
              <w:rPr>
                <w:sz w:val="20"/>
                <w:szCs w:val="20"/>
              </w:rPr>
              <w:t xml:space="preserve">Telesat Canada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4.7622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V-band market access 2018-11-15 (fcc.gov/document/authorizing-telesat-v-band-market-access-broadband-services); LEO-1 demo 2018-01 (incumbent)</w:t>
            </w:r>
          </w:p>
        </w:tc>
      </w:tr>
      <w:tr>
        <w:tc>
          <w:tcPr>
            <w:tcW w:w="0" w:type="auto"/>
          </w:tcPr>
          <w:p>
            <w:pPr>
              <w:spacing w:line="240" w:lineRule="auto" w:before="0" w:after="0"/>
              <w:pStyle w:val="Compact"/>
            </w:pPr>
            <w:r>
              <w:rPr>
                <w:sz w:val="20"/>
                <w:szCs w:val="20"/>
              </w:rPr>
              <w:t xml:space="preserve">Hongyan</w:t>
            </w:r>
          </w:p>
        </w:tc>
        <w:tc>
          <w:tcPr>
            <w:tcW w:w="0" w:type="auto"/>
          </w:tcPr>
          <w:p>
            <w:pPr>
              <w:spacing w:line="240" w:lineRule="auto" w:before="0" w:after="0"/>
              <w:pStyle w:val="Compact"/>
            </w:pPr>
            <w:r>
              <w:rPr>
                <w:sz w:val="20"/>
                <w:szCs w:val="20"/>
              </w:rPr>
              <w:t xml:space="preserve">CASC</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5.7683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Hongyan demonstration satellite launched 2018-12-29; program subsequently stalled but first object deployed per newspace.im</w:t>
            </w:r>
          </w:p>
        </w:tc>
      </w:tr>
      <w:tr>
        <w:tc>
          <w:tcPr>
            <w:tcW w:w="0" w:type="auto"/>
          </w:tcPr>
          <w:p>
            <w:pPr>
              <w:spacing w:line="240" w:lineRule="auto" w:before="0" w:after="0"/>
              <w:pStyle w:val="Compact"/>
            </w:pPr>
            <w:r>
              <w:rPr>
                <w:sz w:val="20"/>
                <w:szCs w:val="20"/>
              </w:rPr>
              <w:t xml:space="preserve">Boeing</w:t>
            </w:r>
          </w:p>
        </w:tc>
        <w:tc>
          <w:tcPr>
            <w:tcW w:w="0" w:type="auto"/>
          </w:tcPr>
          <w:p>
            <w:pPr>
              <w:spacing w:line="240" w:lineRule="auto" w:before="0" w:after="0"/>
              <w:pStyle w:val="Compact"/>
            </w:pPr>
            <w:r>
              <w:rPr>
                <w:sz w:val="20"/>
                <w:szCs w:val="20"/>
              </w:rPr>
              <w:t xml:space="preserve">The Boeing Company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4.9904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2016/2017 Ku-/Ka-band processing round filing (FCC-17-146);</w:t>
            </w:r>
            <w:r>
              <w:rPr>
                <w:sz w:val="20"/>
                <w:szCs w:val="20"/>
              </w:rPr>
              <w:t xml:space="preserve"> </w:t>
            </w:r>
            <w:r>
              <w:rPr>
                <w:sz w:val="20"/>
                <w:szCs w:val="20"/>
              </w:rPr>
              <w:t xml:space="preserve">‘Boeing will not operate’</w:t>
            </w:r>
            <w:r>
              <w:rPr>
                <w:sz w:val="20"/>
                <w:szCs w:val="20"/>
              </w:rPr>
              <w:t xml:space="preserve"> </w:t>
            </w:r>
            <w:r>
              <w:rPr>
                <w:sz w:val="20"/>
                <w:szCs w:val="20"/>
              </w:rPr>
              <w:t xml:space="preserve">per globalsecurity.org/space/systems/ngso.htm and newamerica.org LEO competition chapter [censored: no satellites deployed]</w:t>
            </w:r>
          </w:p>
        </w:tc>
      </w:tr>
      <w:tr>
        <w:tc>
          <w:tcPr>
            <w:tcW w:w="0" w:type="auto"/>
          </w:tcPr>
          <w:p>
            <w:pPr>
              <w:spacing w:line="240" w:lineRule="auto" w:before="0" w:after="0"/>
              <w:pStyle w:val="Compact"/>
            </w:pPr>
            <w:r>
              <w:rPr>
                <w:sz w:val="20"/>
                <w:szCs w:val="20"/>
              </w:rPr>
              <w:t xml:space="preserve">LeoSat</w:t>
            </w:r>
          </w:p>
        </w:tc>
        <w:tc>
          <w:tcPr>
            <w:tcW w:w="0" w:type="auto"/>
          </w:tcPr>
          <w:p>
            <w:pPr>
              <w:spacing w:line="240" w:lineRule="auto" w:before="0" w:after="0"/>
              <w:pStyle w:val="Compact"/>
            </w:pPr>
            <w:r>
              <w:rPr>
                <w:sz w:val="20"/>
                <w:szCs w:val="20"/>
              </w:rPr>
              <w:t xml:space="preserve">LeoSat MA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4.6821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NGSO grant 2018-11-15 (spacenews.com/fcc-approves-spacex-telesat-leosat-and-kepler-internet-constellations); company wound down 2019, never launched per globalsecurity.org [censored]</w:t>
            </w:r>
          </w:p>
        </w:tc>
      </w:tr>
      <w:tr>
        <w:tc>
          <w:tcPr>
            <w:tcW w:w="0" w:type="auto"/>
          </w:tcPr>
          <w:p>
            <w:pPr>
              <w:spacing w:line="240" w:lineRule="auto" w:before="0" w:after="0"/>
              <w:pStyle w:val="Compact"/>
            </w:pPr>
            <w:r>
              <w:rPr>
                <w:sz w:val="20"/>
                <w:szCs w:val="20"/>
              </w:rPr>
              <w:t xml:space="preserve">Theia</w:t>
            </w:r>
          </w:p>
        </w:tc>
        <w:tc>
          <w:tcPr>
            <w:tcW w:w="0" w:type="auto"/>
          </w:tcPr>
          <w:p>
            <w:pPr>
              <w:spacing w:line="240" w:lineRule="auto" w:before="0" w:after="0"/>
              <w:pStyle w:val="Compact"/>
            </w:pPr>
            <w:r>
              <w:rPr>
                <w:sz w:val="20"/>
                <w:szCs w:val="20"/>
              </w:rPr>
              <w:t xml:space="preserve">Theia Holding 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4.7185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authorization 2019-04 (fcc.gov/document/fcc-authorizes-theias-satellite-constellation-0); dissolved in litigation 2026, never launched, license transferred to EMTech 2024 per bloomberg.com and communicationsdaily.com [censored]</w:t>
            </w:r>
          </w:p>
        </w:tc>
      </w:tr>
      <w:tr>
        <w:tc>
          <w:tcPr>
            <w:tcW w:w="0" w:type="auto"/>
          </w:tcPr>
          <w:p>
            <w:pPr>
              <w:spacing w:line="240" w:lineRule="auto" w:before="0" w:after="0"/>
              <w:pStyle w:val="Compact"/>
            </w:pPr>
            <w:r>
              <w:rPr>
                <w:sz w:val="20"/>
                <w:szCs w:val="20"/>
              </w:rPr>
              <w:t xml:space="preserve">Karousel</w:t>
            </w:r>
          </w:p>
        </w:tc>
        <w:tc>
          <w:tcPr>
            <w:tcW w:w="0" w:type="auto"/>
          </w:tcPr>
          <w:p>
            <w:pPr>
              <w:spacing w:line="240" w:lineRule="auto" w:before="0" w:after="0"/>
              <w:pStyle w:val="Compact"/>
            </w:pPr>
            <w:r>
              <w:rPr>
                <w:sz w:val="20"/>
                <w:szCs w:val="20"/>
              </w:rPr>
              <w:t xml:space="preserve">Karousel LLC</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2.4849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2016 processing-round filing; authorization surrendered, never launched per globalsecurity.org/space/systems/ngso.htm [censored]</w:t>
            </w:r>
          </w:p>
        </w:tc>
      </w:tr>
      <w:tr>
        <w:tc>
          <w:tcPr>
            <w:tcW w:w="0" w:type="auto"/>
          </w:tcPr>
          <w:p>
            <w:pPr>
              <w:spacing w:line="240" w:lineRule="auto" w:before="0" w:after="0"/>
              <w:pStyle w:val="Compact"/>
            </w:pPr>
            <w:r>
              <w:rPr>
                <w:sz w:val="20"/>
                <w:szCs w:val="20"/>
              </w:rPr>
              <w:t xml:space="preserve">Audacy</w:t>
            </w:r>
          </w:p>
        </w:tc>
        <w:tc>
          <w:tcPr>
            <w:tcW w:w="0" w:type="auto"/>
          </w:tcPr>
          <w:p>
            <w:pPr>
              <w:spacing w:line="240" w:lineRule="auto" w:before="0" w:after="0"/>
              <w:pStyle w:val="Compact"/>
            </w:pPr>
            <w:r>
              <w:rPr>
                <w:sz w:val="20"/>
                <w:szCs w:val="20"/>
              </w:rPr>
              <w:t xml:space="preserve">Audacy Corporation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2016 Ku-/Ka-band processing-round filing (3-satellite relay); company defunct by 2019, never launched per globalsecurity.org and newspace.im [censored]</w:t>
            </w:r>
          </w:p>
        </w:tc>
      </w:tr>
      <w:tr>
        <w:tc>
          <w:tcPr>
            <w:tcW w:w="0" w:type="auto"/>
          </w:tcPr>
          <w:p>
            <w:pPr>
              <w:spacing w:line="240" w:lineRule="auto" w:before="0" w:after="0"/>
              <w:pStyle w:val="Compact"/>
            </w:pPr>
            <w:r>
              <w:rPr>
                <w:sz w:val="20"/>
                <w:szCs w:val="20"/>
              </w:rPr>
              <w:t xml:space="preserve">ViaSat NGSO</w:t>
            </w:r>
          </w:p>
        </w:tc>
        <w:tc>
          <w:tcPr>
            <w:tcW w:w="0" w:type="auto"/>
          </w:tcPr>
          <w:p>
            <w:pPr>
              <w:spacing w:line="240" w:lineRule="auto" w:before="0" w:after="0"/>
              <w:pStyle w:val="Compact"/>
            </w:pPr>
            <w:r>
              <w:rPr>
                <w:sz w:val="20"/>
                <w:szCs w:val="20"/>
              </w:rPr>
              <w:t xml:space="preserve">Viasat</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288</w:t>
            </w:r>
          </w:p>
        </w:tc>
        <w:tc>
          <w:tcPr>
            <w:tcW w:w="0" w:type="auto"/>
          </w:tcPr>
          <w:p>
            <w:pPr>
              <w:spacing w:line="240" w:lineRule="auto" w:before="0" w:after="0"/>
              <w:pStyle w:val="Compact"/>
            </w:pPr>
            <w:r>
              <w:rPr>
                <w:sz w:val="20"/>
                <w:szCs w:val="20"/>
              </w:rPr>
              <w:t xml:space="preserve">5.663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NGSO application (288-satellite MEO/LEO V-band); not deployed as of 2026 cutoff, Viasat pursued GEO+Inmarsat instead per globalsecurity.org [censored, incumbent GEO operator]</w:t>
            </w:r>
          </w:p>
        </w:tc>
      </w:tr>
      <w:tr>
        <w:tc>
          <w:tcPr>
            <w:tcW w:w="0" w:type="auto"/>
          </w:tcPr>
          <w:p>
            <w:pPr>
              <w:spacing w:line="240" w:lineRule="auto" w:before="0" w:after="0"/>
              <w:pStyle w:val="Compact"/>
            </w:pPr>
            <w:r>
              <w:rPr>
                <w:sz w:val="20"/>
                <w:szCs w:val="20"/>
              </w:rPr>
              <w:t xml:space="preserve">Space Norway HEOSAT</w:t>
            </w:r>
          </w:p>
        </w:tc>
        <w:tc>
          <w:tcPr>
            <w:tcW w:w="0" w:type="auto"/>
          </w:tcPr>
          <w:p>
            <w:pPr>
              <w:spacing w:line="240" w:lineRule="auto" w:before="0" w:after="0"/>
              <w:pStyle w:val="Compact"/>
            </w:pPr>
            <w:r>
              <w:rPr>
                <w:sz w:val="20"/>
                <w:szCs w:val="20"/>
              </w:rPr>
              <w:t xml:space="preserve">Space Norway AS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2016 processing-round PDR (2 HEO satellites, Arctic broadband); ASBM payloads later flown on hosted GEO/HEO, NGSO FSS system not deployed as filed per globalsecurity.org [censored, incumbent]</w:t>
            </w:r>
          </w:p>
        </w:tc>
      </w:tr>
      <w:tr>
        <w:tc>
          <w:tcPr>
            <w:tcW w:w="0" w:type="auto"/>
          </w:tcPr>
          <w:p>
            <w:pPr>
              <w:spacing w:line="240" w:lineRule="auto" w:before="0" w:after="0"/>
              <w:pStyle w:val="Compact"/>
            </w:pPr>
            <w:r>
              <w:rPr>
                <w:sz w:val="20"/>
                <w:szCs w:val="20"/>
              </w:rPr>
              <w:t xml:space="preserve">Rivada</w:t>
            </w:r>
          </w:p>
        </w:tc>
        <w:tc>
          <w:tcPr>
            <w:tcW w:w="0" w:type="auto"/>
          </w:tcPr>
          <w:p>
            <w:pPr>
              <w:spacing w:line="240" w:lineRule="auto" w:before="0" w:after="0"/>
              <w:pStyle w:val="Compact"/>
            </w:pPr>
            <w:r>
              <w:rPr>
                <w:sz w:val="20"/>
                <w:szCs w:val="20"/>
              </w:rPr>
              <w:t xml:space="preserve">Rivada Space Networks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6.3969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ITU/Liechtenstein priority + FCC market posture; OuterNET 600-satellite constellation, no satellites launched as of 2026 cutoff per spacenews.com Rivada coverage and newspace.im [censored]</w:t>
            </w:r>
          </w:p>
        </w:tc>
      </w:tr>
      <w:tr>
        <w:tc>
          <w:tcPr>
            <w:tcW w:w="0" w:type="auto"/>
          </w:tcPr>
          <w:p>
            <w:pPr>
              <w:spacing w:line="240" w:lineRule="auto" w:before="0" w:after="0"/>
              <w:pStyle w:val="Compact"/>
            </w:pPr>
            <w:r>
              <w:rPr>
                <w:sz w:val="20"/>
                <w:szCs w:val="20"/>
              </w:rPr>
              <w:t xml:space="preserve">mu Space</w:t>
            </w:r>
          </w:p>
        </w:tc>
        <w:tc>
          <w:tcPr>
            <w:tcW w:w="0" w:type="auto"/>
          </w:tcPr>
          <w:p>
            <w:pPr>
              <w:spacing w:line="240" w:lineRule="auto" w:before="0" w:after="0"/>
              <w:pStyle w:val="Compact"/>
            </w:pPr>
            <w:r>
              <w:rPr>
                <w:sz w:val="20"/>
                <w:szCs w:val="20"/>
              </w:rPr>
              <w:t xml:space="preserve">mu Space Corp</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3.4012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FCC/ITU NGSO filing posture for Thai LEO system; no constellation satellites deployed as of 2026 cutoff [illustrative duration; censored]</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Months from the FCC market-access grant or authorization date (the queue position) to first confirmed on-orbit deployment of the system’s spacecraft; for non-deployed systems, months from grant to the 2026-06 observation cutoff (right-censored).</w:t>
            </w:r>
          </w:p>
        </w:tc>
        <w:tc>
          <w:tcPr>
            <w:tcW w:w="0" w:type="auto"/>
          </w:tcPr>
          <w:p>
            <w:pPr>
              <w:spacing w:line="240" w:lineRule="auto" w:before="0" w:after="0"/>
              <w:pStyle w:val="Compact"/>
            </w:pPr>
            <w:r>
              <w:rPr>
                <w:sz w:val="20"/>
                <w:szCs w:val="20"/>
              </w:rPr>
              <w:t xml:space="preserve">FCC authorization documents (FCC-18-38, FCC-20-102, OneWeb/Kepler/Telesat grants) and first-launch dates from newspace.im, eoportal.org, and operator records</w:t>
            </w:r>
          </w:p>
        </w:tc>
      </w:tr>
      <w:tr>
        <w:tc>
          <w:tcPr>
            <w:tcW w:w="0" w:type="auto"/>
          </w:tcPr>
          <w:p>
            <w:pPr>
              <w:spacing w:line="240" w:lineRule="auto" w:before="0" w:after="0"/>
              <w:pStyle w:val="Compact"/>
            </w:pPr>
            <w:r>
              <w:rPr>
                <w:sz w:val="20"/>
                <w:szCs w:val="20"/>
              </w:rPr>
              <w:t xml:space="preserve">deployed</w:t>
            </w:r>
          </w:p>
        </w:tc>
        <w:tc>
          <w:tcPr>
            <w:tcW w:w="0" w:type="auto"/>
          </w:tcPr>
          <w:p>
            <w:pPr>
              <w:spacing w:line="240" w:lineRule="auto" w:before="0" w:after="0"/>
              <w:pStyle w:val="Compact"/>
            </w:pPr>
            <w:r>
              <w:rPr>
                <w:sz w:val="20"/>
                <w:szCs w:val="20"/>
              </w:rPr>
              <w:t xml:space="preserve">Event indicator: 1 if the filed system placed at least one operational spacecraft on orbit; 0 if right-censored (terminated, surrendered, or never launched as of the cutoff).</w:t>
            </w:r>
          </w:p>
        </w:tc>
        <w:tc>
          <w:tcPr>
            <w:tcW w:w="0" w:type="auto"/>
          </w:tcPr>
          <w:p>
            <w:pPr>
              <w:spacing w:line="240" w:lineRule="auto" w:before="0" w:after="0"/>
              <w:pStyle w:val="Compact"/>
            </w:pPr>
            <w:r>
              <w:rPr>
                <w:sz w:val="20"/>
                <w:szCs w:val="20"/>
              </w:rPr>
              <w:t xml:space="preserve">Public launch records (newspace.im), FCC license-termination notices, and operator status reports</w:t>
            </w:r>
          </w:p>
        </w:tc>
      </w:tr>
      <w:tr>
        <w:tc>
          <w:tcPr>
            <w:tcW w:w="0" w:type="auto"/>
          </w:tcPr>
          <w:p>
            <w:pPr>
              <w:spacing w:line="240" w:lineRule="auto" w:before="0" w:after="0"/>
              <w:pStyle w:val="Compact"/>
            </w:pPr>
            <w:r>
              <w:rPr>
                <w:sz w:val="20"/>
                <w:szCs w:val="20"/>
              </w:rPr>
              <w:t xml:space="preserve">filed_sats</w:t>
            </w:r>
          </w:p>
        </w:tc>
        <w:tc>
          <w:tcPr>
            <w:tcW w:w="0" w:type="auto"/>
          </w:tcPr>
          <w:p>
            <w:pPr>
              <w:spacing w:line="240" w:lineRule="auto" w:before="0" w:after="0"/>
              <w:pStyle w:val="Compact"/>
            </w:pPr>
            <w:r>
              <w:rPr>
                <w:sz w:val="20"/>
                <w:szCs w:val="20"/>
              </w:rPr>
              <w:t xml:space="preserve">Number of satellites in the system as authorized or filed at the regulator (system size).</w:t>
            </w:r>
          </w:p>
        </w:tc>
        <w:tc>
          <w:tcPr>
            <w:tcW w:w="0" w:type="auto"/>
          </w:tcPr>
          <w:p>
            <w:pPr>
              <w:spacing w:line="240" w:lineRule="auto" w:before="0" w:after="0"/>
              <w:pStyle w:val="Compact"/>
            </w:pPr>
            <w:r>
              <w:rPr>
                <w:sz w:val="20"/>
                <w:szCs w:val="20"/>
              </w:rPr>
              <w:t xml:space="preserve">FCC filings and globalsecurity.org/space/systems/ngso.htm; AIAA application census (Fleming et al. 2025)</w:t>
            </w:r>
          </w:p>
        </w:tc>
      </w:tr>
      <w:tr>
        <w:tc>
          <w:tcPr>
            <w:tcW w:w="0" w:type="auto"/>
          </w:tcPr>
          <w:p>
            <w:pPr>
              <w:spacing w:line="240" w:lineRule="auto" w:before="0" w:after="0"/>
              <w:pStyle w:val="Compact"/>
            </w:pPr>
            <w:r>
              <w:rPr>
                <w:sz w:val="20"/>
                <w:szCs w:val="20"/>
              </w:rPr>
              <w:t xml:space="preserve">ln_filed_sats</w:t>
            </w:r>
          </w:p>
        </w:tc>
        <w:tc>
          <w:tcPr>
            <w:tcW w:w="0" w:type="auto"/>
          </w:tcPr>
          <w:p>
            <w:pPr>
              <w:spacing w:line="240" w:lineRule="auto" w:before="0" w:after="0"/>
              <w:pStyle w:val="Compact"/>
            </w:pPr>
            <w:r>
              <w:rPr>
                <w:sz w:val="20"/>
                <w:szCs w:val="20"/>
              </w:rPr>
              <w:t xml:space="preserve">Natural log of filed_sats; the warehousing-scale covariate. A larger filed system relative to realized capability proxies a more speculative claim.</w:t>
            </w:r>
          </w:p>
        </w:tc>
        <w:tc>
          <w:tcPr>
            <w:tcW w:w="0" w:type="auto"/>
          </w:tcPr>
          <w:p>
            <w:pPr>
              <w:spacing w:line="240" w:lineRule="auto" w:before="0" w:after="0"/>
              <w:pStyle w:val="Compact"/>
            </w:pPr>
            <w:r>
              <w:rPr>
                <w:sz w:val="20"/>
                <w:szCs w:val="20"/>
              </w:rPr>
              <w:t xml:space="preserve">Derived: ln(filed_sats)</w:t>
            </w:r>
          </w:p>
        </w:tc>
      </w:tr>
      <w:tr>
        <w:tc>
          <w:tcPr>
            <w:tcW w:w="0" w:type="auto"/>
          </w:tcPr>
          <w:p>
            <w:pPr>
              <w:spacing w:line="240" w:lineRule="auto" w:before="0" w:after="0"/>
              <w:pStyle w:val="Compact"/>
            </w:pPr>
            <w:r>
              <w:rPr>
                <w:sz w:val="20"/>
                <w:szCs w:val="20"/>
              </w:rPr>
              <w:t xml:space="preserve">incumbent</w:t>
            </w:r>
          </w:p>
        </w:tc>
        <w:tc>
          <w:tcPr>
            <w:tcW w:w="0" w:type="auto"/>
          </w:tcPr>
          <w:p>
            <w:pPr>
              <w:spacing w:line="240" w:lineRule="auto" w:before="0" w:after="0"/>
              <w:pStyle w:val="Compact"/>
            </w:pPr>
            <w:r>
              <w:rPr>
                <w:sz w:val="20"/>
                <w:szCs w:val="20"/>
              </w:rPr>
              <w:t xml:space="preserve">1 if the filer held prior on-orbit satellites or operating heritage (launch provider or established satellite operator) at the filing date; 0 for a new entrant.</w:t>
            </w:r>
          </w:p>
        </w:tc>
        <w:tc>
          <w:tcPr>
            <w:tcW w:w="0" w:type="auto"/>
          </w:tcPr>
          <w:p>
            <w:pPr>
              <w:spacing w:line="240" w:lineRule="auto" w:before="0" w:after="0"/>
              <w:pStyle w:val="Compact"/>
            </w:pPr>
            <w:r>
              <w:rPr>
                <w:sz w:val="20"/>
                <w:szCs w:val="20"/>
              </w:rPr>
              <w:t xml:space="preserve">Coded from operator history (SpaceX, Iridium, Globalstar, SES, Telesat, Viasat, Space Norway, Boeing coded incumbent)</w:t>
            </w:r>
          </w:p>
        </w:tc>
      </w:tr>
      <w:tr>
        <w:tc>
          <w:tcPr>
            <w:tcW w:w="0" w:type="auto"/>
          </w:tcPr>
          <w:p>
            <w:pPr>
              <w:spacing w:line="240" w:lineRule="auto" w:before="0" w:after="0"/>
              <w:pStyle w:val="Compact"/>
            </w:pPr>
            <w:r>
              <w:rPr>
                <w:sz w:val="20"/>
                <w:szCs w:val="20"/>
              </w:rPr>
              <w:t xml:space="preserve">us_filer</w:t>
            </w:r>
          </w:p>
        </w:tc>
        <w:tc>
          <w:tcPr>
            <w:tcW w:w="0" w:type="auto"/>
          </w:tcPr>
          <w:p>
            <w:pPr>
              <w:spacing w:line="240" w:lineRule="auto" w:before="0" w:after="0"/>
              <w:pStyle w:val="Compact"/>
            </w:pPr>
            <w:r>
              <w:rPr>
                <w:sz w:val="20"/>
                <w:szCs w:val="20"/>
              </w:rPr>
              <w:t xml:space="preserve">1 if the applicant is a United States entity filing directly; 0 if a foreign entity seeking US market access.</w:t>
            </w:r>
          </w:p>
        </w:tc>
        <w:tc>
          <w:tcPr>
            <w:tcW w:w="0" w:type="auto"/>
          </w:tcPr>
          <w:p>
            <w:pPr>
              <w:spacing w:line="240" w:lineRule="auto" w:before="0" w:after="0"/>
              <w:pStyle w:val="Compact"/>
            </w:pPr>
            <w:r>
              <w:rPr>
                <w:sz w:val="20"/>
                <w:szCs w:val="20"/>
              </w:rPr>
              <w:t xml:space="preserve">FCC application records and operator domicile</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ln_filed_sats</w:t>
            </w:r>
          </w:p>
        </w:tc>
        <w:tc>
          <w:tcPr>
            <w:tcW w:w="0" w:type="auto"/>
          </w:tcPr>
          <w:p>
            <w:pPr>
              <w:spacing w:line="240" w:lineRule="auto" w:before="0" w:after="0"/>
              <w:pStyle w:val="Compact"/>
            </w:pPr>
            <w:r>
              <w:rPr>
                <w:sz w:val="20"/>
                <w:szCs w:val="20"/>
              </w:rPr>
              <w:t xml:space="preserve">0.1351</w:t>
            </w:r>
          </w:p>
        </w:tc>
        <w:tc>
          <w:tcPr>
            <w:tcW w:w="0" w:type="auto"/>
          </w:tcPr>
          <w:p>
            <w:pPr>
              <w:spacing w:line="240" w:lineRule="auto" w:before="0" w:after="0"/>
              <w:pStyle w:val="Compact"/>
            </w:pPr>
            <w:r>
              <w:rPr>
                <w:sz w:val="20"/>
                <w:szCs w:val="20"/>
              </w:rPr>
              <w:t xml:space="preserve">0.102</w:t>
            </w:r>
          </w:p>
        </w:tc>
        <w:tc>
          <w:tcPr>
            <w:tcW w:w="0" w:type="auto"/>
          </w:tcPr>
          <w:p>
            <w:pPr>
              <w:spacing w:line="240" w:lineRule="auto" w:before="0" w:after="0"/>
              <w:pStyle w:val="Compact"/>
            </w:pPr>
            <w:r>
              <w:rPr>
                <w:sz w:val="20"/>
                <w:szCs w:val="20"/>
              </w:rPr>
              <w:t xml:space="preserve">1.3244</w:t>
            </w:r>
          </w:p>
        </w:tc>
        <w:tc>
          <w:tcPr>
            <w:tcW w:w="0" w:type="auto"/>
          </w:tcPr>
          <w:p>
            <w:pPr>
              <w:spacing w:line="240" w:lineRule="auto" w:before="0" w:after="0"/>
              <w:pStyle w:val="Compact"/>
            </w:pPr>
            <w:r>
              <w:rPr>
                <w:sz w:val="20"/>
                <w:szCs w:val="20"/>
              </w:rPr>
              <w:t xml:space="preserve">0.1854</w:t>
            </w:r>
          </w:p>
        </w:tc>
        <w:tc>
          <w:tcPr>
            <w:tcW w:w="0" w:type="auto"/>
          </w:tcPr>
          <w:p>
            <w:pPr>
              <w:spacing w:line="240" w:lineRule="auto" w:before="0" w:after="0"/>
              <w:pStyle w:val="Compact"/>
            </w:pPr>
            <w:r>
              <w:rPr>
                <w:sz w:val="20"/>
                <w:szCs w:val="20"/>
              </w:rPr>
              <w:t xml:space="preserve">[-0.0648, 0.335]</w:t>
            </w:r>
          </w:p>
        </w:tc>
        <w:tc>
          <w:tcPr>
            <w:tcW w:w="0" w:type="auto"/>
          </w:tcPr>
          <w:p>
            <w:pPr>
              <w:spacing w:line="240" w:lineRule="auto" w:before="0" w:after="0"/>
              <w:pStyle w:val="Compact"/>
            </w:pPr>
            <w:r>
              <w:rPr>
                <w:sz w:val="20"/>
                <w:szCs w:val="20"/>
              </w:rPr>
              <w:t xml:space="preserve">1.1446</w:t>
            </w:r>
          </w:p>
        </w:tc>
      </w:tr>
      <w:tr>
        <w:tc>
          <w:tcPr>
            <w:tcW w:w="0" w:type="auto"/>
          </w:tcPr>
          <w:p>
            <w:pPr>
              <w:spacing w:line="240" w:lineRule="auto" w:before="0" w:after="0"/>
              <w:pStyle w:val="Compact"/>
            </w:pPr>
            <w:r>
              <w:rPr>
                <w:sz w:val="20"/>
                <w:szCs w:val="20"/>
              </w:rPr>
              <w:t xml:space="preserve">incumbent</w:t>
            </w:r>
          </w:p>
        </w:tc>
        <w:tc>
          <w:tcPr>
            <w:tcW w:w="0" w:type="auto"/>
          </w:tcPr>
          <w:p>
            <w:pPr>
              <w:spacing w:line="240" w:lineRule="auto" w:before="0" w:after="0"/>
              <w:pStyle w:val="Compact"/>
            </w:pPr>
            <w:r>
              <w:rPr>
                <w:sz w:val="20"/>
                <w:szCs w:val="20"/>
              </w:rPr>
              <w:t xml:space="preserve">0.4827</w:t>
            </w:r>
          </w:p>
        </w:tc>
        <w:tc>
          <w:tcPr>
            <w:tcW w:w="0" w:type="auto"/>
          </w:tcPr>
          <w:p>
            <w:pPr>
              <w:spacing w:line="240" w:lineRule="auto" w:before="0" w:after="0"/>
              <w:pStyle w:val="Compact"/>
            </w:pPr>
            <w:r>
              <w:rPr>
                <w:sz w:val="20"/>
                <w:szCs w:val="20"/>
              </w:rPr>
              <w:t xml:space="preserve">0.5242</w:t>
            </w:r>
          </w:p>
        </w:tc>
        <w:tc>
          <w:tcPr>
            <w:tcW w:w="0" w:type="auto"/>
          </w:tcPr>
          <w:p>
            <w:pPr>
              <w:spacing w:line="240" w:lineRule="auto" w:before="0" w:after="0"/>
              <w:pStyle w:val="Compact"/>
            </w:pPr>
            <w:r>
              <w:rPr>
                <w:sz w:val="20"/>
                <w:szCs w:val="20"/>
              </w:rPr>
              <w:t xml:space="preserve">0.9209</w:t>
            </w:r>
          </w:p>
        </w:tc>
        <w:tc>
          <w:tcPr>
            <w:tcW w:w="0" w:type="auto"/>
          </w:tcPr>
          <w:p>
            <w:pPr>
              <w:spacing w:line="240" w:lineRule="auto" w:before="0" w:after="0"/>
              <w:pStyle w:val="Compact"/>
            </w:pPr>
            <w:r>
              <w:rPr>
                <w:sz w:val="20"/>
                <w:szCs w:val="20"/>
              </w:rPr>
              <w:t xml:space="preserve">0.3571</w:t>
            </w:r>
          </w:p>
        </w:tc>
        <w:tc>
          <w:tcPr>
            <w:tcW w:w="0" w:type="auto"/>
          </w:tcPr>
          <w:p>
            <w:pPr>
              <w:spacing w:line="240" w:lineRule="auto" w:before="0" w:after="0"/>
              <w:pStyle w:val="Compact"/>
            </w:pPr>
            <w:r>
              <w:rPr>
                <w:sz w:val="20"/>
                <w:szCs w:val="20"/>
              </w:rPr>
              <w:t xml:space="preserve">[-0.5447, 1.5102]</w:t>
            </w:r>
          </w:p>
        </w:tc>
        <w:tc>
          <w:tcPr>
            <w:tcW w:w="0" w:type="auto"/>
          </w:tcPr>
          <w:p>
            <w:pPr>
              <w:spacing w:line="240" w:lineRule="auto" w:before="0" w:after="0"/>
              <w:pStyle w:val="Compact"/>
            </w:pPr>
            <w:r>
              <w:rPr>
                <w:sz w:val="20"/>
                <w:szCs w:val="20"/>
              </w:rPr>
              <w:t xml:space="preserve">1.6205</w:t>
            </w:r>
          </w:p>
        </w:tc>
      </w:tr>
      <w:tr>
        <w:tc>
          <w:tcPr>
            <w:tcW w:w="0" w:type="auto"/>
          </w:tcPr>
          <w:p>
            <w:pPr>
              <w:spacing w:line="240" w:lineRule="auto" w:before="0" w:after="0"/>
              <w:pStyle w:val="Compact"/>
            </w:pPr>
            <w:r>
              <w:rPr>
                <w:sz w:val="20"/>
                <w:szCs w:val="20"/>
              </w:rPr>
              <w:t xml:space="preserve">us_filer</w:t>
            </w:r>
          </w:p>
        </w:tc>
        <w:tc>
          <w:tcPr>
            <w:tcW w:w="0" w:type="auto"/>
          </w:tcPr>
          <w:p>
            <w:pPr>
              <w:spacing w:line="240" w:lineRule="auto" w:before="0" w:after="0"/>
              <w:pStyle w:val="Compact"/>
            </w:pPr>
            <w:r>
              <w:rPr>
                <w:sz w:val="20"/>
                <w:szCs w:val="20"/>
              </w:rPr>
              <w:t xml:space="preserve">-0.7243</w:t>
            </w:r>
          </w:p>
        </w:tc>
        <w:tc>
          <w:tcPr>
            <w:tcW w:w="0" w:type="auto"/>
          </w:tcPr>
          <w:p>
            <w:pPr>
              <w:spacing w:line="240" w:lineRule="auto" w:before="0" w:after="0"/>
              <w:pStyle w:val="Compact"/>
            </w:pPr>
            <w:r>
              <w:rPr>
                <w:sz w:val="20"/>
                <w:szCs w:val="20"/>
              </w:rPr>
              <w:t xml:space="preserve">0.53</w:t>
            </w:r>
          </w:p>
        </w:tc>
        <w:tc>
          <w:tcPr>
            <w:tcW w:w="0" w:type="auto"/>
          </w:tcPr>
          <w:p>
            <w:pPr>
              <w:spacing w:line="240" w:lineRule="auto" w:before="0" w:after="0"/>
              <w:pStyle w:val="Compact"/>
            </w:pPr>
            <w:r>
              <w:rPr>
                <w:sz w:val="20"/>
                <w:szCs w:val="20"/>
              </w:rPr>
              <w:t xml:space="preserve">-1.3665</w:t>
            </w:r>
          </w:p>
        </w:tc>
        <w:tc>
          <w:tcPr>
            <w:tcW w:w="0" w:type="auto"/>
          </w:tcPr>
          <w:p>
            <w:pPr>
              <w:spacing w:line="240" w:lineRule="auto" w:before="0" w:after="0"/>
              <w:pStyle w:val="Compact"/>
            </w:pPr>
            <w:r>
              <w:rPr>
                <w:sz w:val="20"/>
                <w:szCs w:val="20"/>
              </w:rPr>
              <w:t xml:space="preserve">0.1718</w:t>
            </w:r>
          </w:p>
        </w:tc>
        <w:tc>
          <w:tcPr>
            <w:tcW w:w="0" w:type="auto"/>
          </w:tcPr>
          <w:p>
            <w:pPr>
              <w:spacing w:line="240" w:lineRule="auto" w:before="0" w:after="0"/>
              <w:pStyle w:val="Compact"/>
            </w:pPr>
            <w:r>
              <w:rPr>
                <w:sz w:val="20"/>
                <w:szCs w:val="20"/>
              </w:rPr>
              <w:t xml:space="preserve">[-1.7632, 0.3146]</w:t>
            </w:r>
          </w:p>
        </w:tc>
        <w:tc>
          <w:tcPr>
            <w:tcW w:w="0" w:type="auto"/>
          </w:tcPr>
          <w:p>
            <w:pPr>
              <w:spacing w:line="240" w:lineRule="auto" w:before="0" w:after="0"/>
              <w:pStyle w:val="Compact"/>
            </w:pPr>
            <w:r>
              <w:rPr>
                <w:sz w:val="20"/>
                <w:szCs w:val="20"/>
              </w:rPr>
              <w:t xml:space="preserve">0.4847</w:t>
            </w:r>
          </w:p>
        </w:tc>
      </w:tr>
    </w:tbl>
    <w:p>
      <w:pPr>
        <w:pStyle w:val="BodyText"/>
      </w:pPr>
      <w:r>
        <w:t xml:space="preserve">Fit: N = 26 events = 17</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77" Target="https://doi.org/10.1016/j.actaastro.2022.04.019" TargetMode="External" /><Relationship Type="http://schemas.openxmlformats.org/officeDocument/2006/relationships/hyperlink" Id="rId70" Target="https://doi.org/10.2514/1.A35987" TargetMode="External" /><Relationship Type="http://schemas.openxmlformats.org/officeDocument/2006/relationships/hyperlink" Id="rId68" Target="https://doi.org/10.64861/QBNC8763" TargetMode="External" /><Relationship Type="http://schemas.openxmlformats.org/officeDocument/2006/relationships/hyperlink" Id="rId75" Target="https://doi.org/10.64861/UKLE4659" TargetMode="External" /></Relationships>
</file>

<file path=word/_rels/footnotes.xml.rels><?xml version="1.0" encoding="UTF-8"?><Relationships xmlns="http://schemas.openxmlformats.org/package/2006/relationships"><Relationship Type="http://schemas.openxmlformats.org/officeDocument/2006/relationships/hyperlink" Id="rId77" Target="https://doi.org/10.1016/j.actaastro.2022.04.019" TargetMode="External" /><Relationship Type="http://schemas.openxmlformats.org/officeDocument/2006/relationships/hyperlink" Id="rId70" Target="https://doi.org/10.2514/1.A35987" TargetMode="External" /><Relationship Type="http://schemas.openxmlformats.org/officeDocument/2006/relationships/hyperlink" Id="rId68" Target="https://doi.org/10.64861/QBNC8763" TargetMode="External" /><Relationship Type="http://schemas.openxmlformats.org/officeDocument/2006/relationships/hyperlink" Id="rId75" Target="https://doi.org/10.64861/UKLE4659"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2026-06-25T14:26:08Z</dcterms:created>
  <dcterms:modified xsi:type="dcterms:W3CDTF">2026-06-25T14:26:08Z</dcterms:modified>
</cp:coreProperties>
</file>

<file path=docProps/custom.xml><?xml version="1.0" encoding="utf-8"?>
<Properties xmlns="http://schemas.openxmlformats.org/officeDocument/2006/custom-properties" xmlns:vt="http://schemas.openxmlformats.org/officeDocument/2006/docPropsVTypes"/>
</file>