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1c9057ce9da9c889ac5c506d7f2c59febb8e068"/>
    <w:p>
      <w:pPr>
        <w:pStyle w:val="Heading1"/>
      </w:pPr>
      <w:r>
        <w:t xml:space="preserve">Phantom Capacity in the NGSO Queue: A Logit Model of Filing-to-Deployment Conversion</w:t>
      </w:r>
    </w:p>
    <w:bookmarkStart w:id="61" w:name="introduction"/>
    <w:p>
      <w:pPr>
        <w:pStyle w:val="Heading2"/>
      </w:pPr>
      <w:r>
        <w:t xml:space="preserve">1. Introduction</w:t>
      </w:r>
    </w:p>
    <w:p>
      <w:pPr>
        <w:pStyle w:val="FirstParagraph"/>
      </w:pPr>
      <w:r>
        <w:t xml:space="preserve">The administrative queue for non-geostationary satellite orbit (NGSO) spectrum has become a strategic instrument that runs ahead of the hardware it describes. An operator that lodges a coordination request with the International Telecommunication Union or a market-access petition with the United States Federal Communications Commission secures a priority position over frequency assignments and orbital shells long before any spacecraft is integrated or launched. Since 2016 the FCC alone has processed market-access requests from more than twenty distinct networks proposing in excess of seventy thousand satellites, a paper population that dwarfs the count actually on orbit. The question this paper answers is empirical and narrow: across the documented history of filed NGSO systems, what fraction reach the sky, and which observable filing attributes separate the systems that deploy from the systems that do not?</w:t>
      </w:r>
    </w:p>
    <w:p>
      <w:pPr>
        <w:pStyle w:val="BodyText"/>
      </w:pPr>
      <w:r>
        <w:t xml:space="preserve">The distinction between announcing a build and reserving a claim matters because downstream practice already treats the filing record as a forecast of the sky. Reference-scenario work for space-environment modeling builds near-term satellite-deployment inputs from announced systems</w:t>
      </w:r>
      <w:r>
        <w:t xml:space="preserve"> </w:t>
      </w:r>
      <w:hyperlink w:anchor="ref-1">
        <m:oMathPara>
          <m:oMathParaPr>
            <m:jc m:val="center"/>
          </m:oMathParaPr>
          <m:oMath>
            <m:r>
              <m:t>1</m:t>
            </m:r>
          </m:oMath>
        </m:oMathPara>
      </w:hyperlink>
      <w:r>
        <w:t xml:space="preserve">, so any systematic gap between announced and realized systems propagates into the models that inform sustainability policy. If the queue is congested with capacity that never materializes, every estimate that begins from filed or announced systems inherits an optimism bias it does not declare. This paper measures the conversion relationship directly rather than assuming it.</w:t>
      </w:r>
    </w:p>
    <w:p>
      <w:pPr>
        <w:pStyle w:val="FirstParagraph"/>
      </w:pPr>
      <w:r>
        <w:t xml:space="preserve">The contribution is a calibrated binary model of filing-to-deployment conversion estimated on a hand-compiled census of filed NGSO systems spanning the 1990s mobile and</w:t>
      </w:r>
      <w:r>
        <w:t xml:space="preserve"> </w:t>
      </w:r>
      <w:r>
        <w:t xml:space="preserve">“internet in the sky”</w:t>
      </w:r>
      <w:r>
        <w:t xml:space="preserve"> </w:t>
      </w:r>
      <w:r>
        <w:t xml:space="preserve">filings through the 2016 to 2021 FCC processing rounds. The model adjudicates a warehousing hypothesis against a build-intent null and reports, honestly, which warehousing proxies carry predictive weight and which do not.</w:t>
      </w:r>
    </w:p>
    <w:bookmarkEnd w:id="61"/>
    <w:bookmarkStart w:id="62" w:name="theory-and-hypotheses"/>
    <w:p>
      <w:pPr>
        <w:pStyle w:val="Heading2"/>
      </w:pPr>
      <w:r>
        <w:t xml:space="preserve">2. Theory and Hypotheses</w:t>
      </w:r>
    </w:p>
    <w:p>
      <w:pPr>
        <w:pStyle w:val="FirstParagraph"/>
      </w:pPr>
      <w:r>
        <w:t xml:space="preserve">Orbital capacity is increasingly understood not as an abstract environmental concern but as a bounded, governable resource. Stilwell and colleagues frame orbital carrying capacity as fundamentally a safety quantity, deriving a maximum sustainable capacity per altitude shell as a function of deorbit compliance and collision-avoidance capability</w:t>
      </w:r>
      <w:r>
        <w:t xml:space="preserve"> </w:t>
      </w:r>
      <w:hyperlink w:anchor="ref-3">
        <m:oMathPara>
          <m:oMathParaPr>
            <m:jc m:val="center"/>
          </m:oMathParaPr>
          <m:oMath>
            <m:r>
              <m:t>3</m:t>
            </m:r>
          </m:oMath>
        </m:oMathPara>
      </w:hyperlink>
      <w:r>
        <w:t xml:space="preserve">[4]. If the shells operators coordinate for are finite, then claims on those shells, whether or not they convert to hardware, are claims on a shared commons. The same body of work proposes performance-based entry requirements modeled on aviation airspace classification, with entry conditions tied to congestion and collision risk</w:t>
      </w:r>
      <w:r>
        <w:t xml:space="preserve"> </w:t>
      </w:r>
      <w:hyperlink w:anchor="ref-3">
        <m:oMathPara>
          <m:oMathParaPr>
            <m:jc m:val="center"/>
          </m:oMathParaPr>
          <m:oMath>
            <m:r>
              <m:t>3</m:t>
            </m:r>
          </m:oMath>
        </m:oMathPara>
      </w:hyperlink>
      <w:r>
        <w:t xml:space="preserve">. Any such regime presupposes that the regulator can distinguish real entrants from nominal ones, which is the discrimination this paper formalizes. Capacity-management scholarship makes the same point from the traffic-coordination side, treating the management of finite orbital volume as inseparable from the population of systems that actually occupy it</w:t>
      </w:r>
      <w:r>
        <w:t xml:space="preserve"> </w:t>
      </w:r>
      <w:hyperlink w:anchor="ref-7">
        <m:oMathPara>
          <m:oMathParaPr>
            <m:jc m:val="center"/>
          </m:oMathParaPr>
          <m:oMath>
            <m:r>
              <m:t>7</m:t>
            </m:r>
          </m:oMath>
        </m:oMathPara>
      </w:hyperlink>
      <w:r>
        <w:t xml:space="preserve">.</w:t>
      </w:r>
    </w:p>
    <w:p>
      <w:pPr>
        <w:pStyle w:val="FirstParagraph"/>
      </w:pPr>
      <w:r>
        <w:t xml:space="preserve">The economic logic of speculative reservation is familiar from the space-economy literature. Weinzierl’s treatment of the orbital commons turns on the incentives operators face ex ante for quality and ex post for removal</w:t>
      </w:r>
      <w:r>
        <w:t xml:space="preserve"> </w:t>
      </w:r>
      <w:hyperlink w:anchor="ref-6">
        <m:oMathPara>
          <m:oMathParaPr>
            <m:jc m:val="center"/>
          </m:oMathParaPr>
          <m:oMath>
            <m:r>
              <m:t>6</m:t>
            </m:r>
          </m:oMath>
        </m:oMathPara>
      </w:hyperlink>
      <w:r>
        <w:t xml:space="preserve">, and the broader sustainability discussion groups spectrum usage alongside debris and property rights as contested claims on shared space resources</w:t>
      </w:r>
      <w:r>
        <w:t xml:space="preserve"> </w:t>
      </w:r>
      <w:hyperlink w:anchor="ref-5">
        <m:oMathPara>
          <m:oMathParaPr>
            <m:jc m:val="center"/>
          </m:oMathParaPr>
          <m:oMath>
            <m:r>
              <m:t>5</m:t>
            </m:r>
          </m:oMath>
        </m:oMathPara>
      </w:hyperlink>
      <w:r>
        <w:t xml:space="preserve">. Spectrum warehousing is the spectrum analogue of these incentive distortions: filing is cheap, priority has option value, and the option can be held without ever being exercised. The historical record supplies the variation needed to test this. The 1990s produced ambitious filings such as Teledesic, which proposed 840 satellites and orbited a single demonstrator before winding down</w:t>
      </w:r>
      <w:r>
        <w:t xml:space="preserve"> </w:t>
      </w:r>
      <w:hyperlink w:anchor="ref-1">
        <m:oMathPara>
          <m:oMathParaPr>
            <m:jc m:val="center"/>
          </m:oMathParaPr>
          <m:oMath>
            <m:r>
              <m:t>1</m:t>
            </m:r>
          </m:oMath>
        </m:oMathPara>
      </w:hyperlink>
      <w:r>
        <w:t xml:space="preserve">, alongside systems such as Iridium and Globalstar that deployed near their full filed size. The 2016 processing rounds repeated the pattern, with Starlink and OneWeb converting while contemporaneous filers including Boeing, LeoSat, Theia, and Audacy surrendered or abandoned their authorizations.</w:t>
      </w:r>
    </w:p>
    <w:p>
      <w:pPr>
        <w:pStyle w:val="FirstParagraph"/>
      </w:pPr>
      <w:r>
        <w:t xml:space="preserve">Let a filed system be coded as materialized if it reaches at least half of its filed satellite count on orbit within the observation horizon, a threshold that mirrors the fifty-percent milestone the FCC itself imposes on NGSO licensees. The conversion probability is the modeled probability of materialization conditional on filing attributes.</w:t>
      </w:r>
    </w:p>
    <w:p>
      <w:pPr>
        <w:pStyle w:val="BodyText"/>
      </w:pPr>
      <w:r>
        <w:rPr>
          <w:b/>
          <w:bCs/>
        </w:rPr>
        <w:t xml:space="preserve">H0 (build-intent null):</w:t>
      </w:r>
      <w:r>
        <w:t xml:space="preserve"> </w:t>
      </w:r>
      <w:r>
        <w:t xml:space="preserve">Filings are, on average, faithful announcements of build-out. Conversion is high and is not systematically depressed for attributes associated with speculative reservation.</w:t>
      </w:r>
    </w:p>
    <w:p>
      <w:pPr>
        <w:pStyle w:val="BodyText"/>
      </w:pPr>
      <w:r>
        <w:rPr>
          <w:b/>
          <w:bCs/>
        </w:rPr>
        <w:t xml:space="preserve">H1 (warehousing hypothesis):</w:t>
      </w:r>
      <w:r>
        <w:t xml:space="preserve"> </w:t>
      </w:r>
      <w:r>
        <w:t xml:space="preserve">A material share of filings function as warehousing claims. Conversion is substantially below one, and identifiable warehousing proxies, in particular the size of the filed system, predict non-materialization.</w:t>
      </w:r>
    </w:p>
    <w:bookmarkEnd w:id="62"/>
    <w:bookmarkStart w:id="63" w:name="data"/>
    <w:p>
      <w:pPr>
        <w:pStyle w:val="Heading2"/>
      </w:pPr>
      <w:r>
        <w:t xml:space="preserve">3. Data</w:t>
      </w:r>
    </w:p>
    <w:p>
      <w:pPr>
        <w:pStyle w:val="FirstParagraph"/>
      </w:pPr>
      <w:r>
        <w:t xml:space="preserve">The unit of analysis is the filed NGSO system. The sample is a census of twenty-four documented systems for which the filed system size and the on-orbit outcome are both traceable to named public sources, listed per row in the accompanying dataset. The outcome variable, materialization, is coded one when confirmed on-orbit spacecraft reach at least half of the filed count within the horizon and zero otherwise. Filed system sizes are taken from FCC authorizations and constellation records: Starlink at 4,425 satellites in its first 2018 license, Kuiper at 3,236, OneWeb at 720, Telesat Lightspeed at 117, and the 1990s systems at their proposed sizes, from Teledesic’s 840 down to Audacy’s three. On-orbit counts are drawn from operator records and constellation trackers. Six cells of deployed or filed counts, under fifteen percent of the data, are marked illustrative where an exact public figure was not obtainable; no materialization outcome and no citation is illustrative.</w:t>
      </w:r>
    </w:p>
    <w:p>
      <w:pPr>
        <w:pStyle w:val="BodyText"/>
      </w:pPr>
      <w:r>
        <w:t xml:space="preserve">Four predictors are constructed from attributes observable at or near the filing date. The base-ten logarithm of filed system size scales the warehousing proxy across systems ranging from two to several thousand satellites. A prior-track-record indicator marks filers with an existing on-orbit system at the priority date. A concurrent-filings indicator marks filers that lodged multiple overlapping NGSO filings around the priority date. A broadband indicator separates broadband fixed-satellite-service constellations from narrowband mobile and other services.</w:t>
      </w:r>
    </w:p>
    <w:bookmarkEnd w:id="63"/>
    <w:bookmarkStart w:id="64" w:name="method"/>
    <w:p>
      <w:pPr>
        <w:pStyle w:val="Heading2"/>
      </w:pPr>
      <w:r>
        <w:t xml:space="preserve">4. Method</w:t>
      </w:r>
    </w:p>
    <w:p>
      <w:pPr>
        <w:pStyle w:val="FirstParagraph"/>
      </w:pPr>
      <w:r>
        <w:t xml:space="preserve">I estimate a logistic regression of materialization on the four filing attributes. The logit specification is the natural choice for a binary conversion outcome and yields coefficients interpretable as log-odds shifts and, through exponentiation, as odds ratios. The model is the binary-conversion specification anticipated in the research design, complementary to a survival treatment of time-to-materialization. Estimation is by maximum likelihood. With twenty-four observations and four predictors the design is deliberately parsimonious, and the coefficients are read as predictive associations rather than structural causal effects, consistent with the predictive framing of the hypotheses. The warehousing hypothesis predicts a negative and material coefficient on log filed size; the build-intent null predicts that the warehousing proxies carry no weight.</w:t>
      </w:r>
    </w:p>
    <w:bookmarkEnd w:id="64"/>
    <w:bookmarkStart w:id="65" w:name="findings"/>
    <w:p>
      <w:pPr>
        <w:pStyle w:val="Heading2"/>
      </w:pPr>
      <w:r>
        <w:t xml:space="preserve">5. Findings</w:t>
      </w:r>
    </w:p>
    <w:p>
      <w:pPr>
        <w:pStyle w:val="FirstParagraph"/>
      </w:pPr>
      <w:r>
        <w:t xml:space="preserve">The headline descriptive fact is stark. Of the twenty-four filed systems, six materialized and eighteen did not, an overall conversion rate of 0.25. Three of the four</w:t>
      </w:r>
      <w:r>
        <w:t xml:space="preserve"> </w:t>
      </w:r>
      <w:r>
        <w:t xml:space="preserve">“internet in the sky”</w:t>
      </w:r>
      <w:r>
        <w:t xml:space="preserve"> </w:t>
      </w:r>
      <w:r>
        <w:t xml:space="preserve">filings of the late 1990s converted to nothing on orbit, and the 2016 to 2021 processing rounds converted at roughly the same low rate, 0.21. On the central magnitude question, the queue is a poor forecast of the sky: three filings in four never reach the materiality threshold.</w:t>
      </w:r>
    </w:p>
    <w:p>
      <w:pPr>
        <w:pStyle w:val="BodyText"/>
      </w:pPr>
      <w:r>
        <w:t xml:space="preserve">The logit model fits the data with a McFadden pseudo R-squared of 0.282 on twenty-four observations and a log-likelihood of -9.69. The coefficients tell a more nuanced story than a simple warehousing account would predict. The coefficient on log filed size is 0.235 with a standard error of 0.914 and a p-value of 0.797. It is statistically indistinguishable from zero and, if anything, points in the opposite direction from the warehousing prediction. The naive proxy fails: once other attributes are controlled, a larger filed system is not less likely to materialize. The raw data explain why. The two largest converters, Starlink and OneWeb, are also among the largest filings, and the mean filed size of materialized systems (883) exceeds that of non-materialized systems (304). Filed size alone does not separate phantom from real capacity.</w:t>
      </w:r>
    </w:p>
    <w:p>
      <w:pPr>
        <w:pStyle w:val="BodyText"/>
      </w:pPr>
      <w:r>
        <w:t xml:space="preserve">The single predictor that does carry significant weight is the concurrent-filings indicator, with a coefficient of 3.361, a standard error of 1.710, and a p-value of 0.049, corresponding to an odds ratio near twenty-nine. The sign is positive. Filers who lodged multiple overlapping NGSO filings were substantially more likely, not less, to deploy. This inverts the intuition that breadth of filing signals speculation. In this sample, simultaneous filing tracks capability and seriousness, the well-resourced operators who file across bands and orbits are the ones who go on to build, while the single-filing entrants more often lapse. The remaining covariates are negative but imprecisely estimated: prior track record at -2.216 (standard error 1.706, p = 0.194) and the broadband indicator at -1.866 (standard error 1.692, p = 0.270). Neither reaches conventional significance, and the broadband result reflects that the ambitious internet constellations include both the era’s most spectacular failures and its most spectacular successes.</w:t>
      </w:r>
    </w:p>
    <w:p>
      <w:pPr>
        <w:pStyle w:val="BodyText"/>
      </w:pPr>
      <w:r>
        <w:t xml:space="preserve">The verdict on the hypotheses is therefore split and worth stating plainly. The magnitude prong of H1 is supported: conversion is far below one, exactly the phantom-capacity pattern the warehousing account predicts and the build-intent null denies. The mechanism prong of H1, that filed size proxies warehousing, is not supported in these data. The proxy that the literature and intuition nominate as the cleanest warehousing signal carries no predictive weight, and the one attribute that does is significant with the opposite sign to the speculation story. Honest reporting requires both halves of this result.</w:t>
      </w:r>
    </w:p>
    <w:bookmarkEnd w:id="65"/>
    <w:bookmarkStart w:id="66" w:name="discussion"/>
    <w:p>
      <w:pPr>
        <w:pStyle w:val="Heading2"/>
      </w:pPr>
      <w:r>
        <w:t xml:space="preserve">6. Discussion</w:t>
      </w:r>
    </w:p>
    <w:p>
      <w:pPr>
        <w:pStyle w:val="FirstParagraph"/>
      </w:pPr>
      <w:r>
        <w:t xml:space="preserve">The practical implication for the modeling and policy communities is immediate. Any near-term deployment scenario that ingests filed or announced systems at face value will overstate the realized population, because three filings in four do not convert</w:t>
      </w:r>
      <w:r>
        <w:t xml:space="preserve"> </w:t>
      </w:r>
      <w:hyperlink w:anchor="ref-1">
        <m:oMathPara>
          <m:oMathParaPr>
            <m:jc m:val="center"/>
          </m:oMathParaPr>
          <m:oMath>
            <m:r>
              <m:t>1</m:t>
            </m:r>
          </m:oMath>
        </m:oMathPara>
      </w:hyperlink>
      <w:r>
        <w:t xml:space="preserve">. The bias is large in aggregate even though it is not cleanly predicted by filed size at the level of the individual system. A regulator or modeler who wants to discount phantom capacity cannot simply down-weight the largest filings; the largest filings include the genuine megaconstellations. The more discriminating signal in this sample is the operator’s filing posture, with serial, multi-band filers behaving as committed builders rather than as warehousers.</w:t>
      </w:r>
    </w:p>
    <w:p>
      <w:pPr>
        <w:pStyle w:val="FirstParagraph"/>
      </w:pPr>
      <w:r>
        <w:t xml:space="preserve">These findings should be read with their limits in view. Twenty-four observations support a parsimonious model and wide confidence intervals; the concurrent-filings result, while significant, rests on a modest number of converting filers and should be treated as a hypothesis for confirmation on a larger filing census rather than as a settled coefficient. Materialization is measured as catalog presence at a fifty-percent threshold, which captures deployment but not operational service, and the threshold and horizon are researcher choices that a fuller study would sweep. The sample also spans two regulatory eras with different incentive structures, and pooling them trades statistical power against the risk that the conversion relationship is not stable across regimes. The complementary survival specification, which handles right-censoring of recent filings directly and treats time-to-materialization rather than a binary cut, addresses several of these limits and is the natural next step. What this paper establishes is the first-order fact that the warehousing debate needs: the NGSO queue converts at one in four, and the obvious size-based proxy for distinguishing real from phantom capacity does not do the work that intuition assigns it.</w:t>
      </w:r>
    </w:p>
    <w:bookmarkEnd w:id="66"/>
    <w:bookmarkStart w:id="75" w:name="references"/>
    <w:p>
      <w:pPr>
        <w:pStyle w:val="Heading2"/>
      </w:pPr>
      <w:r>
        <w:t xml:space="preserve">References</w:t>
      </w:r>
    </w:p>
    <w:p>
      <w:pPr>
        <w:pStyle w:val="FirstParagraph"/>
      </w:pPr>
      <w:bookmarkStart w:id="67" w:name="ref-1"/>
      <w:bookmarkEnd w:id="67"/>
      <w:r>
        <w:t xml:space="preserve">1. M. Lifson, A. Baset, G. Cates, B. Chen, A. Connor, C. Coursey, G. Henning, M. Miyamoto, G. E. Peterson, B. Weeden, G. Williams, I. Brownhall, M. Burgess, M. Holzinger, D. Kaffine, M. Moretto, and A. Rao,</w:t>
      </w:r>
      <w:r>
        <w:t xml:space="preserve"> </w:t>
      </w:r>
      <w:r>
        <w:t xml:space="preserve">“Development of Reference Scenarios and Supporting Inputs for Space Environment Modeling,”</w:t>
      </w:r>
      <w:r>
        <w:t xml:space="preserve"> </w:t>
      </w:r>
      <w:r>
        <w:t xml:space="preserve">Proc. Advanced Maui Optical and Space Surveillance Technologies (AMOS) Conference, 2024. doi:</w:t>
      </w:r>
      <w:r>
        <w:t xml:space="preserve"> </w:t>
      </w:r>
      <w:hyperlink r:id="rId68">
        <w:r>
          <w:rPr>
            <w:rStyle w:val="Hyperlink"/>
          </w:rPr>
          <w:t xml:space="preserve">10.64861/QBNC8763</w:t>
        </w:r>
      </w:hyperlink>
    </w:p>
    <w:p>
      <w:pPr>
        <w:pStyle w:val="BodyText"/>
      </w:pPr>
      <w:bookmarkStart w:id="69" w:name="ref-3"/>
      <w:bookmarkEnd w:id="69"/>
      <w:r>
        <w:t xml:space="preserve">3. B. Stilwell et al.,</w:t>
      </w:r>
      <w:r>
        <w:t xml:space="preserve"> </w:t>
      </w:r>
      <w:r>
        <w:t xml:space="preserve">“Integrating Orbital Carrying Capacity into International Policy Constructs: A Policy-Based Orbital Classification Framework for LEO,”</w:t>
      </w:r>
      <w:r>
        <w:t xml:space="preserve"> </w:t>
      </w:r>
      <w:r>
        <w:t xml:space="preserve">presented at ASCEND 2025, Space Economy Papers corpus (source key SD02).</w:t>
      </w:r>
    </w:p>
    <w:p>
      <w:pPr>
        <w:pStyle w:val="BodyText"/>
      </w:pPr>
      <w:bookmarkStart w:id="70" w:name="ref-4"/>
      <w:bookmarkEnd w:id="70"/>
      <w:r>
        <w:t xml:space="preserve">4. B. Stilwell,</w:t>
      </w:r>
      <w:r>
        <w:t xml:space="preserve"> </w:t>
      </w:r>
      <w:r>
        <w:t xml:space="preserve">“Integrating Orbital Carrying Capacity into International Policy Constructs,”</w:t>
      </w:r>
      <w:r>
        <w:t xml:space="preserve"> </w:t>
      </w:r>
      <w:r>
        <w:t xml:space="preserve">IAC-24-A6.10-E9.4.11 (x89152), International Astronautical Congress, 2024, Space Economy Papers corpus (source key SD01).</w:t>
      </w:r>
    </w:p>
    <w:p>
      <w:pPr>
        <w:pStyle w:val="BodyText"/>
      </w:pPr>
      <w:bookmarkStart w:id="71" w:name="ref-5"/>
      <w:bookmarkEnd w:id="71"/>
      <w:r>
        <w:t xml:space="preserve">5.</w:t>
      </w:r>
      <w:r>
        <w:t xml:space="preserve"> </w:t>
      </w:r>
      <w:r>
        <w:t xml:space="preserve">“The Role of Space in Driving Sustainability, Security, and Development,”</w:t>
      </w:r>
      <w:r>
        <w:t xml:space="preserve"> </w:t>
      </w:r>
      <w:r>
        <w:t xml:space="preserve">Space Economy Papers corpus (source key SD13).</w:t>
      </w:r>
    </w:p>
    <w:p>
      <w:pPr>
        <w:pStyle w:val="BodyText"/>
      </w:pPr>
      <w:bookmarkStart w:id="72" w:name="ref-6"/>
      <w:bookmarkEnd w:id="72"/>
      <w:r>
        <w:t xml:space="preserve">6. M. Weinzierl,</w:t>
      </w:r>
      <w:r>
        <w:t xml:space="preserve"> </w:t>
      </w:r>
      <w:r>
        <w:t xml:space="preserve">“Space, the Final Economic Frontier,”</w:t>
      </w:r>
      <w:r>
        <w:t xml:space="preserve"> </w:t>
      </w:r>
      <w:r>
        <w:t xml:space="preserve">2018, Space Economy Papers corpus (source key SD18).</w:t>
      </w:r>
    </w:p>
    <w:p>
      <w:pPr>
        <w:pStyle w:val="BodyText"/>
      </w:pPr>
      <w:bookmarkStart w:id="73" w:name="ref-7"/>
      <w:bookmarkEnd w:id="73"/>
      <w:r>
        <w:t xml:space="preserve">7. C. Colombo, P. Martinez, F. Letizia, B. Bonvoisin, et al.,</w:t>
      </w:r>
      <w:r>
        <w:t xml:space="preserve"> </w:t>
      </w:r>
      <w:r>
        <w:t xml:space="preserve">“Space capacity management and its interaction with space traffic management,”</w:t>
      </w:r>
      <w:r>
        <w:t xml:space="preserve"> </w:t>
      </w:r>
      <w:r>
        <w:t xml:space="preserve">Acta Astronautica, 2025. doi:</w:t>
      </w:r>
      <w:r>
        <w:t xml:space="preserve"> </w:t>
      </w:r>
      <w:hyperlink r:id="rId74">
        <w:r>
          <w:rPr>
            <w:rStyle w:val="Hyperlink"/>
          </w:rPr>
          <w:t xml:space="preserve">10.1016/j.actaastro.2025.01.069</w:t>
        </w:r>
      </w:hyperlink>
    </w:p>
    <w:bookmarkEnd w:id="75"/>
    <w:bookmarkStart w:id="76"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materialized</m:t>
              </m:r>
            </m:e>
            <m:sub>
              <m:r>
                <m:t>i</m:t>
              </m:r>
            </m:sub>
          </m:sSub>
          <m:r>
            <m:rPr>
              <m:sty m:val="p"/>
            </m:rPr>
            <m:t>=</m:t>
          </m:r>
          <m:r>
            <m:t>1</m:t>
          </m:r>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sty m:val="p"/>
                    </m:rPr>
                    <m:t>log</m:t>
                  </m:r>
                </m:e>
                <m:sub>
                  <m:r>
                    <m:t>10</m:t>
                  </m:r>
                </m:sub>
              </m:sSub>
              <m:sSub>
                <m:e>
                  <m:r>
                    <m:rPr>
                      <m:nor/>
                      <m:sty m:val="p"/>
                    </m:rPr>
                    <m:t>filed</m:t>
                  </m:r>
                </m:e>
                <m:sub>
                  <m:r>
                    <m:t>i</m:t>
                  </m:r>
                </m:sub>
              </m:sSub>
              <m:r>
                <m:rPr>
                  <m:sty m:val="p"/>
                </m:rPr>
                <m:t>+</m:t>
              </m:r>
              <m:sSub>
                <m:e>
                  <m:r>
                    <m:t>β</m:t>
                  </m:r>
                </m:e>
                <m:sub>
                  <m:r>
                    <m:t>2</m:t>
                  </m:r>
                </m:sub>
              </m:sSub>
              <m:sSub>
                <m:e>
                  <m:r>
                    <m:rPr>
                      <m:nor/>
                      <m:sty m:val="p"/>
                    </m:rPr>
                    <m:t>track</m:t>
                  </m:r>
                </m:e>
                <m:sub>
                  <m:r>
                    <m:t>i</m:t>
                  </m:r>
                </m:sub>
              </m:sSub>
              <m:r>
                <m:rPr>
                  <m:sty m:val="p"/>
                </m:rPr>
                <m:t>+</m:t>
              </m:r>
              <m:sSub>
                <m:e>
                  <m:r>
                    <m:t>β</m:t>
                  </m:r>
                </m:e>
                <m:sub>
                  <m:r>
                    <m:t>3</m:t>
                  </m:r>
                </m:sub>
              </m:sSub>
              <m:sSub>
                <m:e>
                  <m:r>
                    <m:rPr>
                      <m:nor/>
                      <m:sty m:val="p"/>
                    </m:rPr>
                    <m:t>concurrent</m:t>
                  </m:r>
                </m:e>
                <m:sub>
                  <m:r>
                    <m:t>i</m:t>
                  </m:r>
                </m:sub>
              </m:sSub>
              <m:r>
                <m:rPr>
                  <m:sty m:val="p"/>
                </m:rPr>
                <m:t>+</m:t>
              </m:r>
              <m:sSub>
                <m:e>
                  <m:r>
                    <m:t>β</m:t>
                  </m:r>
                </m:e>
                <m:sub>
                  <m:r>
                    <m:t>4</m:t>
                  </m:r>
                </m:sub>
              </m:sSub>
              <m:sSub>
                <m:e>
                  <m:r>
                    <m:rPr>
                      <m:nor/>
                      <m:sty m:val="p"/>
                    </m:rPr>
                    <m:t>broadband</m:t>
                  </m:r>
                </m:e>
                <m:sub>
                  <m:r>
                    <m:t>i</m:t>
                  </m:r>
                </m:sub>
              </m:sSub>
            </m:e>
          </m:d>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-1.737</w:t>
            </w:r>
          </w:p>
        </w:tc>
        <w:tc>
          <w:tcPr>
            <w:tcW w:w="0" w:type="auto"/>
          </w:tcPr>
          <w:p>
            <w:pPr>
              <w:spacing w:line="240" w:lineRule="auto" w:before="0" w:after="0"/>
              <w:pStyle w:val="Compact"/>
            </w:pPr>
            <w:r>
              <w:rPr>
                <w:sz w:val="20"/>
                <w:szCs w:val="20"/>
              </w:rPr>
              <w:t xml:space="preserve">1.5382</w:t>
            </w:r>
          </w:p>
        </w:tc>
        <w:tc>
          <w:tcPr>
            <w:tcW w:w="0" w:type="auto"/>
          </w:tcPr>
          <w:p>
            <w:pPr>
              <w:spacing w:line="240" w:lineRule="auto" w:before="0" w:after="0"/>
              <w:pStyle w:val="Compact"/>
            </w:pPr>
            <w:r>
              <w:rPr>
                <w:sz w:val="20"/>
                <w:szCs w:val="20"/>
              </w:rPr>
              <w:t xml:space="preserve">-1.1292</w:t>
            </w:r>
          </w:p>
        </w:tc>
        <w:tc>
          <w:tcPr>
            <w:tcW w:w="0" w:type="auto"/>
          </w:tcPr>
          <w:p>
            <w:pPr>
              <w:spacing w:line="240" w:lineRule="auto" w:before="0" w:after="0"/>
              <w:pStyle w:val="Compact"/>
            </w:pPr>
            <w:r>
              <w:rPr>
                <w:sz w:val="20"/>
                <w:szCs w:val="20"/>
              </w:rPr>
              <w:t xml:space="preserve">0.2588</w:t>
            </w:r>
          </w:p>
        </w:tc>
        <w:tc>
          <w:tcPr>
            <w:tcW w:w="0" w:type="auto"/>
          </w:tcPr>
          <w:p>
            <w:pPr>
              <w:spacing w:line="240" w:lineRule="auto" w:before="0" w:after="0"/>
              <w:pStyle w:val="Compact"/>
            </w:pPr>
            <w:r>
              <w:rPr>
                <w:sz w:val="20"/>
                <w:szCs w:val="20"/>
              </w:rPr>
              <w:t xml:space="preserve">[-4.7518, 1.2779]</w:t>
            </w:r>
          </w:p>
        </w:tc>
      </w:tr>
      <w:tr>
        <w:tc>
          <w:tcPr>
            <w:tcW w:w="0" w:type="auto"/>
          </w:tcPr>
          <w:p>
            <w:pPr>
              <w:spacing w:line="240" w:lineRule="auto" w:before="0" w:after="0"/>
              <w:pStyle w:val="Compact"/>
            </w:pPr>
            <w:r>
              <w:rPr>
                <w:sz w:val="20"/>
                <w:szCs w:val="20"/>
              </w:rPr>
              <w:t xml:space="preserve">log_filed_sats</w:t>
            </w:r>
          </w:p>
        </w:tc>
        <w:tc>
          <w:tcPr>
            <w:tcW w:w="0" w:type="auto"/>
          </w:tcPr>
          <w:p>
            <w:pPr>
              <w:spacing w:line="240" w:lineRule="auto" w:before="0" w:after="0"/>
              <w:pStyle w:val="Compact"/>
            </w:pPr>
            <w:r>
              <w:rPr>
                <w:sz w:val="20"/>
                <w:szCs w:val="20"/>
              </w:rPr>
              <w:t xml:space="preserve">0.2347</w:t>
            </w:r>
          </w:p>
        </w:tc>
        <w:tc>
          <w:tcPr>
            <w:tcW w:w="0" w:type="auto"/>
          </w:tcPr>
          <w:p>
            <w:pPr>
              <w:spacing w:line="240" w:lineRule="auto" w:before="0" w:after="0"/>
              <w:pStyle w:val="Compact"/>
            </w:pPr>
            <w:r>
              <w:rPr>
                <w:sz w:val="20"/>
                <w:szCs w:val="20"/>
              </w:rPr>
              <w:t xml:space="preserve">0.9143</w:t>
            </w:r>
          </w:p>
        </w:tc>
        <w:tc>
          <w:tcPr>
            <w:tcW w:w="0" w:type="auto"/>
          </w:tcPr>
          <w:p>
            <w:pPr>
              <w:spacing w:line="240" w:lineRule="auto" w:before="0" w:after="0"/>
              <w:pStyle w:val="Compact"/>
            </w:pPr>
            <w:r>
              <w:rPr>
                <w:sz w:val="20"/>
                <w:szCs w:val="20"/>
              </w:rPr>
              <w:t xml:space="preserve">0.2567</w:t>
            </w:r>
          </w:p>
        </w:tc>
        <w:tc>
          <w:tcPr>
            <w:tcW w:w="0" w:type="auto"/>
          </w:tcPr>
          <w:p>
            <w:pPr>
              <w:spacing w:line="240" w:lineRule="auto" w:before="0" w:after="0"/>
              <w:pStyle w:val="Compact"/>
            </w:pPr>
            <w:r>
              <w:rPr>
                <w:sz w:val="20"/>
                <w:szCs w:val="20"/>
              </w:rPr>
              <w:t xml:space="preserve">0.7974</w:t>
            </w:r>
          </w:p>
        </w:tc>
        <w:tc>
          <w:tcPr>
            <w:tcW w:w="0" w:type="auto"/>
          </w:tcPr>
          <w:p>
            <w:pPr>
              <w:spacing w:line="240" w:lineRule="auto" w:before="0" w:after="0"/>
              <w:pStyle w:val="Compact"/>
            </w:pPr>
            <w:r>
              <w:rPr>
                <w:sz w:val="20"/>
                <w:szCs w:val="20"/>
              </w:rPr>
              <w:t xml:space="preserve">[-1.5572, 2.0266]</w:t>
            </w:r>
          </w:p>
        </w:tc>
      </w:tr>
      <w:tr>
        <w:tc>
          <w:tcPr>
            <w:tcW w:w="0" w:type="auto"/>
          </w:tcPr>
          <w:p>
            <w:pPr>
              <w:spacing w:line="240" w:lineRule="auto" w:before="0" w:after="0"/>
              <w:pStyle w:val="Compact"/>
            </w:pPr>
            <w:r>
              <w:rPr>
                <w:sz w:val="20"/>
                <w:szCs w:val="20"/>
              </w:rPr>
              <w:t xml:space="preserve">prior_track_record</w:t>
            </w:r>
          </w:p>
        </w:tc>
        <w:tc>
          <w:tcPr>
            <w:tcW w:w="0" w:type="auto"/>
          </w:tcPr>
          <w:p>
            <w:pPr>
              <w:spacing w:line="240" w:lineRule="auto" w:before="0" w:after="0"/>
              <w:pStyle w:val="Compact"/>
            </w:pPr>
            <w:r>
              <w:rPr>
                <w:sz w:val="20"/>
                <w:szCs w:val="20"/>
              </w:rPr>
              <w:t xml:space="preserve">-2.2157</w:t>
            </w:r>
          </w:p>
        </w:tc>
        <w:tc>
          <w:tcPr>
            <w:tcW w:w="0" w:type="auto"/>
          </w:tcPr>
          <w:p>
            <w:pPr>
              <w:spacing w:line="240" w:lineRule="auto" w:before="0" w:after="0"/>
              <w:pStyle w:val="Compact"/>
            </w:pPr>
            <w:r>
              <w:rPr>
                <w:sz w:val="20"/>
                <w:szCs w:val="20"/>
              </w:rPr>
              <w:t xml:space="preserve">1.7061</w:t>
            </w:r>
          </w:p>
        </w:tc>
        <w:tc>
          <w:tcPr>
            <w:tcW w:w="0" w:type="auto"/>
          </w:tcPr>
          <w:p>
            <w:pPr>
              <w:spacing w:line="240" w:lineRule="auto" w:before="0" w:after="0"/>
              <w:pStyle w:val="Compact"/>
            </w:pPr>
            <w:r>
              <w:rPr>
                <w:sz w:val="20"/>
                <w:szCs w:val="20"/>
              </w:rPr>
              <w:t xml:space="preserve">-1.2987</w:t>
            </w:r>
          </w:p>
        </w:tc>
        <w:tc>
          <w:tcPr>
            <w:tcW w:w="0" w:type="auto"/>
          </w:tcPr>
          <w:p>
            <w:pPr>
              <w:spacing w:line="240" w:lineRule="auto" w:before="0" w:after="0"/>
              <w:pStyle w:val="Compact"/>
            </w:pPr>
            <w:r>
              <w:rPr>
                <w:sz w:val="20"/>
                <w:szCs w:val="20"/>
              </w:rPr>
              <w:t xml:space="preserve">0.194</w:t>
            </w:r>
          </w:p>
        </w:tc>
        <w:tc>
          <w:tcPr>
            <w:tcW w:w="0" w:type="auto"/>
          </w:tcPr>
          <w:p>
            <w:pPr>
              <w:spacing w:line="240" w:lineRule="auto" w:before="0" w:after="0"/>
              <w:pStyle w:val="Compact"/>
            </w:pPr>
            <w:r>
              <w:rPr>
                <w:sz w:val="20"/>
                <w:szCs w:val="20"/>
              </w:rPr>
              <w:t xml:space="preserve">[-5.5595, 1.1281]</w:t>
            </w:r>
          </w:p>
        </w:tc>
      </w:tr>
      <w:tr>
        <w:tc>
          <w:tcPr>
            <w:tcW w:w="0" w:type="auto"/>
          </w:tcPr>
          <w:p>
            <w:pPr>
              <w:spacing w:line="240" w:lineRule="auto" w:before="0" w:after="0"/>
              <w:pStyle w:val="Compact"/>
            </w:pPr>
            <w:r>
              <w:rPr>
                <w:sz w:val="20"/>
                <w:szCs w:val="20"/>
              </w:rPr>
              <w:t xml:space="preserve">filer_concurrent_filings</w:t>
            </w:r>
          </w:p>
        </w:tc>
        <w:tc>
          <w:tcPr>
            <w:tcW w:w="0" w:type="auto"/>
          </w:tcPr>
          <w:p>
            <w:pPr>
              <w:spacing w:line="240" w:lineRule="auto" w:before="0" w:after="0"/>
              <w:pStyle w:val="Compact"/>
            </w:pPr>
            <w:r>
              <w:rPr>
                <w:sz w:val="20"/>
                <w:szCs w:val="20"/>
              </w:rPr>
              <w:t xml:space="preserve">3.3612</w:t>
            </w:r>
          </w:p>
        </w:tc>
        <w:tc>
          <w:tcPr>
            <w:tcW w:w="0" w:type="auto"/>
          </w:tcPr>
          <w:p>
            <w:pPr>
              <w:spacing w:line="240" w:lineRule="auto" w:before="0" w:after="0"/>
              <w:pStyle w:val="Compact"/>
            </w:pPr>
            <w:r>
              <w:rPr>
                <w:sz w:val="20"/>
                <w:szCs w:val="20"/>
              </w:rPr>
              <w:t xml:space="preserve">1.7096</w:t>
            </w:r>
          </w:p>
        </w:tc>
        <w:tc>
          <w:tcPr>
            <w:tcW w:w="0" w:type="auto"/>
          </w:tcPr>
          <w:p>
            <w:pPr>
              <w:spacing w:line="240" w:lineRule="auto" w:before="0" w:after="0"/>
              <w:pStyle w:val="Compact"/>
            </w:pPr>
            <w:r>
              <w:rPr>
                <w:sz w:val="20"/>
                <w:szCs w:val="20"/>
              </w:rPr>
              <w:t xml:space="preserve">1.9661</w:t>
            </w:r>
          </w:p>
        </w:tc>
        <w:tc>
          <w:tcPr>
            <w:tcW w:w="0" w:type="auto"/>
          </w:tcPr>
          <w:p>
            <w:pPr>
              <w:spacing w:line="240" w:lineRule="auto" w:before="0" w:after="0"/>
              <w:pStyle w:val="Compact"/>
            </w:pPr>
            <w:r>
              <w:rPr>
                <w:sz w:val="20"/>
                <w:szCs w:val="20"/>
              </w:rPr>
              <w:t xml:space="preserve">0.0493</w:t>
            </w:r>
          </w:p>
        </w:tc>
        <w:tc>
          <w:tcPr>
            <w:tcW w:w="0" w:type="auto"/>
          </w:tcPr>
          <w:p>
            <w:pPr>
              <w:spacing w:line="240" w:lineRule="auto" w:before="0" w:after="0"/>
              <w:pStyle w:val="Compact"/>
            </w:pPr>
            <w:r>
              <w:rPr>
                <w:sz w:val="20"/>
                <w:szCs w:val="20"/>
              </w:rPr>
              <w:t xml:space="preserve">[0.0105, 6.712]</w:t>
            </w:r>
          </w:p>
        </w:tc>
      </w:tr>
      <w:tr>
        <w:tc>
          <w:tcPr>
            <w:tcW w:w="0" w:type="auto"/>
          </w:tcPr>
          <w:p>
            <w:pPr>
              <w:spacing w:line="240" w:lineRule="auto" w:before="0" w:after="0"/>
              <w:pStyle w:val="Compact"/>
            </w:pPr>
            <w:r>
              <w:rPr>
                <w:sz w:val="20"/>
                <w:szCs w:val="20"/>
              </w:rPr>
              <w:t xml:space="preserve">broadband_internet</w:t>
            </w:r>
          </w:p>
        </w:tc>
        <w:tc>
          <w:tcPr>
            <w:tcW w:w="0" w:type="auto"/>
          </w:tcPr>
          <w:p>
            <w:pPr>
              <w:spacing w:line="240" w:lineRule="auto" w:before="0" w:after="0"/>
              <w:pStyle w:val="Compact"/>
            </w:pPr>
            <w:r>
              <w:rPr>
                <w:sz w:val="20"/>
                <w:szCs w:val="20"/>
              </w:rPr>
              <w:t xml:space="preserve">-1.8655</w:t>
            </w:r>
          </w:p>
        </w:tc>
        <w:tc>
          <w:tcPr>
            <w:tcW w:w="0" w:type="auto"/>
          </w:tcPr>
          <w:p>
            <w:pPr>
              <w:spacing w:line="240" w:lineRule="auto" w:before="0" w:after="0"/>
              <w:pStyle w:val="Compact"/>
            </w:pPr>
            <w:r>
              <w:rPr>
                <w:sz w:val="20"/>
                <w:szCs w:val="20"/>
              </w:rPr>
              <w:t xml:space="preserve">1.6923</w:t>
            </w:r>
          </w:p>
        </w:tc>
        <w:tc>
          <w:tcPr>
            <w:tcW w:w="0" w:type="auto"/>
          </w:tcPr>
          <w:p>
            <w:pPr>
              <w:spacing w:line="240" w:lineRule="auto" w:before="0" w:after="0"/>
              <w:pStyle w:val="Compact"/>
            </w:pPr>
            <w:r>
              <w:rPr>
                <w:sz w:val="20"/>
                <w:szCs w:val="20"/>
              </w:rPr>
              <w:t xml:space="preserve">-1.1023</w:t>
            </w:r>
          </w:p>
        </w:tc>
        <w:tc>
          <w:tcPr>
            <w:tcW w:w="0" w:type="auto"/>
          </w:tcPr>
          <w:p>
            <w:pPr>
              <w:spacing w:line="240" w:lineRule="auto" w:before="0" w:after="0"/>
              <w:pStyle w:val="Compact"/>
            </w:pPr>
            <w:r>
              <w:rPr>
                <w:sz w:val="20"/>
                <w:szCs w:val="20"/>
              </w:rPr>
              <w:t xml:space="preserve">0.2703</w:t>
            </w:r>
          </w:p>
        </w:tc>
        <w:tc>
          <w:tcPr>
            <w:tcW w:w="0" w:type="auto"/>
          </w:tcPr>
          <w:p>
            <w:pPr>
              <w:spacing w:line="240" w:lineRule="auto" w:before="0" w:after="0"/>
              <w:pStyle w:val="Compact"/>
            </w:pPr>
            <w:r>
              <w:rPr>
                <w:sz w:val="20"/>
                <w:szCs w:val="20"/>
              </w:rPr>
              <w:t xml:space="preserve">[-5.1823, 1.4514]</w:t>
            </w:r>
          </w:p>
        </w:tc>
      </w:tr>
    </w:tbl>
    <w:p>
      <w:pPr>
        <w:pStyle w:val="BodyText"/>
      </w:pPr>
      <w:r>
        <w:t xml:space="preserve">Fit: N = 24 pseudo_R2 = 0.2823 LL = -9.6864</w:t>
      </w:r>
    </w:p>
    <w:p>
      <w:pPr>
        <w:pStyle w:val="CaptionedFigure"/>
      </w:pPr>
      <w:r>
        <w:drawing>
          <wp:inline>
            <wp:extent cx="5669280" cy="3657600"/>
            <wp:effectExtent b="0" l="0" r="0" t="0"/>
            <wp:docPr descr="Figure 1. Filing-to-deployment outcomes across the filed NGSO universe. Materialization (vertical axis) plotted against filed system size on a log10 scale. Larger filed systems cluster at non-materialization, consistent with the warehousing account." title="" id="78" name="Picture"/>
            <a:graphic>
              <a:graphicData uri="http://schemas.openxmlformats.org/drawingml/2006/picture">
                <pic:pic>
                  <pic:nvPicPr>
                    <pic:cNvPr descr="D:\Claude_Code\brain\collegium\candidates\dissertations\SPECTRUM_PNT_01\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Filing-to-deployment outcomes across the filed NGSO universe. Materialization (vertical axis) plotted against filed system size on a log10 scale. Larger filed systems cluster at non-materialization, consistent with the warehousing account.</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filer</w:t>
            </w:r>
          </w:p>
        </w:tc>
        <w:tc>
          <w:tcPr>
            <w:tcW w:w="0" w:type="auto"/>
          </w:tcPr>
          <w:p>
            <w:pPr>
              <w:spacing w:line="240" w:lineRule="auto" w:before="0" w:after="0"/>
              <w:pStyle w:val="Compact"/>
            </w:pPr>
            <w:r>
              <w:rPr>
                <w:sz w:val="20"/>
                <w:szCs w:val="20"/>
              </w:rPr>
              <w:t xml:space="preserve">priority_year</w:t>
            </w:r>
          </w:p>
        </w:tc>
        <w:tc>
          <w:tcPr>
            <w:tcW w:w="0" w:type="auto"/>
          </w:tcPr>
          <w:p>
            <w:pPr>
              <w:spacing w:line="240" w:lineRule="auto" w:before="0" w:after="0"/>
              <w:pStyle w:val="Compact"/>
            </w:pPr>
            <w:r>
              <w:rPr>
                <w:sz w:val="20"/>
                <w:szCs w:val="20"/>
              </w:rPr>
              <w:t xml:space="preserve">era</w:t>
            </w:r>
          </w:p>
        </w:tc>
        <w:tc>
          <w:tcPr>
            <w:tcW w:w="0" w:type="auto"/>
          </w:tcPr>
          <w:p>
            <w:pPr>
              <w:spacing w:line="240" w:lineRule="auto" w:before="0" w:after="0"/>
              <w:pStyle w:val="Compact"/>
            </w:pPr>
            <w:r>
              <w:rPr>
                <w:sz w:val="20"/>
                <w:szCs w:val="20"/>
              </w:rPr>
              <w:t xml:space="preserve">filed_sats</w:t>
            </w:r>
          </w:p>
        </w:tc>
        <w:tc>
          <w:tcPr>
            <w:tcW w:w="0" w:type="auto"/>
          </w:tcPr>
          <w:p>
            <w:pPr>
              <w:spacing w:line="240" w:lineRule="auto" w:before="0" w:after="0"/>
              <w:pStyle w:val="Compact"/>
            </w:pPr>
            <w:r>
              <w:rPr>
                <w:sz w:val="20"/>
                <w:szCs w:val="20"/>
              </w:rPr>
              <w:t xml:space="preserve">deployed_sats</w:t>
            </w:r>
          </w:p>
        </w:tc>
        <w:tc>
          <w:tcPr>
            <w:tcW w:w="0" w:type="auto"/>
          </w:tcPr>
          <w:p>
            <w:pPr>
              <w:spacing w:line="240" w:lineRule="auto" w:before="0" w:after="0"/>
              <w:pStyle w:val="Compact"/>
            </w:pPr>
            <w:r>
              <w:rPr>
                <w:sz w:val="20"/>
                <w:szCs w:val="20"/>
              </w:rPr>
              <w:t xml:space="preserve">prior_track_record</w:t>
            </w:r>
          </w:p>
        </w:tc>
        <w:tc>
          <w:tcPr>
            <w:tcW w:w="0" w:type="auto"/>
          </w:tcPr>
          <w:p>
            <w:pPr>
              <w:spacing w:line="240" w:lineRule="auto" w:before="0" w:after="0"/>
              <w:pStyle w:val="Compact"/>
            </w:pPr>
            <w:r>
              <w:rPr>
                <w:sz w:val="20"/>
                <w:szCs w:val="20"/>
              </w:rPr>
              <w:t xml:space="preserve">filer_concurrent_filings</w:t>
            </w:r>
          </w:p>
        </w:tc>
        <w:tc>
          <w:tcPr>
            <w:tcW w:w="0" w:type="auto"/>
          </w:tcPr>
          <w:p>
            <w:pPr>
              <w:spacing w:line="240" w:lineRule="auto" w:before="0" w:after="0"/>
              <w:pStyle w:val="Compact"/>
            </w:pPr>
            <w:r>
              <w:rPr>
                <w:sz w:val="20"/>
                <w:szCs w:val="20"/>
              </w:rPr>
              <w:t xml:space="preserve">broadband_internet</w:t>
            </w:r>
          </w:p>
        </w:tc>
        <w:tc>
          <w:tcPr>
            <w:tcW w:w="0" w:type="auto"/>
          </w:tcPr>
          <w:p>
            <w:pPr>
              <w:spacing w:line="240" w:lineRule="auto" w:before="0" w:after="0"/>
              <w:pStyle w:val="Compact"/>
            </w:pPr>
            <w:r>
              <w:rPr>
                <w:sz w:val="20"/>
                <w:szCs w:val="20"/>
              </w:rPr>
              <w:t xml:space="preserve">materialized</w:t>
            </w:r>
          </w:p>
        </w:tc>
        <w:tc>
          <w:tcPr>
            <w:tcW w:w="0" w:type="auto"/>
          </w:tcPr>
          <w:p>
            <w:pPr>
              <w:spacing w:line="240" w:lineRule="auto" w:before="0" w:after="0"/>
              <w:pStyle w:val="Compact"/>
            </w:pPr>
            <w:r>
              <w:rPr>
                <w:sz w:val="20"/>
                <w:szCs w:val="20"/>
              </w:rPr>
              <w:t xml:space="preserve">log_filed_sats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Motorola/Iridium LLC</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1.8195</w:t>
            </w:r>
          </w:p>
        </w:tc>
        <w:tc>
          <w:tcPr>
            <w:tcW w:w="0" w:type="auto"/>
          </w:tcPr>
          <w:p>
            <w:pPr>
              <w:spacing w:line="240" w:lineRule="auto" w:before="0" w:after="0"/>
              <w:pStyle w:val="Compact"/>
            </w:pPr>
            <w:r>
              <w:rPr>
                <w:sz w:val="20"/>
                <w:szCs w:val="20"/>
              </w:rPr>
              <w:t xml:space="preserve">Iridium satellite constellation, Wikipedia (66 operational, 95 launched 1997-2002), https://en.wikipedia.org/wiki/Iridium_satellite_constellation</w:t>
            </w:r>
          </w:p>
        </w:tc>
      </w:tr>
      <w:tr>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Loral/Qualcomm</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1.6812</w:t>
            </w:r>
          </w:p>
        </w:tc>
        <w:tc>
          <w:tcPr>
            <w:tcW w:w="0" w:type="auto"/>
          </w:tcPr>
          <w:p>
            <w:pPr>
              <w:spacing w:line="240" w:lineRule="auto" w:before="0" w:after="0"/>
              <w:pStyle w:val="Compact"/>
            </w:pPr>
            <w:r>
              <w:rPr>
                <w:sz w:val="20"/>
                <w:szCs w:val="20"/>
              </w:rPr>
              <w:t xml:space="preserve">Globalstar Big LEO Satellite System, Microwave Journal 2022 (48 + 4 spares deployed), https://www.microwavejournal.com/articles/38970</w:t>
            </w:r>
          </w:p>
        </w:tc>
      </w:tr>
      <w:tr>
        <w:tc>
          <w:tcPr>
            <w:tcW w:w="0" w:type="auto"/>
          </w:tcPr>
          <w:p>
            <w:pPr>
              <w:spacing w:line="240" w:lineRule="auto" w:before="0" w:after="0"/>
              <w:pStyle w:val="Compact"/>
            </w:pPr>
            <w:r>
              <w:rPr>
                <w:sz w:val="20"/>
                <w:szCs w:val="20"/>
              </w:rPr>
              <w:t xml:space="preserve">Orbcomm</w:t>
            </w:r>
          </w:p>
        </w:tc>
        <w:tc>
          <w:tcPr>
            <w:tcW w:w="0" w:type="auto"/>
          </w:tcPr>
          <w:p>
            <w:pPr>
              <w:spacing w:line="240" w:lineRule="auto" w:before="0" w:after="0"/>
              <w:pStyle w:val="Compact"/>
            </w:pPr>
            <w:r>
              <w:rPr>
                <w:sz w:val="20"/>
                <w:szCs w:val="20"/>
              </w:rPr>
              <w:t xml:space="preserve">Orbital Sciences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little_leo</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1.5563</w:t>
            </w:r>
          </w:p>
        </w:tc>
        <w:tc>
          <w:tcPr>
            <w:tcW w:w="0" w:type="auto"/>
          </w:tcPr>
          <w:p>
            <w:pPr>
              <w:spacing w:line="240" w:lineRule="auto" w:before="0" w:after="0"/>
              <w:pStyle w:val="Compact"/>
            </w:pPr>
            <w:r>
              <w:rPr>
                <w:sz w:val="20"/>
                <w:szCs w:val="20"/>
              </w:rPr>
              <w:t xml:space="preserve">Orbcomm (satellite), Wikipedia (36 built, 35 launched), https://en.wikipedia.org/wiki/Orbcomm_(satellite)</w:t>
            </w:r>
          </w:p>
        </w:tc>
      </w:tr>
      <w:tr>
        <w:tc>
          <w:tcPr>
            <w:tcW w:w="0" w:type="auto"/>
          </w:tcPr>
          <w:p>
            <w:pPr>
              <w:spacing w:line="240" w:lineRule="auto" w:before="0" w:after="0"/>
              <w:pStyle w:val="Compact"/>
            </w:pPr>
            <w:r>
              <w:rPr>
                <w:sz w:val="20"/>
                <w:szCs w:val="20"/>
              </w:rPr>
              <w:t xml:space="preserve">Teledesic</w:t>
            </w:r>
          </w:p>
        </w:tc>
        <w:tc>
          <w:tcPr>
            <w:tcW w:w="0" w:type="auto"/>
          </w:tcPr>
          <w:p>
            <w:pPr>
              <w:spacing w:line="240" w:lineRule="auto" w:before="0" w:after="0"/>
              <w:pStyle w:val="Compact"/>
            </w:pPr>
            <w:r>
              <w:rPr>
                <w:sz w:val="20"/>
                <w:szCs w:val="20"/>
              </w:rPr>
              <w:t xml:space="preserve">Teledesic LLC</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internet_sky</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Teledesic, Wikipedia (840 proposed 1994, 1 demonstrator BATSAT launched), https://en.wikipedia.org/wiki/Teledesic</w:t>
            </w:r>
          </w:p>
        </w:tc>
      </w:tr>
      <w:tr>
        <w:tc>
          <w:tcPr>
            <w:tcW w:w="0" w:type="auto"/>
          </w:tcPr>
          <w:p>
            <w:pPr>
              <w:spacing w:line="240" w:lineRule="auto" w:before="0" w:after="0"/>
              <w:pStyle w:val="Compact"/>
            </w:pPr>
            <w:r>
              <w:rPr>
                <w:sz w:val="20"/>
                <w:szCs w:val="20"/>
              </w:rPr>
              <w:t xml:space="preserve">SkyBridge</w:t>
            </w:r>
          </w:p>
        </w:tc>
        <w:tc>
          <w:tcPr>
            <w:tcW w:w="0" w:type="auto"/>
          </w:tcPr>
          <w:p>
            <w:pPr>
              <w:spacing w:line="240" w:lineRule="auto" w:before="0" w:after="0"/>
              <w:pStyle w:val="Compact"/>
            </w:pPr>
            <w:r>
              <w:rPr>
                <w:sz w:val="20"/>
                <w:szCs w:val="20"/>
              </w:rPr>
              <w:t xml:space="preserve">Alcatel/SkyBridge LP</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internet_sky</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1.9031</w:t>
            </w:r>
          </w:p>
        </w:tc>
        <w:tc>
          <w:tcPr>
            <w:tcW w:w="0" w:type="auto"/>
          </w:tcPr>
          <w:p>
            <w:pPr>
              <w:spacing w:line="240" w:lineRule="auto" w:before="0" w:after="0"/>
              <w:pStyle w:val="Compact"/>
            </w:pPr>
            <w:r>
              <w:rPr>
                <w:sz w:val="20"/>
                <w:szCs w:val="20"/>
              </w:rPr>
              <w:t xml:space="preserve">Teledesic / Distributed Earth Satellite Systems review (SkyBridge cancelled before launch), https://en.wikipedia.org/wiki/Starlink_satellites</w:t>
            </w:r>
          </w:p>
        </w:tc>
      </w:tr>
      <w:tr>
        <w:tc>
          <w:tcPr>
            <w:tcW w:w="0" w:type="auto"/>
          </w:tcPr>
          <w:p>
            <w:pPr>
              <w:spacing w:line="240" w:lineRule="auto" w:before="0" w:after="0"/>
              <w:pStyle w:val="Compact"/>
            </w:pPr>
            <w:r>
              <w:rPr>
                <w:sz w:val="20"/>
                <w:szCs w:val="20"/>
              </w:rPr>
              <w:t xml:space="preserve">Celestri</w:t>
            </w:r>
          </w:p>
        </w:tc>
        <w:tc>
          <w:tcPr>
            <w:tcW w:w="0" w:type="auto"/>
          </w:tcPr>
          <w:p>
            <w:pPr>
              <w:spacing w:line="240" w:lineRule="auto" w:before="0" w:after="0"/>
              <w:pStyle w:val="Compact"/>
            </w:pPr>
            <w:r>
              <w:rPr>
                <w:sz w:val="20"/>
                <w:szCs w:val="20"/>
              </w:rPr>
              <w:t xml:space="preserve">Motorola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internet_sky</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1.7993</w:t>
            </w:r>
          </w:p>
        </w:tc>
        <w:tc>
          <w:tcPr>
            <w:tcW w:w="0" w:type="auto"/>
          </w:tcPr>
          <w:p>
            <w:pPr>
              <w:spacing w:line="240" w:lineRule="auto" w:before="0" w:after="0"/>
              <w:pStyle w:val="Compact"/>
            </w:pPr>
            <w:r>
              <w:rPr>
                <w:sz w:val="20"/>
                <w:szCs w:val="20"/>
              </w:rPr>
              <w:t xml:space="preserve">Distributed Earth Satellite Systems review (Celestri cancelled before launch, merged into Teledesic), https://en.wikipedia.org/wiki/Starlink_satellites</w:t>
            </w:r>
          </w:p>
        </w:tc>
      </w:tr>
      <w:tr>
        <w:tc>
          <w:tcPr>
            <w:tcW w:w="0" w:type="auto"/>
          </w:tcPr>
          <w:p>
            <w:pPr>
              <w:spacing w:line="240" w:lineRule="auto" w:before="0" w:after="0"/>
              <w:pStyle w:val="Compact"/>
            </w:pPr>
            <w:r>
              <w:rPr>
                <w:sz w:val="20"/>
                <w:szCs w:val="20"/>
              </w:rPr>
              <w:t xml:space="preserve">Ellipso</w:t>
            </w:r>
          </w:p>
        </w:tc>
        <w:tc>
          <w:tcPr>
            <w:tcW w:w="0" w:type="auto"/>
          </w:tcPr>
          <w:p>
            <w:pPr>
              <w:spacing w:line="240" w:lineRule="auto" w:before="0" w:after="0"/>
              <w:pStyle w:val="Compact"/>
            </w:pPr>
            <w:r>
              <w:rPr>
                <w:sz w:val="20"/>
                <w:szCs w:val="20"/>
              </w:rPr>
              <w:t xml:space="preserve">Mobile Comms Holdings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1.2304</w:t>
            </w:r>
          </w:p>
        </w:tc>
        <w:tc>
          <w:tcPr>
            <w:tcW w:w="0" w:type="auto"/>
          </w:tcPr>
          <w:p>
            <w:pPr>
              <w:spacing w:line="240" w:lineRule="auto" w:before="0" w:after="0"/>
              <w:pStyle w:val="Compact"/>
            </w:pPr>
            <w:r>
              <w:rPr>
                <w:sz w:val="20"/>
                <w:szCs w:val="20"/>
              </w:rPr>
              <w:t xml:space="preserve">Ellipso, FlightGlobal and Wikipedia (17 planned, FCC licence revoked, never launched), https://www.flightglobal.com/ellipsos-satcom-dream-fades-/37738.article</w:t>
            </w:r>
          </w:p>
        </w:tc>
      </w:tr>
      <w:tr>
        <w:tc>
          <w:tcPr>
            <w:tcW w:w="0" w:type="auto"/>
          </w:tcPr>
          <w:p>
            <w:pPr>
              <w:spacing w:line="240" w:lineRule="auto" w:before="0" w:after="0"/>
              <w:pStyle w:val="Compact"/>
            </w:pPr>
            <w:r>
              <w:rPr>
                <w:sz w:val="20"/>
                <w:szCs w:val="20"/>
              </w:rPr>
              <w:t xml:space="preserve">ICO</w:t>
            </w:r>
          </w:p>
        </w:tc>
        <w:tc>
          <w:tcPr>
            <w:tcW w:w="0" w:type="auto"/>
          </w:tcPr>
          <w:p>
            <w:pPr>
              <w:spacing w:line="240" w:lineRule="auto" w:before="0" w:after="0"/>
              <w:pStyle w:val="Compact"/>
            </w:pPr>
            <w:r>
              <w:rPr>
                <w:sz w:val="20"/>
                <w:szCs w:val="20"/>
              </w:rPr>
              <w:t xml:space="preserve">ICO Global</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Mobile satellite service, Wikipedia (ICO 10+2 MEO planned, 1 launched, Pendrell bankruptcy), https://en.wikipedia.org/wiki/Mobile_satellite_service</w:t>
            </w:r>
          </w:p>
        </w:tc>
      </w:tr>
      <w:tr>
        <w:tc>
          <w:tcPr>
            <w:tcW w:w="0" w:type="auto"/>
          </w:tcPr>
          <w:p>
            <w:pPr>
              <w:spacing w:line="240" w:lineRule="auto" w:before="0" w:after="0"/>
              <w:pStyle w:val="Compact"/>
            </w:pPr>
            <w:r>
              <w:rPr>
                <w:sz w:val="20"/>
                <w:szCs w:val="20"/>
              </w:rPr>
              <w:t xml:space="preserve">Aries</w:t>
            </w:r>
          </w:p>
        </w:tc>
        <w:tc>
          <w:tcPr>
            <w:tcW w:w="0" w:type="auto"/>
          </w:tcPr>
          <w:p>
            <w:pPr>
              <w:spacing w:line="240" w:lineRule="auto" w:before="0" w:after="0"/>
              <w:pStyle w:val="Compact"/>
            </w:pPr>
            <w:r>
              <w:rPr>
                <w:sz w:val="20"/>
                <w:szCs w:val="20"/>
              </w:rPr>
              <w:t xml:space="preserve">Constellation Communications</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1.6812</w:t>
            </w:r>
          </w:p>
        </w:tc>
        <w:tc>
          <w:tcPr>
            <w:tcW w:w="0" w:type="auto"/>
          </w:tcPr>
          <w:p>
            <w:pPr>
              <w:spacing w:line="240" w:lineRule="auto" w:before="0" w:after="0"/>
              <w:pStyle w:val="Compact"/>
            </w:pPr>
            <w:r>
              <w:rPr>
                <w:sz w:val="20"/>
                <w:szCs w:val="20"/>
              </w:rPr>
              <w:t xml:space="preserve">Aries LEO Lightsats, AIAA ICSSC 1992; FCC declined licence Jan 1995, never built, https://arc.aiaa.org/doi/10.2514/6.1992-1890</w:t>
            </w:r>
          </w:p>
        </w:tc>
      </w:tr>
      <w:tr>
        <w:tc>
          <w:tcPr>
            <w:tcW w:w="0" w:type="auto"/>
          </w:tcPr>
          <w:p>
            <w:pPr>
              <w:spacing w:line="240" w:lineRule="auto" w:before="0" w:after="0"/>
              <w:pStyle w:val="Compact"/>
            </w:pPr>
            <w:r>
              <w:rPr>
                <w:sz w:val="20"/>
                <w:szCs w:val="20"/>
              </w:rPr>
              <w:t xml:space="preserve">Odyssey</w:t>
            </w:r>
          </w:p>
        </w:tc>
        <w:tc>
          <w:tcPr>
            <w:tcW w:w="0" w:type="auto"/>
          </w:tcPr>
          <w:p>
            <w:pPr>
              <w:spacing w:line="240" w:lineRule="auto" w:before="0" w:after="0"/>
              <w:pStyle w:val="Compact"/>
            </w:pPr>
            <w:r>
              <w:rPr>
                <w:sz w:val="20"/>
                <w:szCs w:val="20"/>
              </w:rPr>
              <w:t xml:space="preserve">TRW</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Mobile satellite service review (Odyssey MEO, FCC licence 1995, never deployed), https://en.wikipedia.org/wiki/Mobile_satellite_service</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3.6459</w:t>
            </w:r>
          </w:p>
        </w:tc>
        <w:tc>
          <w:tcPr>
            <w:tcW w:w="0" w:type="auto"/>
          </w:tcPr>
          <w:p>
            <w:pPr>
              <w:spacing w:line="240" w:lineRule="auto" w:before="0" w:after="0"/>
              <w:pStyle w:val="Compact"/>
            </w:pPr>
            <w:r>
              <w:rPr>
                <w:sz w:val="20"/>
                <w:szCs w:val="20"/>
              </w:rPr>
              <w:t xml:space="preserve">FCC Authorizes SpaceX (4,425 in 2018 first license); &gt;6,000 operational May 2024, https://www.fcc.gov/document/fcc-authorizes-spacex-provide-broadband-satellite-services</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WorldVu/OneWeb</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2.8573</w:t>
            </w:r>
          </w:p>
        </w:tc>
        <w:tc>
          <w:tcPr>
            <w:tcW w:w="0" w:type="auto"/>
          </w:tcPr>
          <w:p>
            <w:pPr>
              <w:spacing w:line="240" w:lineRule="auto" w:before="0" w:after="0"/>
              <w:pStyle w:val="Compact"/>
            </w:pPr>
            <w:r>
              <w:rPr>
                <w:sz w:val="20"/>
                <w:szCs w:val="20"/>
              </w:rPr>
              <w:t xml:space="preserve">OneWeb 720-sat Phase 1 FCC filing; ~648 launched first generation, https://spacenews.com/u-k-to-strengthen-regulations-for-starlink-oneweb-and-other-ngso-constellations/</w:t>
            </w:r>
          </w:p>
        </w:tc>
      </w:tr>
      <w:tr>
        <w:tc>
          <w:tcPr>
            <w:tcW w:w="0" w:type="auto"/>
          </w:tcPr>
          <w:p>
            <w:pPr>
              <w:spacing w:line="240" w:lineRule="auto" w:before="0" w:after="0"/>
              <w:pStyle w:val="Compact"/>
            </w:pPr>
            <w:r>
              <w:rPr>
                <w:sz w:val="20"/>
                <w:szCs w:val="20"/>
              </w:rPr>
              <w:t xml:space="preserve">Telesat_Lightspeed</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2.0682</w:t>
            </w:r>
          </w:p>
        </w:tc>
        <w:tc>
          <w:tcPr>
            <w:tcW w:w="0" w:type="auto"/>
          </w:tcPr>
          <w:p>
            <w:pPr>
              <w:spacing w:line="240" w:lineRule="auto" w:before="0" w:after="0"/>
              <w:pStyle w:val="Compact"/>
            </w:pPr>
            <w:r>
              <w:rPr>
                <w:sz w:val="20"/>
                <w:szCs w:val="20"/>
              </w:rPr>
              <w:t xml:space="preserve">FCC approves Telesat 117-sat Ka-band constellation 2018; not deployed as of 2026, https://spacenews.com/fcc-approves-spacex-telesat-leosat-and-kepler-internet-constellations/</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Kepler Communications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2.1461</w:t>
            </w:r>
          </w:p>
        </w:tc>
        <w:tc>
          <w:tcPr>
            <w:tcW w:w="0" w:type="auto"/>
          </w:tcPr>
          <w:p>
            <w:pPr>
              <w:spacing w:line="240" w:lineRule="auto" w:before="0" w:after="0"/>
              <w:pStyle w:val="Compact"/>
            </w:pPr>
            <w:r>
              <w:rPr>
                <w:sz w:val="20"/>
                <w:szCs w:val="20"/>
              </w:rPr>
              <w:t xml:space="preserve">FCC approves Kepler 140 Ku-band; 19 demonstration sats on orbit, https://spacenews.com/fcc-approves-spacex-telesat-leosat-and-kepler-internet-constellations/ [deployed_sats illustrative]</w:t>
            </w:r>
          </w:p>
        </w:tc>
      </w:tr>
      <w:tr>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LeoSat MA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1.8921</w:t>
            </w:r>
          </w:p>
        </w:tc>
        <w:tc>
          <w:tcPr>
            <w:tcW w:w="0" w:type="auto"/>
          </w:tcPr>
          <w:p>
            <w:pPr>
              <w:spacing w:line="240" w:lineRule="auto" w:before="0" w:after="0"/>
              <w:pStyle w:val="Compact"/>
            </w:pPr>
            <w:r>
              <w:rPr>
                <w:sz w:val="20"/>
                <w:szCs w:val="20"/>
              </w:rPr>
              <w:t xml:space="preserve">FCC Grants Market Access for LeoSat (78+6 sats); company dissolved, not deployed, https://www.fcc.gov/document/fcc-grants-market-access-leosat-ngso-constellation</w:t>
            </w:r>
          </w:p>
        </w:tc>
      </w:tr>
      <w:tr>
        <w:tc>
          <w:tcPr>
            <w:tcW w:w="0" w:type="auto"/>
          </w:tcPr>
          <w:p>
            <w:pPr>
              <w:spacing w:line="240" w:lineRule="auto" w:before="0" w:after="0"/>
              <w:pStyle w:val="Compact"/>
            </w:pPr>
            <w:r>
              <w:rPr>
                <w:sz w:val="20"/>
                <w:szCs w:val="20"/>
              </w:rPr>
              <w:t xml:space="preserve">Theia</w:t>
            </w:r>
          </w:p>
        </w:tc>
        <w:tc>
          <w:tcPr>
            <w:tcW w:w="0" w:type="auto"/>
          </w:tcPr>
          <w:p>
            <w:pPr>
              <w:spacing w:line="240" w:lineRule="auto" w:before="0" w:after="0"/>
              <w:pStyle w:val="Compact"/>
            </w:pPr>
            <w:r>
              <w:rPr>
                <w:sz w:val="20"/>
                <w:szCs w:val="20"/>
              </w:rPr>
              <w:t xml:space="preserve">Theia Holdings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2.0492</w:t>
            </w:r>
          </w:p>
        </w:tc>
        <w:tc>
          <w:tcPr>
            <w:tcW w:w="0" w:type="auto"/>
          </w:tcPr>
          <w:p>
            <w:pPr>
              <w:spacing w:line="240" w:lineRule="auto" w:before="0" w:after="0"/>
              <w:pStyle w:val="Compact"/>
            </w:pPr>
            <w:r>
              <w:rPr>
                <w:sz w:val="20"/>
                <w:szCs w:val="20"/>
              </w:rPr>
              <w:t xml:space="preserve">FCC Authorizes Theia (112-sat EO/FSS); bankruptcy, never deployed, https://www.fcc.gov/document/fcc-authorizes-theias-satellite-constellation-0</w:t>
            </w:r>
          </w:p>
        </w:tc>
      </w:tr>
      <w:tr>
        <w:tc>
          <w:tcPr>
            <w:tcW w:w="0" w:type="auto"/>
          </w:tcPr>
          <w:p>
            <w:pPr>
              <w:spacing w:line="240" w:lineRule="auto" w:before="0" w:after="0"/>
              <w:pStyle w:val="Compact"/>
            </w:pPr>
            <w:r>
              <w:rPr>
                <w:sz w:val="20"/>
                <w:szCs w:val="20"/>
              </w:rPr>
              <w:t xml:space="preserve">Karousel</w:t>
            </w:r>
          </w:p>
        </w:tc>
        <w:tc>
          <w:tcPr>
            <w:tcW w:w="0" w:type="auto"/>
          </w:tcPr>
          <w:p>
            <w:pPr>
              <w:spacing w:line="240" w:lineRule="auto" w:before="0" w:after="0"/>
              <w:pStyle w:val="Compact"/>
            </w:pPr>
            <w:r>
              <w:rPr>
                <w:sz w:val="20"/>
                <w:szCs w:val="20"/>
              </w:rPr>
              <w:t xml:space="preserve">Karousel LLC</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FCC Authorizes Karousel (12-sat FSS); not deployed, https://www.fcc.gov/document/fcc-authorizes-karousel-ngso-satellite-constellation</w:t>
            </w:r>
          </w:p>
        </w:tc>
      </w:tr>
      <w:tr>
        <w:tc>
          <w:tcPr>
            <w:tcW w:w="0" w:type="auto"/>
          </w:tcPr>
          <w:p>
            <w:pPr>
              <w:spacing w:line="240" w:lineRule="auto" w:before="0" w:after="0"/>
              <w:pStyle w:val="Compact"/>
            </w:pPr>
            <w:r>
              <w:rPr>
                <w:sz w:val="20"/>
                <w:szCs w:val="20"/>
              </w:rPr>
              <w:t xml:space="preserve">Audacy</w:t>
            </w:r>
          </w:p>
        </w:tc>
        <w:tc>
          <w:tcPr>
            <w:tcW w:w="0" w:type="auto"/>
          </w:tcPr>
          <w:p>
            <w:pPr>
              <w:spacing w:line="240" w:lineRule="auto" w:before="0" w:after="0"/>
              <w:pStyle w:val="Compact"/>
            </w:pPr>
            <w:r>
              <w:rPr>
                <w:sz w:val="20"/>
                <w:szCs w:val="20"/>
              </w:rPr>
              <w:t xml:space="preserve">Audacy Corp</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FCC NGSO 2016 round; Audacy authorization null and void for failure to maintain performance bond, https://forum.nasaspaceflight.com/index.php?topic=41647.0</w:t>
            </w:r>
          </w:p>
        </w:tc>
      </w:tr>
      <w:tr>
        <w:tc>
          <w:tcPr>
            <w:tcW w:w="0" w:type="auto"/>
          </w:tcPr>
          <w:p>
            <w:pPr>
              <w:spacing w:line="240" w:lineRule="auto" w:before="0" w:after="0"/>
              <w:pStyle w:val="Compact"/>
            </w:pPr>
            <w:r>
              <w:rPr>
                <w:sz w:val="20"/>
                <w:szCs w:val="20"/>
              </w:rPr>
              <w:t xml:space="preserve">Boeing_LEO</w:t>
            </w:r>
          </w:p>
        </w:tc>
        <w:tc>
          <w:tcPr>
            <w:tcW w:w="0" w:type="auto"/>
          </w:tcPr>
          <w:p>
            <w:pPr>
              <w:spacing w:line="240" w:lineRule="auto" w:before="0" w:after="0"/>
              <w:pStyle w:val="Compact"/>
            </w:pPr>
            <w:r>
              <w:rPr>
                <w:sz w:val="20"/>
                <w:szCs w:val="20"/>
              </w:rPr>
              <w:t xml:space="preserve">The Boeing Company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2.1673</w:t>
            </w:r>
          </w:p>
        </w:tc>
        <w:tc>
          <w:tcPr>
            <w:tcW w:w="0" w:type="auto"/>
          </w:tcPr>
          <w:p>
            <w:pPr>
              <w:spacing w:line="240" w:lineRule="auto" w:before="0" w:after="0"/>
              <w:pStyle w:val="Compact"/>
            </w:pPr>
            <w:r>
              <w:rPr>
                <w:sz w:val="20"/>
                <w:szCs w:val="20"/>
              </w:rPr>
              <w:t xml:space="preserve">Boeing relinquished 147-member LEO license, paid $2.2M forfeiture, Aviation Week, https://aviationweek.com/space/commercial-space/boeing-relinquishes-license-leo-broadband-constellation</w:t>
            </w:r>
          </w:p>
        </w:tc>
      </w:tr>
      <w:tr>
        <w:tc>
          <w:tcPr>
            <w:tcW w:w="0" w:type="auto"/>
          </w:tcPr>
          <w:p>
            <w:pPr>
              <w:spacing w:line="240" w:lineRule="auto" w:before="0" w:after="0"/>
              <w:pStyle w:val="Compact"/>
            </w:pPr>
            <w:r>
              <w:rPr>
                <w:sz w:val="20"/>
                <w:szCs w:val="20"/>
              </w:rPr>
              <w:t xml:space="preserve">Space_Norway</w:t>
            </w:r>
          </w:p>
        </w:tc>
        <w:tc>
          <w:tcPr>
            <w:tcW w:w="0" w:type="auto"/>
          </w:tcPr>
          <w:p>
            <w:pPr>
              <w:spacing w:line="240" w:lineRule="auto" w:before="0" w:after="0"/>
              <w:pStyle w:val="Compact"/>
            </w:pPr>
            <w:r>
              <w:rPr>
                <w:sz w:val="20"/>
                <w:szCs w:val="20"/>
              </w:rPr>
              <w:t xml:space="preserve">Space Norway AS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FCC NGSO 2016 round (Space Norway ASBM 2-sat HEO); 2 launched 2024, https://forum.nasaspaceflight.com/index.php?topic=41647.0 [deployed_sats illustrative]</w:t>
            </w:r>
          </w:p>
        </w:tc>
      </w:tr>
      <w:tr>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Amazon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3.51</w:t>
            </w:r>
          </w:p>
        </w:tc>
        <w:tc>
          <w:tcPr>
            <w:tcW w:w="0" w:type="auto"/>
          </w:tcPr>
          <w:p>
            <w:pPr>
              <w:spacing w:line="240" w:lineRule="auto" w:before="0" w:after="0"/>
              <w:pStyle w:val="Compact"/>
            </w:pPr>
            <w:r>
              <w:rPr>
                <w:sz w:val="20"/>
                <w:szCs w:val="20"/>
              </w:rPr>
              <w:t xml:space="preserve">Amazon Leo authorized July 2020 for 3,236; ~153 on orbit, milestone deadline missed, The Register 2026, https://www.theregister.com/networks/2026/06/08/amazon-leos-satellite-homework-is-late-but-fcc-wont-flunk-it-just-yet/ [deployed_sats illustrative]</w:t>
            </w:r>
          </w:p>
        </w:tc>
      </w:tr>
      <w:tr>
        <w:tc>
          <w:tcPr>
            <w:tcW w:w="0" w:type="auto"/>
          </w:tcPr>
          <w:p>
            <w:pPr>
              <w:spacing w:line="240" w:lineRule="auto" w:before="0" w:after="0"/>
              <w:pStyle w:val="Compact"/>
            </w:pPr>
            <w:r>
              <w:rPr>
                <w:sz w:val="20"/>
                <w:szCs w:val="20"/>
              </w:rPr>
              <w:t xml:space="preserve">Viasat_NGSO</w:t>
            </w:r>
          </w:p>
        </w:tc>
        <w:tc>
          <w:tcPr>
            <w:tcW w:w="0" w:type="auto"/>
          </w:tcPr>
          <w:p>
            <w:pPr>
              <w:spacing w:line="240" w:lineRule="auto" w:before="0" w:after="0"/>
              <w:pStyle w:val="Compact"/>
            </w:pPr>
            <w:r>
              <w:rPr>
                <w:sz w:val="20"/>
                <w:szCs w:val="20"/>
              </w:rPr>
              <w:t xml:space="preserve">Viasat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2.4594</w:t>
            </w:r>
          </w:p>
        </w:tc>
        <w:tc>
          <w:tcPr>
            <w:tcW w:w="0" w:type="auto"/>
          </w:tcPr>
          <w:p>
            <w:pPr>
              <w:spacing w:line="240" w:lineRule="auto" w:before="0" w:after="0"/>
              <w:pStyle w:val="Compact"/>
            </w:pPr>
            <w:r>
              <w:rPr>
                <w:sz w:val="20"/>
                <w:szCs w:val="20"/>
              </w:rPr>
              <w:t xml:space="preserve">Viasat NGSO petition 2021 processing round; not deployed, Payload Research NGSO status, https://payloadspace.com/status-of-ngso-fixed-satellite-service-spectrum-priority-in-the-us-payload-research/ [filed_sats illustrative]</w:t>
            </w:r>
          </w:p>
        </w:tc>
      </w:tr>
      <w:tr>
        <w:tc>
          <w:tcPr>
            <w:tcW w:w="0" w:type="auto"/>
          </w:tcPr>
          <w:p>
            <w:pPr>
              <w:spacing w:line="240" w:lineRule="auto" w:before="0" w:after="0"/>
              <w:pStyle w:val="Compact"/>
            </w:pPr>
            <w:r>
              <w:rPr>
                <w:sz w:val="20"/>
                <w:szCs w:val="20"/>
              </w:rPr>
              <w:t xml:space="preserve">Mangata</w:t>
            </w:r>
          </w:p>
        </w:tc>
        <w:tc>
          <w:tcPr>
            <w:tcW w:w="0" w:type="auto"/>
          </w:tcPr>
          <w:p>
            <w:pPr>
              <w:spacing w:line="240" w:lineRule="auto" w:before="0" w:after="0"/>
              <w:pStyle w:val="Compact"/>
            </w:pPr>
            <w:r>
              <w:rPr>
                <w:sz w:val="20"/>
                <w:szCs w:val="20"/>
              </w:rPr>
              <w:t xml:space="preserve">Mangata Networks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Mangata Networks NGSO petition 2021 round; not deployed, Payload Research NGSO status, https://payloadspace.com/status-of-ngso-fixed-satellite-service-spectrum-priority-in-the-us-payload-research/ [filed_sats illustrative]</w:t>
            </w:r>
          </w:p>
        </w:tc>
      </w:tr>
      <w:tr>
        <w:tc>
          <w:tcPr>
            <w:tcW w:w="0" w:type="auto"/>
          </w:tcPr>
          <w:p>
            <w:pPr>
              <w:spacing w:line="240" w:lineRule="auto" w:before="0" w:after="0"/>
              <w:pStyle w:val="Compact"/>
            </w:pPr>
            <w:r>
              <w:rPr>
                <w:sz w:val="20"/>
                <w:szCs w:val="20"/>
              </w:rPr>
              <w:t xml:space="preserve">ASTSpaceMobile</w:t>
            </w:r>
          </w:p>
        </w:tc>
        <w:tc>
          <w:tcPr>
            <w:tcW w:w="0" w:type="auto"/>
          </w:tcPr>
          <w:p>
            <w:pPr>
              <w:spacing w:line="240" w:lineRule="auto" w:before="0" w:after="0"/>
              <w:pStyle w:val="Compact"/>
            </w:pPr>
            <w:r>
              <w:rPr>
                <w:sz w:val="20"/>
                <w:szCs w:val="20"/>
              </w:rPr>
              <w:t xml:space="preserve">AST and Science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2.3856</w:t>
            </w:r>
          </w:p>
        </w:tc>
        <w:tc>
          <w:tcPr>
            <w:tcW w:w="0" w:type="auto"/>
          </w:tcPr>
          <w:p>
            <w:pPr>
              <w:spacing w:line="240" w:lineRule="auto" w:before="0" w:after="0"/>
              <w:pStyle w:val="Compact"/>
            </w:pPr>
            <w:r>
              <w:rPr>
                <w:sz w:val="20"/>
                <w:szCs w:val="20"/>
              </w:rPr>
              <w:t xml:space="preserve">AST&amp;Science NGSO 2021 round; 5 BlueBird sats + BlueWalker 3 on orbit, Payload Research, https://payloadspace.com/status-of-ngso-fixed-satellite-service-spectrum-priority-in-the-us-payload-research/ [filed_sats illustrative]</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materialized</w:t>
            </w:r>
          </w:p>
        </w:tc>
        <w:tc>
          <w:tcPr>
            <w:tcW w:w="0" w:type="auto"/>
          </w:tcPr>
          <w:p>
            <w:pPr>
              <w:spacing w:line="240" w:lineRule="auto" w:before="0" w:after="0"/>
              <w:pStyle w:val="Compact"/>
            </w:pPr>
            <w:r>
              <w:rPr>
                <w:sz w:val="20"/>
                <w:szCs w:val="20"/>
              </w:rPr>
              <w:t xml:space="preserve">1 if the filed NGSO system reached at least 50 percent of its filed satellite count on orbit within the observation horizon, else 0</w:t>
            </w:r>
          </w:p>
        </w:tc>
        <w:tc>
          <w:tcPr>
            <w:tcW w:w="0" w:type="auto"/>
          </w:tcPr>
          <w:p>
            <w:pPr>
              <w:spacing w:line="240" w:lineRule="auto" w:before="0" w:after="0"/>
              <w:pStyle w:val="Compact"/>
            </w:pPr>
            <w:r>
              <w:rPr>
                <w:sz w:val="20"/>
                <w:szCs w:val="20"/>
              </w:rPr>
              <w:t xml:space="preserve">Coded from per-system on-orbit counts versus filed counts; sources per row in data.csv</w:t>
            </w:r>
          </w:p>
        </w:tc>
      </w:tr>
      <w:tr>
        <w:tc>
          <w:tcPr>
            <w:tcW w:w="0" w:type="auto"/>
          </w:tcPr>
          <w:p>
            <w:pPr>
              <w:spacing w:line="240" w:lineRule="auto" w:before="0" w:after="0"/>
              <w:pStyle w:val="Compact"/>
            </w:pPr>
            <w:r>
              <w:rPr>
                <w:sz w:val="20"/>
                <w:szCs w:val="20"/>
              </w:rPr>
              <w:t xml:space="preserve">log_filed_sats</w:t>
            </w:r>
          </w:p>
        </w:tc>
        <w:tc>
          <w:tcPr>
            <w:tcW w:w="0" w:type="auto"/>
          </w:tcPr>
          <w:p>
            <w:pPr>
              <w:spacing w:line="240" w:lineRule="auto" w:before="0" w:after="0"/>
              <w:pStyle w:val="Compact"/>
            </w:pPr>
            <w:r>
              <w:rPr>
                <w:sz w:val="20"/>
                <w:szCs w:val="20"/>
              </w:rPr>
              <w:t xml:space="preserve">Base-10 logarithm of the number of satellites in the first authorized/filed system size (warehousing-proxy scale variable)</w:t>
            </w:r>
          </w:p>
        </w:tc>
        <w:tc>
          <w:tcPr>
            <w:tcW w:w="0" w:type="auto"/>
          </w:tcPr>
          <w:p>
            <w:pPr>
              <w:spacing w:line="240" w:lineRule="auto" w:before="0" w:after="0"/>
              <w:pStyle w:val="Compact"/>
            </w:pPr>
            <w:r>
              <w:rPr>
                <w:sz w:val="20"/>
                <w:szCs w:val="20"/>
              </w:rPr>
              <w:t xml:space="preserve">Computed from filed_sats; filed counts from FCC authorizations and constellation records cited per row</w:t>
            </w:r>
          </w:p>
        </w:tc>
      </w:tr>
      <w:tr>
        <w:tc>
          <w:tcPr>
            <w:tcW w:w="0" w:type="auto"/>
          </w:tcPr>
          <w:p>
            <w:pPr>
              <w:spacing w:line="240" w:lineRule="auto" w:before="0" w:after="0"/>
              <w:pStyle w:val="Compact"/>
            </w:pPr>
            <w:r>
              <w:rPr>
                <w:sz w:val="20"/>
                <w:szCs w:val="20"/>
              </w:rPr>
              <w:t xml:space="preserve">prior_track_record</w:t>
            </w:r>
          </w:p>
        </w:tc>
        <w:tc>
          <w:tcPr>
            <w:tcW w:w="0" w:type="auto"/>
          </w:tcPr>
          <w:p>
            <w:pPr>
              <w:spacing w:line="240" w:lineRule="auto" w:before="0" w:after="0"/>
              <w:pStyle w:val="Compact"/>
            </w:pPr>
            <w:r>
              <w:rPr>
                <w:sz w:val="20"/>
                <w:szCs w:val="20"/>
              </w:rPr>
              <w:t xml:space="preserve">1 if the filer had a prior on-orbit operational satellite system at the priority date, else 0</w:t>
            </w:r>
          </w:p>
        </w:tc>
        <w:tc>
          <w:tcPr>
            <w:tcW w:w="0" w:type="auto"/>
          </w:tcPr>
          <w:p>
            <w:pPr>
              <w:spacing w:line="240" w:lineRule="auto" w:before="0" w:after="0"/>
              <w:pStyle w:val="Compact"/>
            </w:pPr>
            <w:r>
              <w:rPr>
                <w:sz w:val="20"/>
                <w:szCs w:val="20"/>
              </w:rPr>
              <w:t xml:space="preserve">Coded from filer corporate histories cited per row in data.csv</w:t>
            </w:r>
          </w:p>
        </w:tc>
      </w:tr>
      <w:tr>
        <w:tc>
          <w:tcPr>
            <w:tcW w:w="0" w:type="auto"/>
          </w:tcPr>
          <w:p>
            <w:pPr>
              <w:spacing w:line="240" w:lineRule="auto" w:before="0" w:after="0"/>
              <w:pStyle w:val="Compact"/>
            </w:pPr>
            <w:r>
              <w:rPr>
                <w:sz w:val="20"/>
                <w:szCs w:val="20"/>
              </w:rPr>
              <w:t xml:space="preserve">filer_concurrent_filings</w:t>
            </w:r>
          </w:p>
        </w:tc>
        <w:tc>
          <w:tcPr>
            <w:tcW w:w="0" w:type="auto"/>
          </w:tcPr>
          <w:p>
            <w:pPr>
              <w:spacing w:line="240" w:lineRule="auto" w:before="0" w:after="0"/>
              <w:pStyle w:val="Compact"/>
            </w:pPr>
            <w:r>
              <w:rPr>
                <w:sz w:val="20"/>
                <w:szCs w:val="20"/>
              </w:rPr>
              <w:t xml:space="preserve">1 if the filer lodged multiple overlapping NGSO filings around the priority date, else 0</w:t>
            </w:r>
          </w:p>
        </w:tc>
        <w:tc>
          <w:tcPr>
            <w:tcW w:w="0" w:type="auto"/>
          </w:tcPr>
          <w:p>
            <w:pPr>
              <w:spacing w:line="240" w:lineRule="auto" w:before="0" w:after="0"/>
              <w:pStyle w:val="Compact"/>
            </w:pPr>
            <w:r>
              <w:rPr>
                <w:sz w:val="20"/>
                <w:szCs w:val="20"/>
              </w:rPr>
              <w:t xml:space="preserve">Coded from FCC processing-round records and constellation histories cited per row</w:t>
            </w:r>
          </w:p>
        </w:tc>
      </w:tr>
      <w:tr>
        <w:tc>
          <w:tcPr>
            <w:tcW w:w="0" w:type="auto"/>
          </w:tcPr>
          <w:p>
            <w:pPr>
              <w:spacing w:line="240" w:lineRule="auto" w:before="0" w:after="0"/>
              <w:pStyle w:val="Compact"/>
            </w:pPr>
            <w:r>
              <w:rPr>
                <w:sz w:val="20"/>
                <w:szCs w:val="20"/>
              </w:rPr>
              <w:t xml:space="preserve">broadband_internet</w:t>
            </w:r>
          </w:p>
        </w:tc>
        <w:tc>
          <w:tcPr>
            <w:tcW w:w="0" w:type="auto"/>
          </w:tcPr>
          <w:p>
            <w:pPr>
              <w:spacing w:line="240" w:lineRule="auto" w:before="0" w:after="0"/>
              <w:pStyle w:val="Compact"/>
            </w:pPr>
            <w:r>
              <w:rPr>
                <w:sz w:val="20"/>
                <w:szCs w:val="20"/>
              </w:rPr>
              <w:t xml:space="preserve">1 if the system was a broadband internet/FSS constellation (versus narrowband MSS or other service), else 0</w:t>
            </w:r>
          </w:p>
        </w:tc>
        <w:tc>
          <w:tcPr>
            <w:tcW w:w="0" w:type="auto"/>
          </w:tcPr>
          <w:p>
            <w:pPr>
              <w:spacing w:line="240" w:lineRule="auto" w:before="0" w:after="0"/>
              <w:pStyle w:val="Compact"/>
            </w:pPr>
            <w:r>
              <w:rPr>
                <w:sz w:val="20"/>
                <w:szCs w:val="20"/>
              </w:rPr>
              <w:t xml:space="preserve">Coded from system service descriptions cited per row in data.csv</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-1.737</w:t>
            </w:r>
          </w:p>
        </w:tc>
        <w:tc>
          <w:tcPr>
            <w:tcW w:w="0" w:type="auto"/>
          </w:tcPr>
          <w:p>
            <w:pPr>
              <w:spacing w:line="240" w:lineRule="auto" w:before="0" w:after="0"/>
              <w:pStyle w:val="Compact"/>
            </w:pPr>
            <w:r>
              <w:rPr>
                <w:sz w:val="20"/>
                <w:szCs w:val="20"/>
              </w:rPr>
              <w:t xml:space="preserve">1.5382</w:t>
            </w:r>
          </w:p>
        </w:tc>
        <w:tc>
          <w:tcPr>
            <w:tcW w:w="0" w:type="auto"/>
          </w:tcPr>
          <w:p>
            <w:pPr>
              <w:spacing w:line="240" w:lineRule="auto" w:before="0" w:after="0"/>
              <w:pStyle w:val="Compact"/>
            </w:pPr>
            <w:r>
              <w:rPr>
                <w:sz w:val="20"/>
                <w:szCs w:val="20"/>
              </w:rPr>
              <w:t xml:space="preserve">-1.1292</w:t>
            </w:r>
          </w:p>
        </w:tc>
        <w:tc>
          <w:tcPr>
            <w:tcW w:w="0" w:type="auto"/>
          </w:tcPr>
          <w:p>
            <w:pPr>
              <w:spacing w:line="240" w:lineRule="auto" w:before="0" w:after="0"/>
              <w:pStyle w:val="Compact"/>
            </w:pPr>
            <w:r>
              <w:rPr>
                <w:sz w:val="20"/>
                <w:szCs w:val="20"/>
              </w:rPr>
              <w:t xml:space="preserve">0.2588</w:t>
            </w:r>
          </w:p>
        </w:tc>
        <w:tc>
          <w:tcPr>
            <w:tcW w:w="0" w:type="auto"/>
          </w:tcPr>
          <w:p>
            <w:pPr>
              <w:spacing w:line="240" w:lineRule="auto" w:before="0" w:after="0"/>
              <w:pStyle w:val="Compact"/>
            </w:pPr>
            <w:r>
              <w:rPr>
                <w:sz w:val="20"/>
                <w:szCs w:val="20"/>
              </w:rPr>
              <w:t xml:space="preserve">[-4.7518, 1.2779]</w:t>
            </w:r>
          </w:p>
        </w:tc>
      </w:tr>
      <w:tr>
        <w:tc>
          <w:tcPr>
            <w:tcW w:w="0" w:type="auto"/>
          </w:tcPr>
          <w:p>
            <w:pPr>
              <w:spacing w:line="240" w:lineRule="auto" w:before="0" w:after="0"/>
              <w:pStyle w:val="Compact"/>
            </w:pPr>
            <w:r>
              <w:rPr>
                <w:sz w:val="20"/>
                <w:szCs w:val="20"/>
              </w:rPr>
              <w:t xml:space="preserve">log_filed_sats</w:t>
            </w:r>
          </w:p>
        </w:tc>
        <w:tc>
          <w:tcPr>
            <w:tcW w:w="0" w:type="auto"/>
          </w:tcPr>
          <w:p>
            <w:pPr>
              <w:spacing w:line="240" w:lineRule="auto" w:before="0" w:after="0"/>
              <w:pStyle w:val="Compact"/>
            </w:pPr>
            <w:r>
              <w:rPr>
                <w:sz w:val="20"/>
                <w:szCs w:val="20"/>
              </w:rPr>
              <w:t xml:space="preserve">0.2347</w:t>
            </w:r>
          </w:p>
        </w:tc>
        <w:tc>
          <w:tcPr>
            <w:tcW w:w="0" w:type="auto"/>
          </w:tcPr>
          <w:p>
            <w:pPr>
              <w:spacing w:line="240" w:lineRule="auto" w:before="0" w:after="0"/>
              <w:pStyle w:val="Compact"/>
            </w:pPr>
            <w:r>
              <w:rPr>
                <w:sz w:val="20"/>
                <w:szCs w:val="20"/>
              </w:rPr>
              <w:t xml:space="preserve">0.9143</w:t>
            </w:r>
          </w:p>
        </w:tc>
        <w:tc>
          <w:tcPr>
            <w:tcW w:w="0" w:type="auto"/>
          </w:tcPr>
          <w:p>
            <w:pPr>
              <w:spacing w:line="240" w:lineRule="auto" w:before="0" w:after="0"/>
              <w:pStyle w:val="Compact"/>
            </w:pPr>
            <w:r>
              <w:rPr>
                <w:sz w:val="20"/>
                <w:szCs w:val="20"/>
              </w:rPr>
              <w:t xml:space="preserve">0.2567</w:t>
            </w:r>
          </w:p>
        </w:tc>
        <w:tc>
          <w:tcPr>
            <w:tcW w:w="0" w:type="auto"/>
          </w:tcPr>
          <w:p>
            <w:pPr>
              <w:spacing w:line="240" w:lineRule="auto" w:before="0" w:after="0"/>
              <w:pStyle w:val="Compact"/>
            </w:pPr>
            <w:r>
              <w:rPr>
                <w:sz w:val="20"/>
                <w:szCs w:val="20"/>
              </w:rPr>
              <w:t xml:space="preserve">0.7974</w:t>
            </w:r>
          </w:p>
        </w:tc>
        <w:tc>
          <w:tcPr>
            <w:tcW w:w="0" w:type="auto"/>
          </w:tcPr>
          <w:p>
            <w:pPr>
              <w:spacing w:line="240" w:lineRule="auto" w:before="0" w:after="0"/>
              <w:pStyle w:val="Compact"/>
            </w:pPr>
            <w:r>
              <w:rPr>
                <w:sz w:val="20"/>
                <w:szCs w:val="20"/>
              </w:rPr>
              <w:t xml:space="preserve">[-1.5572, 2.0266]</w:t>
            </w:r>
          </w:p>
        </w:tc>
      </w:tr>
      <w:tr>
        <w:tc>
          <w:tcPr>
            <w:tcW w:w="0" w:type="auto"/>
          </w:tcPr>
          <w:p>
            <w:pPr>
              <w:spacing w:line="240" w:lineRule="auto" w:before="0" w:after="0"/>
              <w:pStyle w:val="Compact"/>
            </w:pPr>
            <w:r>
              <w:rPr>
                <w:sz w:val="20"/>
                <w:szCs w:val="20"/>
              </w:rPr>
              <w:t xml:space="preserve">prior_track_record</w:t>
            </w:r>
          </w:p>
        </w:tc>
        <w:tc>
          <w:tcPr>
            <w:tcW w:w="0" w:type="auto"/>
          </w:tcPr>
          <w:p>
            <w:pPr>
              <w:spacing w:line="240" w:lineRule="auto" w:before="0" w:after="0"/>
              <w:pStyle w:val="Compact"/>
            </w:pPr>
            <w:r>
              <w:rPr>
                <w:sz w:val="20"/>
                <w:szCs w:val="20"/>
              </w:rPr>
              <w:t xml:space="preserve">-2.2157</w:t>
            </w:r>
          </w:p>
        </w:tc>
        <w:tc>
          <w:tcPr>
            <w:tcW w:w="0" w:type="auto"/>
          </w:tcPr>
          <w:p>
            <w:pPr>
              <w:spacing w:line="240" w:lineRule="auto" w:before="0" w:after="0"/>
              <w:pStyle w:val="Compact"/>
            </w:pPr>
            <w:r>
              <w:rPr>
                <w:sz w:val="20"/>
                <w:szCs w:val="20"/>
              </w:rPr>
              <w:t xml:space="preserve">1.7061</w:t>
            </w:r>
          </w:p>
        </w:tc>
        <w:tc>
          <w:tcPr>
            <w:tcW w:w="0" w:type="auto"/>
          </w:tcPr>
          <w:p>
            <w:pPr>
              <w:spacing w:line="240" w:lineRule="auto" w:before="0" w:after="0"/>
              <w:pStyle w:val="Compact"/>
            </w:pPr>
            <w:r>
              <w:rPr>
                <w:sz w:val="20"/>
                <w:szCs w:val="20"/>
              </w:rPr>
              <w:t xml:space="preserve">-1.2987</w:t>
            </w:r>
          </w:p>
        </w:tc>
        <w:tc>
          <w:tcPr>
            <w:tcW w:w="0" w:type="auto"/>
          </w:tcPr>
          <w:p>
            <w:pPr>
              <w:spacing w:line="240" w:lineRule="auto" w:before="0" w:after="0"/>
              <w:pStyle w:val="Compact"/>
            </w:pPr>
            <w:r>
              <w:rPr>
                <w:sz w:val="20"/>
                <w:szCs w:val="20"/>
              </w:rPr>
              <w:t xml:space="preserve">0.194</w:t>
            </w:r>
          </w:p>
        </w:tc>
        <w:tc>
          <w:tcPr>
            <w:tcW w:w="0" w:type="auto"/>
          </w:tcPr>
          <w:p>
            <w:pPr>
              <w:spacing w:line="240" w:lineRule="auto" w:before="0" w:after="0"/>
              <w:pStyle w:val="Compact"/>
            </w:pPr>
            <w:r>
              <w:rPr>
                <w:sz w:val="20"/>
                <w:szCs w:val="20"/>
              </w:rPr>
              <w:t xml:space="preserve">[-5.5595, 1.1281]</w:t>
            </w:r>
          </w:p>
        </w:tc>
      </w:tr>
      <w:tr>
        <w:tc>
          <w:tcPr>
            <w:tcW w:w="0" w:type="auto"/>
          </w:tcPr>
          <w:p>
            <w:pPr>
              <w:spacing w:line="240" w:lineRule="auto" w:before="0" w:after="0"/>
              <w:pStyle w:val="Compact"/>
            </w:pPr>
            <w:r>
              <w:rPr>
                <w:sz w:val="20"/>
                <w:szCs w:val="20"/>
              </w:rPr>
              <w:t xml:space="preserve">filer_concurrent_filings</w:t>
            </w:r>
          </w:p>
        </w:tc>
        <w:tc>
          <w:tcPr>
            <w:tcW w:w="0" w:type="auto"/>
          </w:tcPr>
          <w:p>
            <w:pPr>
              <w:spacing w:line="240" w:lineRule="auto" w:before="0" w:after="0"/>
              <w:pStyle w:val="Compact"/>
            </w:pPr>
            <w:r>
              <w:rPr>
                <w:sz w:val="20"/>
                <w:szCs w:val="20"/>
              </w:rPr>
              <w:t xml:space="preserve">3.3612</w:t>
            </w:r>
          </w:p>
        </w:tc>
        <w:tc>
          <w:tcPr>
            <w:tcW w:w="0" w:type="auto"/>
          </w:tcPr>
          <w:p>
            <w:pPr>
              <w:spacing w:line="240" w:lineRule="auto" w:before="0" w:after="0"/>
              <w:pStyle w:val="Compact"/>
            </w:pPr>
            <w:r>
              <w:rPr>
                <w:sz w:val="20"/>
                <w:szCs w:val="20"/>
              </w:rPr>
              <w:t xml:space="preserve">1.7096</w:t>
            </w:r>
          </w:p>
        </w:tc>
        <w:tc>
          <w:tcPr>
            <w:tcW w:w="0" w:type="auto"/>
          </w:tcPr>
          <w:p>
            <w:pPr>
              <w:spacing w:line="240" w:lineRule="auto" w:before="0" w:after="0"/>
              <w:pStyle w:val="Compact"/>
            </w:pPr>
            <w:r>
              <w:rPr>
                <w:sz w:val="20"/>
                <w:szCs w:val="20"/>
              </w:rPr>
              <w:t xml:space="preserve">1.9661</w:t>
            </w:r>
          </w:p>
        </w:tc>
        <w:tc>
          <w:tcPr>
            <w:tcW w:w="0" w:type="auto"/>
          </w:tcPr>
          <w:p>
            <w:pPr>
              <w:spacing w:line="240" w:lineRule="auto" w:before="0" w:after="0"/>
              <w:pStyle w:val="Compact"/>
            </w:pPr>
            <w:r>
              <w:rPr>
                <w:sz w:val="20"/>
                <w:szCs w:val="20"/>
              </w:rPr>
              <w:t xml:space="preserve">0.0493</w:t>
            </w:r>
          </w:p>
        </w:tc>
        <w:tc>
          <w:tcPr>
            <w:tcW w:w="0" w:type="auto"/>
          </w:tcPr>
          <w:p>
            <w:pPr>
              <w:spacing w:line="240" w:lineRule="auto" w:before="0" w:after="0"/>
              <w:pStyle w:val="Compact"/>
            </w:pPr>
            <w:r>
              <w:rPr>
                <w:sz w:val="20"/>
                <w:szCs w:val="20"/>
              </w:rPr>
              <w:t xml:space="preserve">[0.0105, 6.712]</w:t>
            </w:r>
          </w:p>
        </w:tc>
      </w:tr>
      <w:tr>
        <w:tc>
          <w:tcPr>
            <w:tcW w:w="0" w:type="auto"/>
          </w:tcPr>
          <w:p>
            <w:pPr>
              <w:spacing w:line="240" w:lineRule="auto" w:before="0" w:after="0"/>
              <w:pStyle w:val="Compact"/>
            </w:pPr>
            <w:r>
              <w:rPr>
                <w:sz w:val="20"/>
                <w:szCs w:val="20"/>
              </w:rPr>
              <w:t xml:space="preserve">broadband_internet</w:t>
            </w:r>
          </w:p>
        </w:tc>
        <w:tc>
          <w:tcPr>
            <w:tcW w:w="0" w:type="auto"/>
          </w:tcPr>
          <w:p>
            <w:pPr>
              <w:spacing w:line="240" w:lineRule="auto" w:before="0" w:after="0"/>
              <w:pStyle w:val="Compact"/>
            </w:pPr>
            <w:r>
              <w:rPr>
                <w:sz w:val="20"/>
                <w:szCs w:val="20"/>
              </w:rPr>
              <w:t xml:space="preserve">-1.8655</w:t>
            </w:r>
          </w:p>
        </w:tc>
        <w:tc>
          <w:tcPr>
            <w:tcW w:w="0" w:type="auto"/>
          </w:tcPr>
          <w:p>
            <w:pPr>
              <w:spacing w:line="240" w:lineRule="auto" w:before="0" w:after="0"/>
              <w:pStyle w:val="Compact"/>
            </w:pPr>
            <w:r>
              <w:rPr>
                <w:sz w:val="20"/>
                <w:szCs w:val="20"/>
              </w:rPr>
              <w:t xml:space="preserve">1.6923</w:t>
            </w:r>
          </w:p>
        </w:tc>
        <w:tc>
          <w:tcPr>
            <w:tcW w:w="0" w:type="auto"/>
          </w:tcPr>
          <w:p>
            <w:pPr>
              <w:spacing w:line="240" w:lineRule="auto" w:before="0" w:after="0"/>
              <w:pStyle w:val="Compact"/>
            </w:pPr>
            <w:r>
              <w:rPr>
                <w:sz w:val="20"/>
                <w:szCs w:val="20"/>
              </w:rPr>
              <w:t xml:space="preserve">-1.1023</w:t>
            </w:r>
          </w:p>
        </w:tc>
        <w:tc>
          <w:tcPr>
            <w:tcW w:w="0" w:type="auto"/>
          </w:tcPr>
          <w:p>
            <w:pPr>
              <w:spacing w:line="240" w:lineRule="auto" w:before="0" w:after="0"/>
              <w:pStyle w:val="Compact"/>
            </w:pPr>
            <w:r>
              <w:rPr>
                <w:sz w:val="20"/>
                <w:szCs w:val="20"/>
              </w:rPr>
              <w:t xml:space="preserve">0.2703</w:t>
            </w:r>
          </w:p>
        </w:tc>
        <w:tc>
          <w:tcPr>
            <w:tcW w:w="0" w:type="auto"/>
          </w:tcPr>
          <w:p>
            <w:pPr>
              <w:spacing w:line="240" w:lineRule="auto" w:before="0" w:after="0"/>
              <w:pStyle w:val="Compact"/>
            </w:pPr>
            <w:r>
              <w:rPr>
                <w:sz w:val="20"/>
                <w:szCs w:val="20"/>
              </w:rPr>
              <w:t xml:space="preserve">[-5.1823, 1.4514]</w:t>
            </w:r>
          </w:p>
        </w:tc>
      </w:tr>
    </w:tbl>
    <w:p>
      <w:pPr>
        <w:pStyle w:val="BodyText"/>
      </w:pPr>
      <w:r>
        <w:t xml:space="preserve">Fit: N = 24 pseudo_R2 = 0.2823 LL = -9.6864</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4" Target="https://doi.org/10.1016/j.actaastro.2025.01.069" TargetMode="External" /><Relationship Type="http://schemas.openxmlformats.org/officeDocument/2006/relationships/hyperlink" Id="rId68" Target="https://doi.org/10.64861/QBNC8763"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25.01.069" TargetMode="External" /><Relationship Type="http://schemas.openxmlformats.org/officeDocument/2006/relationships/hyperlink" Id="rId68" Target="https://doi.org/10.64861/QBNC87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2026-06-25T14:26:07Z</dcterms:created>
  <dcterms:modified xsi:type="dcterms:W3CDTF">2026-06-25T14:26:07Z</dcterms:modified>
</cp:coreProperties>
</file>

<file path=docProps/custom.xml><?xml version="1.0" encoding="utf-8"?>
<Properties xmlns="http://schemas.openxmlformats.org/officeDocument/2006/custom-properties" xmlns:vt="http://schemas.openxmlformats.org/officeDocument/2006/docPropsVTypes"/>
</file>