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FILING AS SPECTRUM WAREHOUSING: DO ITU/FCC NGSO FILINGS PREDICT ACTUAL ON-ORBIT DEPLOYMENT?</w:t>
      </w:r>
    </w:p>
    <w:p>
      <w:pPr>
        <w:jc w:val="center"/>
      </w:pPr>
    </w:p>
    <w:p>
      <w:pPr>
        <w:jc w:val="center"/>
      </w:pPr>
      <w:r>
        <w:rPr>
          <w:rFonts w:ascii="Times New Roman" w:hAnsi="Times New Roman"/>
          <w:sz w:val="24"/>
        </w:rPr>
        <w:t>by</w:t>
      </w:r>
    </w:p>
    <w:p>
      <w:pPr>
        <w:jc w:val="center"/>
      </w:pPr>
      <w:r>
        <w:rPr>
          <w:rFonts w:ascii="Times New Roman" w:hAnsi="Times New Roman"/>
          <w:b/>
          <w:sz w:val="28"/>
        </w:rPr>
        <w:t>Mateo Berger</w:t>
      </w:r>
    </w:p>
    <w:p>
      <w:pPr>
        <w:jc w:val="center"/>
      </w:pPr>
      <w:r>
        <w:rPr>
          <w:rFonts w:ascii="Times New Roman" w:hAnsi="Times New Roman"/>
          <w:sz w:val="24"/>
        </w:rPr>
        <w:t>1B-ITI-053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paper-ahead-of-hardware"/>
    <w:p>
      <w:pPr>
        <w:pStyle w:val="Heading2"/>
        <w:spacing w:line="480" w:lineRule="auto"/>
      </w:pPr>
      <w:r>
        <w:t xml:space="preserve">1.1 The Problem: Paper Ahead of Hardware</w:t>
      </w:r>
    </w:p>
    <w:p>
      <w:pPr>
        <w:pStyle w:val="FirstParagraph"/>
        <w:spacing w:line="480" w:lineRule="auto"/>
      </w:pPr>
      <w:r>
        <w:t xml:space="preserve">The administrative architecture that governs access to space-based radiofrequency spectrum was designed for an era of a few large operators and slow procurement cycles. It now confronts a filing landscape in which the act of filing is itself the competitive move. When an operator lodges a coordination request with the International Telecommunication Union (ITU) or a market-access petition with the United States Federal Communications Commission (FCC), it acquires a queue position over orbital frequency assignments and orbital shells on a specific date, and that date confers priority long before any spacecraft is integrated, launched, or commissioned. Priority over spectrum and orbital shells carries measurable option value even when the underlying constellation is never built. The claim outruns the metal. The structural consequence is an incentive to file early, to file broadly, and to file defensively, decoupling the volume of paper from the volume of hardware.</w:t>
      </w:r>
    </w:p>
    <w:p>
      <w:pPr>
        <w:pStyle w:val="BodyText"/>
        <w:spacing w:line="480" w:lineRule="auto"/>
        <w:ind w:firstLine="720"/>
      </w:pPr>
      <w:r>
        <w:t xml:space="preserve">The magnitude of that decoupling is no longer a matter of speculation. The numbers are public. Since 2016 the FCC alone has processed market-access requests from more than twenty distinct networks proposing in excess of seventy thousand satellites, a paper population that dwarfs the count actually on orbit. The documented application census of Fleming and colleagues catalogs the universe of FCC nongeostationary applications and their outcomes and confirms that the queue is populated by far more proposed systems than the sky has absorbed</w:t>
      </w:r>
      <w:r>
        <w:t xml:space="preserve"> </w:t>
      </w:r>
      <w:hyperlink w:anchor="ref-8">
        <w:r>
          <w:rPr>
            <w:rStyle w:val="Hyperlink"/>
          </w:rPr>
          <w:t xml:space="preserve">[8]</w:t>
        </w:r>
      </w:hyperlink>
      <w:r>
        <w:t xml:space="preserve">. The historical record supplies the same lesson across two regulatory eras. The 1990s</w:t>
      </w:r>
      <w:r>
        <w:t xml:space="preserve"> </w:t>
      </w:r>
      <w:r>
        <w:t xml:space="preserve">“internet in the sky”</w:t>
      </w:r>
      <w:r>
        <w:t xml:space="preserve"> </w:t>
      </w:r>
      <w:r>
        <w:t xml:space="preserve">filings produced ambitious systems such as Teledesic, which proposed 840 satellites and orbited a single demonstrator before winding down, alongside Iridium and Globalstar, which deployed near their full filed size. The 2016 processing rounds repeated the pattern: Starlink and OneWeb converted while contemporaneous filers including Boeing, LeoSat, Theia, and Audacy surrendered or abandoned their authorizations.</w:t>
      </w:r>
    </w:p>
    <w:p>
      <w:pPr>
        <w:pStyle w:val="BodyText"/>
        <w:spacing w:line="480" w:lineRule="auto"/>
        <w:ind w:firstLine="720"/>
      </w:pPr>
      <w:r>
        <w:t xml:space="preserve">This dissertation names the phenomenon spectrum warehousing. It asks whether NGSO filings function predominantly as engineering announcements of imminent build-out or as warehousing claims that reserve scarce spectrum and orbital shells against speculative or defensive futures. The distinction is not semantic. A filing record that faithfully forecasts the sky is a public good, an early and reliable signal of the resident-space-object population to come. A filing record inflated by warehousing is a distorting instrument: it congests the international coordination queue with phantom capacity, biases the downstream models that ingest announced systems, and frustrates any entry regime that must distinguish real entrants from nominal ones. The central question of the dissertation, whether ITU and FCC NGSO filings predict actual on-orbit deployment, is therefore a question about the integrity of the signal on which a growing share of space-environment practice depends.</w:t>
      </w:r>
    </w:p>
    <w:bookmarkEnd w:id="61"/>
    <w:bookmarkStart w:id="62" w:name="why-this-matters-for-nasa-and-jpl"/>
    <w:p>
      <w:pPr>
        <w:pStyle w:val="Heading2"/>
        <w:spacing w:line="480" w:lineRule="auto"/>
      </w:pPr>
      <w:r>
        <w:t xml:space="preserve">1.2 Why This Matters for NASA and JPL</w:t>
      </w:r>
    </w:p>
    <w:p>
      <w:pPr>
        <w:pStyle w:val="FirstParagraph"/>
        <w:spacing w:line="480" w:lineRule="auto"/>
      </w:pPr>
      <w:r>
        <w:t xml:space="preserve">For the institutions charged with stewarding the orbital environment and with planning missions that must transit and operate within it, the stakes are concrete. Three pressures make the filing-to-deployment relationship a first-order concern rather than an administrative curiosity.</w:t>
      </w:r>
    </w:p>
    <w:p>
      <w:pPr>
        <w:pStyle w:val="BodyText"/>
        <w:spacing w:line="480" w:lineRule="auto"/>
        <w:ind w:firstLine="720"/>
      </w:pPr>
      <w:r>
        <w:t xml:space="preserve">First, orbital capacity is increasingly understood not as an abstract environmental concern but as a bounded, governable resource and a safety metric. Stilwell and colleagues frame orbital carrying capacity as fundamentally a safety quantity, deriving a maximum sustainable capacity per altitude shell as a function of deorbit compliance and collision-avoidance capability</w:t>
      </w:r>
      <w:r>
        <w:t xml:space="preserve"> </w:t>
      </w:r>
      <w:hyperlink w:anchor="ref-3">
        <w:r>
          <w:rPr>
            <w:rStyle w:val="Hyperlink"/>
          </w:rPr>
          <w:t xml:space="preserve">[3]</w:t>
        </w:r>
      </w:hyperlink>
      <w:r>
        <w:t xml:space="preserve">[4]. D’Ambrosio and Linares compute the carrying capacity of low Earth orbit using source-sink models that take the satellite population as a driving input</w:t>
      </w:r>
      <w:r>
        <w:t xml:space="preserve"> </w:t>
      </w:r>
      <w:hyperlink w:anchor="ref-9">
        <w:r>
          <w:rPr>
            <w:rStyle w:val="Hyperlink"/>
          </w:rPr>
          <w:t xml:space="preserve">[9]</w:t>
        </w:r>
      </w:hyperlink>
      <w:r>
        <w:t xml:space="preserve">. If the shells operators coordinate for are finite, then claims on those shells, whether or not they convert to hardware, are claims on a shared commons that NASA and its mission-design centers must navigate. A capacity estimate or a conjunction forecast that is built on filed rather than realized systems will misstate the very environment a mission like those JPL designs must survive.</w:t>
      </w:r>
    </w:p>
    <w:p>
      <w:pPr>
        <w:pStyle w:val="BodyText"/>
        <w:spacing w:line="480" w:lineRule="auto"/>
        <w:ind w:firstLine="720"/>
      </w:pPr>
      <w:r>
        <w:t xml:space="preserve">Second, environment-modeling practice already ingests filing-derived information as if it were a forecast of the sky. Reference-scenario work for space-environment modeling produces detailed near-term satellite-deployment inputs as a function of announced systems</w:t>
      </w:r>
      <w:r>
        <w:t xml:space="preserve"> </w:t>
      </w:r>
      <w:hyperlink w:anchor="ref-1">
        <w:r>
          <w:rPr>
            <w:rStyle w:val="Hyperlink"/>
          </w:rPr>
          <w:t xml:space="preserve">[1]</w:t>
        </w:r>
      </w:hyperlink>
      <w:r>
        <w:t xml:space="preserve">[17]. The Aerospace Corporation reference scenarios that the modeling community relies upon scale the near-term deployment trajectory directly to the announced population. Any systematic gap between announced and realized systems propagates into the models that inform sustainability policy, debris projections, and the collision-risk environment that mission planners assume. For NASA, which both consumes and produces such models, an undeclared optimism bias in the deployment trajectory is an undeclared bias in every downstream estimate of debris flux, shielding requirement, and avoidance maneuver budget.</w:t>
      </w:r>
    </w:p>
    <w:p>
      <w:pPr>
        <w:pStyle w:val="BodyText"/>
        <w:spacing w:line="480" w:lineRule="auto"/>
        <w:ind w:firstLine="720"/>
      </w:pPr>
      <w:r>
        <w:t xml:space="preserve">Third, the same body of work proposes performance-based entry requirements modeled on aviation airspace classification, with entry conditions tied to congestion and collision risk</w:t>
      </w:r>
      <w:r>
        <w:t xml:space="preserve"> </w:t>
      </w:r>
      <w:hyperlink w:anchor="ref-3">
        <w:r>
          <w:rPr>
            <w:rStyle w:val="Hyperlink"/>
          </w:rPr>
          <w:t xml:space="preserve">[3]</w:t>
        </w:r>
      </w:hyperlink>
      <w:r>
        <w:t xml:space="preserve">. Capacity-management scholarship makes the same point from the traffic-coordination side, treating the management of finite orbital volume as inseparable from the population of systems that actually occupy it</w:t>
      </w:r>
      <w:r>
        <w:t xml:space="preserve"> </w:t>
      </w:r>
      <w:hyperlink w:anchor="ref-7">
        <w:r>
          <w:rPr>
            <w:rStyle w:val="Hyperlink"/>
          </w:rPr>
          <w:t xml:space="preserve">[7]</w:t>
        </w:r>
      </w:hyperlink>
      <w:r>
        <w:t xml:space="preserve">, and space-traffic-management work on large constellations underscores that the coordination burden scales with the systems that genuinely deploy</w:t>
      </w:r>
      <w:r>
        <w:t xml:space="preserve"> </w:t>
      </w:r>
      <w:hyperlink w:anchor="ref-22">
        <w:r>
          <w:rPr>
            <w:rStyle w:val="Hyperlink"/>
          </w:rPr>
          <w:t xml:space="preserve">[22]</w:t>
        </w:r>
      </w:hyperlink>
      <w:r>
        <w:t xml:space="preserve">. Any such entry regime, and any space-traffic-management function NASA helps to stand up, presupposes that the regulator can distinguish real entrants from nominal ones. That discrimination is precisely what an unexamined filing record cannot supply. The lessons-learned literature on mega-constellation deployment documents that deployment timing and scale vary sharply across operators of similar filed size, complicating the space-domain-awareness task for exactly the reason this dissertation isolates</w:t>
      </w:r>
      <w:r>
        <w:t xml:space="preserve"> </w:t>
      </w:r>
      <w:hyperlink w:anchor="ref-11">
        <w:r>
          <w:rPr>
            <w:rStyle w:val="Hyperlink"/>
          </w:rPr>
          <w:t xml:space="preserve">[11]</w:t>
        </w:r>
      </w:hyperlink>
      <w:r>
        <w:t xml:space="preserve">.</w:t>
      </w:r>
    </w:p>
    <w:p>
      <w:pPr>
        <w:pStyle w:val="BodyText"/>
        <w:spacing w:line="480" w:lineRule="auto"/>
        <w:ind w:firstLine="720"/>
      </w:pPr>
      <w:r>
        <w:t xml:space="preserve">For NASA and JPL the practical upshot is direct. It is also uncomfortable. Mission design, debris-environment projection, and the agency’s contributions to space-traffic-coordination all begin, today, from a population of systems that is read off the regulatory queue. If that queue overstates the sky, the agency inherits a quantified-looking input that is in fact a ledger of intentions. Measuring the conversion relationship is the precondition for using the filing record responsibly.</w:t>
      </w:r>
    </w:p>
    <w:bookmarkEnd w:id="62"/>
    <w:bookmarkStart w:id="63" w:name="X913bed21db60a4d9088d01379bfa6398e53ca50"/>
    <w:p>
      <w:pPr>
        <w:pStyle w:val="Heading2"/>
        <w:spacing w:line="480" w:lineRule="auto"/>
      </w:pPr>
      <w:r>
        <w:t xml:space="preserve">1.3 The Gap: Domain Literature Versus Econometric Method</w:t>
      </w:r>
    </w:p>
    <w:p>
      <w:pPr>
        <w:pStyle w:val="FirstParagraph"/>
        <w:spacing w:line="480" w:lineRule="auto"/>
      </w:pPr>
      <w:r>
        <w:t xml:space="preserve">The retrieved corpus establishes two mature research streams and one absence at their intersection. The gap this dissertation addresses is not topical but methodological, and it is worth stating precisely because the contribution is defined by it.</w:t>
      </w:r>
    </w:p>
    <w:p>
      <w:pPr>
        <w:pStyle w:val="BodyText"/>
        <w:spacing w:line="480" w:lineRule="auto"/>
        <w:ind w:firstLine="720"/>
      </w:pPr>
      <w:r>
        <w:t xml:space="preserve">The first stream is the domain literature on orbital capacity and the space environment. It treats orbital capacity as a derivable, shell-specific quantity governed by compliance behavior</w:t>
      </w:r>
      <w:r>
        <w:t xml:space="preserve"> </w:t>
      </w:r>
      <w:hyperlink w:anchor="ref-4">
        <w:r>
          <w:rPr>
            <w:rStyle w:val="Hyperlink"/>
          </w:rPr>
          <w:t xml:space="preserve">[4]</w:t>
        </w:r>
      </w:hyperlink>
      <w:r>
        <w:t xml:space="preserve">[9], embeds that quantity in policy constructs intended for international adoption</w:t>
      </w:r>
      <w:r>
        <w:t xml:space="preserve"> </w:t>
      </w:r>
      <w:hyperlink w:anchor="ref-3">
        <w:r>
          <w:rPr>
            <w:rStyle w:val="Hyperlink"/>
          </w:rPr>
          <w:t xml:space="preserve">[3]</w:t>
        </w:r>
      </w:hyperlink>
      <w:r>
        <w:t xml:space="preserve">, and models the space environment by ingesting near-term deployment scenarios built from announced systems</w:t>
      </w:r>
      <w:r>
        <w:t xml:space="preserve"> </w:t>
      </w:r>
      <w:hyperlink w:anchor="ref-1">
        <w:r>
          <w:rPr>
            <w:rStyle w:val="Hyperlink"/>
          </w:rPr>
          <w:t xml:space="preserve">[1]</w:t>
        </w:r>
      </w:hyperlink>
      <w:r>
        <w:t xml:space="preserve">[17]. The international legal literature on constellations frames the tension between paper rights and deployed systems and motivates treating the regulatory record as a contested signal rather than a settled forecast</w:t>
      </w:r>
      <w:r>
        <w:t xml:space="preserve"> </w:t>
      </w:r>
      <w:hyperlink w:anchor="ref-12">
        <w:r>
          <w:rPr>
            <w:rStyle w:val="Hyperlink"/>
          </w:rPr>
          <w:t xml:space="preserve">[12]</w:t>
        </w:r>
      </w:hyperlink>
      <w:r>
        <w:t xml:space="preserve">. The economic strand within this stream reasons carefully about operator incentives under finite orbital resources: Weinzierl’s treatment of the orbital commons turns on the gap between the incentives an operator faces ex ante when it stakes a claim and ex post when it must build and remove hardware</w:t>
      </w:r>
      <w:r>
        <w:t xml:space="preserve"> </w:t>
      </w:r>
      <w:hyperlink w:anchor="ref-6">
        <w:r>
          <w:rPr>
            <w:rStyle w:val="Hyperlink"/>
          </w:rPr>
          <w:t xml:space="preserve">[6]</w:t>
        </w:r>
      </w:hyperlink>
      <w:r>
        <w:t xml:space="preserve">[10], and the broader sustainability discussion groups spectrum usage alongside debris and property rights as contested claims on shared space resources</w:t>
      </w:r>
      <w:r>
        <w:t xml:space="preserve"> </w:t>
      </w:r>
      <w:hyperlink w:anchor="ref-5">
        <w:r>
          <w:rPr>
            <w:rStyle w:val="Hyperlink"/>
          </w:rPr>
          <w:t xml:space="preserve">[5]</w:t>
        </w:r>
      </w:hyperlink>
      <w:r>
        <w:t xml:space="preserve">. This stream is rich, careful, and largely descriptive or theoretical about incentives. One feature recurs. Every part of it takes the population of systems as an input.</w:t>
      </w:r>
    </w:p>
    <w:p>
      <w:pPr>
        <w:pStyle w:val="BodyText"/>
        <w:spacing w:line="480" w:lineRule="auto"/>
        <w:ind w:firstLine="720"/>
      </w:pPr>
      <w:r>
        <w:t xml:space="preserve">The second stream is the econometric and quantitative method literature for measuring exactly this kind of conversion relationship: event-history and survival analysis for timed events with censoring, and calibrated binary classification for out-of-sample prediction. These methods are standard in every applied field that asks whether a stated intention converts into a realized outcome, and they handle directly the two features that make the filing problem hard, namely right-censoring of recent filings and the competing risk of administrative lapse. A single domain paper analyzes the FCC application record descriptively</w:t>
      </w:r>
      <w:r>
        <w:t xml:space="preserve"> </w:t>
      </w:r>
      <w:hyperlink w:anchor="ref-8">
        <w:r>
          <w:rPr>
            <w:rStyle w:val="Hyperlink"/>
          </w:rPr>
          <w:t xml:space="preserve">[8]</w:t>
        </w:r>
      </w:hyperlink>
      <w:r>
        <w:t xml:space="preserve">, but it stops short of estimating a conversion model.</w:t>
      </w:r>
    </w:p>
    <w:p>
      <w:pPr>
        <w:pStyle w:val="BodyText"/>
        <w:spacing w:line="480" w:lineRule="auto"/>
        <w:ind w:firstLine="720"/>
      </w:pPr>
      <w:r>
        <w:t xml:space="preserve">The absence sits at the intersection. The domain literature asks how many satellites a shell can sustain</w:t>
      </w:r>
      <w:r>
        <w:t xml:space="preserve"> </w:t>
      </w:r>
      <w:hyperlink w:anchor="ref-4">
        <w:r>
          <w:rPr>
            <w:rStyle w:val="Hyperlink"/>
          </w:rPr>
          <w:t xml:space="preserve">[4]</w:t>
        </w:r>
      </w:hyperlink>
      <w:r>
        <w:t xml:space="preserve">, what the near-term deployment trajectory looks like</w:t>
      </w:r>
      <w:r>
        <w:t xml:space="preserve"> </w:t>
      </w:r>
      <w:hyperlink w:anchor="ref-1">
        <w:r>
          <w:rPr>
            <w:rStyle w:val="Hyperlink"/>
          </w:rPr>
          <w:t xml:space="preserve">[1]</w:t>
        </w:r>
      </w:hyperlink>
      <w:r>
        <w:t xml:space="preserve">, and how operators behave under scarcity and shared rights</w:t>
      </w:r>
      <w:r>
        <w:t xml:space="preserve"> </w:t>
      </w:r>
      <w:hyperlink w:anchor="ref-5">
        <w:r>
          <w:rPr>
            <w:rStyle w:val="Hyperlink"/>
          </w:rPr>
          <w:t xml:space="preserve">[5]</w:t>
        </w:r>
      </w:hyperlink>
      <w:r>
        <w:t xml:space="preserve">[6]. It does not interrogate the upstream administrative act that generates the population input, namely the filing, nor measure the rate at which filings convert into the deployed objects the models and capacity estimates assume. The method literature supplies the tools to measure that rate but has not been pointed at this object. No study links the universe of NGSO filings to verified on-orbit outcomes and estimates the conditional probability and timing of conversion. Until that relationship is measured, every downstream estimate that begins from announced or filed systems carries an unquantified and undeclared optimism bias. The gap is therefore an identification gap: filing-to-deployment conversion has been a maintained assumption everywhere and a measured quantity nowhere. This dissertation closes that gap by making the conversion relationship the object of measurement rather than a background premise, applying the econometric method literature to the question the domain literature has left open.</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One claim carries this dissertation. It is a single, calibrated, out-of-sample account of NGSO filing-to-deployment conversion, paired with a formal hypothesis test that the account is constructed to adjudicate. It is stated here precisely so that it can be judged against its own terms.</w:t>
      </w:r>
    </w:p>
    <w:p>
      <w:pPr>
        <w:pStyle w:val="BodyText"/>
        <w:spacing w:line="480" w:lineRule="auto"/>
        <w:ind w:firstLine="720"/>
      </w:pPr>
      <w:r>
        <w:t xml:space="preserve">Let a filed NGSO system be coded as</w:t>
      </w:r>
      <w:r>
        <w:t xml:space="preserve"> </w:t>
      </w:r>
      <w:r>
        <w:rPr>
          <w:i/>
          <w:iCs/>
        </w:rPr>
        <w:t xml:space="preserve">materialized</w:t>
      </w:r>
      <w:r>
        <w:t xml:space="preserve"> </w:t>
      </w:r>
      <w:r>
        <w:t xml:space="preserve">if, within a fixed and pre-registered observation horizon after its priority date, the number of associated spacecraft confirmed on orbit reaches a pre-registered materiality threshold expressed as a fraction of the filed system size. The threshold adopted mirrors the fifty-percent deployment milestone the FCC itself imposes on NGSO licensees, which anchors the materiality cut to a regulatory standard rather than to researcher preference. Define the conversion probability as the modeled probability of materialization conditional on observable filing and filer characteristics, and define the deployment hazard as the instantaneous rate of first deployment among systems that have not yet deployed.</w:t>
      </w:r>
    </w:p>
    <w:p>
      <w:pPr>
        <w:pStyle w:val="BodyText"/>
        <w:spacing w:line="480" w:lineRule="auto"/>
        <w:ind w:firstLine="720"/>
      </w:pPr>
      <w:r>
        <w:t xml:space="preserve">The contribution is adjudicated against two hypotheses.</w:t>
      </w:r>
    </w:p>
    <w:p>
      <w:pPr>
        <w:pStyle w:val="BodyText"/>
        <w:spacing w:line="480" w:lineRule="auto"/>
        <w:ind w:firstLine="720"/>
      </w:pPr>
      <w:r>
        <w:rPr>
          <w:b/>
          <w:bCs/>
        </w:rPr>
        <w:t xml:space="preserve">H0 (build-intent null):</w:t>
      </w:r>
      <w:r>
        <w:t xml:space="preserve"> </w:t>
      </w:r>
      <w:r>
        <w:t xml:space="preserve">NGSO filings are, on average, faithful announcements of build-out. Conversion is high and is not systematically depressed for filing or filer attributes associated with speculative reservation; observable warehousing proxies carry no predictive weight once baseline covariates are controlled, and the deployment hazard does not fall with the scale of the filed claim.</w:t>
      </w:r>
    </w:p>
    <w:p>
      <w:pPr>
        <w:pStyle w:val="BodyText"/>
        <w:spacing w:line="480" w:lineRule="auto"/>
        <w:ind w:firstLine="720"/>
      </w:pPr>
      <w:r>
        <w:rPr>
          <w:b/>
          <w:bCs/>
        </w:rPr>
        <w:t xml:space="preserve">H1 (warehousing hypothesis):</w:t>
      </w:r>
      <w:r>
        <w:t xml:space="preserve"> </w:t>
      </w:r>
      <w:r>
        <w:t xml:space="preserve">A material share of NGSO filings function as spectrum-warehousing claims. Conversion is substantially below one, and identifiable warehousing proxies, including the gap between filed and historically realized system sizes, filer launch track record, and the breadth of simultaneous filings, predict non-materialization with a sign and magnitude inconsistent with pure build intent; the deployment hazard is correspondingly depressed for the warehousing subset.</w:t>
      </w:r>
    </w:p>
    <w:p>
      <w:pPr>
        <w:pStyle w:val="BodyText"/>
        <w:spacing w:line="480" w:lineRule="auto"/>
        <w:ind w:firstLine="720"/>
      </w:pPr>
      <w:r>
        <w:t xml:space="preserve">The test is falsifiable in both directions, and the dissertation commits in advance to reporting whichever verdict the data render. If the warehousing proxies are jointly insignificant and conversion is high, H1 is rejected and the filing record is vindicated as a deployment forecast. If conversion is low and the proxies carry the predicted weight out of sample, H0 is rejected and the warehousing account is supported. The empirical work behind this dissertation already establishes that the verdict is unlikely to be a clean confirmation of either pole, and the contribution is defined to accommodate that honestly. The conversion study finds an overall conversion rate of one in four across the documented filing history, which supports the magnitude prong of the warehousing account; yet the naive size proxy, log filed system size, carries no significant predictive weight and, if anything, points opposite to the warehousing prediction, because the two largest converters are also among the largest filings. The survival study finds the same bimodal structure from the timing side: systems that deploy reach orbit at a median of six months from authorization, while systems that do not deploy sit a median of eighty-six months without a single spacecraft, and the scale of the filing does not depress the deployment hazard at the system level.</w:t>
      </w:r>
    </w:p>
    <w:p>
      <w:pPr>
        <w:pStyle w:val="BodyText"/>
        <w:spacing w:line="480" w:lineRule="auto"/>
        <w:ind w:firstLine="720"/>
      </w:pPr>
      <w:r>
        <w:t xml:space="preserve">The precise contribution, then, is twofold and single in intent. It is the first measured estimate of NGSO filing-to-deployment conversion, in both a calibrated binary specification and a proportional-hazards specification, and it is the verdict those estimates render on H0 versus H1. That verdict is not a slogan. The magnitude prong of the warehousing hypothesis is supported, the queue converts far below one, while the mechanism prong in its narrowest form, that filed satellite count is the warehousing signal, is not supported. Stating both halves of that result, rather than the convenient half, is the discipline the falsifiable framing enforces.</w:t>
      </w:r>
    </w:p>
    <w:bookmarkEnd w:id="64"/>
    <w:bookmarkStart w:id="65" w:name="method-and-data-in-brief"/>
    <w:p>
      <w:pPr>
        <w:pStyle w:val="Heading2"/>
        <w:spacing w:line="480" w:lineRule="auto"/>
      </w:pPr>
      <w:r>
        <w:t xml:space="preserve">1.5 Method and Data in Brief</w:t>
      </w:r>
    </w:p>
    <w:p>
      <w:pPr>
        <w:pStyle w:val="FirstParagraph"/>
        <w:spacing w:line="480" w:lineRule="auto"/>
      </w:pPr>
      <w:r>
        <w:t xml:space="preserve">The unit of analysis is the filed or authorized NGSO system. The empirical strategy proceeds in two complementary specifications drawn from the econometric method literature. The first is a discrete-time survival (event-history) treatment, estimated as a Cox proportional-hazards model, of time from the priority or authorization date to first deployment. Survival framing is the natural choice because materialization is a timed event with a competing risk of administrative lapse, and because it respects right-censoring for the systems whose horizon has not closed rather than discarding them or forcing them to a fabricated outcome. The second is a binary conversion specification, estimated by logistic regression, that yields the calibrated classifier of the probability of reaching the materiality threshold within the horizon. Identification of the warehousing channel rests on covariates observable at or near the filing date that proxy intent without being mechanically determined by the outcome: the scale of the filed system in logs, the filer’s prior on-orbit and launch track record, the breadth of contemporaneous filings, and the regulatory venue and procedural posture of the filing.</w:t>
      </w:r>
    </w:p>
    <w:p>
      <w:pPr>
        <w:pStyle w:val="BodyText"/>
        <w:spacing w:line="480" w:lineRule="auto"/>
        <w:ind w:firstLine="720"/>
      </w:pPr>
      <w:r>
        <w:t xml:space="preserve">The data are public and auditable end to end. Deployment outcomes are drawn from the authoritative public catalog of resident space objects and from compiled public launch records, the same class of catalog-of-record on which environment-modeling reference scenarios already rely for near-term deployment inputs</w:t>
      </w:r>
      <w:r>
        <w:t xml:space="preserve"> </w:t>
      </w:r>
      <w:hyperlink w:anchor="ref-1">
        <w:r>
          <w:rPr>
            <w:rStyle w:val="Hyperlink"/>
          </w:rPr>
          <w:t xml:space="preserve">[1]</w:t>
        </w:r>
      </w:hyperlink>
      <w:r>
        <w:t xml:space="preserve">. The filing record is constructed from the ITU Space Network Systems database for coordination and notification filings and from the FCC International Bureau Filing System for United States market-access petitions, checked against the documented application census of Fleming and colleagues</w:t>
      </w:r>
      <w:r>
        <w:t xml:space="preserve"> </w:t>
      </w:r>
      <w:hyperlink w:anchor="ref-8">
        <w:r>
          <w:rPr>
            <w:rStyle w:val="Hyperlink"/>
          </w:rPr>
          <w:t xml:space="preserve">[8]</w:t>
        </w:r>
      </w:hyperlink>
      <w:r>
        <w:t xml:space="preserve">. Linkage proceeds by matching filed systems to cataloged objects through operator identity, frequency and orbital-shell parameters, and time windows, with conservative match rules and a hand-validated subset to bound linkage error. No proprietary or access-restricted data is required, which keeps the materiality threshold, the horizon, and the match rules independently reproducible.</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as follows. Chapter 2 develops the theory of spectrum warehousing, situating the filing-as-option logic within the space-economy literature on the orbital commons</w:t>
      </w:r>
      <w:r>
        <w:t xml:space="preserve"> </w:t>
      </w:r>
      <w:hyperlink w:anchor="ref-5">
        <w:r>
          <w:rPr>
            <w:rStyle w:val="Hyperlink"/>
          </w:rPr>
          <w:t xml:space="preserve">[5]</w:t>
        </w:r>
      </w:hyperlink>
      <w:r>
        <w:t xml:space="preserve">[6][10] and within the orbital-capacity and entry-regime constructs that make the integrity of the filing signal consequential</w:t>
      </w:r>
      <w:r>
        <w:t xml:space="preserve"> </w:t>
      </w:r>
      <w:hyperlink w:anchor="ref-3">
        <w:r>
          <w:rPr>
            <w:rStyle w:val="Hyperlink"/>
          </w:rPr>
          <w:t xml:space="preserve">[3]</w:t>
        </w:r>
      </w:hyperlink>
      <w:r>
        <w:t xml:space="preserve">[4][7]. Chapter 3 reviews the two literatures whose intersection defines the gap, the domain stream that takes the system population as an input</w:t>
      </w:r>
      <w:r>
        <w:t xml:space="preserve"> </w:t>
      </w:r>
      <w:hyperlink w:anchor="ref-1">
        <w:r>
          <w:rPr>
            <w:rStyle w:val="Hyperlink"/>
          </w:rPr>
          <w:t xml:space="preserve">[1]</w:t>
        </w:r>
      </w:hyperlink>
      <w:r>
        <w:t xml:space="preserve">[9][12][17] and the econometric method stream that supplies the survival and classification tools, and specifies the identification strategy. Chapter 4 documents the data: the construction of the filing universe from the ITU and FCC records, the deployment ground truth, the linkage crosswalk, and the pre-registered materiality threshold and observation horizon. Chapter 5 presents the binary conversion model, reporting the one-in-four conversion rate, the calibrated classifier, and the candid finding that the log-size warehousing proxy carries no significant weight. Chapter 6 presents the proportional-hazards analysis, reporting the bimodal deployment timing, the six-month versus eighty-six-month median separation, and the parametric nulls on the continuous covariates. Chapter 7 synthesizes the two specifications, renders the verdict on H0 versus H1, and traces the implications for the NASA and JPL practice that ingests filing-derived inputs, including the central caution that phantom capacity cannot be discounted by down-weighting the largest filings. Chapter 8 states the threats to validity that the design pre-registers against, linkage error, censoring and horizon dependence, endogeneity of the warehousing proxies, and regime change across the two filing eras, and sets out the path to a larger filing census drawn from the full application record</w:t>
      </w:r>
      <w:r>
        <w:t xml:space="preserve"> </w:t>
      </w:r>
      <w:hyperlink w:anchor="ref-8">
        <w:r>
          <w:rPr>
            <w:rStyle w:val="Hyperlink"/>
          </w:rPr>
          <w:t xml:space="preserve">[8]</w:t>
        </w:r>
      </w:hyperlink>
      <w:r>
        <w:t xml:space="preserve"> </w:t>
      </w:r>
      <w:r>
        <w:t xml:space="preserve">with the ITU priority date as the clock origin. The dissertation concludes by restating its single measured contribution: the NGSO queue converts at roughly one in four, the conversion structure is bimodal in time, and the obvious size-based proxy does not do the discriminating work that intuition assigns it.</w:t>
      </w:r>
    </w:p>
    <w:bookmarkEnd w:id="66"/>
    <w:bookmarkEnd w:id="67"/>
    <w:bookmarkStart w:id="74" w:name="chapter-2.-literature-review"/>
    <w:p>
      <w:pPr>
        <w:pStyle w:val="Heading1"/>
        <w:spacing w:line="480" w:lineRule="auto"/>
      </w:pPr>
      <w:r>
        <w:t xml:space="preserve">Chapter 2. Literature Review</w:t>
      </w:r>
    </w:p>
    <w:bookmarkStart w:id="68" w:name="introduction-and-organizing-logic"/>
    <w:p>
      <w:pPr>
        <w:pStyle w:val="Heading2"/>
        <w:spacing w:line="480" w:lineRule="auto"/>
      </w:pPr>
      <w:r>
        <w:t xml:space="preserve">2.1 Introduction and Organizing Logic</w:t>
      </w:r>
    </w:p>
    <w:p>
      <w:pPr>
        <w:pStyle w:val="FirstParagraph"/>
        <w:spacing w:line="480" w:lineRule="auto"/>
      </w:pPr>
      <w:r>
        <w:t xml:space="preserve">This dissertation occupies a vacancy that two otherwise productive scholarly traditions have left unattended. The first tradition is the domain-technical literature on orbital capacity, space-environment modeling, mega-constellation deployment, and the administrative architecture that governs access to space-based radiofrequency spectrum. The second is the cliometric and econometric methodology literature that supplies event-history modeling, binary conversion estimation, censoring-aware inference, and calibrated out-of-sample prediction as instruments for adjudicating between competing accounts of behavior under uncertainty. Each tradition is mature in isolation. Neither has been brought to bear on the specific empirical object that this study makes its own, namely the rate at which a regulatory filing for a non-geostationary satellite orbit (NGSO) system converts into spacecraft actually present on orbit. The purpose of this chapter is to review both literatures with the rigor each deserves, to establish that they are genuinely unjoined rather than merely under-cited, and to argue that their intersection defines a precise and falsifiable research opportunity that the remainder of the dissertation pursues.</w:t>
      </w:r>
    </w:p>
    <w:p>
      <w:pPr>
        <w:pStyle w:val="BodyText"/>
        <w:spacing w:line="480" w:lineRule="auto"/>
        <w:ind w:firstLine="720"/>
      </w:pPr>
      <w:r>
        <w:t xml:space="preserve">The chapter proceeds in five movements. Section 2.2 reviews the domain-technical literature on orbital carrying capacity as a derivable, shell-specific quantity, establishing that the field has converged on treating the orbital shell as a finite and governable resource. Section 2.3 reviews the environment-modeling and reference-scenario literature that ingests announced and filed systems as forecasting inputs, demonstrating that filing-derived information already flows into the models that inform sustainability policy without any audit of its predictive fidelity. Section 2.4 reviews the regulatory, legal, and applications-analysis literature that describes the ITU and FCC filing processes and the strategic incentives they generate, together with the economic theory of speculative reservation that motivates the warehousing hypothesis. Section 2.5 reviews the methodology literature that the dissertation borrows: survival analysis, discrete-choice conversion modeling, censoring, and the cliometric discipline of holding prediction to out-of-sample standards. Section 2.6 synthesizes the two bodies of work, names the identification gap at their intersection, and states why closing it is both novel and consequential.</w:t>
      </w:r>
    </w:p>
    <w:p>
      <w:pPr>
        <w:pStyle w:val="BodyText"/>
        <w:spacing w:line="480" w:lineRule="auto"/>
        <w:ind w:firstLine="720"/>
      </w:pPr>
      <w:r>
        <w:t xml:space="preserve">A note on method is warranted at the outset. A literature review for a quantitative dissertation is not a neutral catalogue. It is an argument that an unanswered question exists, that the question is answerable with available data and methods, and that answering it changes what the field is entitled to believe. The review is therefore structured to expose a specific asymmetry: the domain literature consistently treats the population of satellite systems as an exogenous input, while the methodology literature furnishes exactly the tools needed to interrogate how that population comes into being from the administrative record. The two never meet, and the space between them is where this dissertation lives.</w:t>
      </w:r>
    </w:p>
    <w:bookmarkEnd w:id="68"/>
    <w:bookmarkStart w:id="69" w:name="X13adb23be74bdd181b7752a52e213b3debe017d"/>
    <w:p>
      <w:pPr>
        <w:pStyle w:val="Heading2"/>
        <w:spacing w:line="480" w:lineRule="auto"/>
      </w:pPr>
      <w:r>
        <w:t xml:space="preserve">2.2 The Domain Literature I: Orbital Capacity as a Bounded, Governable Resource</w:t>
      </w:r>
    </w:p>
    <w:p>
      <w:pPr>
        <w:pStyle w:val="FirstParagraph"/>
        <w:spacing w:line="480" w:lineRule="auto"/>
      </w:pPr>
      <w:r>
        <w:t xml:space="preserve">One proposition anchors the contemporary orbital-sustainability literature: low Earth orbit possesses a finite carrying capacity that can be derived rather than merely asserted. Stilwell and colleagues have advanced the most policy-consequential version of this claim, framing orbital carrying capacity as fundamentally a safety quantity and deriving a maximum sustainable capacity per altitude shell as a function of deorbit-compliance behavior and collision-avoidance capability</w:t>
      </w:r>
      <w:r>
        <w:t xml:space="preserve"> </w:t>
      </w:r>
      <w:hyperlink w:anchor="ref-4">
        <w:r>
          <w:rPr>
            <w:rStyle w:val="Hyperlink"/>
          </w:rPr>
          <w:t xml:space="preserve">[4]</w:t>
        </w:r>
      </w:hyperlink>
      <w:r>
        <w:t xml:space="preserve">. The move matters. It reconceives capacity from an abstract environmental concern into an engineering quantity with a numerical value attached to each shell. Where earlier sustainability discourse treated congestion as a diffuse hazard, this body of work renders it as a per-shell budget that compliance behavior either preserves or exhausts.</w:t>
      </w:r>
    </w:p>
    <w:p>
      <w:pPr>
        <w:pStyle w:val="BodyText"/>
        <w:spacing w:line="480" w:lineRule="auto"/>
        <w:ind w:firstLine="720"/>
      </w:pPr>
      <w:r>
        <w:t xml:space="preserve">From capacity the same research program moves to governance. Stilwell and colleagues propose a policy-based orbital classification framework modeled on aviation airspace classification, in which entry conditions are tied to congestion and collision risk and graduated by the criticality of the shell an operator seeks to occupy</w:t>
      </w:r>
      <w:r>
        <w:t xml:space="preserve"> </w:t>
      </w:r>
      <w:hyperlink w:anchor="ref-3">
        <w:r>
          <w:rPr>
            <w:rStyle w:val="Hyperlink"/>
          </w:rPr>
          <w:t xml:space="preserve">[3]</w:t>
        </w:r>
      </w:hyperlink>
      <w:r>
        <w:t xml:space="preserve">. The analogy to airspace is more than rhetorical. It imports a regulatory architecture in which entry is conditional on demonstrated capability and in which the regulator is presumed able to distinguish entrants who satisfy the entry conditions from those who do not. This presumption is load-bearing for the dissertation, because any performance-based entry regime that rations a finite shell must first solve the discrimination problem of separating real entrants from nominal ones. The capacity literature articulates the regime but does not supply the discrimination, an omission this dissertation reads as an invitation rather than an oversight.</w:t>
      </w:r>
    </w:p>
    <w:p>
      <w:pPr>
        <w:pStyle w:val="BodyText"/>
        <w:spacing w:line="480" w:lineRule="auto"/>
        <w:ind w:firstLine="720"/>
      </w:pPr>
      <w:r>
        <w:t xml:space="preserve">Underneath derived capacity sits source-sink modeling of the orbital-debris population. D’Ambrosio and Linares compute the carrying capacity of low Earth orbit using source-sink models that track the flux of objects into and out of each shell as a dynamical system</w:t>
      </w:r>
      <w:r>
        <w:t xml:space="preserve"> </w:t>
      </w:r>
      <w:hyperlink w:anchor="ref-9">
        <w:r>
          <w:rPr>
            <w:rStyle w:val="Hyperlink"/>
          </w:rPr>
          <w:t xml:space="preserve">[9]</w:t>
        </w:r>
      </w:hyperlink>
      <w:r>
        <w:t xml:space="preserve">. The apparatus turns compliance behavior into a capacity number: launch traffic and fragmentation events are sources, atmospheric drag and active removal are sinks, and the steady-state object population is the capacity the shell can sustain without runaway growth. Sturza, Dankberg, and Blount approach the same problem from the constellation-design side, modeling LEO capacity for sustainable design and tying the sustainable population to the collision environment a constellation both inhabits and contributes to</w:t>
      </w:r>
      <w:r>
        <w:t xml:space="preserve"> </w:t>
      </w:r>
      <w:hyperlink w:anchor="ref-20">
        <w:r>
          <w:rPr>
            <w:rStyle w:val="Hyperlink"/>
          </w:rPr>
          <w:t xml:space="preserve">[20]</w:t>
        </w:r>
      </w:hyperlink>
      <w:r>
        <w:t xml:space="preserve">. Together these contributions establish that the field can compute a shell-specific population ceiling and that the ceiling is sensitive to the behavior of the very operators who file for access.</w:t>
      </w:r>
    </w:p>
    <w:p>
      <w:pPr>
        <w:pStyle w:val="BodyText"/>
        <w:spacing w:line="480" w:lineRule="auto"/>
        <w:ind w:firstLine="720"/>
      </w:pPr>
      <w:r>
        <w:t xml:space="preserve">The capacity literature has more recently fused with the space-traffic-management literature, and the fusion sharpens the relevance of the filing question. Colombo and colleagues treat space-capacity management as inseparable from space-traffic management, arguing that the management of finite orbital volume cannot be divorced from the population of systems that actually occupy it</w:t>
      </w:r>
      <w:r>
        <w:t xml:space="preserve"> </w:t>
      </w:r>
      <w:hyperlink w:anchor="ref-7">
        <w:r>
          <w:rPr>
            <w:rStyle w:val="Hyperlink"/>
          </w:rPr>
          <w:t xml:space="preserve">[7]</w:t>
        </w:r>
      </w:hyperlink>
      <w:r>
        <w:t xml:space="preserve">. Sorge and colleagues examine space-traffic management specifically for large constellations, where the timing and density of deployment determine whether a shell remains coordinable</w:t>
      </w:r>
      <w:r>
        <w:t xml:space="preserve"> </w:t>
      </w:r>
      <w:hyperlink w:anchor="ref-22">
        <w:r>
          <w:rPr>
            <w:rStyle w:val="Hyperlink"/>
          </w:rPr>
          <w:t xml:space="preserve">[22]</w:t>
        </w:r>
      </w:hyperlink>
      <w:r>
        <w:t xml:space="preserve">. The common thread is that capacity and traffic management both take the occupying population as their primary input. Neither asks how reliably the announced or filed population predicts the occupying one, and that unasked dependency is precisely what propagates downstream when filing-derived counts enter the models.</w:t>
      </w:r>
    </w:p>
    <w:p>
      <w:pPr>
        <w:pStyle w:val="BodyText"/>
        <w:spacing w:line="480" w:lineRule="auto"/>
        <w:ind w:firstLine="720"/>
      </w:pPr>
      <w:r>
        <w:t xml:space="preserve">A subsidiary but important strand connects capacity to the broader sustainability-and-development discourse. The treatment of space as an enabler of sustainability, security, and development explicitly groups spectrum usage alongside debris and property rights as contested claims on shared space resources</w:t>
      </w:r>
      <w:r>
        <w:t xml:space="preserve"> </w:t>
      </w:r>
      <w:hyperlink w:anchor="ref-5">
        <w:r>
          <w:rPr>
            <w:rStyle w:val="Hyperlink"/>
          </w:rPr>
          <w:t xml:space="preserve">[5]</w:t>
        </w:r>
      </w:hyperlink>
      <w:r>
        <w:t xml:space="preserve">. Cirkovic and Wood push the framing further, integrating planetary-boundary reasoning into a design framework for the coupled Earth-outer-space system and treating orbital resources as one boundary among several that human activity can transgress</w:t>
      </w:r>
      <w:r>
        <w:t xml:space="preserve"> </w:t>
      </w:r>
      <w:hyperlink w:anchor="ref-25">
        <w:r>
          <w:rPr>
            <w:rStyle w:val="Hyperlink"/>
          </w:rPr>
          <w:t xml:space="preserve">[25]</w:t>
        </w:r>
      </w:hyperlink>
      <w:r>
        <w:t xml:space="preserve">. Giannopapa and colleagues situate the new entrants of the present launch era within a sustainable digital-transformation agenda, noting that the proliferation of newcomers intensifies the competition for finite orbital and spectral resources</w:t>
      </w:r>
      <w:r>
        <w:t xml:space="preserve"> </w:t>
      </w:r>
      <w:hyperlink w:anchor="ref-24">
        <w:r>
          <w:rPr>
            <w:rStyle w:val="Hyperlink"/>
          </w:rPr>
          <w:t xml:space="preserve">[24]</w:t>
        </w:r>
      </w:hyperlink>
      <w:r>
        <w:t xml:space="preserve">. These contributions matter to the dissertation because they license the conceptual move at the heart of the warehousing hypothesis: if the orbital shell is a finite commons, then a priority claim on that shell, whether or not it converts to hardware, is a claim on a finite resource with all the strategic incentives that scarce common-pool resources generate.</w:t>
      </w:r>
    </w:p>
    <w:p>
      <w:pPr>
        <w:pStyle w:val="BodyText"/>
        <w:spacing w:line="480" w:lineRule="auto"/>
        <w:ind w:firstLine="720"/>
      </w:pPr>
      <w:r>
        <w:t xml:space="preserve">What the capacity literature establishes, then, is a settled premise. The shells that operators coordinate for are bounded, the bound is derivable, and a governance regime that rations the bound presupposes the ability to tell real claims from nominal ones. What the capacity literature does not do is measure the conversion of claims into occupancy. It asks how many satellites a shell can sustain</w:t>
      </w:r>
      <w:r>
        <w:t xml:space="preserve"> </w:t>
      </w:r>
      <w:hyperlink w:anchor="ref-4">
        <w:r>
          <w:rPr>
            <w:rStyle w:val="Hyperlink"/>
          </w:rPr>
          <w:t xml:space="preserve">[4]</w:t>
        </w:r>
      </w:hyperlink>
      <w:r>
        <w:t xml:space="preserve">[9][20], not how many filed satellites become real ones. The population is an input throughout, never an outcome to be explained.</w:t>
      </w:r>
    </w:p>
    <w:bookmarkEnd w:id="69"/>
    <w:bookmarkStart w:id="70" w:name="X9e477529088dcec6103b936c2ccc72f1f133911"/>
    <w:p>
      <w:pPr>
        <w:pStyle w:val="Heading2"/>
        <w:spacing w:line="480" w:lineRule="auto"/>
      </w:pPr>
      <w:r>
        <w:t xml:space="preserve">2.3 The Domain Literature II: Environment Modeling and the Ingestion of Announced Systems</w:t>
      </w:r>
    </w:p>
    <w:p>
      <w:pPr>
        <w:pStyle w:val="FirstParagraph"/>
        <w:spacing w:line="480" w:lineRule="auto"/>
      </w:pPr>
      <w:r>
        <w:t xml:space="preserve">The second pillar of the domain literature builds the near-term deployment trajectory of the space environment from announced and filed systems, and it does so without auditing the fidelity of that announcement-to-deployment link. The reference-scenario work of Lifson and colleagues is the canonical artifact here. Their development of reference scenarios and supporting inputs for space-environment modeling produces detailed near-term satellite-deployment inputs as a function of announced systems, assembling the projected population from publicly stated constellation plans and filings</w:t>
      </w:r>
      <w:r>
        <w:t xml:space="preserve"> </w:t>
      </w:r>
      <w:hyperlink w:anchor="ref-1">
        <w:r>
          <w:rPr>
            <w:rStyle w:val="Hyperlink"/>
          </w:rPr>
          <w:t xml:space="preserve">[1]</w:t>
        </w:r>
      </w:hyperlink>
      <w:r>
        <w:t xml:space="preserve">[17]. This is the mechanism by which filing-derived optimism enters the modeling pipeline. If announced systems are taken at or near face value as deployment forecasts, then any systematic gap between what is announced and what is realized propagates directly into the reference scenarios that the sustainability-modeling community treats as common inputs.</w:t>
      </w:r>
    </w:p>
    <w:p>
      <w:pPr>
        <w:pStyle w:val="BodyText"/>
        <w:spacing w:line="480" w:lineRule="auto"/>
        <w:ind w:firstLine="720"/>
      </w:pPr>
      <w:r>
        <w:t xml:space="preserve">The significance of this dependency is hard to overstate for the present study. Reference scenarios are not idle exercises; they feed capacity assessments, conjunction-environment projections, and the policy constructs reviewed in Section 2.2. A reference scenario that scales the near-term population to announced systems inherits whatever bias the announcement-to-deployment relationship carries, and it inherits that bias silently, because the reference-scenario methodology does not estimate the conversion rate but assumes it through the choice of which announced systems to include and how to phase their deployment. The dissertation reads this as the cleanest possible statement of the downstream stakes: the models that inform orbital sustainability policy rest on an unmeasured conversion assumption.</w:t>
      </w:r>
    </w:p>
    <w:p>
      <w:pPr>
        <w:pStyle w:val="BodyText"/>
        <w:spacing w:line="480" w:lineRule="auto"/>
        <w:ind w:firstLine="720"/>
      </w:pPr>
      <w:r>
        <w:t xml:space="preserve">The space-domain-awareness literature corroborates that deployment timing and realized counts vary sharply across operators of similar filed scale, which is exactly the variation an audit of conversion would need to explain. Ramos, McKissock, and Parris draw lessons from mega-constellation deployments and their impact on space-domain awareness, documenting the operational reality that some filed constellations deploy rapidly and at scale while others of comparable announced size produce few or no tracked objects</w:t>
      </w:r>
      <w:r>
        <w:t xml:space="preserve"> </w:t>
      </w:r>
      <w:hyperlink w:anchor="ref-11">
        <w:r>
          <w:rPr>
            <w:rStyle w:val="Hyperlink"/>
          </w:rPr>
          <w:t xml:space="preserve">[11]</w:t>
        </w:r>
      </w:hyperlink>
      <w:r>
        <w:t xml:space="preserve">. Johnson, Scott, and Thorsteinson compare the photometric behavior of LEO constellations against the realized SpaceX Starlink population using a space-based optical sensor, a study that is only possible because Starlink converted its filing into a large, observable on-orbit population</w:t>
      </w:r>
      <w:r>
        <w:t xml:space="preserve"> </w:t>
      </w:r>
      <w:hyperlink w:anchor="ref-16">
        <w:r>
          <w:rPr>
            <w:rStyle w:val="Hyperlink"/>
          </w:rPr>
          <w:t xml:space="preserve">[16]</w:t>
        </w:r>
      </w:hyperlink>
      <w:r>
        <w:t xml:space="preserve">. The asymmetry between Starlink, which is observable because it materialized, and the many contemporaneous filers that produced nothing observable is the empirical shadow of the conversion gap. The domain-awareness literature sees the realized population because it can only track what exists, and in doing so it makes the non-materialized filings invisible by construction. The filings that warehouse spectrum without deploying hardware leave no photometric trace, which is precisely why an administrative-record study, rather than a catalog study, is required to measure them.</w:t>
      </w:r>
    </w:p>
    <w:p>
      <w:pPr>
        <w:pStyle w:val="BodyText"/>
        <w:spacing w:line="480" w:lineRule="auto"/>
        <w:ind w:firstLine="720"/>
      </w:pPr>
      <w:r>
        <w:t xml:space="preserve">The constellation-design literature adds a final piece by formalizing the operator’s deployment decision as a staged, demand-contingent process. Anderson, Cardin, and Grogan design and analyze flexible multi-layer staged deployment for satellite mega-constellations under demand uncertainty, treating the decision to build out a filed constellation as an option exercised stage by stage as demand resolves</w:t>
      </w:r>
      <w:r>
        <w:t xml:space="preserve"> </w:t>
      </w:r>
      <w:hyperlink w:anchor="ref-21">
        <w:r>
          <w:rPr>
            <w:rStyle w:val="Hyperlink"/>
          </w:rPr>
          <w:t xml:space="preserve">[21]</w:t>
        </w:r>
      </w:hyperlink>
      <w:r>
        <w:t xml:space="preserve">. This contribution is doubly relevant. Substantively, it confirms that the gap between a filed system size and a realized one is not an anomaly but an expected feature of rational deployment under uncertainty: an operator that files for a large system retains the option to deploy only a fraction of it, and will exercise that option only if demand warrants. Methodologically, it gestures toward the very framing the dissertation adopts, because an option that may or may not be exercised over time is naturally analyzed as a timed, censored event. The staged-deployment literature thus supplies a theoretical micro-foundation for the warehousing pattern without ever measuring its aggregate incidence in the filing record.</w:t>
      </w:r>
    </w:p>
    <w:p>
      <w:pPr>
        <w:pStyle w:val="BodyText"/>
        <w:spacing w:line="480" w:lineRule="auto"/>
        <w:ind w:firstLine="720"/>
      </w:pPr>
      <w:r>
        <w:t xml:space="preserve">Across Section 2.2 and Section 2.3 the domain literature exhibits a consistent structural feature. It takes the population of satellite systems as an input to capacity computation</w:t>
      </w:r>
      <w:r>
        <w:t xml:space="preserve"> </w:t>
      </w:r>
      <w:hyperlink w:anchor="ref-4">
        <w:r>
          <w:rPr>
            <w:rStyle w:val="Hyperlink"/>
          </w:rPr>
          <w:t xml:space="preserve">[4]</w:t>
        </w:r>
      </w:hyperlink>
      <w:r>
        <w:t xml:space="preserve">[9][20], to environment modeling</w:t>
      </w:r>
      <w:r>
        <w:t xml:space="preserve"> </w:t>
      </w:r>
      <w:hyperlink w:anchor="ref-1">
        <w:r>
          <w:rPr>
            <w:rStyle w:val="Hyperlink"/>
          </w:rPr>
          <w:t xml:space="preserve">[1]</w:t>
        </w:r>
      </w:hyperlink>
      <w:r>
        <w:t xml:space="preserve">[17], to traffic management</w:t>
      </w:r>
      <w:r>
        <w:t xml:space="preserve"> </w:t>
      </w:r>
      <w:hyperlink w:anchor="ref-7">
        <w:r>
          <w:rPr>
            <w:rStyle w:val="Hyperlink"/>
          </w:rPr>
          <w:t xml:space="preserve">[7]</w:t>
        </w:r>
      </w:hyperlink>
      <w:r>
        <w:t xml:space="preserve">[22], and to domain awareness</w:t>
      </w:r>
      <w:r>
        <w:t xml:space="preserve"> </w:t>
      </w:r>
      <w:hyperlink w:anchor="ref-11">
        <w:r>
          <w:rPr>
            <w:rStyle w:val="Hyperlink"/>
          </w:rPr>
          <w:t xml:space="preserve">[11]</w:t>
        </w:r>
      </w:hyperlink>
      <w:r>
        <w:t xml:space="preserve">[16], and it theorizes the operator’s deployment decision as an option under uncertainty</w:t>
      </w:r>
      <w:r>
        <w:t xml:space="preserve"> </w:t>
      </w:r>
      <w:hyperlink w:anchor="ref-21">
        <w:r>
          <w:rPr>
            <w:rStyle w:val="Hyperlink"/>
          </w:rPr>
          <w:t xml:space="preserve">[21]</w:t>
        </w:r>
      </w:hyperlink>
      <w:r>
        <w:t xml:space="preserve">, yet at no point does it close the loop by measuring how the upstream administrative act, the filing, converts into the downstream population that every model consumes. The population is everywhere assumed and nowhere explained from the regulatory record.</w:t>
      </w:r>
    </w:p>
    <w:bookmarkEnd w:id="70"/>
    <w:bookmarkStart w:id="71" w:name="X88016d5c1098337f05008e38376576b9e19dabf"/>
    <w:p>
      <w:pPr>
        <w:pStyle w:val="Heading2"/>
        <w:spacing w:line="480" w:lineRule="auto"/>
      </w:pPr>
      <w:r>
        <w:t xml:space="preserve">2.4 The Domain Literature III: The Filing Regime, Strategic Reservation, and the Economics of the Commons</w:t>
      </w:r>
    </w:p>
    <w:p>
      <w:pPr>
        <w:pStyle w:val="FirstParagraph"/>
        <w:spacing w:line="480" w:lineRule="auto"/>
      </w:pPr>
      <w:r>
        <w:t xml:space="preserve">The third strand of the domain literature describes the administrative machinery of NGSO filing and the strategic behavior it elicits, and it is here that the warehousing hypothesis acquires its concrete institutional referent. The ITU coordination process and the FCC market-access process each confer a form of priority on the earlier filer, and the most direct empirical characterization of this regime to date is the applications analysis of Fleming and colleagues. Their analysis of FCC non-geostationary space-station applications from 2000 to 2022 assembles the documented universe of filings and their outcomes, establishing both the scale of the paper population and the heterogeneity of what becomes of it</w:t>
      </w:r>
      <w:r>
        <w:t xml:space="preserve"> </w:t>
      </w:r>
      <w:hyperlink w:anchor="ref-8">
        <w:r>
          <w:rPr>
            <w:rStyle w:val="Hyperlink"/>
          </w:rPr>
          <w:t xml:space="preserve">[8]</w:t>
        </w:r>
      </w:hyperlink>
      <w:r>
        <w:t xml:space="preserve">. This study is foundational for the dissertation as a data resource and as proof of concept that the filing record is tractable, but it is descriptive rather than predictive. It catalogues applications and outcomes; it does not estimate a conversion model, test a warehousing hypothesis, or audit the fidelity of the filing record as a forecast of the realized population.</w:t>
      </w:r>
    </w:p>
    <w:p>
      <w:pPr>
        <w:pStyle w:val="BodyText"/>
        <w:spacing w:line="480" w:lineRule="auto"/>
        <w:ind w:firstLine="720"/>
      </w:pPr>
      <w:r>
        <w:t xml:space="preserve">The legal-and-technical literature on constellations frames the precise tension the dissertation exploits, namely the distinction between paper rights and deployed systems. The treatment of satellite constellations as a problem of international legal and technical aspects examines how coordination priority creates contestable claims that are logically prior to, and separable from, the hardware they describe</w:t>
      </w:r>
      <w:r>
        <w:t xml:space="preserve"> </w:t>
      </w:r>
      <w:hyperlink w:anchor="ref-12">
        <w:r>
          <w:rPr>
            <w:rStyle w:val="Hyperlink"/>
          </w:rPr>
          <w:t xml:space="preserve">[12]</w:t>
        </w:r>
      </w:hyperlink>
      <w:r>
        <w:t xml:space="preserve">. Allison’s account of WRC-19 and the new space-law provisions enabling LEO sustainability documents the regulatory response to exactly the warehousing problem this dissertation measures, namely the introduction of milestone and deployment requirements intended to discourage the holding of spectrum priority without build-out</w:t>
      </w:r>
      <w:r>
        <w:t xml:space="preserve"> </w:t>
      </w:r>
      <w:hyperlink w:anchor="ref-13">
        <w:r>
          <w:rPr>
            <w:rStyle w:val="Hyperlink"/>
          </w:rPr>
          <w:t xml:space="preserve">[13]</w:t>
        </w:r>
      </w:hyperlink>
      <w:r>
        <w:t xml:space="preserve">. The fifty-percent deployment milestone that the FCC imposes on NGSO licensees is a direct institutional acknowledgement that filing and deploying are separable acts and that the gap between them is a policy problem worth legislating against. That the regulator has felt compelled to legislate milestones is itself evidence that the warehousing concern is not a hypothetical, and it supplies the natural materiality threshold the dissertation adopts.</w:t>
      </w:r>
    </w:p>
    <w:p>
      <w:pPr>
        <w:pStyle w:val="BodyText"/>
        <w:spacing w:line="480" w:lineRule="auto"/>
        <w:ind w:firstLine="720"/>
      </w:pPr>
      <w:r>
        <w:t xml:space="preserve">The GEO regime, while not the dissertation’s object, supplies methodologically instructive precedents for treating the filing record as a measurable population. Roberts and Linares survey ITU space-station license applications in the geosynchronous orbital regime, demonstrating that the ITU filing universe can be assembled and analyzed as a dataset</w:t>
      </w:r>
      <w:r>
        <w:t xml:space="preserve"> </w:t>
      </w:r>
      <w:hyperlink w:anchor="ref-14">
        <w:r>
          <w:rPr>
            <w:rStyle w:val="Hyperlink"/>
          </w:rPr>
          <w:t xml:space="preserve">[14]</w:t>
        </w:r>
      </w:hyperlink>
      <w:r>
        <w:t xml:space="preserve">. Karra and Jah develop an independent method for assessing harmful interference and compliance in GEO, advancing the broader project of holding the filing-and-coordination record to an external, verifiable standard rather than taking declared compliance at face value</w:t>
      </w:r>
      <w:r>
        <w:t xml:space="preserve"> </w:t>
      </w:r>
      <w:hyperlink w:anchor="ref-18">
        <w:r>
          <w:rPr>
            <w:rStyle w:val="Hyperlink"/>
          </w:rPr>
          <w:t xml:space="preserve">[18]</w:t>
        </w:r>
      </w:hyperlink>
      <w:r>
        <w:t xml:space="preserve">. The GEO transparency literature matters to this dissertation as a model of stance: it treats the regulatory record as a contested signal to be audited against independent evidence, which is exactly the posture the dissertation adopts toward NGSO filings when it validates them against the on-orbit catalog. The competitive-strategy literature completes the institutional picture. Young and Thadani analyze the LEO broadband competition as a high-stakes contest in which filing posture is itself a strategic move, with operators racing to secure priority across bands and orbits</w:t>
      </w:r>
      <w:r>
        <w:t xml:space="preserve"> </w:t>
      </w:r>
      <w:hyperlink w:anchor="ref-19">
        <w:r>
          <w:rPr>
            <w:rStyle w:val="Hyperlink"/>
          </w:rPr>
          <w:t xml:space="preserve">[19]</w:t>
        </w:r>
      </w:hyperlink>
      <w:r>
        <w:t xml:space="preserve">. This strategic-race framing is the behavioral premise behind the warehousing hypothesis: when priority has option value and filing is cheap relative to building, rational operators will file early, broadly, and defensively, decoupling the volume of paper from the volume of hardware.</w:t>
      </w:r>
    </w:p>
    <w:p>
      <w:pPr>
        <w:pStyle w:val="BodyText"/>
        <w:spacing w:line="480" w:lineRule="auto"/>
        <w:ind w:firstLine="720"/>
      </w:pPr>
      <w:r>
        <w:t xml:space="preserve">The economic theory that gives the warehousing hypothesis its analytical spine comes from the space-economy literature on the orbital commons. Weinzierl’s treatment of space as the final economic frontier turns on the divergence between the incentives an operator faces ex ante, when it stakes a claim, and the incentives it faces ex post, when it must actually build, operate, and remove hardware</w:t>
      </w:r>
      <w:r>
        <w:t xml:space="preserve"> </w:t>
      </w:r>
      <w:hyperlink w:anchor="ref-6">
        <w:r>
          <w:rPr>
            <w:rStyle w:val="Hyperlink"/>
          </w:rPr>
          <w:t xml:space="preserve">[6]</w:t>
        </w:r>
      </w:hyperlink>
      <w:r>
        <w:t xml:space="preserve">[10]. The ex-ante incentive to stake a cheap, option-valued claim is precisely the incentive that warehousing exploits. The broader commons framing groups spectrum usage with debris and property rights as contested claims on shared resources</w:t>
      </w:r>
      <w:r>
        <w:t xml:space="preserve"> </w:t>
      </w:r>
      <w:hyperlink w:anchor="ref-5">
        <w:r>
          <w:rPr>
            <w:rStyle w:val="Hyperlink"/>
          </w:rPr>
          <w:t xml:space="preserve">[5]</w:t>
        </w:r>
      </w:hyperlink>
      <w:r>
        <w:t xml:space="preserve">, so that spectrum warehousing emerges as the spectrum analogue of the well-documented incentive distortions that afflict the physical orbital commons. The dissertation’s contribution to this theoretical conversation is to make the warehousing distortion measurable: where the economic literature describes the incentive structure that predicts warehousing, the dissertation estimates the rate at which warehousing actually occurs in the filing record.</w:t>
      </w:r>
    </w:p>
    <w:p>
      <w:pPr>
        <w:pStyle w:val="BodyText"/>
        <w:spacing w:line="480" w:lineRule="auto"/>
        <w:ind w:firstLine="720"/>
      </w:pPr>
      <w:r>
        <w:t xml:space="preserve">What the filing-regime literature establishes is that the institutional preconditions for warehousing are real, documented, and consequential enough to have provoked a regulatory response, and that the filing record is an assemblable dataset. What it does not do is convert these qualitative and descriptive observations into a calibrated estimate of conversion or a formal test of the warehousing hypothesis against a build-intent null. The literature names the disease and prescribes the milestone-requirement treatment without ever measuring the prevalence.</w:t>
      </w:r>
    </w:p>
    <w:bookmarkEnd w:id="71"/>
    <w:bookmarkStart w:id="72" w:name="Xa075f31cade652699deb76ae24bea779eb2fa9f"/>
    <w:p>
      <w:pPr>
        <w:pStyle w:val="Heading2"/>
        <w:spacing w:line="480" w:lineRule="auto"/>
      </w:pPr>
      <w:r>
        <w:t xml:space="preserve">2.5 The Methodology Literature: Survival Analysis, Discrete-Choice Conversion, and Cliometric Prediction</w:t>
      </w:r>
    </w:p>
    <w:p>
      <w:pPr>
        <w:pStyle w:val="FirstParagraph"/>
        <w:spacing w:line="480" w:lineRule="auto"/>
      </w:pPr>
      <w:r>
        <w:t xml:space="preserve">The second of the two unjoined literatures is methodological, and it furnishes precisely the instruments the domain literature lacks. The dissertation’s empirical strategy rests on three methodological pillars: discrete-time and continuous-time survival analysis for timed events with censoring, discrete-choice modeling for binary conversion outcomes, and the cliometric discipline of holding predictive claims to out-of-sample standards. Each pillar is mature in its own field and each is, on the evidence of the domain literature reviewed above, entirely absent from the study of filing-to-deployment conversion.</w:t>
      </w:r>
    </w:p>
    <w:p>
      <w:pPr>
        <w:pStyle w:val="BodyText"/>
        <w:spacing w:line="480" w:lineRule="auto"/>
        <w:ind w:firstLine="720"/>
      </w:pPr>
      <w:r>
        <w:t xml:space="preserve">Survival analysis, or event-history modeling, is the natural framework for the dissertation’s outcome because materialization is a timed event subject to right-censoring. A filed system either reaches its materiality threshold within an observation horizon or it does not, and systems whose horizon has not closed must be retained in the analysis as censored observations rather than discarded or arbitrarily coded. The methodological requirement is exacting. A naive binary classifier counts a system that deployed in fourteen months and a system that deployed in thirty-nine months as identical successes, and it must make an arbitrary decision about systems whose window is still open. A proportional-hazards model uses the full timing information and handles censoring directly, allowing the dormant subset of filings to inform the estimate without being forced to a fabricated outcome. The companion research papers to this dissertation demonstrate the payoff: a Cox proportional-hazards specification on the assembled NGSO sample recovers a bimodal conversion structure, with deployed systems reaching orbit at a median of six months and censored systems sitting unmoved at a median of eighty-six months, a separation the survival framing makes visible and a binary cut would obscure. The domain literature’s only acknowledgement of this requirement is implicit. Capacity and compliance work reasons about shell occupancy as a time-evolving function of sources and sinks</w:t>
      </w:r>
      <w:r>
        <w:t xml:space="preserve"> </w:t>
      </w:r>
      <w:hyperlink w:anchor="ref-9">
        <w:r>
          <w:rPr>
            <w:rStyle w:val="Hyperlink"/>
          </w:rPr>
          <w:t xml:space="preserve">[9]</w:t>
        </w:r>
      </w:hyperlink>
      <w:r>
        <w:t xml:space="preserve">, and reference-scenario work phases deployment over a near-term horizon</w:t>
      </w:r>
      <w:r>
        <w:t xml:space="preserve"> </w:t>
      </w:r>
      <w:hyperlink w:anchor="ref-1">
        <w:r>
          <w:rPr>
            <w:rStyle w:val="Hyperlink"/>
          </w:rPr>
          <w:t xml:space="preserve">[1]</w:t>
        </w:r>
      </w:hyperlink>
      <w:r>
        <w:t xml:space="preserve">, yet neither imports the formal apparatus of survival analysis to model the timing of materialization itself.</w:t>
      </w:r>
    </w:p>
    <w:p>
      <w:pPr>
        <w:pStyle w:val="BodyText"/>
        <w:spacing w:line="480" w:lineRule="auto"/>
        <w:ind w:firstLine="720"/>
      </w:pPr>
      <w:r>
        <w:t xml:space="preserve">Discrete-choice conversion modeling supplies the complementary specification. A logistic regression of materialization on filing attributes yields coefficients interpretable as log-odds shifts and, through exponentiation, as odds ratios, and it produces the calibrated out-of-sample classifier that constitutes a deployable contribution. The discipline here is to separate calibration from discrimination so that a model can fail honestly on either, and to read coefficients as predictive associations rather than structural causal effects when the design is observational and parsimonious. The companion conversion study illustrates both the method and its candor: it reports an overall conversion rate near one in four, a logit fit with a McFadden pseudo R-squared on the order of 0.28, and the uncomfortable finding that the most intuitive warehousing proxy, log filed system size, carries no significant predictive weight while a concurrent-filings indicator carries weight with the opposite sign to the speculation story. This is exactly the kind of split verdict that a rigorous discrete-choice methodology is built to surface and that a purely descriptive treatment of the filing record could never produce.</w:t>
      </w:r>
    </w:p>
    <w:p>
      <w:pPr>
        <w:pStyle w:val="BodyText"/>
        <w:spacing w:line="480" w:lineRule="auto"/>
        <w:ind w:firstLine="720"/>
      </w:pPr>
      <w:r>
        <w:t xml:space="preserve">The cliometric tradition supplies the overarching epistemic standard. Cliometrics is the application of formal economic and statistical models to historical data, and its central methodological commitment is that a model of the past must earn its conclusions through explicit identification, pre-registered specification choices, and validation that resists the temptation of in-sample overfitting. For the dissertation this commitment translates into concrete practices: pre-registering the materiality threshold and observation horizon to prevent specification search, holding out a temporally later slice of filings for genuine out-of-sample calibration rather than reporting in-sample fit, and reporting conversion by filing cohort to expose regime change. The methodology literature insists that prediction be tested against data the model has not seen, a standard the domain literature has had no occasion to apply because it has never framed the filing record as a predictive object in the first place. The cliometric posture also disciplines the interpretation of the warehousing proxies: because filer track record and filing breadth may correlate with unobserved capability rather than with intent, the proxies are interpreted as predictive signals rather than structural causes, and the hypotheses are stated in predictive form so that they remain falsifiable without resting on a causal identification the data cannot support.</w:t>
      </w:r>
    </w:p>
    <w:p>
      <w:pPr>
        <w:pStyle w:val="BodyText"/>
        <w:spacing w:line="480" w:lineRule="auto"/>
        <w:ind w:firstLine="720"/>
      </w:pPr>
      <w:r>
        <w:t xml:space="preserve">A final methodological consideration concerns the construction of the analytic object itself. Linking a filing record to a deployment record at the system level is a record-linkage problem requiring conservative match rules, a hand-validated adjudication subset to bound linkage error, and sensitivity reporting under alternative match strictness. The methodology of careful crosswalk construction, with provenance traced to named public sources and construction code retained for reproducibility, is itself a contribution that the domain literature does not provide because it has never needed to join the two records. The methodological literature, in short, offers a complete toolkit, survival modeling for the timed and censored outcome, discrete choice for the calibrated classifier, cliometric discipline for honest prediction, and record linkage for the analytic object, and that toolkit has simply never been pointed at the filing-to-deployment question.</w:t>
      </w:r>
    </w:p>
    <w:bookmarkEnd w:id="72"/>
    <w:bookmarkStart w:id="73" w:name="Xb7cf9076c4c7186db98e5040f0ac9d606a1b5db"/>
    <w:p>
      <w:pPr>
        <w:pStyle w:val="Heading2"/>
        <w:spacing w:line="480" w:lineRule="auto"/>
      </w:pPr>
      <w:r>
        <w:t xml:space="preserve">2.6 Synthesis: The Identification Gap at the Intersection</w:t>
      </w:r>
    </w:p>
    <w:p>
      <w:pPr>
        <w:pStyle w:val="FirstParagraph"/>
        <w:spacing w:line="480" w:lineRule="auto"/>
      </w:pPr>
      <w:r>
        <w:t xml:space="preserve">The two literatures reviewed above are individually mature and collectively disjoint, and their disjunction defines the dissertation’s contribution with unusual precision. The domain literature treats the population of satellite systems as an exogenous input at every stage of its reasoning. Capacity work asks how many satellites a shell can sustain and derives the answer from compliance behavior and source-sink dynamics</w:t>
      </w:r>
      <w:r>
        <w:t xml:space="preserve"> </w:t>
      </w:r>
      <w:hyperlink w:anchor="ref-4">
        <w:r>
          <w:rPr>
            <w:rStyle w:val="Hyperlink"/>
          </w:rPr>
          <w:t xml:space="preserve">[4]</w:t>
        </w:r>
      </w:hyperlink>
      <w:r>
        <w:t xml:space="preserve">[9][20]. Environment-modeling work asks what the near-term deployment trajectory looks like and constructs it from announced systems</w:t>
      </w:r>
      <w:r>
        <w:t xml:space="preserve"> </w:t>
      </w:r>
      <w:hyperlink w:anchor="ref-1">
        <w:r>
          <w:rPr>
            <w:rStyle w:val="Hyperlink"/>
          </w:rPr>
          <w:t xml:space="preserve">[1]</w:t>
        </w:r>
      </w:hyperlink>
      <w:r>
        <w:t xml:space="preserve">[17]. Traffic-management and capacity-management work asks how to coordinate finite orbital volume given the occupying population</w:t>
      </w:r>
      <w:r>
        <w:t xml:space="preserve"> </w:t>
      </w:r>
      <w:hyperlink w:anchor="ref-7">
        <w:r>
          <w:rPr>
            <w:rStyle w:val="Hyperlink"/>
          </w:rPr>
          <w:t xml:space="preserve">[7]</w:t>
        </w:r>
      </w:hyperlink>
      <w:r>
        <w:t xml:space="preserve">[22]. Domain-awareness work catalogues the realized population and necessarily renders the non-materialized filings invisible</w:t>
      </w:r>
      <w:r>
        <w:t xml:space="preserve"> </w:t>
      </w:r>
      <w:hyperlink w:anchor="ref-11">
        <w:r>
          <w:rPr>
            <w:rStyle w:val="Hyperlink"/>
          </w:rPr>
          <w:t xml:space="preserve">[11]</w:t>
        </w:r>
      </w:hyperlink>
      <w:r>
        <w:t xml:space="preserve">[16]. Filing-regime and economic work describes the strategic incentives that decouple paper from hardware and documents the regulatory milestones enacted in response</w:t>
      </w:r>
      <w:r>
        <w:t xml:space="preserve"> </w:t>
      </w:r>
      <w:hyperlink w:anchor="ref-6">
        <w:r>
          <w:rPr>
            <w:rStyle w:val="Hyperlink"/>
          </w:rPr>
          <w:t xml:space="preserve">[6]</w:t>
        </w:r>
      </w:hyperlink>
      <w:r>
        <w:t xml:space="preserve">[8][10][12][13][19], and constellation-design work theorizes the deployment decision as a staged option under uncertainty</w:t>
      </w:r>
      <w:r>
        <w:t xml:space="preserve"> </w:t>
      </w:r>
      <w:hyperlink w:anchor="ref-21">
        <w:r>
          <w:rPr>
            <w:rStyle w:val="Hyperlink"/>
          </w:rPr>
          <w:t xml:space="preserve">[21]</w:t>
        </w:r>
      </w:hyperlink>
      <w:r>
        <w:t xml:space="preserve">. In every case the population is taken as given. The upstream administrative act that generates the population, the filing, is never interrogated, and the rate at which filings convert into the deployed objects that every model assumes is never measured.</w:t>
      </w:r>
    </w:p>
    <w:p>
      <w:pPr>
        <w:pStyle w:val="BodyText"/>
        <w:spacing w:line="480" w:lineRule="auto"/>
        <w:ind w:firstLine="720"/>
      </w:pPr>
      <w:r>
        <w:t xml:space="preserve">The methodology literature, for its part, supplies exactly the instruments needed to interrogate that upstream act: survival analysis for the timed and censored conversion outcome, discrete-choice modeling for the calibrated classifier, and cliometric out-of-sample discipline for honest prediction. These instruments are standard, well-validated, and uncontroversial in their home fields. They have simply never been joined to the domain problem, because the domain literature has not framed the filing record as a predictive object and the methodology literature has had no domain occasion to model it.</w:t>
      </w:r>
    </w:p>
    <w:p>
      <w:pPr>
        <w:pStyle w:val="BodyText"/>
        <w:spacing w:line="480" w:lineRule="auto"/>
        <w:ind w:firstLine="720"/>
      </w:pPr>
      <w:r>
        <w:t xml:space="preserve">The gap at the intersection is therefore an identification gap rather than a topical one. It is not that no one has written about NGSO filings, capacity, or deployment; the corpus reviewed here is rich on each. It is that no one has made filing-to-deployment conversion the object of measurement rather than a maintained assumption. The capacity literature asks the sustainable-population question, the environment-modeling literature asks the trajectory question, the economic literature asks the incentive question, and the methodology literature stands ready to answer the conversion question, yet the conversion question itself, whether the filing record is a faithful signal of the deployed population at all, goes unasked. Until that relationship is measured, every downstream estimate that begins from announced or filed systems carries an unquantified and undeclared optimism bias</w:t>
      </w:r>
      <w:r>
        <w:t xml:space="preserve"> </w:t>
      </w:r>
      <w:hyperlink w:anchor="ref-1">
        <w:r>
          <w:rPr>
            <w:rStyle w:val="Hyperlink"/>
          </w:rPr>
          <w:t xml:space="preserve">[1]</w:t>
        </w:r>
      </w:hyperlink>
      <w:r>
        <w:t xml:space="preserve">. The reference scenarios that inform sustainability policy assume conversion through the choice of which systems to include; the entry regimes that ration finite shells presuppose a discrimination between real and nominal entrants that no one has operationalized</w:t>
      </w:r>
      <w:r>
        <w:t xml:space="preserve"> </w:t>
      </w:r>
      <w:hyperlink w:anchor="ref-3">
        <w:r>
          <w:rPr>
            <w:rStyle w:val="Hyperlink"/>
          </w:rPr>
          <w:t xml:space="preserve">[3]</w:t>
        </w:r>
      </w:hyperlink>
      <w:r>
        <w:t xml:space="preserve">; and the milestone requirements enacted to deter warehousing have never been validated against an estimate of how prevalent warehousing actually is</w:t>
      </w:r>
      <w:r>
        <w:t xml:space="preserve"> </w:t>
      </w:r>
      <w:hyperlink w:anchor="ref-13">
        <w:r>
          <w:rPr>
            <w:rStyle w:val="Hyperlink"/>
          </w:rPr>
          <w:t xml:space="preserve">[13]</w:t>
        </w:r>
      </w:hyperlink>
      <w:r>
        <w:t xml:space="preserve">.</w:t>
      </w:r>
    </w:p>
    <w:p>
      <w:pPr>
        <w:pStyle w:val="BodyText"/>
        <w:spacing w:line="480" w:lineRule="auto"/>
        <w:ind w:firstLine="720"/>
      </w:pPr>
      <w:r>
        <w:t xml:space="preserve">This dissertation closes the gap by joining the two literatures at precisely the point where they fail to meet. It takes the domain literature’s bounded-resource premise</w:t>
      </w:r>
      <w:r>
        <w:t xml:space="preserve"> </w:t>
      </w:r>
      <w:hyperlink w:anchor="ref-4">
        <w:r>
          <w:rPr>
            <w:rStyle w:val="Hyperlink"/>
          </w:rPr>
          <w:t xml:space="preserve">[4]</w:t>
        </w:r>
      </w:hyperlink>
      <w:r>
        <w:t xml:space="preserve">, its filing-derived-input dependency</w:t>
      </w:r>
      <w:r>
        <w:t xml:space="preserve"> </w:t>
      </w:r>
      <w:hyperlink w:anchor="ref-1">
        <w:r>
          <w:rPr>
            <w:rStyle w:val="Hyperlink"/>
          </w:rPr>
          <w:t xml:space="preserve">[1]</w:t>
        </w:r>
      </w:hyperlink>
      <w:r>
        <w:t xml:space="preserve">, and its strategic-reservation incentive structure</w:t>
      </w:r>
      <w:r>
        <w:t xml:space="preserve"> </w:t>
      </w:r>
      <w:hyperlink w:anchor="ref-6">
        <w:r>
          <w:rPr>
            <w:rStyle w:val="Hyperlink"/>
          </w:rPr>
          <w:t xml:space="preserve">[6]</w:t>
        </w:r>
      </w:hyperlink>
      <w:r>
        <w:t xml:space="preserve">, and it subjects them to the methodology literature’s survival, discrete-choice, and cliometric apparatus, producing a calibrated, out-of-sample, censoring-aware estimate of NGSO filing-to-deployment conversion together with a formal test of the warehousing hypothesis against the build-intent null. The companion research papers establish the proof of concept and the first-order facts: conversion near one in four in the binary specification, a bimodal six-month-versus-eighty-six-month split in the survival specification, and a candid null on the simplest filed-size warehousing proxy in both. These results are not the dissertation’s final word but its demonstration that the joined question is answerable and that the answer is non-obvious, that warehousing is real in the aggregate magnitude of non-conversion while the intuitive size-based mechanism for detecting it fails at the system level.</w:t>
      </w:r>
    </w:p>
    <w:p>
      <w:pPr>
        <w:pStyle w:val="BodyText"/>
        <w:spacing w:line="480" w:lineRule="auto"/>
        <w:ind w:firstLine="720"/>
      </w:pPr>
      <w:r>
        <w:t xml:space="preserve">The synthesis can be stated as a single proposition that the rest of the dissertation defends. The domain literature has built an elaborate edifice of capacity computation, environment modeling, and entry-regime design on a foundation, the announced-to-deployed conversion relationship, that it has never measured; the methodology literature supplies the means to measure it; and measuring it is both feasible with named public data and consequential for everything the domain literature claims to know about the near-term orbital environment. The chapters that follow operationalize this proposition into a research design, a dataset, and an estimated model that render a verdict on the warehousing hypothesis the field has long entertained but never tested.</w:t>
      </w:r>
    </w:p>
    <w:bookmarkEnd w:id="73"/>
    <w:bookmarkEnd w:id="74"/>
    <w:bookmarkStart w:id="81" w:name="Xcfcc00a3ded59aed0c781c16bfc121f2a509603"/>
    <w:p>
      <w:pPr>
        <w:pStyle w:val="Heading1"/>
        <w:spacing w:line="480" w:lineRule="auto"/>
      </w:pPr>
      <w:r>
        <w:t xml:space="preserve">Chapter 3. Theoretical Framework and Hypotheses</w:t>
      </w:r>
    </w:p>
    <w:bookmarkStart w:id="75" w:name="purpose-and-position-of-the-chapter"/>
    <w:p>
      <w:pPr>
        <w:pStyle w:val="Heading2"/>
        <w:spacing w:line="480" w:lineRule="auto"/>
      </w:pPr>
      <w:r>
        <w:t xml:space="preserve">3.1 Purpose and Position of the Chapter</w:t>
      </w:r>
    </w:p>
    <w:p>
      <w:pPr>
        <w:pStyle w:val="FirstParagraph"/>
        <w:spacing w:line="480" w:lineRule="auto"/>
      </w:pPr>
      <w:r>
        <w:t xml:space="preserve">The two preceding chapters established the empirical setting and the literature it sits within. This chapter does the theoretical work that the empirical chapters presuppose. It specifies the causal mechanism that connects a regulatory act, the lodging of a non-geostationary satellite orbit (NGSO) filing, to a physical outcome, the appearance of spacecraft on orbit, and it derives from that mechanism the two formal hypotheses, H0 and H1, that the dissertation is built to adjudicate. The aim is not to describe the filing landscape again but to explain why an operator’s incentive to file can diverge systematically from its incentive to build, to articulate the conditions under which that divergence produces phantom capacity in the queue, and to translate the resulting argument into falsifiable claims about an observable conversion relationship.</w:t>
      </w:r>
    </w:p>
    <w:p>
      <w:pPr>
        <w:pStyle w:val="BodyText"/>
        <w:spacing w:line="480" w:lineRule="auto"/>
        <w:ind w:firstLine="720"/>
      </w:pPr>
      <w:r>
        <w:t xml:space="preserve">The chapter proceeds in five movements. Section 3.2 sets out the resource-economic foundation: orbital shells and the spectrum that serves them are bounded, governable resources, and a priority claim on a bounded resource carries option value independent of any intention to exercise it. Section 3.3 develops the warehousing mechanism proper, distinguishing the cost of acquiring a queue position from the cost of converting that position into hardware and showing how the asymmetry between the two generates a stock of filings that overstates the deployment trajectory. Section 3.4 specifies the causal logic in a form that exposes its observable implications, identifying the filing-date covariates that proxy intent without being mechanically determined by the outcome. Section 3.5 states H0 and H1 formally, defines the conversion construct on which both turn, and explains the bidirectional falsifiability that disciplines the test. Section 3.6 closes by relating the theoretical claims to the downstream practice they implicate and by previewing the empirical strategy the later chapters execute.</w:t>
      </w:r>
    </w:p>
    <w:bookmarkEnd w:id="75"/>
    <w:bookmarkStart w:id="76" w:name="the-resource-economic-foundation"/>
    <w:p>
      <w:pPr>
        <w:pStyle w:val="Heading2"/>
        <w:spacing w:line="480" w:lineRule="auto"/>
      </w:pPr>
      <w:r>
        <w:t xml:space="preserve">3.2 The Resource-Economic Foundation</w:t>
      </w:r>
    </w:p>
    <w:p>
      <w:pPr>
        <w:pStyle w:val="FirstParagraph"/>
        <w:spacing w:line="480" w:lineRule="auto"/>
      </w:pPr>
      <w:r>
        <w:t xml:space="preserve">One premise grounds the framework, and the contemporary capacity literature now treats it as settled: orbital capacity is not an abstract environmental abstraction but a bounded, derivable, and governable quantity. Stilwell and colleagues formalize this directly, deriving a maximum sustainable capacity per altitude shell as a function of deorbit compliance and collision-avoidance capability, and casting that capacity as fundamentally a safety quantity rather than a matter of physical room</w:t>
      </w:r>
      <w:r>
        <w:t xml:space="preserve"> </w:t>
      </w:r>
      <w:hyperlink w:anchor="ref-3">
        <w:r>
          <w:rPr>
            <w:rStyle w:val="Hyperlink"/>
          </w:rPr>
          <w:t xml:space="preserve">[3]</w:t>
        </w:r>
      </w:hyperlink>
      <w:r>
        <w:t xml:space="preserve">[4]. The source-sink models that underwrite the same policy constructs compute carrying capacity for low Earth orbit as the equilibrium of a population subject to injection and removal flows</w:t>
      </w:r>
      <w:r>
        <w:t xml:space="preserve"> </w:t>
      </w:r>
      <w:hyperlink w:anchor="ref-9">
        <w:r>
          <w:rPr>
            <w:rStyle w:val="Hyperlink"/>
          </w:rPr>
          <w:t xml:space="preserve">[9]</w:t>
        </w:r>
      </w:hyperlink>
      <w:r>
        <w:t xml:space="preserve">. The implication for this dissertation is immediate. If the shells that operators coordinate for are finite, then claims on those shells, whether or not they ever convert to hardware, are claims on a shared and rivalrous commons.</w:t>
      </w:r>
    </w:p>
    <w:p>
      <w:pPr>
        <w:pStyle w:val="BodyText"/>
        <w:spacing w:line="480" w:lineRule="auto"/>
        <w:ind w:firstLine="720"/>
      </w:pPr>
      <w:r>
        <w:t xml:space="preserve">The spectrum that serves those shells is the second bounded resource, and it is governed by an administrative architecture that confers priority on the earlier filer. The capacity-management literature treats the management of finite orbital volume as inseparable from the population of systems that actually occupy it</w:t>
      </w:r>
      <w:r>
        <w:t xml:space="preserve"> </w:t>
      </w:r>
      <w:hyperlink w:anchor="ref-7">
        <w:r>
          <w:rPr>
            <w:rStyle w:val="Hyperlink"/>
          </w:rPr>
          <w:t xml:space="preserve">[7]</w:t>
        </w:r>
      </w:hyperlink>
      <w:r>
        <w:t xml:space="preserve">, and the policy work proposes performance-based entry requirements modeled on aviation airspace classification, with entry conditions tied to congestion and collision risk</w:t>
      </w:r>
      <w:r>
        <w:t xml:space="preserve"> </w:t>
      </w:r>
      <w:hyperlink w:anchor="ref-3">
        <w:r>
          <w:rPr>
            <w:rStyle w:val="Hyperlink"/>
          </w:rPr>
          <w:t xml:space="preserve">[3]</w:t>
        </w:r>
      </w:hyperlink>
      <w:r>
        <w:t xml:space="preserve">. Any such entry regime presupposes a discrimination that the regulator must be able to make: it must distinguish systems that intend to occupy the shell from systems that have only reserved the right to do so. That discrimination is the practical problem the warehousing mechanism creates, and the theoretical task of this chapter is to give it a structure precise enough to test.</w:t>
      </w:r>
    </w:p>
    <w:p>
      <w:pPr>
        <w:pStyle w:val="BodyText"/>
        <w:spacing w:line="480" w:lineRule="auto"/>
        <w:ind w:firstLine="720"/>
      </w:pPr>
      <w:r>
        <w:t xml:space="preserve">The economic logic of speculative reservation under such conditions is not novel to the space-economy literature, and the framework borrows it deliberately. Weinzierl’s treatment of the orbital commons turns on the gap between the incentives an operator faces ex ante, when it stakes a claim and weighs satellite quality, and the incentives it faces ex post, when it must actually build, operate, and remove hardware</w:t>
      </w:r>
      <w:r>
        <w:t xml:space="preserve"> </w:t>
      </w:r>
      <w:hyperlink w:anchor="ref-6">
        <w:r>
          <w:rPr>
            <w:rStyle w:val="Hyperlink"/>
          </w:rPr>
          <w:t xml:space="preserve">[6]</w:t>
        </w:r>
      </w:hyperlink>
      <w:r>
        <w:t xml:space="preserve">[10]. The broader sustainability discussion groups spectrum usage alongside debris and property rights as contested claims on shared space resources, treating all three as instances of the same underlying tension between private appropriation and collective cost</w:t>
      </w:r>
      <w:r>
        <w:t xml:space="preserve"> </w:t>
      </w:r>
      <w:hyperlink w:anchor="ref-5">
        <w:r>
          <w:rPr>
            <w:rStyle w:val="Hyperlink"/>
          </w:rPr>
          <w:t xml:space="preserve">[5]</w:t>
        </w:r>
      </w:hyperlink>
      <w:r>
        <w:t xml:space="preserve">. Spectrum warehousing is, in this framing, the spectrum analogue of the incentive distortions these sources describe for the physical orbital commons. The contribution of the present framework is to take that analogy seriously enough to specify the mechanism and to render it falsifiable against a deployment record.</w:t>
      </w:r>
    </w:p>
    <w:bookmarkEnd w:id="76"/>
    <w:bookmarkStart w:id="77" w:name="the-warehousing-mechanism"/>
    <w:p>
      <w:pPr>
        <w:pStyle w:val="Heading2"/>
        <w:spacing w:line="480" w:lineRule="auto"/>
      </w:pPr>
      <w:r>
        <w:t xml:space="preserve">3.3 The Warehousing Mechanism</w:t>
      </w:r>
    </w:p>
    <w:p>
      <w:pPr>
        <w:pStyle w:val="FirstParagraph"/>
        <w:spacing w:line="480" w:lineRule="auto"/>
      </w:pPr>
      <w:r>
        <w:t xml:space="preserve">The mechanism that the dissertation theorizes has three components: an asymmetry in cost, an option whose value is created by that asymmetry, and a decoupling of paper from hardware that the option, once held, sustains.</w:t>
      </w:r>
    </w:p>
    <w:p>
      <w:pPr>
        <w:pStyle w:val="BodyText"/>
        <w:spacing w:line="480" w:lineRule="auto"/>
        <w:ind w:firstLine="720"/>
      </w:pPr>
      <w:r>
        <w:t xml:space="preserve">Start with the cost asymmetry between acquiring a queue position and converting it. The gap is enormous. Lodging a coordination request with the International Telecommunication Union or a market-access petition with the Federal Communications Commission is administratively cheap relative to integrating, launching, and commissioning a constellation. The act of filing secures a priority position over frequency assignments and orbital shells on a specific date, and that date starts a clock. Because the filing is logically prior to, and orders of magnitude cheaper than, the hardware it purports to describe, an operator can hold a position over scarce spectrum and orbital shells long before any spacecraft exists, and at a cost that does not compel it ever to build. The international legal literature on constellations frames precisely this tension between paper rights and deployed systems, motivating the treatment of the regulatory record as a contested signal rather than a forecast</w:t>
      </w:r>
      <w:r>
        <w:t xml:space="preserve"> </w:t>
      </w:r>
      <w:hyperlink w:anchor="ref-12">
        <w:r>
          <w:rPr>
            <w:rStyle w:val="Hyperlink"/>
          </w:rPr>
          <w:t xml:space="preserve">[12]</w:t>
        </w:r>
      </w:hyperlink>
      <w:r>
        <w:t xml:space="preserve">.</w:t>
      </w:r>
    </w:p>
    <w:p>
      <w:pPr>
        <w:pStyle w:val="BodyText"/>
        <w:spacing w:line="480" w:lineRule="auto"/>
        <w:ind w:firstLine="720"/>
      </w:pPr>
      <w:r>
        <w:t xml:space="preserve">The second component is the option value that the asymmetry creates. A priority claim on a bounded resource has value even when the underlying hardware never appears, because the claim confers the right, but not the obligation, to occupy the shell or use the band in some future state of the world. The option may be exercised if demand materializes, if financing closes, or if a competitor’s plans clarify; it may be held defensively to deny a rival the same priority; and it may be abandoned at low cost if none of these futures arrives. This is the structural incentive to file early, file broadly, and file defensively, and it is the incentive that decouples the volume of paper from the volume of hardware. The decoupling is not a market failure in the conventional sense so much as a rational response to a queue that prices priority far below the cost of the capacity it reserves.</w:t>
      </w:r>
    </w:p>
    <w:p>
      <w:pPr>
        <w:pStyle w:val="BodyText"/>
        <w:spacing w:line="480" w:lineRule="auto"/>
        <w:ind w:firstLine="720"/>
      </w:pPr>
      <w:r>
        <w:t xml:space="preserve">Then comes the consequence: a stock of filings that overstates the deployment trajectory. If a material share of filings are held as options rather than executed as build announcements, then the conversion rate from filing to on-orbit deployment is substantially below one, and the queue contains capacity that never materializes. Call it phantom capacity. Its existence is consequential precisely because downstream practice treats the filing record as a forecast of the sky. Reference-scenario work for space-environment modeling builds its near-term deployment inputs from announced systems</w:t>
      </w:r>
      <w:r>
        <w:t xml:space="preserve"> </w:t>
      </w:r>
      <w:hyperlink w:anchor="ref-1">
        <w:r>
          <w:rPr>
            <w:rStyle w:val="Hyperlink"/>
          </w:rPr>
          <w:t xml:space="preserve">[1]</w:t>
        </w:r>
      </w:hyperlink>
      <w:r>
        <w:t xml:space="preserve">[17], so any systematic gap between announced and realized systems propagates into the models that inform sustainability policy. The mechanism, if it operates, injects an undeclared optimism bias into every estimate that begins from filed or announced systems.</w:t>
      </w:r>
    </w:p>
    <w:p>
      <w:pPr>
        <w:pStyle w:val="BodyText"/>
        <w:spacing w:line="480" w:lineRule="auto"/>
        <w:ind w:firstLine="720"/>
      </w:pPr>
      <w:r>
        <w:t xml:space="preserve">The framework does not assert that all filings, or even most, are warehousing claims. It asserts that the cost asymmetry makes warehousing available as a strategy and that the option value makes it rational for some filers in some circumstances. Whether the share is material, and whether observable attributes separate the warehousers from the builders, is the empirical question the hypotheses pose. The mechanism is a claim about incentives; the hypotheses convert it into a claim about a measurable conversion relationship.</w:t>
      </w:r>
    </w:p>
    <w:bookmarkEnd w:id="77"/>
    <w:bookmarkStart w:id="78" w:name="causal-logic-and-observable-implications"/>
    <w:p>
      <w:pPr>
        <w:pStyle w:val="Heading2"/>
        <w:spacing w:line="480" w:lineRule="auto"/>
      </w:pPr>
      <w:r>
        <w:t xml:space="preserve">3.4 Causal Logic and Observable Implications</w:t>
      </w:r>
    </w:p>
    <w:p>
      <w:pPr>
        <w:pStyle w:val="FirstParagraph"/>
        <w:spacing w:line="480" w:lineRule="auto"/>
      </w:pPr>
      <w:r>
        <w:t xml:space="preserve">To make the mechanism testable, the framework must connect the latent intent that drives warehousing to attributes observable at or near the filing date. The causal logic is explicit. An operator’s private intent, build or reserve, is unobserved. That intent shapes both the characteristics of the filing the operator lodges and the probability that the filing later converts to on-orbit hardware. The empirical strategy cannot observe intent directly, so it proxies intent with filing-date covariates and asks whether those proxies carry predictive weight on the conversion outcome in the direction the warehousing account predicts. The covariates are predictive instruments, not structural causes; the framework reads them as associations consistent or inconsistent with the mechanism rather than as identified treatment effects, which is the appropriate posture for a population in which intent is latent and capability is partly unobserved.</w:t>
      </w:r>
    </w:p>
    <w:p>
      <w:pPr>
        <w:pStyle w:val="BodyText"/>
        <w:spacing w:line="480" w:lineRule="auto"/>
        <w:ind w:firstLine="720"/>
      </w:pPr>
      <w:r>
        <w:t xml:space="preserve">Three families of proxy follow from the mechanism. The first is the scale of the claim, naturally expressed as the filed system size in logs. The warehousing account suggests that larger filings, which are harder to capitalize and easier to lodge defensively, should be more likely to be held as options and therefore less likely to convert. This is the cleanest proxy that intuition and the literature nominate, and the framework flags in advance that its empirical performance is an open question rather than a foregone conclusion: a large filing may equally signal a serious, well-capitalized operator whose scale reflects genuine ambition. The framework therefore treats the sign and magnitude of the scale coefficient as the central thing to be measured, not assumed.</w:t>
      </w:r>
    </w:p>
    <w:p>
      <w:pPr>
        <w:pStyle w:val="BodyText"/>
        <w:spacing w:line="480" w:lineRule="auto"/>
        <w:ind w:firstLine="720"/>
      </w:pPr>
      <w:r>
        <w:t xml:space="preserve">The second family proxies the capacity to convert paper into hardware. A filer with prior on-orbit heritage or demonstrated launch capability holds a real and costly option that it has already shown it can exercise; such a filer faces a lower marginal cost of conversion and, on the capacity-to-convert logic, a higher deployment probability. Incumbency is the natural indicator. The mega-constellation deployment experience that the space-surveillance community has cataloged confirms that deployment timing varies sharply across operators of similar filed scale</w:t>
      </w:r>
      <w:r>
        <w:t xml:space="preserve"> </w:t>
      </w:r>
      <w:hyperlink w:anchor="ref-11">
        <w:r>
          <w:rPr>
            <w:rStyle w:val="Hyperlink"/>
          </w:rPr>
          <w:t xml:space="preserve">[11]</w:t>
        </w:r>
      </w:hyperlink>
      <w:r>
        <w:t xml:space="preserve">, which is exactly the variation an incumbency proxy is meant to capture.</w:t>
      </w:r>
    </w:p>
    <w:p>
      <w:pPr>
        <w:pStyle w:val="BodyText"/>
        <w:spacing w:line="480" w:lineRule="auto"/>
        <w:ind w:firstLine="720"/>
      </w:pPr>
      <w:r>
        <w:t xml:space="preserve">The third family proxies the breadth and posture of the filing. A filer that lodges multiple overlapping or contemporaneous NGSO filings is exercising the option strategy at scale, which a naive warehousing reading interprets as speculation. The framework registers a competing prediction here, because breadth of filing may instead track capability and seriousness, identifying the well-resourced operator that files across bands and orbits because it intends to build across them. Regulatory venue and procedural posture, including the distinction between a direct domestic applicant and a foreign entity seeking market access through a more procedural route, belong to this family as well. The framework deliberately leaves the sign of the breadth and posture proxies contested rather than predetermined, because the mechanism admits both readings and the data must arbitrate.</w:t>
      </w:r>
    </w:p>
    <w:p>
      <w:pPr>
        <w:pStyle w:val="BodyText"/>
        <w:spacing w:line="480" w:lineRule="auto"/>
        <w:ind w:firstLine="720"/>
      </w:pPr>
      <w:r>
        <w:t xml:space="preserve">The causal logic therefore yields a set of signed predictions of varying confidence. The warehousing account predicts conversion substantially below one and predicts that at least some warehousing proxies depress conversion. It is most committed to the aggregate magnitude claim and least committed to any single proxy’s sign, because the same observable attribute can reflect either speculation or capability depending on the filer. This graded structure matters for falsifiability: a finding that conversion is low but that the scale proxy fails to discriminate is not a refutation of the framework but a refinement of it, identifying which observable signals do and do not carry the warehousing information.</w:t>
      </w:r>
    </w:p>
    <w:bookmarkEnd w:id="78"/>
    <w:bookmarkStart w:id="79" w:name="formal-hypotheses"/>
    <w:p>
      <w:pPr>
        <w:pStyle w:val="Heading2"/>
        <w:spacing w:line="480" w:lineRule="auto"/>
      </w:pPr>
      <w:r>
        <w:t xml:space="preserve">3.5 Formal Hypotheses</w:t>
      </w:r>
    </w:p>
    <w:p>
      <w:pPr>
        <w:pStyle w:val="FirstParagraph"/>
        <w:spacing w:line="480" w:lineRule="auto"/>
      </w:pPr>
      <w:r>
        <w:t xml:space="preserve">The hypotheses turn on a single construct, the conversion probability, which the framework defines precisely so that both the null and the alternative are stated against the same object. Let a filed NGSO system be coded as materialized if, within a fixed and pre-registered observation horizon after its priority or authorization date, the number of associated spacecraft confirmed on orbit reaches a pre-registered materiality threshold expressed as a fraction of the filed system size. The conversion probability is the modeled probability of materialization conditional on the filing-date covariates specified in Section 3.4. Materialization is measured as confirmed on-orbit presence in the catalog of record, not as operational commercial service; the framework states this boundary plainly and claims only the former, because the catalog can support the former and cannot support the latter.</w:t>
      </w:r>
    </w:p>
    <w:p>
      <w:pPr>
        <w:pStyle w:val="BodyText"/>
        <w:spacing w:line="480" w:lineRule="auto"/>
        <w:ind w:firstLine="720"/>
      </w:pPr>
      <w:r>
        <w:t xml:space="preserve">Against this construct the two hypotheses are defined as direct complements.</w:t>
      </w:r>
    </w:p>
    <w:p>
      <w:pPr>
        <w:pStyle w:val="BodyText"/>
        <w:spacing w:line="480" w:lineRule="auto"/>
        <w:ind w:firstLine="720"/>
      </w:pPr>
      <w:r>
        <w:rPr>
          <w:b/>
          <w:bCs/>
        </w:rPr>
        <w:t xml:space="preserve">H0 (build-intent null).</w:t>
      </w:r>
      <w:r>
        <w:t xml:space="preserve"> </w:t>
      </w:r>
      <w:r>
        <w:t xml:space="preserve">NGSO filings are, on average, faithful announcements of build-out. Conversion is high and is not systematically depressed for filing or filer attributes associated with speculative reservation. Once baseline covariates are controlled, the warehousing proxies carry no predictive weight: the coefficient on the scale of the claim is not negative, the capacity-to-convert and breadth proxies do not separate materializing from non-materializing systems in the direction the warehousing account predicts, and the queue converts as an announcement of the deployment trajectory the downstream models assume.</w:t>
      </w:r>
    </w:p>
    <w:p>
      <w:pPr>
        <w:pStyle w:val="BodyText"/>
        <w:spacing w:line="480" w:lineRule="auto"/>
        <w:ind w:firstLine="720"/>
      </w:pPr>
      <w:r>
        <w:rPr>
          <w:b/>
          <w:bCs/>
        </w:rPr>
        <w:t xml:space="preserve">H1 (warehousing hypothesis).</w:t>
      </w:r>
      <w:r>
        <w:t xml:space="preserve"> </w:t>
      </w:r>
      <w:r>
        <w:t xml:space="preserve">A material share of NGSO filings function as spectrum-warehousing claims. Conversion is substantially below one, and identifiable warehousing proxies predict non-materialization with a sign and magnitude inconsistent with pure build intent. The hypothesis decomposes into two prongs that the framework keeps distinct because the empirical record may support one without the other. The magnitude prong holds that the unconditional conversion rate is far below one, the phantom-capacity pattern that the build-intent null denies. The mechanism prong holds that filing-date proxies for the gap between paper and capability carry the predicted predictive weight, so that conversion is not merely low in aggregate but is statistically separable using attributes observable when the filing is lodged.</w:t>
      </w:r>
    </w:p>
    <w:p>
      <w:pPr>
        <w:pStyle w:val="BodyText"/>
        <w:spacing w:line="480" w:lineRule="auto"/>
        <w:ind w:firstLine="720"/>
      </w:pPr>
      <w:r>
        <w:t xml:space="preserve">The decomposition is deliberate and consequential. A warehousing account that asserts low aggregate conversion is a weaker and more robust claim than one that asserts a specific proxy mechanism, and the dissertation commits to reporting both prongs honestly rather than collapsing them. It is theoretically coherent, and empirically anticipated, for the magnitude prong to be supported while the mechanism prong is not: the queue may convert at a low rate while the obvious scale proxy fails to do the sorting that intuition assigns it, because the largest filings include both the era’s most spectacular failures and its genuine megaconstellations. In that case the warehousing signal lives in the structure of the data, in the bimodal split between fast-converting systems and dormant ones, rather than in any single continuous covariate. The framework treats this as the most likely shape of the result and builds the hypotheses to detect it.</w:t>
      </w:r>
    </w:p>
    <w:p>
      <w:pPr>
        <w:pStyle w:val="BodyText"/>
        <w:spacing w:line="480" w:lineRule="auto"/>
        <w:ind w:firstLine="720"/>
      </w:pPr>
      <w:r>
        <w:t xml:space="preserve">The test is falsifiable in both directions, which is the property that makes it a test rather than an illustration. If the warehousing proxies are jointly uninformative and conversion is high, H1 is rejected and the filing record is vindicated as a deployment forecast; the queue would then be an accurate ledger of intentions, and the optimism-bias concern would dissolve. If conversion is substantially below one and at least the magnitude prong holds out of sample, H0 is rejected and the warehousing account is supported at least in its robust form. The framework pre-commits to three disciplines that protect this falsifiability: the materiality threshold and observation horizon are fixed in advance to prevent specification search, calibration and discrimination are reported separately so that a predictive model can fail honestly on either dimension, and a temporally later slice of filings is held out so that the verdict rests on out-of-sample performance rather than in-sample fit. Under these disciplines the coefficients render a verdict on H0 versus H1 that the analyst cannot tune toward a preferred conclusion.</w:t>
      </w:r>
    </w:p>
    <w:bookmarkEnd w:id="79"/>
    <w:bookmarkStart w:id="80" w:name="from-mechanism-to-measurement"/>
    <w:p>
      <w:pPr>
        <w:pStyle w:val="Heading2"/>
        <w:spacing w:line="480" w:lineRule="auto"/>
      </w:pPr>
      <w:r>
        <w:t xml:space="preserve">3.6 From Mechanism to Measurement</w:t>
      </w:r>
    </w:p>
    <w:p>
      <w:pPr>
        <w:pStyle w:val="FirstParagraph"/>
        <w:spacing w:line="480" w:lineRule="auto"/>
      </w:pPr>
      <w:r>
        <w:t xml:space="preserve">The framework’s value is realized only insofar as it translates into the empirical specifications the later chapters estimate, and the translation is direct. Because materialization is a timed event with a competing risk of administrative lapse, the natural estimator is a survival model of the waiting time from priority or authorization date to first deployment, with non-materializing systems treated as right-censored rather than discarded. The survival framing handles the dormant tail correctly, allowing systems that have not yet converted to inform the estimate through the risk set without being forced to a fabricated outcome, and it is the estimator best suited to detect the bimodal conversion structure that the mechanism prong of H1 anticipates</w:t>
      </w:r>
      <w:r>
        <w:t xml:space="preserve"> </w:t>
      </w:r>
      <w:hyperlink w:anchor="ref-1">
        <w:r>
          <w:rPr>
            <w:rStyle w:val="Hyperlink"/>
          </w:rPr>
          <w:t xml:space="preserve">[1]</w:t>
        </w:r>
      </w:hyperlink>
      <w:r>
        <w:t xml:space="preserve">. Complementing it, a binary conversion model estimates the probability of reaching the materiality threshold within the horizon and yields the calibrated, out-of-sample classifier that constitutes the dissertation’s single falsifiable contribution. The two specifications adjudicate the same hypotheses from the timing side and the occurrence side respectively, and the application census of the full documented universe of FCC NGSO filings supplies the population against which the sample is checked</w:t>
      </w:r>
      <w:r>
        <w:t xml:space="preserve"> </w:t>
      </w:r>
      <w:hyperlink w:anchor="ref-8">
        <w:r>
          <w:rPr>
            <w:rStyle w:val="Hyperlink"/>
          </w:rPr>
          <w:t xml:space="preserve">[8]</w:t>
        </w:r>
      </w:hyperlink>
      <w:r>
        <w:t xml:space="preserve">.</w:t>
      </w:r>
    </w:p>
    <w:p>
      <w:pPr>
        <w:pStyle w:val="BodyText"/>
        <w:spacing w:line="480" w:lineRule="auto"/>
        <w:ind w:firstLine="720"/>
      </w:pPr>
      <w:r>
        <w:t xml:space="preserve">The stakes of the verdict are the stakes the framework began with. If H0 stands, the regulatory queue is a faithful forecast and the models that ingest it are unbiased. If H1 stands, even in its robust magnitude form, then every near-term deployment scenario that scales to announced systems overstates the realized population</w:t>
      </w:r>
      <w:r>
        <w:t xml:space="preserve"> </w:t>
      </w:r>
      <w:hyperlink w:anchor="ref-1">
        <w:r>
          <w:rPr>
            <w:rStyle w:val="Hyperlink"/>
          </w:rPr>
          <w:t xml:space="preserve">[1]</w:t>
        </w:r>
      </w:hyperlink>
      <w:r>
        <w:t xml:space="preserve">[17], the entry regimes that ration carrying capacity cannot lean on filed satellite count to distinguish real entrants from nominal ones</w:t>
      </w:r>
      <w:r>
        <w:t xml:space="preserve"> </w:t>
      </w:r>
      <w:hyperlink w:anchor="ref-3">
        <w:r>
          <w:rPr>
            <w:rStyle w:val="Hyperlink"/>
          </w:rPr>
          <w:t xml:space="preserve">[3]</w:t>
        </w:r>
      </w:hyperlink>
      <w:r>
        <w:t xml:space="preserve">, and the incentive distortions that the space-economy literature describes for the physical commons have a measured spectrum analogue</w:t>
      </w:r>
      <w:r>
        <w:t xml:space="preserve"> </w:t>
      </w:r>
      <w:hyperlink w:anchor="ref-5">
        <w:r>
          <w:rPr>
            <w:rStyle w:val="Hyperlink"/>
          </w:rPr>
          <w:t xml:space="preserve">[5]</w:t>
        </w:r>
      </w:hyperlink>
      <w:r>
        <w:t xml:space="preserve">[6]. The theoretical framework developed in this chapter is therefore not an ornament on the empirical work but its engine: it specifies what phantom capacity is, why the cost asymmetry between filing and building creates it, how latent intent maps to observable filing-date proxies, and what pattern in the conversion record would confirm or refute the warehousing account. The chapters that follow estimate that pattern and let the verdict stand on both prongs of H1, however the coefficients fall.</w:t>
      </w:r>
    </w:p>
    <w:bookmarkEnd w:id="80"/>
    <w:bookmarkEnd w:id="81"/>
    <w:bookmarkStart w:id="97" w:name="chapter-4.-data-and-measurement"/>
    <w:p>
      <w:pPr>
        <w:pStyle w:val="Heading1"/>
        <w:spacing w:line="480" w:lineRule="auto"/>
      </w:pPr>
      <w:r>
        <w:t xml:space="preserve">Chapter 4. Data and Measurement</w:t>
      </w:r>
    </w:p>
    <w:bookmarkStart w:id="82"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material on which the dissertation rests. The central question, whether ITU and FCC non-geostationary satellite orbit (NGSO) filings predict actual on-orbit deployment, is answered in two complementary studies: a logistic model of filing-to-deployment conversion and a Cox proportional-hazards model of time from authorization to first deployment. Each study draws on its own hand-compiled dataset, and each dataset is constructed exclusively from named, public, primary records. The aim here is to set out precisely what those records are, where they originate, what the unit of analysis is, how every analytic variable is built from primary material, and where the boundaries of measurement lie. No quantity reported in this chapter is invented; every count, date, and outcome is traced to the regulatory or catalog source that produced it. Where an individual cell value could not be obtained from a public figure, that cell is marked illustrative in the source column of the underlying workbook, and the share of such cells is held below fifteen percent in both datasets. Outcomes and citations are never illustrative.</w:t>
      </w:r>
    </w:p>
    <w:p>
      <w:pPr>
        <w:pStyle w:val="BodyText"/>
        <w:spacing w:line="480" w:lineRule="auto"/>
        <w:ind w:firstLine="720"/>
      </w:pPr>
      <w:r>
        <w:t xml:space="preserve">The chapter proceeds from the conceptual frame to the concrete. Section 4.2 fixes the unit of analysis common to both studies. Section 4.3 names and characterizes the authoritative source systems. Sections 4.4 and 4.5 describe, study by study, the two datasets, their sampling frames, and the construction of every variable from primary records. Section 4.6 sets out the linkage and crosswalk procedure that joins the filing record to the deployment record. Section 4.7 states the measurement boundaries that govern interpretation. Throughout, the constructions are reported at a level of detail sufficient for an independent analyst to reproduce them from the cited public systems.</w:t>
      </w:r>
    </w:p>
    <w:bookmarkEnd w:id="82"/>
    <w:bookmarkStart w:id="83" w:name="the-unit-of-analysis"/>
    <w:p>
      <w:pPr>
        <w:pStyle w:val="Heading2"/>
        <w:spacing w:line="480" w:lineRule="auto"/>
      </w:pPr>
      <w:r>
        <w:t xml:space="preserve">4.2 The Unit of Analysis</w:t>
      </w:r>
    </w:p>
    <w:p>
      <w:pPr>
        <w:pStyle w:val="FirstParagraph"/>
        <w:spacing w:line="480" w:lineRule="auto"/>
      </w:pPr>
      <w:r>
        <w:t xml:space="preserve">Both studies share one unit of analysis: the filed or authorized NGSO system, not the individual spacecraft and not the operator. A system is the object that a regulator processes as a single coordination request or market-access petition: a proposed constellation defined by a sponsoring administration or applicant, a filed satellite count, a set of frequency assignments, and one or more orbital shells. This choice of unit follows directly from the research question. The warehousing hypothesis concerns the relationship between the administrative act of filing and the physical act of deploying, and the administrative act is performed at the level of the system. An operator may sponsor several systems; a system may, over its life, shed or gain satellites relative to its filed count; but it is the filed system that holds a priority position over spectrum and orbital shells, and it is the filed system that either materializes on orbit or does not.</w:t>
      </w:r>
    </w:p>
    <w:p>
      <w:pPr>
        <w:pStyle w:val="BodyText"/>
        <w:spacing w:line="480" w:lineRule="auto"/>
        <w:ind w:firstLine="720"/>
      </w:pPr>
      <w:r>
        <w:t xml:space="preserve">Fixing the unit at the system has three consequences that shape the rest of the data design. First, it makes the outcome a property of the system as a whole, namely whether the system reached a materiality threshold of deployed spacecraft, rather than a property of any one satellite. Second, it requires that every predictor be measurable at the system level and, for identification, observable at or near the system’s priority or authorization date so that the predictor cannot be contaminated by the outcome it is meant to forecast. Third, it makes the sample a census of documented systems rather than a sample of objects, which is why both datasets are modest in row count and demand that each row be individually traceable to public sources. The two studies share this unit but differ in the dimension of the outcome they measure on it: the conversion study measures occurrence, whether the system crossed the threshold, while the hazard study measures timing, how long the system took to reach its first spacecraft on orbit, treating systems that have not deployed as right-censored rather than as failures.</w:t>
      </w:r>
    </w:p>
    <w:bookmarkEnd w:id="83"/>
    <w:bookmarkStart w:id="84" w:name="authoritative-source-systems"/>
    <w:p>
      <w:pPr>
        <w:pStyle w:val="Heading2"/>
        <w:spacing w:line="480" w:lineRule="auto"/>
      </w:pPr>
      <w:r>
        <w:t xml:space="preserve">4.3 Authoritative Source Systems</w:t>
      </w:r>
    </w:p>
    <w:p>
      <w:pPr>
        <w:pStyle w:val="FirstParagraph"/>
        <w:spacing w:line="480" w:lineRule="auto"/>
      </w:pPr>
      <w:r>
        <w:t xml:space="preserve">Three families of public record supply every variable in the dissertation. They are named here because the credibility of the conversion estimate depends entirely on the provenance of the inputs.</w:t>
      </w:r>
    </w:p>
    <w:p>
      <w:pPr>
        <w:pStyle w:val="BodyText"/>
        <w:spacing w:line="480" w:lineRule="auto"/>
        <w:ind w:firstLine="720"/>
      </w:pPr>
      <w:r>
        <w:t xml:space="preserve">The first family is the regulatory filing record. On the international side, the ITU Space Network Systems online database publishes NGSO coordination and notification filings together with priority dates, filing administrations, and frequency and orbital parameters. On the United States side, the FCC International Bureau Filing System (IBFS) and the Commission’s own decision record publish NGSO market-access petitions and authorizations, including the grant dates and filed system descriptions that anchor the deployment clock in the hazard study. These regulatory systems are the source of record for the existence of a filing, its priority or authorization date, and the filed system size as the applicant declared it.</w:t>
      </w:r>
    </w:p>
    <w:p>
      <w:pPr>
        <w:pStyle w:val="BodyText"/>
        <w:spacing w:line="480" w:lineRule="auto"/>
        <w:ind w:firstLine="720"/>
      </w:pPr>
      <w:r>
        <w:t xml:space="preserve">The second family is the deployment-outcome record. The catalog of record for confirmed on-orbit presence is the United States Space Force public catalog of resident space objects distributed through Space-Track.org, comprising the General Catalog and the associated SATCAT, which provide per-object identifiers, international designators, launch dates, and orbital status for tracked objects. This is the same class of catalog-of-record that environment-modeling reference scenarios rely on for their near-term deployment inputs</w:t>
      </w:r>
      <w:r>
        <w:t xml:space="preserve"> </w:t>
      </w:r>
      <w:hyperlink w:anchor="ref-1">
        <w:r>
          <w:rPr>
            <w:rStyle w:val="Hyperlink"/>
          </w:rPr>
          <w:t xml:space="preserve">[1]</w:t>
        </w:r>
      </w:hyperlink>
      <w:r>
        <w:t xml:space="preserve">, which makes it the appropriate ground truth against which to measure filings. The deployment record is supplemented, for first-launch dating and constellation-level counts, by public launch compilations and mission references: the NewSpace Index for launch histories and the eoPortal mission directory for system-level references such as the Project Kuiper entry. These supplements are used to date the first on-orbit spacecraft and to compile deployed counts where the catalog must be aggregated to the system level; the catalog itself remains the authority for confirmed presence.</w:t>
      </w:r>
    </w:p>
    <w:p>
      <w:pPr>
        <w:pStyle w:val="BodyText"/>
        <w:spacing w:line="480" w:lineRule="auto"/>
        <w:ind w:firstLine="720"/>
      </w:pPr>
      <w:r>
        <w:t xml:space="preserve">The third family is the documented application census that defines the universe against which the samples are checked. Fleming and colleagues compile and analyze FCC non-geostationary space-station applications across 2000 to 2022, providing the documented universe of FCC NGSO filings and their outcomes</w:t>
      </w:r>
      <w:r>
        <w:t xml:space="preserve"> </w:t>
      </w:r>
      <w:hyperlink w:anchor="ref-8">
        <w:r>
          <w:rPr>
            <w:rStyle w:val="Hyperlink"/>
          </w:rPr>
          <w:t xml:space="preserve">[8]</w:t>
        </w:r>
      </w:hyperlink>
      <w:r>
        <w:t xml:space="preserve">. This census is not the source of the per-system measurements; rather it is the external frame against which the hand-compiled samples are validated for coverage and against which the represented outcomes are cross-checked. Both papers state explicitly that the application census of Fleming and colleagues provides the documented universe of FCC NGSO filings and their outcomes and identify the full census as the natural sampling frame for a larger replication</w:t>
      </w:r>
      <w:r>
        <w:t xml:space="preserve"> </w:t>
      </w:r>
      <w:hyperlink w:anchor="ref-8">
        <w:r>
          <w:rPr>
            <w:rStyle w:val="Hyperlink"/>
          </w:rPr>
          <w:t xml:space="preserve">[8]</w:t>
        </w:r>
      </w:hyperlink>
      <w:r>
        <w:t xml:space="preserve">.</w:t>
      </w:r>
    </w:p>
    <w:p>
      <w:pPr>
        <w:pStyle w:val="BodyText"/>
        <w:spacing w:line="480" w:lineRule="auto"/>
        <w:ind w:firstLine="720"/>
      </w:pPr>
      <w:r>
        <w:t xml:space="preserve">Two properties of these source families matter for auditability. Each is public and queryable, requiring at most a registered account in the case of Space-Track, so no proprietary or access-restricted data enters the pipeline. And each variable’s provenance is traced, row by row, to one of these named systems, with the construction code and crosswalk retained so that the materiality threshold, the horizon, and the match rules are independently reproducible.</w:t>
      </w:r>
    </w:p>
    <w:bookmarkEnd w:id="84"/>
    <w:bookmarkStart w:id="89" w:name="dataset-one-the-conversion-census"/>
    <w:p>
      <w:pPr>
        <w:pStyle w:val="Heading2"/>
        <w:spacing w:line="480" w:lineRule="auto"/>
      </w:pPr>
      <w:r>
        <w:t xml:space="preserve">4.4 Dataset One: The Conversion Census</w:t>
      </w:r>
    </w:p>
    <w:bookmarkStart w:id="85" w:name="sampling-frame-and-coverage"/>
    <w:p>
      <w:pPr>
        <w:pStyle w:val="Heading3"/>
        <w:spacing w:line="480" w:lineRule="auto"/>
      </w:pPr>
      <w:r>
        <w:t xml:space="preserve">4.4.1 Sampling Frame and Coverage</w:t>
      </w:r>
    </w:p>
    <w:p>
      <w:pPr>
        <w:pStyle w:val="FirstParagraph"/>
        <w:spacing w:line="480" w:lineRule="auto"/>
      </w:pPr>
      <w:r>
        <w:t xml:space="preserve">The first study is built on a census of twenty-four documented NGSO systems for which both the filed system size and the on-orbit outcome are traceable to named public sources. The frame is deliberately historical and spans two regulatory eras. It opens with the ambitious mobile and</w:t>
      </w:r>
      <w:r>
        <w:t xml:space="preserve"> </w:t>
      </w:r>
      <w:r>
        <w:t xml:space="preserve">“internet in the sky”</w:t>
      </w:r>
      <w:r>
        <w:t xml:space="preserve"> </w:t>
      </w:r>
      <w:r>
        <w:t xml:space="preserve">filings of the 1990s, including Teledesic, Iridium, and Globalstar, and extends through the 2016 to 2021 FCC processing rounds, including Starlink, Kuiper, OneWeb, Telesat Lightspeed, and the contemporaneous filers Boeing, LeoSat, Theia, and Audacy that surrendered or abandoned their authorizations. The census is not a random sample but the set of systems for which filed size and outcome are both publicly documented, which is the relevant population for measuring the conversion relationship and which mirrors the variation the historical record actually supplies. Pooling the two eras buys descriptive coverage at the cost of assuming the conversion relationship is reasonably stable across regimes, a trade the study states plainly and revisits in its limitations.</w:t>
      </w:r>
    </w:p>
    <w:bookmarkEnd w:id="85"/>
    <w:bookmarkStart w:id="86" w:name="the-outcome-variable-materialization"/>
    <w:p>
      <w:pPr>
        <w:pStyle w:val="Heading3"/>
        <w:spacing w:line="480" w:lineRule="auto"/>
      </w:pPr>
      <w:r>
        <w:t xml:space="preserve">4.4.2 The Outcome Variable: Materialization</w:t>
      </w:r>
    </w:p>
    <w:p>
      <w:pPr>
        <w:pStyle w:val="FirstParagraph"/>
        <w:spacing w:line="480" w:lineRule="auto"/>
      </w:pPr>
      <w:r>
        <w:t xml:space="preserve">The outcome is a binary indicator, materialization, coded one when the number of confirmed on-orbit spacecraft associated with a filed system reaches at least half of its filed satellite count within the observation horizon, and zero otherwise. The fifty-percent threshold is not arbitrary. It mirrors the milestone the FCC itself imposes on NGSO licensees, under which a licensee must deploy half of its authorized satellites within a defined period to retain the full authorization. Anchoring the materiality threshold to the regulator’s own milestone gives the construct an external, policy-grounded definition rather than a researcher-chosen cut. The filed count in the denominator comes from the regulatory authorization; the deployed count in the numerator comes from the catalog and launch records described in Section 4.3, aggregated to the system level. Of the twenty-four systems, six materialized and eighteen did not, an overall conversion rate of 0.25. The materialization outcome is documented for every row and is never marked illustrative.</w:t>
      </w:r>
    </w:p>
    <w:bookmarkEnd w:id="86"/>
    <w:bookmarkStart w:id="87" w:name="the-predictors"/>
    <w:p>
      <w:pPr>
        <w:pStyle w:val="Heading3"/>
        <w:spacing w:line="480" w:lineRule="auto"/>
      </w:pPr>
      <w:r>
        <w:t xml:space="preserve">4.4.3 The Predictors</w:t>
      </w:r>
    </w:p>
    <w:p>
      <w:pPr>
        <w:pStyle w:val="FirstParagraph"/>
        <w:spacing w:line="480" w:lineRule="auto"/>
      </w:pPr>
      <w:r>
        <w:t xml:space="preserve">Four predictors are constructed from attributes observable at or near the filing date, so that each is logically prior to the outcome it is used to forecast.</w:t>
      </w:r>
    </w:p>
    <w:p>
      <w:pPr>
        <w:pStyle w:val="BodyText"/>
        <w:spacing w:line="480" w:lineRule="auto"/>
        <w:ind w:firstLine="720"/>
      </w:pPr>
      <w:r>
        <w:t xml:space="preserve">The first is the base-ten logarithm of filed system size. Filed system size is the satellite count the applicant declared to the regulator, drawn from FCC authorizations and constellation records: Starlink at 4,425 satellites in its first 2018 license, Kuiper at 3,236, OneWeb at 720, Telesat Lightspeed at 117, and the 1990s systems at their proposed sizes, from Teledesic’s 840 down to Audacy’s three. The logarithmic transform compresses a range that spans from two to several thousand satellites onto a scale on which a unit change is a multiplicative change in claim size, which is the natural scale for a warehousing proxy. The mean filed size of materialized systems (883) exceeds that of non-materialized systems (304), a descriptive fact recorded directly from the filed counts.</w:t>
      </w:r>
    </w:p>
    <w:p>
      <w:pPr>
        <w:pStyle w:val="BodyText"/>
        <w:spacing w:line="480" w:lineRule="auto"/>
        <w:ind w:firstLine="720"/>
      </w:pPr>
      <w:r>
        <w:t xml:space="preserve">The second predictor is a prior-track-record indicator, coded one for filers that already operated an on-orbit system at the priority date and zero otherwise. This is built from operator deployment history as documented in the catalog and constellation records, evaluated as of the filing date so that it reflects heritage available before the outcome.</w:t>
      </w:r>
    </w:p>
    <w:p>
      <w:pPr>
        <w:pStyle w:val="BodyText"/>
        <w:spacing w:line="480" w:lineRule="auto"/>
        <w:ind w:firstLine="720"/>
      </w:pPr>
      <w:r>
        <w:t xml:space="preserve">The third predictor is a concurrent-filings indicator, coded one for filers that lodged multiple overlapping NGSO filings around the priority date. It is constructed by counting, per filer, the documented contemporaneous NGSO filings recorded in the regulatory systems and flagging filers with more than one. The intent is to capture filing breadth as a candidate warehousing signal; the study reports that in this sample the indicator instead tracks capability.</w:t>
      </w:r>
    </w:p>
    <w:p>
      <w:pPr>
        <w:pStyle w:val="BodyText"/>
        <w:spacing w:line="480" w:lineRule="auto"/>
        <w:ind w:firstLine="720"/>
      </w:pPr>
      <w:r>
        <w:t xml:space="preserve">The fourth predictor is a broadband indicator, coded one for broadband fixed-satellite-service constellations and zero for narrowband mobile and other services, classified from the service description in the filing. It separates the</w:t>
      </w:r>
      <w:r>
        <w:t xml:space="preserve"> </w:t>
      </w:r>
      <w:r>
        <w:t xml:space="preserve">“internet in the sky”</w:t>
      </w:r>
      <w:r>
        <w:t xml:space="preserve"> </w:t>
      </w:r>
      <w:r>
        <w:t xml:space="preserve">systems, which contain both the era’s most spectacular failures and its most spectacular successes, from the narrowband mobile systems.</w:t>
      </w:r>
    </w:p>
    <w:bookmarkEnd w:id="87"/>
    <w:bookmarkStart w:id="88" w:name="provenance-discipline"/>
    <w:p>
      <w:pPr>
        <w:pStyle w:val="Heading3"/>
        <w:spacing w:line="480" w:lineRule="auto"/>
      </w:pPr>
      <w:r>
        <w:t xml:space="preserve">4.4.4 Provenance Discipline</w:t>
      </w:r>
    </w:p>
    <w:p>
      <w:pPr>
        <w:pStyle w:val="FirstParagraph"/>
        <w:spacing w:line="480" w:lineRule="auto"/>
      </w:pPr>
      <w:r>
        <w:t xml:space="preserve">Each row of the conversion census names its source in a dedicated column. Six cells of deployed or filed counts, under fifteen percent of the data, are marked illustrative where an exact public figure was not obtainable. The integrity rule is explicit and consequential for interpretation: no materialization outcome and no citation is illustrative. The illustrative flag therefore touches only a minority of continuous count cells and never the binary outcome that the model predicts, so the headline conversion fact rests on fully documented values.</w:t>
      </w:r>
    </w:p>
    <w:bookmarkEnd w:id="88"/>
    <w:bookmarkEnd w:id="89"/>
    <w:bookmarkStart w:id="94" w:name="dataset-two-the-hazard-sample"/>
    <w:p>
      <w:pPr>
        <w:pStyle w:val="Heading2"/>
        <w:spacing w:line="480" w:lineRule="auto"/>
      </w:pPr>
      <w:r>
        <w:t xml:space="preserve">4.5 Dataset Two: The Hazard Sample</w:t>
      </w:r>
    </w:p>
    <w:bookmarkStart w:id="90" w:name="sampling-frame-and-coverage-1"/>
    <w:p>
      <w:pPr>
        <w:pStyle w:val="Heading3"/>
        <w:spacing w:line="480" w:lineRule="auto"/>
      </w:pPr>
      <w:r>
        <w:t xml:space="preserve">4.5.1 Sampling Frame and Coverage</w:t>
      </w:r>
    </w:p>
    <w:p>
      <w:pPr>
        <w:pStyle w:val="FirstParagraph"/>
        <w:spacing w:line="480" w:lineRule="auto"/>
      </w:pPr>
      <w:r>
        <w:t xml:space="preserve">The second study assembles twenty-six NGSO systems with FCC market-access grants or authorizations between 2013 and 2023, each linked to a deployment outcome. The frame is narrower in regulatory venue than the conversion census, concentrating on the FCC authorization record because that record supplies a clean, dated origin for the deployment clock. The systems include the 2018 SpaceX authorization (FCC-18-38), the 2017 OneWeb market-access grant, the 2018 same-meeting grants to Telesat, LeoSat, and Kepler, the 2019 Theia authorization, and the 2020 Kuiper authorization (FCC-20-102), among others. The non-deploying tail comprises Boeing, which the Commission record notes will not operate, LeoSat, which wound down in 2019, Theia, which dissolved in litigation in 2026, and Karousel, Audacy, Viasat’s NGSO filing, Space Norway’s filed FSS system, Rivada, and mu Space. As with the conversion census, the documented application census of Fleming and colleagues provides the universe against which this sample’s coverage and outcomes are checked</w:t>
      </w:r>
      <w:r>
        <w:t xml:space="preserve"> </w:t>
      </w:r>
      <w:hyperlink w:anchor="ref-8">
        <w:r>
          <w:rPr>
            <w:rStyle w:val="Hyperlink"/>
          </w:rPr>
          <w:t xml:space="preserve">[8]</w:t>
        </w:r>
      </w:hyperlink>
      <w:r>
        <w:t xml:space="preserve">.</w:t>
      </w:r>
    </w:p>
    <w:bookmarkEnd w:id="90"/>
    <w:bookmarkStart w:id="91" w:name="X2be8a7cd20fea866b9d40ef972234c569e994cb"/>
    <w:p>
      <w:pPr>
        <w:pStyle w:val="Heading3"/>
        <w:spacing w:line="480" w:lineRule="auto"/>
      </w:pPr>
      <w:r>
        <w:t xml:space="preserve">4.5.2 The Deployment Clock and the Duration Variable</w:t>
      </w:r>
    </w:p>
    <w:p>
      <w:pPr>
        <w:pStyle w:val="FirstParagraph"/>
        <w:spacing w:line="480" w:lineRule="auto"/>
      </w:pPr>
      <w:r>
        <w:t xml:space="preserve">The outcome in the hazard study is a waiting time paired with an event indicator, which is the structure a survival model requires. The deployment clock starts at the FCC grant or authorization date, taken directly from the Commission’s own decision record. The event of interest is first deployment, defined as the date of the system’s first confirmed on-orbit spacecraft. First-deployment dates come from public launch records compiled by the NewSpace Index and from mission references such as the eoPortal Project Kuiper entry. The duration variable is the interval, in months, from the authorization date to the first-deployment date for systems that deployed.</w:t>
      </w:r>
    </w:p>
    <w:p>
      <w:pPr>
        <w:pStyle w:val="BodyText"/>
        <w:spacing w:line="480" w:lineRule="auto"/>
        <w:ind w:firstLine="720"/>
      </w:pPr>
      <w:r>
        <w:t xml:space="preserve">Systems with no spacecraft on orbit as of the June 2026 observation cutoff are right-censored at that cutoff rather than discarded or coded as failures. This is the property of the survival design that lets the warehousing subset inform the estimate without being forced to a fabricated outcome: a censored system contributes to the risk set up to the cutoff and is never counted as a deployment. Of the twenty-six systems, seventeen deployed and nine are censored. The descriptive separation that this construction reveals is the strongest result in the study and does not depend on the model: systems that deployed reached their first on-orbit spacecraft at a median of six months from grant, while systems that have not deployed have sat a median of eighty-six months without a single spacecraft, against an overall deployment rate of 0.654.</w:t>
      </w:r>
    </w:p>
    <w:bookmarkEnd w:id="91"/>
    <w:bookmarkStart w:id="92" w:name="the-covariates"/>
    <w:p>
      <w:pPr>
        <w:pStyle w:val="Heading3"/>
        <w:spacing w:line="480" w:lineRule="auto"/>
      </w:pPr>
      <w:r>
        <w:t xml:space="preserve">4.5.3 The Covariates</w:t>
      </w:r>
    </w:p>
    <w:p>
      <w:pPr>
        <w:pStyle w:val="FirstParagraph"/>
        <w:spacing w:line="480" w:lineRule="auto"/>
      </w:pPr>
      <w:r>
        <w:t xml:space="preserve">Three covariates, all observable at the filing date, enter the hazard model. The first is filed system size in logs, constructed as in the conversion census from the applicant’s declared satellite count, representing the scale of the claim. The warehousing account predicts that larger filings, which are harder to capitalize and easier to lodge defensively, deploy more slowly, so the prediction is a hazard ratio below one on this covariate.</w:t>
      </w:r>
    </w:p>
    <w:p>
      <w:pPr>
        <w:pStyle w:val="BodyText"/>
        <w:spacing w:line="480" w:lineRule="auto"/>
        <w:ind w:firstLine="720"/>
      </w:pPr>
      <w:r>
        <w:t xml:space="preserve">The second covariate is incumbency, an indicator for filers with prior on-orbit heritage or launch capability at the filing date, coded from operator history. It proxies the capacity to convert paper into hardware, and the warehousing account predicts it raises the deployment hazard.</w:t>
      </w:r>
    </w:p>
    <w:p>
      <w:pPr>
        <w:pStyle w:val="BodyText"/>
        <w:spacing w:line="480" w:lineRule="auto"/>
        <w:ind w:firstLine="720"/>
      </w:pPr>
      <w:r>
        <w:t xml:space="preserve">The third covariate is filer domicile, separating direct United States applicants from foreign entities seeking market access through a more procedural posture. It is coded from the applicant’s identity in the FCC record. The covariate distinguishes the regulatory posture of the filing, which the study treats as a candidate signal of how directly the filer intends to build.</w:t>
      </w:r>
    </w:p>
    <w:bookmarkEnd w:id="92"/>
    <w:bookmarkStart w:id="93" w:name="provenance-discipline-1"/>
    <w:p>
      <w:pPr>
        <w:pStyle w:val="Heading3"/>
        <w:spacing w:line="480" w:lineRule="auto"/>
      </w:pPr>
      <w:r>
        <w:t xml:space="preserve">4.5.4 Provenance Discipline</w:t>
      </w:r>
    </w:p>
    <w:p>
      <w:pPr>
        <w:pStyle w:val="FirstParagraph"/>
        <w:spacing w:line="480" w:lineRule="auto"/>
      </w:pPr>
      <w:r>
        <w:t xml:space="preserve">Every row of the hazard sample carries the authorization date, the filed system size, the two filer attributes, the waiting time, and the deployment event, and names its source in a final column. One duration value is marked illustrative in the source column; the remaining values are documented, keeping the illustrative share below fifteen percent. The construction table in the embedded workbook traces each variable to its source, and the attached spreadsheet reproduces every figure reported on the page, so that the median split, the event count, and the covariate values are all independently checkable against the regulatory and launch records.</w:t>
      </w:r>
    </w:p>
    <w:bookmarkEnd w:id="93"/>
    <w:bookmarkEnd w:id="94"/>
    <w:bookmarkStart w:id="95" w:name="linkage-and-crosswalk"/>
    <w:p>
      <w:pPr>
        <w:pStyle w:val="Heading2"/>
        <w:spacing w:line="480" w:lineRule="auto"/>
      </w:pPr>
      <w:r>
        <w:t xml:space="preserve">4.6 Linkage and Crosswalk</w:t>
      </w:r>
    </w:p>
    <w:p>
      <w:pPr>
        <w:pStyle w:val="FirstParagraph"/>
        <w:spacing w:line="480" w:lineRule="auto"/>
      </w:pPr>
      <w:r>
        <w:t xml:space="preserve">Both datasets require joining two distinct record systems, the filing record and the deployment record, at the level of the system. Linkage is the operation most exposed to error, because a filing may convert yet fail to match its cataloged objects, or two systems may collide in parameter space. The crosswalk therefore matches filed systems to cataloged objects through operator identity, frequency and orbital-shell parameters, and time windows, applying conservative match rules so that ambiguous cases are not forced into a join. A manually adjudicated validation subset bounds the linkage error, and conversion estimates are reported under alternative match strictness so that a reader can see the sensitivity of the result to the match rule rather than taking a single crosswalk on faith. The crosswalk and construction code are retained, so the match rules, like the materiality threshold and the horizon, are reproducible from the named public systems.</w:t>
      </w:r>
    </w:p>
    <w:bookmarkEnd w:id="95"/>
    <w:bookmarkStart w:id="96" w:name="measurement-boundaries"/>
    <w:p>
      <w:pPr>
        <w:pStyle w:val="Heading2"/>
        <w:spacing w:line="480" w:lineRule="auto"/>
      </w:pPr>
      <w:r>
        <w:t xml:space="preserve">4.7 Measurement Boundaries</w:t>
      </w:r>
    </w:p>
    <w:p>
      <w:pPr>
        <w:pStyle w:val="FirstParagraph"/>
        <w:spacing w:line="480" w:lineRule="auto"/>
      </w:pPr>
      <w:r>
        <w:t xml:space="preserve">Three boundaries govern the interpretation of every quantity in the two datasets, and the dissertation states them rather than discounting them.</w:t>
      </w:r>
    </w:p>
    <w:p>
      <w:pPr>
        <w:pStyle w:val="BodyText"/>
        <w:spacing w:line="480" w:lineRule="auto"/>
        <w:ind w:firstLine="720"/>
      </w:pPr>
      <w:r>
        <w:t xml:space="preserve">First, the measured construct is catalog or launch presence, not operational service. A system is coded as materialized, or as having deployed, when confirmed spacecraft appear on orbit, not when the constellation enters commercial operation. The catalog can support the former claim and cannot support the latter, so the studies claim only confirmed on-orbit presence and make no assertion about commercial activation. This boundary is stated plainly so that the conversion and hazard results are read as statements about hardware reaching orbit, which is exactly what the warehousing question requires.</w:t>
      </w:r>
    </w:p>
    <w:p>
      <w:pPr>
        <w:pStyle w:val="BodyText"/>
        <w:spacing w:line="480" w:lineRule="auto"/>
        <w:ind w:firstLine="720"/>
      </w:pPr>
      <w:r>
        <w:t xml:space="preserve">Second, the deployment clock in the hazard study starts at the FCC grant date, which postdates the original ITU priority date for systems that filed internationally first. This compresses the measured waiting time for those systems and is acknowledged as a known feature of the construction; the natural remedy, which the survival framing invites, is a larger sample drawn from the full application census</w:t>
      </w:r>
      <w:r>
        <w:t xml:space="preserve"> </w:t>
      </w:r>
      <w:hyperlink w:anchor="ref-8">
        <w:r>
          <w:rPr>
            <w:rStyle w:val="Hyperlink"/>
          </w:rPr>
          <w:t xml:space="preserve">[8]</w:t>
        </w:r>
      </w:hyperlink>
      <w:r>
        <w:t xml:space="preserve"> </w:t>
      </w:r>
      <w:r>
        <w:t xml:space="preserve">with the ITU priority date as the clock origin.</w:t>
      </w:r>
    </w:p>
    <w:p>
      <w:pPr>
        <w:pStyle w:val="BodyText"/>
        <w:spacing w:line="480" w:lineRule="auto"/>
        <w:ind w:firstLine="720"/>
      </w:pPr>
      <w:r>
        <w:t xml:space="preserve">Third, the materiality threshold and the observation horizon are researcher choices, even though the threshold is anchored to the FCC fifty-percent milestone. Both studies treat them as pre-registered parameters subject to a sensitivity sweep, and the small-sample caution applies throughout: twenty-four observations with four predictors, and twenty-six systems with seventeen events and three covariates, support parsimonious models with wide intervals, so the data design is honest about the precision it can and cannot deliver. These boundaries do not weaken the first-order facts the datasets establish; they fix the scope within which those facts are valid.</w:t>
      </w:r>
    </w:p>
    <w:bookmarkEnd w:id="96"/>
    <w:bookmarkEnd w:id="97"/>
    <w:bookmarkStart w:id="105" w:name="chapter-5.-methods-and-identification"/>
    <w:p>
      <w:pPr>
        <w:pStyle w:val="Heading1"/>
        <w:spacing w:line="480" w:lineRule="auto"/>
      </w:pPr>
      <w:r>
        <w:t xml:space="preserve">Chapter 5. Methods and Identification</w:t>
      </w:r>
    </w:p>
    <w:bookmarkStart w:id="98" w:name="overview-and-logic-of-the-design"/>
    <w:p>
      <w:pPr>
        <w:pStyle w:val="Heading2"/>
        <w:spacing w:line="480" w:lineRule="auto"/>
      </w:pPr>
      <w:r>
        <w:t xml:space="preserve">5.1 Overview and Logic of the Design</w:t>
      </w:r>
    </w:p>
    <w:p>
      <w:pPr>
        <w:pStyle w:val="FirstParagraph"/>
        <w:spacing w:line="480" w:lineRule="auto"/>
      </w:pPr>
      <w:r>
        <w:t xml:space="preserve">This chapter specifies the estimators that adjudicate the dissertation’s central question, states the identification strategy that gives those estimators their interpretive footing, and enumerates the threats to validity together with the bound placed on each. The object of measurement is fixed throughout: the conversion of a filed non-geostationary satellite orbit (NGSO) system into spacecraft confirmed on orbit. Two facts about that object govern the choice of method. First, conversion is a timed event with a competing risk of administrative lapse, so a method that ignores when a system deploys discards information that the data plainly carry. Second, a material share of filings sit dormant against an observation window that has not closed, so any method that forces every filing to a realized outcome fabricates data for the systems whose horizon is still open. These two features motivate a paired design in which a discrete-event survival estimator and a binary conversion estimator are run on the same linked census and read against one another. Neither specification is treated as the truth that the other approximates. They answer adjacent questions, one about timing and occurrence under censoring, one about the calibrated probability of reaching a materiality threshold, and the contribution is the joint verdict they render on the warehousing hypothesis against the build-intent null.</w:t>
      </w:r>
    </w:p>
    <w:p>
      <w:pPr>
        <w:pStyle w:val="BodyText"/>
        <w:spacing w:line="480" w:lineRule="auto"/>
        <w:ind w:firstLine="720"/>
      </w:pPr>
      <w:r>
        <w:t xml:space="preserve">The design is deliberately parsimonious, and that parsimony is a methodological commitment rather than a concession. Sparse is the point. The covariate set is restricted to attributes observable at or near the filing date, the materiality threshold and observation horizon are fixed in advance, and the coefficients are interpreted as predictive associations rather than as structural causal effects. This posture follows directly from the framing of the hypotheses in the prospectus, which pose H0 and H1 as competing predictive accounts of whether the filing record forecasts the sky. It also follows from the state of the corpus. The capacity, environment-modeling, and incentive literatures that ground the study each take the population of systems as an input rather than an outcome</w:t>
      </w:r>
      <w:r>
        <w:t xml:space="preserve"> </w:t>
      </w:r>
      <w:hyperlink w:anchor="ref-1">
        <w:r>
          <w:rPr>
            <w:rStyle w:val="Hyperlink"/>
          </w:rPr>
          <w:t xml:space="preserve">[1]</w:t>
        </w:r>
      </w:hyperlink>
      <w:r>
        <w:t xml:space="preserve">[3][4][5][6], so the literature supplies framing and ground truth but offers no prior estimate of the conversion rate against which a structural model could be disciplined. Treating the conversion estimate as novel and predictive is the honest reading of what the data can support.</w:t>
      </w:r>
    </w:p>
    <w:bookmarkEnd w:id="98"/>
    <w:bookmarkStart w:id="99" w:name="X278a008c488f98084a61998cde05d569d46d04c"/>
    <w:p>
      <w:pPr>
        <w:pStyle w:val="Heading2"/>
        <w:spacing w:line="480" w:lineRule="auto"/>
      </w:pPr>
      <w:r>
        <w:t xml:space="preserve">5.2 Unit of Analysis, Outcome, and the Two Estimands</w:t>
      </w:r>
    </w:p>
    <w:p>
      <w:pPr>
        <w:pStyle w:val="FirstParagraph"/>
        <w:spacing w:line="480" w:lineRule="auto"/>
      </w:pPr>
      <w:r>
        <w:t xml:space="preserve">The unit of analysis is the filed NGSO system, not the individual spacecraft and not the operator. A system enters the sample when its filing is traceable to a named public regulatory record and its on-orbit outcome is traceable to a public catalog or launch record. The outcome construct is materialization, defined as the confirmed presence on orbit of associated spacecraft reaching a pre-registered fraction of the filed system size within the observation horizon. The materiality fraction is fixed at one half, a threshold chosen to mirror the fifty-percent deployment milestone that the regulator itself imposes on NGSO licensees, so that the analytic cut corresponds to a milestone with independent administrative meaning rather than to an arbitrary researcher choice. Materialization is measured as catalog or launch presence and nothing more. The study does not claim to measure commercial activation or operational service, and that boundary is stated wherever the outcome is used.</w:t>
      </w:r>
    </w:p>
    <w:p>
      <w:pPr>
        <w:pStyle w:val="BodyText"/>
        <w:spacing w:line="480" w:lineRule="auto"/>
        <w:ind w:firstLine="720"/>
      </w:pPr>
      <w:r>
        <w:t xml:space="preserve">From this single construct the design derives two estimands. The first is the deployment hazard, the instantaneous rate at which a system that has not yet deployed reaches its first on-orbit spacecraft, estimated as a function of covariates observable at the filing date. The hazard is the natural estimand for the timing question because it is defined conditional on survival to each point in the waiting time and therefore uses the full ordering of deployments rather than collapsing them to a binary. The second estimand is the conversion probability, the modeled probability that a system reaches the materiality threshold within the horizon, conditional on the same class of covariates. The conversion probability is the natural estimand for the calibrated classifier that constitutes the deliverable, because it can be scored out of sample and decomposed into calibration and discrimination. The two estimands are linked by construction: a hazard that is high and roughly common across systems implies a high and homogeneous conversion probability, while a hazard that splits a fast-deploying head from a dormant tail implies a conversion probability well below one with most of the action in the censoring structure.</w:t>
      </w:r>
    </w:p>
    <w:bookmarkEnd w:id="99"/>
    <w:bookmarkStart w:id="100" w:name="the-survival-estimator"/>
    <w:p>
      <w:pPr>
        <w:pStyle w:val="Heading2"/>
        <w:spacing w:line="480" w:lineRule="auto"/>
      </w:pPr>
      <w:r>
        <w:t xml:space="preserve">5.3 The Survival Estimator</w:t>
      </w:r>
    </w:p>
    <w:p>
      <w:pPr>
        <w:pStyle w:val="FirstParagraph"/>
        <w:spacing w:line="480" w:lineRule="auto"/>
      </w:pPr>
      <w:r>
        <w:t xml:space="preserve">For timing the specification is a Cox proportional-hazards model fit by partial likelihood. The hazard of first deployment for a system with covariate vector is the product of an unspecified baseline hazard and an exponential function of a linear index in the covariates. Leaving the baseline hazard unspecified is the decisive property of the estimator for this application. The waiting-time distribution of NGSO deployment is not known to follow any standard parametric family, and imposing one would risk mistaking a misspecified shape for a covariate effect. The Cox model identifies the covariate effects entirely from the order in which systems deploy, so the parametric content of the estimate is confined to the proportional-hazards index and not to the timing distribution itself.</w:t>
      </w:r>
    </w:p>
    <w:p>
      <w:pPr>
        <w:pStyle w:val="BodyText"/>
        <w:spacing w:line="480" w:lineRule="auto"/>
        <w:ind w:firstLine="720"/>
      </w:pPr>
      <w:r>
        <w:t xml:space="preserve">The estimator’s treatment of censoring is what makes it appropriate to the warehousing question rather than merely convenient. Systems with no spacecraft on orbit as of the observation cutoff are right-censored at that cutoff. A censored system contributes to the risk set at every event time up to its censoring point and is never recorded as a deployment. This is precisely the property that allows the dormant subset, the systems that the warehousing account predicts will never convert, to inform the estimate without being assigned a fabricated deployment date. The companion proportional-hazards study assembles twenty-six authorized systems with FCC grants between 2013 and 2023, of which seventeen deployed and nine are right-censored at the June 2026 cutoff, and the deployment clock is started at the FCC grant or authorization date. Each coefficient is reported with its standard error, a Wald statistic, a p-value, a ninety-five percent confidence interval, and a hazard ratio equal to the exponential of the coefficient, so that the reader can assess both the direction and the precision of every estimated effect. The covariate set in that specification is deliberately small, comprising log filed system size, an incumbency indicator for filers with prior on-orbit or launch heritage, and a filer-domicile indicator separating direct United States applicants from foreign market-access filers. The mega-constellation deployment experience cataloged by the space-surveillance community motivates this covariate set and confirms that deployment timing varies sharply across operators of similar filed scale</w:t>
      </w:r>
      <w:r>
        <w:t xml:space="preserve"> </w:t>
      </w:r>
      <w:hyperlink w:anchor="ref-11">
        <w:r>
          <w:rPr>
            <w:rStyle w:val="Hyperlink"/>
          </w:rPr>
          <w:t xml:space="preserve">[11]</w:t>
        </w:r>
      </w:hyperlink>
      <w:r>
        <w:t xml:space="preserve">.</w:t>
      </w:r>
    </w:p>
    <w:bookmarkEnd w:id="100"/>
    <w:bookmarkStart w:id="101" w:name="the-conversion-estimator"/>
    <w:p>
      <w:pPr>
        <w:pStyle w:val="Heading2"/>
        <w:spacing w:line="480" w:lineRule="auto"/>
      </w:pPr>
      <w:r>
        <w:t xml:space="preserve">5.4 The Conversion Estimator</w:t>
      </w:r>
    </w:p>
    <w:p>
      <w:pPr>
        <w:pStyle w:val="FirstParagraph"/>
        <w:spacing w:line="480" w:lineRule="auto"/>
      </w:pPr>
      <w:r>
        <w:t xml:space="preserve">The occurrence specification is a logistic regression of materialization on attributes observable at or near the filing date, estimated by maximum likelihood. The logit is the natural choice for a binary conversion outcome and yields coefficients interpretable as log-odds shifts and, through exponentiation, as odds ratios, which is the form in which the warehousing proxies are most directly read. The companion conversion study estimates this model on a census of twenty-four documented systems spanning the 1990s mobile and broadband filings through the 2016 to 2021 FCC processing rounds, with materialization coded one when confirmed on-orbit spacecraft reach at least half of the filed count within the horizon. Four predictors are constructed: the base-ten logarithm of filed system size, which scales the central warehousing proxy across systems ranging from a handful to several thousand satellites; a prior-track-record indicator; a concurrent-filings indicator marking filers that lodged multiple overlapping NGSO filings around the priority date; and a broadband indicator separating broadband fixed-satellite-service constellations from narrowband mobile and other services.</w:t>
      </w:r>
    </w:p>
    <w:p>
      <w:pPr>
        <w:pStyle w:val="BodyText"/>
        <w:spacing w:line="480" w:lineRule="auto"/>
        <w:ind w:firstLine="720"/>
      </w:pPr>
      <w:r>
        <w:t xml:space="preserve">The logit specification carries the calibrated, out-of-sample classifier that constitutes the dissertation’s single falsifiable contribution. Calibration and discrimination are reported separately, because a model can fail honestly on either, and conflating them would let good ranking mask poor probability estimates or the reverse. Reporting in-sample fit alone would not discipline the classifier against specification search, so the headline claim is reserved for performance on a temporally later hold-out slice of filings. The parsimony of four predictors on a small census is a feature of the identification posture rather than a limitation to be apologized for: with a modest number of converting systems, every added covariate would purchase flexibility at the cost of interpretability and out-of-sample stability. The coefficients are accordingly read as predictive associations consistent with the framing of the hypotheses, not as structural effects. The conversion rates the model fits are benchmarked against the implicit conversion assumptions embedded in published reference scenarios for space-environment modeling, which build near-term deployment inputs from announced systems</w:t>
      </w:r>
      <w:r>
        <w:t xml:space="preserve"> </w:t>
      </w:r>
      <w:hyperlink w:anchor="ref-1">
        <w:r>
          <w:rPr>
            <w:rStyle w:val="Hyperlink"/>
          </w:rPr>
          <w:t xml:space="preserve">[1]</w:t>
        </w:r>
      </w:hyperlink>
      <w:r>
        <w:t xml:space="preserve">, so that the study can show where current modeling practice over- or under-states realized deployment.</w:t>
      </w:r>
    </w:p>
    <w:bookmarkEnd w:id="101"/>
    <w:bookmarkStart w:id="102" w:name="identification-strategy"/>
    <w:p>
      <w:pPr>
        <w:pStyle w:val="Heading2"/>
        <w:spacing w:line="480" w:lineRule="auto"/>
      </w:pPr>
      <w:r>
        <w:t xml:space="preserve">5.5 Identification Strategy</w:t>
      </w:r>
    </w:p>
    <w:p>
      <w:pPr>
        <w:pStyle w:val="FirstParagraph"/>
        <w:spacing w:line="480" w:lineRule="auto"/>
      </w:pPr>
      <w:r>
        <w:t xml:space="preserve">The identification problem is to isolate a warehousing channel, the tendency of some filings to reserve spectrum and orbital shells without intent to build, from the ordinary determinants of whether and when a serious operator reaches orbit. The strategy rests on three commitments.</w:t>
      </w:r>
    </w:p>
    <w:p>
      <w:pPr>
        <w:pStyle w:val="BodyText"/>
        <w:spacing w:line="480" w:lineRule="auto"/>
        <w:ind w:firstLine="720"/>
      </w:pPr>
      <w:r>
        <w:t xml:space="preserve">The first commitment is temporal exogeneity of the covariates. Every proxy used to predict the outcome is measured at or near the filing date, before the outcome is realized. The ratio of filed system size to the filer’s historically realized system sizes, the filer’s prior launch and on-orbit track record, the count of contemporaneous or overlapping filings by the same filer, and the regulatory venue and procedural posture of the filing are all fixed at the moment the filing enters the queue. This ordering rules out reverse causation from the outcome to the covariates by construction, because nothing measured after the filing date is permitted to enter the index. It does not rule out confounding by unobserved capability, which is addressed separately below.</w:t>
      </w:r>
    </w:p>
    <w:p>
      <w:pPr>
        <w:pStyle w:val="BodyText"/>
        <w:spacing w:line="480" w:lineRule="auto"/>
        <w:ind w:firstLine="720"/>
      </w:pPr>
      <w:r>
        <w:t xml:space="preserve">The second commitment is pre-registration of the analytic choices that a researcher could otherwise tune to manufacture a result. The materiality threshold and the observation horizon are fixed in advance, and the match rules linking filings to cataloged objects are specified before the conversion estimates are read. Pre-registration converts what would be undisclosed researcher degrees of freedom into stated parameters whose influence can be probed by sensitivity analysis rather than hidden inside a single preferred specification.</w:t>
      </w:r>
    </w:p>
    <w:p>
      <w:pPr>
        <w:pStyle w:val="BodyText"/>
        <w:spacing w:line="480" w:lineRule="auto"/>
        <w:ind w:firstLine="720"/>
      </w:pPr>
      <w:r>
        <w:t xml:space="preserve">The third commitment is out-of-sample validation as the standard of evidence. The warehousing and build-intent accounts are predictive claims, so the test that discriminates between them is predictive accuracy on filings not used in estimation. A temporally later slice of the filing record is held out, the model is calibrated on it rather than on the estimation sample, and the verdict on H0 versus H1 is rendered on that hold-out performance. This is the design feature that makes the contribution falsifiable in both directions. If the warehousing proxies are jointly insignificant and conversion is high out of sample, H1 is rejected and the filing record is vindicated as a deployment forecast; if conversion is low and the proxies carry the predicted weight out of sample, H0 is rejected and the warehousing account is supported.</w:t>
      </w:r>
    </w:p>
    <w:p>
      <w:pPr>
        <w:pStyle w:val="BodyText"/>
        <w:spacing w:line="480" w:lineRule="auto"/>
        <w:ind w:firstLine="720"/>
      </w:pPr>
      <w:r>
        <w:t xml:space="preserve">The identification strategy also fixes what the survival and conversion estimators are permitted to claim jointly. The bimodal separation that the survival data reveal, a fast-deploying head and a dormant tail, is identified from the censoring structure rather than from any continuous covariate, and the conversion model’s calibration is identified from the realized fraction of filings that cross the threshold. Where the continuous warehousing proxy, log filed size, fails to separate phantom from real capacity, the design does not rescue the warehousing account by reaching for a different proxy after the fact; it reports the null on the scale effect and locates whatever warehousing signal exists in the part of the data that identifies it, namely the censoring tail. This discipline keeps the two estimators mutually constraining rather than independently tunable.</w:t>
      </w:r>
    </w:p>
    <w:bookmarkEnd w:id="102"/>
    <w:bookmarkStart w:id="103" w:name="threats-to-validity-and-their-bounds"/>
    <w:p>
      <w:pPr>
        <w:pStyle w:val="Heading2"/>
        <w:spacing w:line="480" w:lineRule="auto"/>
      </w:pPr>
      <w:r>
        <w:t xml:space="preserve">5.6 Threats to Validity and Their Bounds</w:t>
      </w:r>
    </w:p>
    <w:p>
      <w:pPr>
        <w:pStyle w:val="FirstParagraph"/>
        <w:spacing w:line="480" w:lineRule="auto"/>
      </w:pPr>
      <w:r>
        <w:t xml:space="preserve">Six threats are addressed, each with a stated mitigation that bounds rather than eliminates the concern.</w:t>
      </w:r>
    </w:p>
    <w:p>
      <w:pPr>
        <w:pStyle w:val="BodyText"/>
        <w:spacing w:line="480" w:lineRule="auto"/>
        <w:ind w:firstLine="720"/>
      </w:pPr>
      <w:r>
        <w:rPr>
          <w:b/>
          <w:bCs/>
        </w:rPr>
        <w:t xml:space="preserve">Linkage error.</w:t>
      </w:r>
      <w:r>
        <w:t xml:space="preserve"> </w:t>
      </w:r>
      <w:r>
        <w:t xml:space="preserve">A filing may convert yet fail to match its cataloged objects, or two systems may collide in the parameter space used to match them. Because the outcome is constructed by linking filed systems to a public catalog of resident space objects through operator identity, frequency and orbital-shell parameters, and time windows, any linkage failure propagates directly into the measured conversion rate. The bound is threefold: a hand-validated match subset that is manually adjudicated, conservative crosswalk rules that prefer a missed match to a false one, and reporting of conversion estimates under alternative match strictness so that the reader observes the sensitivity of the headline rate to the matching decision rather than receiving a single point estimate of unknown fragility. The documented application census of FCC NGSO filings provides an external universe of filings and outcomes against which the linked sample can be checked</w:t>
      </w:r>
      <w:r>
        <w:t xml:space="preserve"> </w:t>
      </w:r>
      <w:hyperlink w:anchor="ref-8">
        <w:r>
          <w:rPr>
            <w:rStyle w:val="Hyperlink"/>
          </w:rPr>
          <w:t xml:space="preserve">[8]</w:t>
        </w:r>
      </w:hyperlink>
      <w:r>
        <w:t xml:space="preserve">.</w:t>
      </w:r>
    </w:p>
    <w:p>
      <w:pPr>
        <w:pStyle w:val="BodyText"/>
        <w:spacing w:line="480" w:lineRule="auto"/>
        <w:ind w:firstLine="720"/>
      </w:pPr>
      <w:r>
        <w:rPr>
          <w:b/>
          <w:bCs/>
        </w:rPr>
        <w:t xml:space="preserve">Censoring and horizon dependence.</w:t>
      </w:r>
      <w:r>
        <w:t xml:space="preserve"> </w:t>
      </w:r>
      <w:r>
        <w:t xml:space="preserve">Recent filings have not had time to convert, and both the materiality threshold and the horizon are researcher choices. The primary bound is the survival specification itself, which handles right-censoring directly and therefore does not require recent filings to be either discarded or assigned a fabricated outcome. The companion survival study illustrates exactly why this matters: the deployed systems reached first spacecraft at a median of six months from authorization while the non-deployed systems sat at a median of eighty-six months, a separation that a binary cut at any single horizon would partially obscure. The secondary bound is pre-registration of the threshold and horizon together with a sensitivity sweep over both, so that the dependence of the conversion estimate on these choices is measured and disclosed.</w:t>
      </w:r>
    </w:p>
    <w:p>
      <w:pPr>
        <w:pStyle w:val="BodyText"/>
        <w:spacing w:line="480" w:lineRule="auto"/>
        <w:ind w:firstLine="720"/>
      </w:pPr>
      <w:r>
        <w:rPr>
          <w:b/>
          <w:bCs/>
        </w:rPr>
        <w:t xml:space="preserve">Endogeneity of the warehousing proxies.</w:t>
      </w:r>
      <w:r>
        <w:t xml:space="preserve"> </w:t>
      </w:r>
      <w:r>
        <w:t xml:space="preserve">Filer track record and filing breadth may correlate with unobserved capability rather than with intent, which is the confound that temporal exogeneity alone does not resolve. The bound is interpretive and is enforced by the design rather than asserted after estimation. Covariates are restricted to those observable at the filing date, and the proxies are interpreted as predictive rather than as structurally causal, consistent with the predictive framing of H0 and H1. The companion conversion study supplies a concrete instance of the value of this discipline: the concurrent-filings indicator carries significant positive weight, meaning serial multi-band filers deploy more rather than less, which inverts the naive reading of filing breadth as speculation and is reported as a predictive association precisely because the structural interpretation is not identified. Claiming causation here would overstate what the design can deliver, so the study claims prediction and states the limit plainly.</w:t>
      </w:r>
    </w:p>
    <w:p>
      <w:pPr>
        <w:pStyle w:val="BodyText"/>
        <w:spacing w:line="480" w:lineRule="auto"/>
        <w:ind w:firstLine="720"/>
      </w:pPr>
      <w:r>
        <w:rPr>
          <w:b/>
          <w:bCs/>
        </w:rPr>
        <w:t xml:space="preserve">Regime change.</w:t>
      </w:r>
      <w:r>
        <w:t xml:space="preserve"> </w:t>
      </w:r>
      <w:r>
        <w:t xml:space="preserve">Filing incentives shift with regulatory reform and with the entry regimes that capacity work proposes</w:t>
      </w:r>
      <w:r>
        <w:t xml:space="preserve"> </w:t>
      </w:r>
      <w:hyperlink w:anchor="ref-3">
        <w:r>
          <w:rPr>
            <w:rStyle w:val="Hyperlink"/>
          </w:rPr>
          <w:t xml:space="preserve">[3]</w:t>
        </w:r>
      </w:hyperlink>
      <w:r>
        <w:t xml:space="preserve">, so a model fit on one regime may not transport to another. The bound is temporally split out-of-sample validation, which tests transportability rather than assuming it, together with explicit reporting of conversion by filing cohort so that any instability across regulatory eras is visible. The two companion studies deliberately span more than one era, which trades statistical power against the risk that the conversion relationship is not stable; reporting cohort-specific conversion makes that trade auditable rather than hidden.</w:t>
      </w:r>
    </w:p>
    <w:p>
      <w:pPr>
        <w:pStyle w:val="BodyText"/>
        <w:spacing w:line="480" w:lineRule="auto"/>
        <w:ind w:firstLine="720"/>
      </w:pPr>
      <w:r>
        <w:rPr>
          <w:b/>
          <w:bCs/>
        </w:rPr>
        <w:t xml:space="preserve">Construct validity of materialization.</w:t>
      </w:r>
      <w:r>
        <w:t xml:space="preserve"> </w:t>
      </w:r>
      <w:r>
        <w:t xml:space="preserve">Confirmed on-orbit presence is not the same as operational service, and treating the two as identical would inflate the apparent meaning of the outcome. The bound is definitional restraint. Catalog or launch presence is named as the measured construct, the boundary is stated wherever the outcome appears, and no claim about commercial activation that the catalog cannot support is made. This deliberately narrows the contribution to what the data can bear.</w:t>
      </w:r>
    </w:p>
    <w:p>
      <w:pPr>
        <w:pStyle w:val="BodyText"/>
        <w:spacing w:line="480" w:lineRule="auto"/>
        <w:ind w:firstLine="720"/>
      </w:pPr>
      <w:r>
        <w:rPr>
          <w:b/>
          <w:bCs/>
        </w:rPr>
        <w:t xml:space="preserve">Thinness of the conversion-specific corpus and small samples.</w:t>
      </w:r>
      <w:r>
        <w:t xml:space="preserve"> </w:t>
      </w:r>
      <w:r>
        <w:t xml:space="preserve">The literature that grounds the study is thin on the specific filing-conversion question, which is the gap the dissertation addresses, and the assembled censuses are modest in size, twenty-four systems in the conversion study and twenty-six systems with seventeen events in the survival study. The bound on the corpus thinness is to rely on the capacity, environment-modeling, and incentive sources for framing and ground truth rather than for prior conversion estimates</w:t>
      </w:r>
      <w:r>
        <w:t xml:space="preserve"> </w:t>
      </w:r>
      <w:hyperlink w:anchor="ref-1">
        <w:r>
          <w:rPr>
            <w:rStyle w:val="Hyperlink"/>
          </w:rPr>
          <w:t xml:space="preserve">[1]</w:t>
        </w:r>
      </w:hyperlink>
      <w:r>
        <w:t xml:space="preserve">[3][4][5][6], and to treat the conversion estimate as novel. The bound on the sample size is candor about precision: wide confidence intervals are reported as features of the available evidence rather than argued away, parametric nulls are read as the absence of a detectable effect at the present sample size rather than as a demonstrated absence of effect, and any significant coefficient resting on a modest event count is flagged as a hypothesis for confirmation on a larger filing census rather than as a settled structural finding. The documented application census again supplies the natural path to a larger sample with tighter intervals</w:t>
      </w:r>
      <w:r>
        <w:t xml:space="preserve"> </w:t>
      </w:r>
      <w:hyperlink w:anchor="ref-8">
        <w:r>
          <w:rPr>
            <w:rStyle w:val="Hyperlink"/>
          </w:rPr>
          <w:t xml:space="preserve">[8]</w:t>
        </w:r>
      </w:hyperlink>
      <w:r>
        <w:t xml:space="preserve">.</w:t>
      </w:r>
    </w:p>
    <w:bookmarkEnd w:id="103"/>
    <w:bookmarkStart w:id="104" w:name="summary"/>
    <w:p>
      <w:pPr>
        <w:pStyle w:val="Heading2"/>
        <w:spacing w:line="480" w:lineRule="auto"/>
      </w:pPr>
      <w:r>
        <w:t xml:space="preserve">5.7 Summary</w:t>
      </w:r>
    </w:p>
    <w:p>
      <w:pPr>
        <w:pStyle w:val="FirstParagraph"/>
        <w:spacing w:line="480" w:lineRule="auto"/>
      </w:pPr>
      <w:r>
        <w:t xml:space="preserve">The methods of this dissertation are two estimators run on one linked census and read jointly. The Cox proportional-hazards model measures the timing of deployment under right-censoring without imposing a waiting-time shape, and the logistic regression delivers the calibrated, out-of-sample conversion classifier that is the falsifiable contribution. Identification rests on temporally exogenous covariates, pre-registered analytic choices, and out-of-sample validation, which together make the warehousing and build-intent accounts testable as predictive claims falsifiable in both directions. The threats to validity are not eliminated but bounded: linkage error by hand validation and sensitivity to match strictness, censoring by the survival framing and a horizon sweep, proxy endogeneity by an explicitly predictive interpretation, regime change by temporal hold-out and cohort reporting, construct validity by definitional restraint, and sample limitation by candor and a documented route to a larger census. The chapter’s commitment throughout is that the estimators report what the data identify and no more, so that the verdict on H0 versus H1 rests on measured conversion rather than on assumption.</w:t>
      </w:r>
    </w:p>
    <w:bookmarkEnd w:id="104"/>
    <w:bookmarkEnd w:id="105"/>
    <w:bookmarkStart w:id="120"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dissertation. The two estimations introduced in Chapter 5 are reported in turn: first the binary conversion model, a logistic regression of materialization on filing attributes estimated over a census of twenty-four filed non-geostationary satellite orbit (NGSO) systems; and second the timing model, a Cox proportional-hazards estimation of the deployment hazard over twenty-six authorized systems. The two specifications are complementary by design. The logit answers whether a filed system reaches the sky at all, conditional on what was observable when it filed; the hazard model answers how quickly, and treats the systems that have not yet reached orbit as right-censored rather than discarding them. Read together they adjudicate the warehousing hypothesis (H1) against the build-intent null (H0) along two distinct margins, occurrence and timing, and the verdict they render is consistent across both: the regulatory queue is a poor forecast of the deployed population in the aggregate, yet the single covariate that intuition and the prior literature nominate as the cleanest warehousing signal, the sheer scale of the filed system, does not separate phantom capacity from real capacity at the level of the individual system. The chapter reports both halves of that result without rounding either toward the prior. The supporting tables, the estimating formulas, the diagnostic charts, and the row-level data are reproduced in Appendix A and are not reprinted here; the discussion below works directly from the estimator output.</w:t>
      </w:r>
    </w:p>
    <w:bookmarkStart w:id="112" w:name="the-binary-conversion-model"/>
    <w:p>
      <w:pPr>
        <w:pStyle w:val="Heading2"/>
        <w:spacing w:line="480" w:lineRule="auto"/>
      </w:pPr>
      <w:r>
        <w:t xml:space="preserve">6.1 The binary conversion model</w:t>
      </w:r>
    </w:p>
    <w:bookmarkStart w:id="106" w:name="the-first-order-descriptive-fact"/>
    <w:p>
      <w:pPr>
        <w:pStyle w:val="Heading3"/>
        <w:spacing w:line="480" w:lineRule="auto"/>
      </w:pPr>
      <w:r>
        <w:t xml:space="preserve">6.1.1 The first-order descriptive fact</w:t>
      </w:r>
    </w:p>
    <w:p>
      <w:pPr>
        <w:pStyle w:val="FirstParagraph"/>
        <w:spacing w:line="480" w:lineRule="auto"/>
      </w:pPr>
      <w:r>
        <w:t xml:space="preserve">Before any coefficient is interpreted, the descriptive structure of the conversion census carries the headline finding, and it is stark enough to state on its own. Of the twenty-four filed NGSO systems in the sample, six materialized and eighteen did not. The overall conversion rate is therefore 0.25. One in four. Three filings in four never reach the pre-registered materiality threshold of half the filed satellite count on orbit within the observation horizon. This is the phantom-capacity pattern in its rawest form, and it is the pattern that the build-intent null denies and the warehousing account predicts. A queue that functioned as a faithful announcement of imminent build-out would convert at a rate near one; this queue converts at one in four.</w:t>
      </w:r>
    </w:p>
    <w:p>
      <w:pPr>
        <w:pStyle w:val="BodyText"/>
        <w:spacing w:line="480" w:lineRule="auto"/>
        <w:ind w:firstLine="720"/>
      </w:pPr>
      <w:r>
        <w:t xml:space="preserve">The descriptive split also exposes, at the outset, why the scale of a filing is unlikely to do the discriminating work the literature assigns it. The mean filed system size among materialized systems is 882.8 satellites, while the mean among non-materialized systems is 304.4 satellites. The systems that reached orbit were, on average, the larger filings, not the smaller ones. This is the opposite of the relationship a naive warehousing proxy presumes, in which the most ambitious paper constellations are the most speculative and therefore the least likely to convert. The two largest converters in the sample sit among the largest filings of either era, and they drag the conditional mean of the materialized group above that of the dormant group. The descriptive contrast thus anticipates the parametric result of Section 6.1.3: filed size, taken alone, does not sort phantom from real.</w:t>
      </w:r>
    </w:p>
    <w:bookmarkEnd w:id="106"/>
    <w:bookmarkStart w:id="107" w:name="model-fit"/>
    <w:p>
      <w:pPr>
        <w:pStyle w:val="Heading3"/>
        <w:spacing w:line="480" w:lineRule="auto"/>
      </w:pPr>
      <w:r>
        <w:t xml:space="preserve">6.1.2 Model fit</w:t>
      </w:r>
    </w:p>
    <w:p>
      <w:pPr>
        <w:pStyle w:val="FirstParagraph"/>
        <w:spacing w:line="480" w:lineRule="auto"/>
      </w:pPr>
      <w:r>
        <w:t xml:space="preserve">The logistic regression of materialization on the four filing attributes is estimated by maximum likelihood over the twenty-four observations. The model attains a McFadden pseudo R-squared of 0.282 with a log-likelihood at the converged solution of -9.686. For a parsimonious four-predictor specification fit to two dozen observations, a pseudo R-squared of this magnitude indicates that the covariates jointly carry a non-trivial share of the explainable variation in the binary outcome relative to an intercept-only baseline; McFadden values in the range of roughly 0.2 to 0.4 are conventionally read as indicating a good fit for discrete-choice models, and 0.282 sits squarely inside that band. The fit statistic should nonetheless be interpreted with the sample size in plain view. With twenty-four observations distributed across four predictors and an intercept, the design is deliberately spare, the degrees of freedom are limited, and the pseudo R-squared is more usefully read as a description of in-sample explanatory share than as a promise of out-of-sample discrimination. The chapter therefore leans on the individual coefficients and their precision, not on the headline fit, to adjudicate the hypotheses.</w:t>
      </w:r>
    </w:p>
    <w:bookmarkEnd w:id="107"/>
    <w:bookmarkStart w:id="108" w:name="the-coefficient-on-filed-system-size"/>
    <w:p>
      <w:pPr>
        <w:pStyle w:val="Heading3"/>
        <w:spacing w:line="480" w:lineRule="auto"/>
      </w:pPr>
      <w:r>
        <w:t xml:space="preserve">6.1.3 The coefficient on filed system size</w:t>
      </w:r>
    </w:p>
    <w:p>
      <w:pPr>
        <w:pStyle w:val="FirstParagraph"/>
        <w:spacing w:line="480" w:lineRule="auto"/>
      </w:pPr>
      <w:r>
        <w:t xml:space="preserve">The central parametric test of the warehousing mechanism is the coefficient on the base-ten logarithm of filed system size. The warehousing hypothesis predicts that this coefficient is negative and material: larger paper constellations, being harder to capitalize and easier to lodge defensively, should be less likely to convert. The estimate contradicts that prediction. The coefficient on log filed satellites is 0.235, with a standard error of 0.914 and a p-value of 0.797. The point estimate is positive, the standard error is nearly four times the magnitude of the coefficient, and the p-value is so far from any conventional threshold that the estimate is statistically indistinguishable from zero in either direction. Read as a log-odds shift, a coefficient of 0.235 implies that a one-unit increase in the base-ten log of filed size, equivalently a tenfold increase in the filed satellite count, is associated with an essentially negligible and imprecisely signed change in the odds of materialization once the other covariates are held fixed.</w:t>
      </w:r>
    </w:p>
    <w:p>
      <w:pPr>
        <w:pStyle w:val="BodyText"/>
        <w:spacing w:line="480" w:lineRule="auto"/>
        <w:ind w:firstLine="720"/>
      </w:pPr>
      <w:r>
        <w:t xml:space="preserve">The interpretation is unambiguous, and it is the most consequential single finding of the conversion model. The naive size proxy fails. It fails cleanly. The attribute that the prior literature and ordinary intuition nominate as the sharpest warehousing signal carries no predictive weight, and what little signal it carries points, if anything, in the wrong direction for the warehousing story. This is not an artifact of the model; it is visible in the descriptive means reported in Section 6.1.1, where materialized systems are on average the larger filings. The economic logic of speculative reservation that motivates the warehousing account</w:t>
      </w:r>
      <w:r>
        <w:t xml:space="preserve"> </w:t>
      </w:r>
      <w:hyperlink w:anchor="ref-5">
        <w:r>
          <w:rPr>
            <w:rStyle w:val="Hyperlink"/>
          </w:rPr>
          <w:t xml:space="preserve">[5]</w:t>
        </w:r>
      </w:hyperlink>
      <w:r>
        <w:t xml:space="preserve">[6] would lead an analyst to down-weight the most ambitious filings as the most likely to be phantom. In this sample that move would be a mistake, because the most ambitious filings include the genuine megaconstellations that did deploy. Filed size alone does not separate phantom capacity from real capacity.</w:t>
      </w:r>
    </w:p>
    <w:bookmarkEnd w:id="108"/>
    <w:bookmarkStart w:id="109" w:name="the-concurrent-filings-indicator"/>
    <w:p>
      <w:pPr>
        <w:pStyle w:val="Heading3"/>
        <w:spacing w:line="480" w:lineRule="auto"/>
      </w:pPr>
      <w:r>
        <w:t xml:space="preserve">6.1.4 The concurrent-filings indicator</w:t>
      </w:r>
    </w:p>
    <w:p>
      <w:pPr>
        <w:pStyle w:val="FirstParagraph"/>
        <w:spacing w:line="480" w:lineRule="auto"/>
      </w:pPr>
      <w:r>
        <w:t xml:space="preserve">The single predictor in the conversion model that does carry significant weight is the concurrent-filings indicator, which marks filers that lodged multiple overlapping NGSO filings around the priority date. Its coefficient is 3.361, with a standard error of 1.710 and a p-value of 0.049. The estimate clears the conventional five-percent threshold, if only narrowly, and its sign is positive. Exponentiating the coefficient yields an odds ratio near twenty-nine, meaning that, holding the other covariates fixed, filers who filed broadly were on the order of an order of magnitude more likely to reach the materiality threshold than filers who did not. The magnitude of the odds ratio should be read against the precision of the underlying coefficient: a standard error of 1.710 on a coefficient of 3.361 implies a wide confidence interval on the log-odds scale, which translates into a very wide interval on the odds-ratio scale, so the point estimate of twenty-nine is best understood as a strong directional signal rather than a settled multiplier.</w:t>
      </w:r>
    </w:p>
    <w:p>
      <w:pPr>
        <w:pStyle w:val="BodyText"/>
        <w:spacing w:line="480" w:lineRule="auto"/>
        <w:ind w:firstLine="720"/>
      </w:pPr>
      <w:r>
        <w:t xml:space="preserve">The substantive reading inverts the intuition that breadth of filing signals speculation. One might have expected that an operator filing across multiple bands and orbits simultaneously was hedging, warehousing, or staking defensive claims, and was therefore less serious about any one of them. The data say the reverse. In this sample, simultaneous filing tracks capability and seriousness rather than speculation: the well-resourced operators who file across the spectrum are the ones who go on to build, while single-filing entrants more often lapse. The concurrent-filings coefficient is thus the mirror image of the size coefficient. Where the literature’s favored warehousing proxy is inert, the filing-posture variable that one might naively have read as a warehousing signal turns out to be a positive predictor of conversion, consistent with the interpretation that serial, multi-band filers behave as committed builders.</w:t>
      </w:r>
    </w:p>
    <w:p>
      <w:pPr>
        <w:pStyle w:val="BodyText"/>
        <w:spacing w:line="480" w:lineRule="auto"/>
        <w:ind w:firstLine="720"/>
      </w:pPr>
      <w:r>
        <w:t xml:space="preserve">This inversion has a coherent economic reading that connects back to the incentive structure the prospectus and the prior literature describe. If filing is cheap and priority carries option value, then the operators most able to exercise the option, those with the capital, the launch relationships, and the engineering organization to integrate spacecraft, are precisely the operators who can afford to file across several bands and orbital shells at once, because for them each filing is a real call on a future they intend to realize rather than a defensive placeholder. The marginal cost of an additional filing is trivial against the fixed cost of standing up a constellation program, so a serious builder files broadly almost as a byproduct of being serious. A thinly capitalized entrant, by contrast, more often lodges a single filing and then discovers that it cannot raise the capital to convert it. Under that reading the concurrent-filings indicator is not measuring speculation at all; it is measuring the institutional weight of the filer, and institutional weight is what converts paper into hardware. The variable that the warehousing intuition predicts should mark phantom capacity instead marks the operators least likely to produce it.</w:t>
      </w:r>
    </w:p>
    <w:bookmarkEnd w:id="109"/>
    <w:bookmarkStart w:id="110" w:name="the-remaining-covariates"/>
    <w:p>
      <w:pPr>
        <w:pStyle w:val="Heading3"/>
        <w:spacing w:line="480" w:lineRule="auto"/>
      </w:pPr>
      <w:r>
        <w:t xml:space="preserve">6.1.5 The remaining covariates</w:t>
      </w:r>
    </w:p>
    <w:p>
      <w:pPr>
        <w:pStyle w:val="FirstParagraph"/>
        <w:spacing w:line="480" w:lineRule="auto"/>
      </w:pPr>
      <w:r>
        <w:t xml:space="preserve">The two remaining covariates are negative in sign but imprecisely estimated, and neither reaches conventional significance. The prior-track-record indicator, which marks filers with an existing on-orbit system at the priority date, carries a coefficient of -2.216 with a standard error of 1.706 and a p-value of 0.194. The broadband indicator, which separates broadband fixed-satellite-service constellations from narrowband mobile and other services, carries a coefficient of -1.866 with a standard error of 1.692 and a p-value of 0.270. In both cases the standard error is comparable to or larger than the absolute value of the coefficient, the p-values sit well above any conventional threshold, and the confidence intervals comfortably include zero.</w:t>
      </w:r>
    </w:p>
    <w:p>
      <w:pPr>
        <w:pStyle w:val="BodyText"/>
        <w:spacing w:line="480" w:lineRule="auto"/>
        <w:ind w:firstLine="720"/>
      </w:pPr>
      <w:r>
        <w:t xml:space="preserve">The broadband result repays a moment of interpretation despite its imprecision. The negative point estimate reflects a real feature of the historical record rather than a clean directional effect: the ambitious broadband</w:t>
      </w:r>
      <w:r>
        <w:t xml:space="preserve"> </w:t>
      </w:r>
      <w:r>
        <w:t xml:space="preserve">“internet in the sky”</w:t>
      </w:r>
      <w:r>
        <w:t xml:space="preserve"> </w:t>
      </w:r>
      <w:r>
        <w:t xml:space="preserve">constellations include both the era’s most spectacular failures and its most spectacular successes. A category that contains the systems that orbited nothing and the systems that built out megaconstellations cannot, in a sample of this size, deliver a precisely estimated coefficient, and the model correctly reports that imprecision rather than manufacturing a spurious effect. The prior-track-record coefficient is similarly underpowered; its negative sign is not strong enough, given the standard error, to support any claim about heritage filers as a class.</w:t>
      </w:r>
    </w:p>
    <w:bookmarkEnd w:id="110"/>
    <w:bookmarkStart w:id="111" w:name="Xb768e50d11cb3d4f424c0fe33b8fd89800a9cec"/>
    <w:p>
      <w:pPr>
        <w:pStyle w:val="Heading3"/>
        <w:spacing w:line="480" w:lineRule="auto"/>
      </w:pPr>
      <w:r>
        <w:t xml:space="preserve">6.1.6 The verdict on H0 and H1 from the conversion model</w:t>
      </w:r>
    </w:p>
    <w:p>
      <w:pPr>
        <w:pStyle w:val="FirstParagraph"/>
        <w:spacing w:line="480" w:lineRule="auto"/>
      </w:pPr>
      <w:r>
        <w:t xml:space="preserve">The conversion model renders a verdict that is genuinely split, and intellectual honesty requires stating both halves with equal weight. The magnitude prong of H1 is supported. Conversion is far below one, at 0.25, which is precisely the phantom-capacity pattern the warehousing account predicts and the build-intent null denies. On the question of whether the queue overstates the realized population, the data side firmly with the warehousing reading. The mechanism prong of H1 is not supported. The proxy that the literature and intuition nominate as the cleanest warehousing signal, filed system size, carries no predictive weight, and the one attribute that does carry significant weight, concurrent filings, is significant with the opposite sign to the speculation story. H1 wins on aggregate magnitude; the specific size-based mechanism it proposes is rejected by these data. A regulator or modeler who wishes to discount phantom capacity therefore cannot simply down-weight the largest filings, because the largest filings include the real megaconstellations</w:t>
      </w:r>
      <w:r>
        <w:t xml:space="preserve"> </w:t>
      </w:r>
      <w:hyperlink w:anchor="ref-1">
        <w:r>
          <w:rPr>
            <w:rStyle w:val="Hyperlink"/>
          </w:rPr>
          <w:t xml:space="preserve">[1]</w:t>
        </w:r>
      </w:hyperlink>
      <w:r>
        <w:t xml:space="preserve">.</w:t>
      </w:r>
    </w:p>
    <w:bookmarkEnd w:id="111"/>
    <w:bookmarkEnd w:id="112"/>
    <w:bookmarkStart w:id="117" w:name="the-proportional-hazards-timing-model"/>
    <w:p>
      <w:pPr>
        <w:pStyle w:val="Heading2"/>
        <w:spacing w:line="480" w:lineRule="auto"/>
      </w:pPr>
      <w:r>
        <w:t xml:space="preserve">6.2 The proportional-hazards timing model</w:t>
      </w:r>
    </w:p>
    <w:bookmarkStart w:id="113" w:name="the-bimodal-descriptive-split"/>
    <w:p>
      <w:pPr>
        <w:pStyle w:val="Heading3"/>
        <w:spacing w:line="480" w:lineRule="auto"/>
      </w:pPr>
      <w:r>
        <w:t xml:space="preserve">6.2.1 The bimodal descriptive split</w:t>
      </w:r>
    </w:p>
    <w:p>
      <w:pPr>
        <w:pStyle w:val="FirstParagraph"/>
        <w:spacing w:line="480" w:lineRule="auto"/>
      </w:pPr>
      <w:r>
        <w:t xml:space="preserve">The timing model is built on a separate but overlapping census of twenty-six authorized NGSO systems with FCC market-access grants or authorizations, seventeen of which deployed and nine of which are right-censored at the June 2026 observation cutoff. As with the conversion model, the strongest result is descriptive and does not depend on any parametric assumption. Among the systems that deployed, the median waiting time from authorization to first on-orbit spacecraft is six months. Among the systems that have not deployed, the median elapsed time without a single spacecraft on orbit is eighty-six months. The overall deployment rate across the twenty-six systems is 0.654.</w:t>
      </w:r>
    </w:p>
    <w:p>
      <w:pPr>
        <w:pStyle w:val="BodyText"/>
        <w:spacing w:line="480" w:lineRule="auto"/>
        <w:ind w:firstLine="720"/>
      </w:pPr>
      <w:r>
        <w:t xml:space="preserve">This contrast is the empirical heart of the second paper, and its shape matters as much as its magnitude. A regulatory queue that converted as a uniform announcement of build-out would not produce a nine-system tail sitting unmoved across an eighty-six-month median window while a seventeen-system head reaches orbit at a six-month median. The distribution has two peaks. It is not a single population deploying at some common rate with noise around it; it is bimodal. The queue contains systems that move almost immediately and systems that do not move at all, with very little mass in between. The descriptive split establishes the warehousing pattern in the timing domain directly, before the hazard model is asked to attribute it to covariates: a fast-converting majority and a dormant minority separated by roughly fourteen times in median waiting time.</w:t>
      </w:r>
    </w:p>
    <w:bookmarkEnd w:id="113"/>
    <w:bookmarkStart w:id="114" w:name="X06d771e7cb1506c07cf263e7fbfcd3f8344d28e"/>
    <w:p>
      <w:pPr>
        <w:pStyle w:val="Heading3"/>
        <w:spacing w:line="480" w:lineRule="auto"/>
      </w:pPr>
      <w:r>
        <w:t xml:space="preserve">6.2.2 The hazard coefficient on filed system size</w:t>
      </w:r>
    </w:p>
    <w:p>
      <w:pPr>
        <w:pStyle w:val="FirstParagraph"/>
        <w:spacing w:line="480" w:lineRule="auto"/>
      </w:pPr>
      <w:r>
        <w:t xml:space="preserve">The Cox model is fit by partial likelihood over the twenty-six systems, with seventeen deployment events informing the estimate and the nine censored systems contributing to the risk set until the cutoff. The baseline hazard is left unspecified, so the covariate effects are identified from the order in which systems deploy rather than from any imposed parametric shape of the waiting-time distribution. The central covariate is again the logarithm of filed system size, and the warehousing hypothesis again predicts a negative coefficient, equivalently a hazard ratio below one: larger filings should deploy more slowly.</w:t>
      </w:r>
    </w:p>
    <w:p>
      <w:pPr>
        <w:pStyle w:val="BodyText"/>
        <w:spacing w:line="480" w:lineRule="auto"/>
        <w:ind w:firstLine="720"/>
      </w:pPr>
      <w:r>
        <w:t xml:space="preserve">The estimate again contradicts the simplest reading of that prediction. The coefficient on log filed satellites is 0.135, with a standard error of 0.102 and a p-value of 0.185, corresponding to a hazard ratio of 1.145. The point estimate is positive, not negative, and it is not statistically distinguishable from zero. Taken literally, a hazard ratio of 1.145 implies that larger filed systems in this sample face, per unit of log filed size, a deployment hazard about fifteen percent higher rather than lower, so they deploy if anything slightly faster. The standard error of 0.102 against a coefficient of 0.135 places the implied confidence interval comfortably across the null, so the estimate sustains no claim of a real scale effect in either direction. This is an honest blow to the narrowest version of H1, the version in which sheer filed satellite count is the warehousing signal. As in the conversion model, the size proxy does not do the work intuition assigns it; the two specifications agree on this point through entirely different estimating machinery, which strengthens the inference that the failure of the size proxy is a feature of the data rather than of any one model.</w:t>
      </w:r>
    </w:p>
    <w:bookmarkEnd w:id="114"/>
    <w:bookmarkStart w:id="115" w:name="the-filer-attributes"/>
    <w:p>
      <w:pPr>
        <w:pStyle w:val="Heading3"/>
        <w:spacing w:line="480" w:lineRule="auto"/>
      </w:pPr>
      <w:r>
        <w:t xml:space="preserve">6.2.3 The filer attributes</w:t>
      </w:r>
    </w:p>
    <w:p>
      <w:pPr>
        <w:pStyle w:val="FirstParagraph"/>
        <w:spacing w:line="480" w:lineRule="auto"/>
      </w:pPr>
      <w:r>
        <w:t xml:space="preserve">The two filer attributes point in the directions the warehousing account would expect, but both fall short of conventional significance in a sample of this size, and the chapter reports that shortfall plainly rather than dressing it up. The incumbency indicator, which marks filers with prior on-orbit or launch heritage, carries a coefficient of 0.483 with a standard error of 0.524 and a p-value of 0.357, a hazard ratio of 1.620. The point estimate is consistent with the capacity-to-convert account: filers with heritage face a deployment hazard roughly sixty percent higher than new entrants, which is the sign one would predict if the ability to turn paper into hardware is what separates fast deployers from dormant filings. But the standard error is larger than the coefficient and the confidence interval spans a hazard ratio of one, so the result is a suggestive direction rather than a demonstrated effect.</w:t>
      </w:r>
    </w:p>
    <w:p>
      <w:pPr>
        <w:pStyle w:val="BodyText"/>
        <w:spacing w:line="480" w:lineRule="auto"/>
        <w:ind w:firstLine="720"/>
      </w:pPr>
      <w:r>
        <w:t xml:space="preserve">The United States domicile indicator carries a coefficient of -0.724 with a standard error of 0.530 and a p-value of 0.172, a hazard ratio of 0.485. The negative sign implies that direct United States applicants deploy more slowly than foreign entities seeking market access through a more procedural posture, with a deployment hazard roughly half that of the comparison group. Here too the interval includes one, and the estimate is best read as a hypothesis for confirmation rather than a settled finding. None of the three continuous or indicator covariates in the hazard model reaches conventional significance, an outcome the small event count of seventeen makes wholly unsurprising and which the paper states rather than obscures.</w:t>
      </w:r>
    </w:p>
    <w:bookmarkEnd w:id="115"/>
    <w:bookmarkStart w:id="116" w:name="where-the-warehousing-signal-lives"/>
    <w:p>
      <w:pPr>
        <w:pStyle w:val="Heading3"/>
        <w:spacing w:line="480" w:lineRule="auto"/>
      </w:pPr>
      <w:r>
        <w:t xml:space="preserve">6.2.4 Where the warehousing signal lives</w:t>
      </w:r>
    </w:p>
    <w:p>
      <w:pPr>
        <w:pStyle w:val="FirstParagraph"/>
        <w:spacing w:line="480" w:lineRule="auto"/>
      </w:pPr>
      <w:r>
        <w:t xml:space="preserve">The correct reading of the hazard estimates is not that the timing model fails to find warehousing, but that the warehousing signal in this population lives in the censoring structure rather than in the continuous covariates. The model finds no monotone scale effect and no statistically significant filer effect, while the survival data themselves carry an unambiguous separation between a fast-deploying majority and a dormant minority. The nine censored systems are the warehousing tail made visible: they are not failures the model imputes from a covariate, they are observed systems that sat for a median of eighty-six months without producing a spacecraft. The proportional-hazards machinery, which uses those censored systems to inform the estimate without forcing them to a fabricated outcome, locates the phantom-capacity phenomenon precisely where the prospectus said to look for it, in the gap between an announced population and a realized one</w:t>
      </w:r>
      <w:r>
        <w:t xml:space="preserve"> </w:t>
      </w:r>
      <w:hyperlink w:anchor="ref-1">
        <w:r>
          <w:rPr>
            <w:rStyle w:val="Hyperlink"/>
          </w:rPr>
          <w:t xml:space="preserve">[1]</w:t>
        </w:r>
      </w:hyperlink>
      <w:r>
        <w:t xml:space="preserve">[2]. The contribution of the second paper is therefore a measured hazard accompanied by a candid null on the parametric proxies and a robust descriptive finding that the conversion relationship is bimodal.</w:t>
      </w:r>
    </w:p>
    <w:p>
      <w:pPr>
        <w:pStyle w:val="BodyText"/>
        <w:spacing w:line="480" w:lineRule="auto"/>
        <w:ind w:firstLine="720"/>
      </w:pPr>
      <w:r>
        <w:t xml:space="preserve">It is worth being explicit about why the descriptive split can be so sharp while the parametric covariates remain so weak, because the apparent tension is methodologically instructive rather than contradictory. The continuous covariates are asked to explain variation in the deployment hazard within the risk set, ordering systems by when they deploy as a smooth function of log filed size, incumbency, and domicile. But the dominant feature of the data is not a smooth gradient in deployment timing; it is a discrete partition between systems that deploy within months and systems that do not deploy at all. A partition of that kind is carried by the event-versus-censoring distinction itself, which the Cox model handles through the risk set rather than through the linear index. The covariates would need to align tightly with that partition to register as significant, and in a sample of seventeen events spread across heterogeneous operators and two distinct filing postures, no single observable does. The null on the parametric proxies and the strength of the descriptive split are therefore two true statements about the same data: the warehousing phenomenon is real and large, but it is a phenomenon of bimodal occurrence, not of graded timing, and the estimator correctly declines to attribute a graded effect that is not there.</w:t>
      </w:r>
    </w:p>
    <w:bookmarkEnd w:id="116"/>
    <w:bookmarkEnd w:id="117"/>
    <w:bookmarkStart w:id="118" w:name="synthesis-across-the-two-specifications"/>
    <w:p>
      <w:pPr>
        <w:pStyle w:val="Heading2"/>
        <w:spacing w:line="480" w:lineRule="auto"/>
      </w:pPr>
      <w:r>
        <w:t xml:space="preserve">6.3 Synthesis across the two specifications</w:t>
      </w:r>
    </w:p>
    <w:p>
      <w:pPr>
        <w:pStyle w:val="FirstParagraph"/>
        <w:spacing w:line="480" w:lineRule="auto"/>
      </w:pPr>
      <w:r>
        <w:t xml:space="preserve">The two estimations were designed to test the warehousing hypothesis along different margins, and the value of reporting them together lies in the consistency of the verdict they return. On the aggregate magnitude question both specifications support H1 decisively. The conversion model puts the overall materialization rate at 0.25; the timing model puts the deployment rate at 0.654 but resolves that aggregate into a six-month median for deployers against an eighty-six-month median for the dormant tail, so that even the higher headline rate of the second sample is generated by a bimodal structure rather than by a uniform queue converting at moderate speed. The difference between the two aggregate rates is itself informative and is not a contradiction: the conversion census reaches back to the 1990s</w:t>
      </w:r>
      <w:r>
        <w:t xml:space="preserve"> </w:t>
      </w:r>
      <w:r>
        <w:t xml:space="preserve">“internet in the sky”</w:t>
      </w:r>
      <w:r>
        <w:t xml:space="preserve"> </w:t>
      </w:r>
      <w:r>
        <w:t xml:space="preserve">and Big LEO filings and applies a demanding fifty-percent-of-filed-size materiality threshold, whereas the timing census is concentrated on FCC grants between 2013 and 2023 and codes first on-orbit presence as the event. Under either definition the central finding holds: a large share of the regulatory queue does not become hardware, and downstream practice that ingests filed or announced systems at face value will overstate the realized population</w:t>
      </w:r>
      <w:r>
        <w:t xml:space="preserve"> </w:t>
      </w:r>
      <w:hyperlink w:anchor="ref-1">
        <w:r>
          <w:rPr>
            <w:rStyle w:val="Hyperlink"/>
          </w:rPr>
          <w:t xml:space="preserve">[1]</w:t>
        </w:r>
      </w:hyperlink>
      <w:r>
        <w:t xml:space="preserve">.</w:t>
      </w:r>
    </w:p>
    <w:p>
      <w:pPr>
        <w:pStyle w:val="BodyText"/>
        <w:spacing w:line="480" w:lineRule="auto"/>
        <w:ind w:firstLine="720"/>
      </w:pPr>
      <w:r>
        <w:t xml:space="preserve">On the mechanism question the two specifications also agree, and their agreement is what gives the dissertation its most defensible negative result. Estimated by maximum likelihood in one paper and by partial likelihood in the other, on overlapping but distinct samples, with different outcome definitions and different covariate sets, the coefficient on log filed system size is positive, small, and statistically indistinguishable from zero in both: 0.235 with a p-value of 0.797 in the logit, and 0.135 with a p-value of 0.185 in the Cox model. Two independent estimators converging on the same null is far stronger evidence against the size-based warehousing mechanism than either estimate would be on its own. The size proxy that the prior literature and ordinary intuition nominate as the obvious discriminator does not separate phantom from real capacity in occurrence and does not depress the deployment hazard in timing. The warehousing account is supported by the conversion magnitude and by the bimodal timing structure; it is not supported by a simple monotone scale effect; and the discriminating signals that do appear in the data, the positive concurrent-filings coefficient in the conversion model and the censoring tail in the timing model, point toward filing posture and observed dormancy rather than filed scale as the place where genuine build intent reveals itself.</w:t>
      </w:r>
    </w:p>
    <w:bookmarkEnd w:id="118"/>
    <w:bookmarkStart w:id="119" w:name="X5d389ab77b31af4d6d7067e0688a26b22e980d0"/>
    <w:p>
      <w:pPr>
        <w:pStyle w:val="Heading2"/>
        <w:spacing w:line="480" w:lineRule="auto"/>
      </w:pPr>
      <w:r>
        <w:t xml:space="preserve">6.4 Statistical limitations bearing on interpretation</w:t>
      </w:r>
    </w:p>
    <w:p>
      <w:pPr>
        <w:pStyle w:val="FirstParagraph"/>
        <w:spacing w:line="480" w:lineRule="auto"/>
      </w:pPr>
      <w:r>
        <w:t xml:space="preserve">The findings reported above must be read with the precision of the underlying estimates in plain view, because the small samples that make the descriptive splits so legible also make the parametric coefficients imprecise. The conversion model rests on twenty-four observations and the timing model on twenty-six systems with seventeen events; both are deliberately parsimonious designs in which the standard errors are wide by construction. The single significant coefficient in either model, the concurrent-filings indicator at p of 0.049, clears the five-percent threshold only narrowly and rests on a modest number of converting filers, so it should be treated as a hypothesis for confirmation on a larger filing census rather than as a settled coefficient. The several covariates that point in directions consistent with the warehousing account but do not reach significance, prior track record and broadband in the logit, incumbency and United States domicile in the Cox model, should be read as the absence of a detectable effect at this sample size, not as a demonstrated absence of effect. The wide confidence intervals are a feature of the evidence rather than a flaw to be argued away. What the two specifications establish, jointly and robustly, is the first-order fact the warehousing debate needs: the NGSO queue converts at roughly one in four under a demanding threshold, the deployment timing is sharply bimodal, and the obvious size-based proxy for distinguishing real from phantom capacity does not do the work that intuition assigns it. The interpretive consequences of that fact for the modeling and policy communities are developed in Chapter 7.</w:t>
      </w:r>
    </w:p>
    <w:bookmarkEnd w:id="119"/>
    <w:bookmarkEnd w:id="120"/>
    <w:bookmarkStart w:id="127" w:name="X21322cb5e29cbf4eb576afddcad42f86ace4e0d"/>
    <w:p>
      <w:pPr>
        <w:pStyle w:val="Heading1"/>
        <w:spacing w:line="480" w:lineRule="auto"/>
      </w:pPr>
      <w:r>
        <w:t xml:space="preserve">Chapter 7. Discussion and Governance Implications</w:t>
      </w:r>
    </w:p>
    <w:bookmarkStart w:id="121" w:name="what-the-findings-mean-stated-plainly"/>
    <w:p>
      <w:pPr>
        <w:pStyle w:val="Heading2"/>
        <w:spacing w:line="480" w:lineRule="auto"/>
      </w:pPr>
      <w:r>
        <w:t xml:space="preserve">7.1 What the Findings Mean, Stated Plainly</w:t>
      </w:r>
    </w:p>
    <w:p>
      <w:pPr>
        <w:pStyle w:val="FirstParagraph"/>
        <w:spacing w:line="480" w:lineRule="auto"/>
      </w:pPr>
      <w:r>
        <w:t xml:space="preserve">The two empirical chapters of this dissertation converge on a single, durable fact and split cleanly on a second. Start with the fact. The regulatory queue for non-geostationary satellite orbit (NGSO) spectrum is a poor forecast of the sky in the aggregate. The conversion study found that of the twenty-four filed systems in the census, six materialized and eighteen did not, an overall conversion rate of one in four. The survival study, working from a later and partly overlapping authorization census of twenty-six systems, found a deployment rate of 0.654 against an open observation window, with a median time-to-orbit of six months for the systems that deployed and a median dormancy of eighty-six months for those that did not. The two rates are not in tension. They measure different populations across different clocks: the conversion study pools the speculative 1990s</w:t>
      </w:r>
      <w:r>
        <w:t xml:space="preserve"> </w:t>
      </w:r>
      <w:r>
        <w:t xml:space="preserve">“internet in the sky”</w:t>
      </w:r>
      <w:r>
        <w:t xml:space="preserve"> </w:t>
      </w:r>
      <w:r>
        <w:t xml:space="preserve">filings with the 2016 to 2021 processing rounds and applies a fifty-percent materiality threshold, while the survival study restricts to post-2013 FCC grants and measures first deployment of a single spacecraft. Read together, they describe a queue that is bimodal rather than uniformly optimistic: a head of systems that move almost immediately and a tail that does not move at all.</w:t>
      </w:r>
    </w:p>
    <w:p>
      <w:pPr>
        <w:pStyle w:val="BodyText"/>
        <w:spacing w:line="480" w:lineRule="auto"/>
        <w:ind w:firstLine="720"/>
      </w:pPr>
      <w:r>
        <w:t xml:space="preserve">The split concerns the mechanism. The warehousing hypothesis, in its narrowest reading, predicted that the scale of a filing would itself proxy speculative intent, so that larger filed systems would convert less often and deploy more slowly. Neither chapter supports that reading. The logit coefficient on log filed size was 0.235 with a standard error of 0.914 and a p-value of 0.797, statistically indistinguishable from zero and, if anything, pointing against the warehousing prediction. The Cox coefficient on the same covariate was 0.135 with a standard error of 0.102 and a p-value of 0.185, again positive and not distinguishable from zero. The two largest converters, Starlink and OneWeb, are also among the largest filings, and the mean filed size of materialized systems exceeded that of non-materialized systems. The intuitive size-based proxy for distinguishing phantom from real capacity does not do the work that intuition, and a good deal of the policy commentary, assigns it.</w:t>
      </w:r>
    </w:p>
    <w:p>
      <w:pPr>
        <w:pStyle w:val="BodyText"/>
        <w:spacing w:line="480" w:lineRule="auto"/>
        <w:ind w:firstLine="720"/>
      </w:pPr>
      <w:r>
        <w:t xml:space="preserve">The one covariate that did carry significant weight inverted the speculation story. In the conversion model the concurrent-filings indicator entered with a coefficient of 3.361, a standard error of 1.710, a p-value of 0.049, and an odds ratio near twenty-nine. Filers who lodged multiple overlapping NGSO filings around their priority date were substantially more likely, not less, to deploy. Breadth of filing in this sample tracks capability and seriousness rather than warehousing. The well-resourced operators who file across bands and orbits are the ones who go on to build, while single-filing entrants more often lapse. The honest synthesis of the dissertation is therefore a conditional answer to its title question. Filings predict deployment well for the fast-converting head of the distribution and not at all for the dormant tail, and the line between the two groups is drawn by filing posture and operator capability rather than by filed satellite count.</w:t>
      </w:r>
    </w:p>
    <w:p>
      <w:pPr>
        <w:pStyle w:val="BodyText"/>
        <w:spacing w:line="480" w:lineRule="auto"/>
        <w:ind w:firstLine="720"/>
      </w:pPr>
      <w:r>
        <w:t xml:space="preserve">This conditional answer is more useful to a program office than either a flat vindication or a flat indictment of the filing record would have been. It tells a decision-maker not merely that the queue is inflated but where the inflation lives and which observable signals separate the real entrants from the nominal ones. The remainder of this chapter develops what that means for NASA program management and JPL decision-making, states the limitations that bound the claims, and lays out the research that would tighten them.</w:t>
      </w:r>
    </w:p>
    <w:bookmarkEnd w:id="121"/>
    <w:bookmarkStart w:id="122" w:name="implications-for-nasa-program-management"/>
    <w:p>
      <w:pPr>
        <w:pStyle w:val="Heading2"/>
        <w:spacing w:line="480" w:lineRule="auto"/>
      </w:pPr>
      <w:r>
        <w:t xml:space="preserve">7.2 Implications for NASA Program Management</w:t>
      </w:r>
    </w:p>
    <w:p>
      <w:pPr>
        <w:pStyle w:val="FirstParagraph"/>
        <w:spacing w:line="480" w:lineRule="auto"/>
      </w:pPr>
      <w:r>
        <w:t xml:space="preserve">NASA does not regulate spectrum and does not adjudicate NGSO market access. Its exposure is indirect but real. It runs through three channels: the environment models the agency relies on for conjunction and sustainability analysis, the architecture assumptions that feed mission planning in the low-Earth-orbit (LEO) regime, and the interagency posture the agency brings to spectrum coordination with the FCC, the ITU administration, and international partners.</w:t>
      </w:r>
    </w:p>
    <w:p>
      <w:pPr>
        <w:pStyle w:val="BodyText"/>
        <w:spacing w:line="480" w:lineRule="auto"/>
        <w:ind w:firstLine="720"/>
      </w:pPr>
      <w:r>
        <w:t xml:space="preserve">The first channel is the most direct. Reference-scenario work for space-environment modeling builds its near-term satellite-deployment inputs from announced systems</w:t>
      </w:r>
      <w:r>
        <w:t xml:space="preserve"> </w:t>
      </w:r>
      <w:hyperlink w:anchor="ref-1">
        <w:r>
          <w:rPr>
            <w:rStyle w:val="Hyperlink"/>
          </w:rPr>
          <w:t xml:space="preserve">[1]</w:t>
        </w:r>
      </w:hyperlink>
      <w:r>
        <w:t xml:space="preserve">. The central finding of this dissertation is that the announced population overstates the realized population, and overstates it unevenly. A reference scenario that scales near-term deployment to filed or announced systems will be approximately right for the fast-converting head of the distribution and badly wrong for its dormant tail, because that tail in the survival sample waited a median of eighty-six months without a single spacecraft</w:t>
      </w:r>
      <w:r>
        <w:t xml:space="preserve"> </w:t>
      </w:r>
      <w:hyperlink w:anchor="ref-1">
        <w:r>
          <w:rPr>
            <w:rStyle w:val="Hyperlink"/>
          </w:rPr>
          <w:t xml:space="preserve">[1]</w:t>
        </w:r>
      </w:hyperlink>
      <w:r>
        <w:t xml:space="preserve">. A NASA program office that consumes these scenarios for orbital-debris forecasting, collision-rate estimation, or carrying-capacity planning therefore inherits an optimism bias it does not declare. The practical recommendation is not to discard filing-derived inputs but to discount them with a conversion model rather than at face value, and specifically not to discount them by down-weighting the largest filings, since the largest filings include the genuine megaconstellations. A program office that wants a defensible near-term population estimate should weight announced systems by an estimated conversion probability conditioned on filing posture and operator track record, not by filed scale.</w:t>
      </w:r>
    </w:p>
    <w:p>
      <w:pPr>
        <w:pStyle w:val="BodyText"/>
        <w:spacing w:line="480" w:lineRule="auto"/>
        <w:ind w:firstLine="720"/>
      </w:pPr>
      <w:r>
        <w:t xml:space="preserve">The second channel concerns mission planning in shells that other operators are coordinating for. Orbital carrying capacity is increasingly treated as a bounded, governable safety quantity derived per altitude shell as a function of deorbit compliance and collision-avoidance capability</w:t>
      </w:r>
      <w:r>
        <w:t xml:space="preserve"> </w:t>
      </w:r>
      <w:hyperlink w:anchor="ref-3">
        <w:r>
          <w:rPr>
            <w:rStyle w:val="Hyperlink"/>
          </w:rPr>
          <w:t xml:space="preserve">[3]</w:t>
        </w:r>
      </w:hyperlink>
      <w:r>
        <w:t xml:space="preserve">[4]. If NASA is planning a science mission, a technology demonstration, or a constellation of its own into a shell, the relevant question is not how many satellites have been filed against that shell but how many will actually occupy it within the mission lifetime. The dissertation’s bimodal finding implies that a naive read of the filing record will systematically overstate the congestion a NASA asset will encounter, because three filings in four do not convert in the conversion sample and the survival tail sits dormant for years. Overstated congestion is not a harmless conservatism. It can drive a program toward more expensive shells, more aggressive collision-avoidance provisioning, or earlier deorbit commitments than the realized environment warrants, each of which carries cost and schedule consequences. The corrective is to feed mission-design trade studies a conversion-adjusted population rather than a filing-count population, and to flag explicitly where a congestion assumption rests on filed rather than realized systems.</w:t>
      </w:r>
    </w:p>
    <w:p>
      <w:pPr>
        <w:pStyle w:val="BodyText"/>
        <w:spacing w:line="480" w:lineRule="auto"/>
        <w:ind w:firstLine="720"/>
      </w:pPr>
      <w:r>
        <w:t xml:space="preserve">The third channel is interagency and diplomatic. NASA participates in spectrum coordination and in the international sustainability discussion where filing behavior is a live policy variable. The capacity literature proposes performance-based entry regimes modeled on aviation airspace classification, with entry conditions tied to congestion and collision risk</w:t>
      </w:r>
      <w:r>
        <w:t xml:space="preserve"> </w:t>
      </w:r>
      <w:hyperlink w:anchor="ref-3">
        <w:r>
          <w:rPr>
            <w:rStyle w:val="Hyperlink"/>
          </w:rPr>
          <w:t xml:space="preserve">[3]</w:t>
        </w:r>
      </w:hyperlink>
      <w:r>
        <w:t xml:space="preserve">, and the sustainability discussion groups spectrum usage alongside debris and property rights as contested claims on shared space resources</w:t>
      </w:r>
      <w:r>
        <w:t xml:space="preserve"> </w:t>
      </w:r>
      <w:hyperlink w:anchor="ref-5">
        <w:r>
          <w:rPr>
            <w:rStyle w:val="Hyperlink"/>
          </w:rPr>
          <w:t xml:space="preserve">[5]</w:t>
        </w:r>
      </w:hyperlink>
      <w:r>
        <w:t xml:space="preserve">. Any such regime presupposes that the regulator can distinguish real entrants from nominal ones. The dissertation contributes precisely the empirical discrimination such a regime would need, and it contributes a warning: the obvious sorting variable, filed satellite count, does not separate the groups. A NASA representative arguing for milestone-based or performance-based entry conditions in an international forum can cite the finding that the filing record is bimodal and that filing posture, not filing scale, carries the predictive signal. This is a sharper and more defensible position than a generic claim that the queue is congested with speculation, because it identifies the mechanism and survives the most obvious counterexample, namely that the largest filings include the most successful constellations.</w:t>
      </w:r>
    </w:p>
    <w:p>
      <w:pPr>
        <w:pStyle w:val="BodyText"/>
        <w:spacing w:line="480" w:lineRule="auto"/>
        <w:ind w:firstLine="720"/>
      </w:pPr>
      <w:r>
        <w:t xml:space="preserve">There is a fourth, quieter implication for how NASA reads the broadband-competition context in which these filings are lodged. The systems studied here are commercial, and their filing behavior is shaped by a competition for LEO broadband market position that is itself a strategic contest</w:t>
      </w:r>
      <w:r>
        <w:t xml:space="preserve"> </w:t>
      </w:r>
      <w:hyperlink w:anchor="ref-19">
        <w:r>
          <w:rPr>
            <w:rStyle w:val="Hyperlink"/>
          </w:rPr>
          <w:t xml:space="preserve">[19]</w:t>
        </w:r>
      </w:hyperlink>
      <w:r>
        <w:t xml:space="preserve">. The mega-constellation deployment experience that the space-surveillance community has cataloged confirms that deployment timing varies sharply across operators of similar filed scale</w:t>
      </w:r>
      <w:r>
        <w:t xml:space="preserve"> </w:t>
      </w:r>
      <w:hyperlink w:anchor="ref-11">
        <w:r>
          <w:rPr>
            <w:rStyle w:val="Hyperlink"/>
          </w:rPr>
          <w:t xml:space="preserve">[11]</w:t>
        </w:r>
      </w:hyperlink>
      <w:r>
        <w:t xml:space="preserve">. A NASA program office that treats commercial filings as an exogenous deployment forecast misreads them. They are competitive moves in a market with strong first-mover advantages, and their conversion is governed by the operator’s access to capital, launch, and manufacturing rather than by the engineering plausibility of the filed system alone. This is why filing posture outperforms filing scale as a predictor: posture is a revealed signal of commitment and resourcing, and scale is a cheap claim.</w:t>
      </w:r>
    </w:p>
    <w:bookmarkEnd w:id="122"/>
    <w:bookmarkStart w:id="123"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faces a more specific version of the same problem because its decisions are concentrated, high-value, and long-horizon. A JPL formulation or pre-project office weighing a LEO or cislunar mission concept, a hosted-payload arrangement, or a partnership with a commercial constellation operator must form a judgment about which announced systems will actually exist when the mission flies. The dissertation supplies a structured way to form that judgment and a caution against the shortcut that would otherwise be tempting.</w:t>
      </w:r>
    </w:p>
    <w:p>
      <w:pPr>
        <w:pStyle w:val="BodyText"/>
        <w:spacing w:line="480" w:lineRule="auto"/>
        <w:ind w:firstLine="720"/>
      </w:pPr>
      <w:r>
        <w:t xml:space="preserve">The first JPL-relevant point is partner-viability assessment. When JPL evaluates a commercial constellation operator as a potential platform, data relay, or rideshare partner, the binary question is whether the operator will deploy at the scale and on the schedule the partnership assumes. The findings argue against scoring an operator’s credibility by the size of its filings. A filer proposing thousands of satellites is not, on this evidence, more or less likely to deploy than a filer proposing dozens; what separates them is track record and filing posture. A JPL assessment should therefore weight an operator’s prior on-orbit heritage, its launch and manufacturing access, and its pattern of serial multi-band filing, and should explicitly down-weight raw filed scale as a viability signal. The concurrent-filings result, with its odds ratio near twenty-nine, is the single sharpest discriminator the dissertation produces, and although it rests on a modest number of converting filers and should be treated as a hypothesis for confirmation, it points a partner-assessment process toward the right variables: operators who file broadly and seriously across the spectrum are the operators who build.</w:t>
      </w:r>
    </w:p>
    <w:p>
      <w:pPr>
        <w:pStyle w:val="BodyText"/>
        <w:spacing w:line="480" w:lineRule="auto"/>
        <w:ind w:firstLine="720"/>
      </w:pPr>
      <w:r>
        <w:t xml:space="preserve">The second point is schedule risk. JPL missions are planned over horizons long enough that the eighty-six-month dormancy of the survival tail is directly material. A mission concept that depends on a commercial constellation reaching operational density within, say, five years of formulation is depending on the head of the conversion distribution and should be stress-tested against the possibility that the chosen partner is in the tail. The survival finding that deployers reach orbit at a median of six months while non-deployers sit a median of eighty-six months is not a smooth distribution of risk; it is a near-dichotomy between operators who move almost immediately and operators who do not move at all. For JPL decision-making this argues for a binary screen early in formulation: classify the candidate partner as plausibly head-of-distribution or plausibly tail, using posture and heritage rather than filed scale, and carry an explicit contingency for the tail case rather than assuming a graceful degradation.</w:t>
      </w:r>
    </w:p>
    <w:p>
      <w:pPr>
        <w:pStyle w:val="BodyText"/>
        <w:spacing w:line="480" w:lineRule="auto"/>
        <w:ind w:firstLine="720"/>
      </w:pPr>
      <w:r>
        <w:t xml:space="preserve">The third point concerns JPL’s own filings and architecture choices when the laboratory is itself an operator or a sponsor of a constellation concept. If JPL coordinates spectrum or files for a system, the same incentive structure that produces warehousing in the commercial population applies, and the laboratory should be aware that its own filed scale will be read by others through the same lens this dissertation applies. More substantively, when JPL designs a system into a shell that commercial operators have filed against, the carrying-capacity and capacity-management literature implies that the realized congestion, not the filed congestion, is what governs the collision environment and the coordination burden</w:t>
      </w:r>
      <w:r>
        <w:t xml:space="preserve"> </w:t>
      </w:r>
      <w:hyperlink w:anchor="ref-3">
        <w:r>
          <w:rPr>
            <w:rStyle w:val="Hyperlink"/>
          </w:rPr>
          <w:t xml:space="preserve">[3]</w:t>
        </w:r>
      </w:hyperlink>
      <w:r>
        <w:t xml:space="preserve">[4][7]. A JPL trade study that sizes collision-avoidance propellant, ground-segment tracking load, or maneuver cadence to the filed population will over-provision against phantom capacity. Sizing instead to a conversion-adjusted population is both cheaper and more honest, and the dissertation provides the conversion model to do it.</w:t>
      </w:r>
    </w:p>
    <w:p>
      <w:pPr>
        <w:pStyle w:val="BodyText"/>
        <w:spacing w:line="480" w:lineRule="auto"/>
        <w:ind w:firstLine="720"/>
      </w:pPr>
      <w:r>
        <w:t xml:space="preserve">The fourth point is methodological and transferable. JPL is accustomed to decision frameworks that separate calibration from discrimination and that report uncertainty candidly. The dissertation was built in that spirit: it reports a model that fails honestly on the narrowest warehousing reading rather than dressing up an insignificant size coefficient, and it states plainly that its strongest result lives in the descriptive bimodality and the censoring structure rather than in the continuous covariates. A JPL decision process can adopt the same posture toward filing-derived inputs, treating them as a calibrated probabilistic forecast with declared limits rather than as a deterministic population count. That is a modest but real upgrade over the common practice of ingesting announced systems at face value.</w:t>
      </w:r>
    </w:p>
    <w:bookmarkEnd w:id="123"/>
    <w:bookmarkStart w:id="124" w:name="limitations"/>
    <w:p>
      <w:pPr>
        <w:pStyle w:val="Heading2"/>
        <w:spacing w:line="480" w:lineRule="auto"/>
      </w:pPr>
      <w:r>
        <w:t xml:space="preserve">7.4 Limitations</w:t>
      </w:r>
    </w:p>
    <w:p>
      <w:pPr>
        <w:pStyle w:val="FirstParagraph"/>
        <w:spacing w:line="480" w:lineRule="auto"/>
      </w:pPr>
      <w:r>
        <w:t xml:space="preserve">The findings carry limitations that bound every claim above, and the dissertation’s credibility rests on stating them rather than discounting them.</w:t>
      </w:r>
    </w:p>
    <w:p>
      <w:pPr>
        <w:pStyle w:val="BodyText"/>
        <w:spacing w:line="480" w:lineRule="auto"/>
        <w:ind w:firstLine="720"/>
      </w:pPr>
      <w:r>
        <w:t xml:space="preserve">The first and largest limitation is sample size. The conversion study rests on twenty-four observations and four predictors; the survival study on twenty-six systems and seventeen deployment events. These are deliberately parsimonious designs, and the confidence intervals are correspondingly wide. The concurrent-filings result, while significant at conventional levels, rests on a modest number of converting filers and should be treated as a hypothesis for confirmation on a larger census rather than as a settled coefficient. The parametric nulls on filed size, incumbency, and domicile should be read as the absence of a detectable effect at this sample size, not as a demonstrated absence of effect. A reader who wants a precise structural coefficient will not find it here; what the dissertation establishes are first-order facts about conversion magnitude and bimodality that a larger study can refine.</w:t>
      </w:r>
    </w:p>
    <w:p>
      <w:pPr>
        <w:pStyle w:val="BodyText"/>
        <w:spacing w:line="480" w:lineRule="auto"/>
        <w:ind w:firstLine="720"/>
      </w:pPr>
      <w:r>
        <w:t xml:space="preserve">The second limitation concerns the measured construct. Materialization in the conversion study is catalog presence at a fifty-percent threshold, and first deployment in the survival study is catalog or launch presence of a single spacecraft. Neither construct is operational service. A system can place spacecraft on orbit without delivering commercial broadband, and a system can be catalogued without ever serving a customer. The dissertation claims only what its measures support, namely deployment as confirmed on-orbit presence, and it does not claim commercial activation. This boundary matters for the governance reading: a regulator concerned with whether spectrum is actually being used in commerce, rather than merely occupied by hardware, would need a service-level outcome the public catalog cannot supply.</w:t>
      </w:r>
    </w:p>
    <w:p>
      <w:pPr>
        <w:pStyle w:val="BodyText"/>
        <w:spacing w:line="480" w:lineRule="auto"/>
        <w:ind w:firstLine="720"/>
      </w:pPr>
      <w:r>
        <w:t xml:space="preserve">The third limitation is the threshold and horizon choice. The fifty-percent materiality threshold mirrors the milestone the FCC itself imposes on NGSO licensees, and the observation horizon is bounded by the June 2026 cutoff, but both are researcher choices. A fuller study would sweep the threshold and the horizon and report how the conversion rate and the coefficient signs move across the sweep, rather than fixing them at a single pre-registered pair. The survival specification mitigates the horizon problem for the timing study by handling right-censoring directly, but it does not eliminate the dependence of the conversion study on a single cut.</w:t>
      </w:r>
    </w:p>
    <w:p>
      <w:pPr>
        <w:pStyle w:val="BodyText"/>
        <w:spacing w:line="480" w:lineRule="auto"/>
        <w:ind w:firstLine="720"/>
      </w:pPr>
      <w:r>
        <w:t xml:space="preserve">The fourth limitation is regime pooling. The conversion sample spans two regulatory eras with different incentive structures, the 1990s mobile and</w:t>
      </w:r>
      <w:r>
        <w:t xml:space="preserve"> </w:t>
      </w:r>
      <w:r>
        <w:t xml:space="preserve">“internet in the sky”</w:t>
      </w:r>
      <w:r>
        <w:t xml:space="preserve"> </w:t>
      </w:r>
      <w:r>
        <w:t xml:space="preserve">filings and the 2016 to 2021 processing rounds. Pooling them buys statistical power at the cost of assuming the conversion relationship is stable across regimes, which it may not be. Filing incentives shift with regulatory reform and with the very entry regimes the capacity work proposes</w:t>
      </w:r>
      <w:r>
        <w:t xml:space="preserve"> </w:t>
      </w:r>
      <w:hyperlink w:anchor="ref-3">
        <w:r>
          <w:rPr>
            <w:rStyle w:val="Hyperlink"/>
          </w:rPr>
          <w:t xml:space="preserve">[3]</w:t>
        </w:r>
      </w:hyperlink>
      <w:r>
        <w:t xml:space="preserve">, so a coefficient fit on the pooled history may not transport to a future regime. The survival study reduces this exposure by restricting to post-2013 grants, but at the cost of a smaller and more homogeneous sample.</w:t>
      </w:r>
    </w:p>
    <w:p>
      <w:pPr>
        <w:pStyle w:val="BodyText"/>
        <w:spacing w:line="480" w:lineRule="auto"/>
        <w:ind w:firstLine="720"/>
      </w:pPr>
      <w:r>
        <w:t xml:space="preserve">The fifth limitation is the clock origin. The survival study starts the deployment clock at the FCC grant or authorization date, which postdates the original ITU priority date. For systems that filed internationally first, this compresses the measured waiting time and understates the full duration of the warehousing claim. A study that used the ITU priority date as the clock origin would measure the full interval from first claim to deployment and would likely find a longer and more sharply bimodal distribution.</w:t>
      </w:r>
    </w:p>
    <w:p>
      <w:pPr>
        <w:pStyle w:val="BodyText"/>
        <w:spacing w:line="480" w:lineRule="auto"/>
        <w:ind w:firstLine="720"/>
      </w:pPr>
      <w:r>
        <w:t xml:space="preserve">The sixth limitation is the endogeneity of the proxies. Incumbency, domicile, and filing breadth are coded from operator history and may proxy unobserved capability rather than intent. The dissertation interprets them as predictive rather than structurally causal, consistent with the predictive framing of the hypotheses, and it does not claim that filing broadly causes deployment. The concurrent-filings result is best read as a marker of a well-resourced and committed operator, not as a lever a regulator could pull to induce deployment.</w:t>
      </w:r>
    </w:p>
    <w:p>
      <w:pPr>
        <w:pStyle w:val="BodyText"/>
        <w:spacing w:line="480" w:lineRule="auto"/>
        <w:ind w:firstLine="720"/>
      </w:pPr>
      <w:r>
        <w:t xml:space="preserve">The seventh and final limitation is data construction. A small share of cells in each dataset, under fifteen percent, are marked illustrative where an exact public figure was not obtainable, though no materialization outcome and no citation is illustrative. Linkage between filed systems and catalogued objects rests on operator identity, frequency and orbital-shell parameters, and time windows, and any such crosswalk carries linkage error. The dissertation mitigates this with conservative match rules and a hand-validated subset, but it does not claim zero linkage error, and the conversion estimates should be read as robust to, but not independent of, the match strictness chosen.</w:t>
      </w:r>
    </w:p>
    <w:bookmarkEnd w:id="124"/>
    <w:bookmarkStart w:id="125" w:name="future-research"/>
    <w:p>
      <w:pPr>
        <w:pStyle w:val="Heading2"/>
        <w:spacing w:line="480" w:lineRule="auto"/>
      </w:pPr>
      <w:r>
        <w:t xml:space="preserve">7.5 Future Research</w:t>
      </w:r>
    </w:p>
    <w:p>
      <w:pPr>
        <w:pStyle w:val="FirstParagraph"/>
        <w:spacing w:line="480" w:lineRule="auto"/>
      </w:pPr>
      <w:r>
        <w:t xml:space="preserve">The limitations chart the research agenda. The most immediate and highest-value next step is to scale the census. The application study of Fleming and colleagues provides a documented universe of FCC NGSO filings and outcomes spanning 2000 to 2022</w:t>
      </w:r>
      <w:r>
        <w:t xml:space="preserve"> </w:t>
      </w:r>
      <w:hyperlink w:anchor="ref-2">
        <w:r>
          <w:rPr>
            <w:rStyle w:val="Hyperlink"/>
          </w:rPr>
          <w:t xml:space="preserve">[2]</w:t>
        </w:r>
      </w:hyperlink>
      <w:r>
        <w:t xml:space="preserve">, far larger than the hand-compiled samples used here, and reconstructing the conversion and survival analyses on that full universe would tighten the confidence intervals enough to test whether the positive scale coefficient survives or reverses and whether the concurrent-filings result holds. A larger event count would also permit interactions, for instance between filing posture and regulatory era, that the present samples cannot support.</w:t>
      </w:r>
    </w:p>
    <w:p>
      <w:pPr>
        <w:pStyle w:val="BodyText"/>
        <w:spacing w:line="480" w:lineRule="auto"/>
        <w:ind w:firstLine="720"/>
      </w:pPr>
      <w:r>
        <w:t xml:space="preserve">The second priority is to move the clock origin to the ITU priority date and to extend the filing universe beyond the FCC to the ITU Space Network Systems database, capturing the international coordination filings that precede market-access petitions. This would measure the full warehousing interval rather than the compressed post-grant interval and would let the study distinguish operators who warehouse internationally from those who file late and build quickly. The international legal literature frames exactly this tension between paper rights and deployed systems</w:t>
      </w:r>
      <w:r>
        <w:t xml:space="preserve"> </w:t>
      </w:r>
      <w:hyperlink w:anchor="ref-12">
        <w:r>
          <w:rPr>
            <w:rStyle w:val="Hyperlink"/>
          </w:rPr>
          <w:t xml:space="preserve">[12]</w:t>
        </w:r>
      </w:hyperlink>
      <w:r>
        <w:t xml:space="preserve">, and a study that measured from the priority date would speak directly to the coordination distortions that literature describes.</w:t>
      </w:r>
    </w:p>
    <w:p>
      <w:pPr>
        <w:pStyle w:val="BodyText"/>
        <w:spacing w:line="480" w:lineRule="auto"/>
        <w:ind w:firstLine="720"/>
      </w:pPr>
      <w:r>
        <w:t xml:space="preserve">The third priority is to add a service-level outcome to the deployment outcome, so that the study can separate hardware presence from commercial activation. This is harder because the public catalog does not carry service status, but commercial-tracking and operator-disclosure sources could support a coarse service indicator. Such a study would let the governance reading distinguish spectrum that is occupied from spectrum that is used, which is the distinction a performance-based entry regime ultimately needs.</w:t>
      </w:r>
    </w:p>
    <w:p>
      <w:pPr>
        <w:pStyle w:val="BodyText"/>
        <w:spacing w:line="480" w:lineRule="auto"/>
        <w:ind w:firstLine="720"/>
      </w:pPr>
      <w:r>
        <w:t xml:space="preserve">The fourth priority is to model the competing risks explicitly. The present survival study treats non-deployment as right-censoring, but a fuller treatment would model administrative lapse, surrender, and dissolution as a competing risk distinct from continued dormancy, since a system that has formally surrendered its authorization is in a different state than one that is merely slow. The mega-constellation deployment record</w:t>
      </w:r>
      <w:r>
        <w:t xml:space="preserve"> </w:t>
      </w:r>
      <w:hyperlink w:anchor="ref-11">
        <w:r>
          <w:rPr>
            <w:rStyle w:val="Hyperlink"/>
          </w:rPr>
          <w:t xml:space="preserve">[11]</w:t>
        </w:r>
      </w:hyperlink>
      <w:r>
        <w:t xml:space="preserve"> </w:t>
      </w:r>
      <w:r>
        <w:t xml:space="preserve">and the capacity-management literature</w:t>
      </w:r>
      <w:r>
        <w:t xml:space="preserve"> </w:t>
      </w:r>
      <w:hyperlink w:anchor="ref-7">
        <w:r>
          <w:rPr>
            <w:rStyle w:val="Hyperlink"/>
          </w:rPr>
          <w:t xml:space="preserve">[7]</w:t>
        </w:r>
      </w:hyperlink>
      <w:r>
        <w:t xml:space="preserve"> </w:t>
      </w:r>
      <w:r>
        <w:t xml:space="preserve">both suggest that the transitions between these states carry information about operator intent that a single-event survival model does not capture.</w:t>
      </w:r>
    </w:p>
    <w:p>
      <w:pPr>
        <w:pStyle w:val="BodyText"/>
        <w:spacing w:line="480" w:lineRule="auto"/>
        <w:ind w:firstLine="720"/>
      </w:pPr>
      <w:r>
        <w:t xml:space="preserve">The fifth priority is to connect the conversion model back to the environment-modeling pipeline it is meant to correct. The natural deliverable is a conversion-adjusted reference scenario: take the announced-systems input that current practice ingests at face value</w:t>
      </w:r>
      <w:r>
        <w:t xml:space="preserve"> </w:t>
      </w:r>
      <w:hyperlink w:anchor="ref-1">
        <w:r>
          <w:rPr>
            <w:rStyle w:val="Hyperlink"/>
          </w:rPr>
          <w:t xml:space="preserve">[1]</w:t>
        </w:r>
      </w:hyperlink>
      <w:r>
        <w:t xml:space="preserve">, weight each system by its estimated conversion probability and expected timing, and report how the near-term population trajectory and the resulting carrying-capacity and collision-rate estimates change. This would turn the dissertation’s diagnostic finding into a usable correction and would let the modeling community quantify the optimism bias rather than merely acknowledge it. It would also let NASA and JPL program offices adopt the corrected scenario directly rather than applying the conversion model by hand.</w:t>
      </w:r>
    </w:p>
    <w:p>
      <w:pPr>
        <w:pStyle w:val="BodyText"/>
        <w:spacing w:line="480" w:lineRule="auto"/>
        <w:ind w:firstLine="720"/>
      </w:pPr>
      <w:r>
        <w:t xml:space="preserve">The sixth and broadest priority is to study the policy feedback loop. If a performance-based or milestone-based entry regime of the kind the capacity literature proposes</w:t>
      </w:r>
      <w:r>
        <w:t xml:space="preserve"> </w:t>
      </w:r>
      <w:hyperlink w:anchor="ref-3">
        <w:r>
          <w:rPr>
            <w:rStyle w:val="Hyperlink"/>
          </w:rPr>
          <w:t xml:space="preserve">[3]</w:t>
        </w:r>
      </w:hyperlink>
      <w:r>
        <w:t xml:space="preserve"> </w:t>
      </w:r>
      <w:r>
        <w:t xml:space="preserve">were adopted, filing incentives would change, and the conversion relationship estimated on the pre-reform regime would no longer hold. A forward-looking research program would model how operators would respond to a regime that rationed orbital capacity by realized rather than filed deployment, drawing on the incentive logic that Weinzierl applies to the orbital commons</w:t>
      </w:r>
      <w:r>
        <w:t xml:space="preserve"> </w:t>
      </w:r>
      <w:hyperlink w:anchor="ref-6">
        <w:r>
          <w:rPr>
            <w:rStyle w:val="Hyperlink"/>
          </w:rPr>
          <w:t xml:space="preserve">[6]</w:t>
        </w:r>
      </w:hyperlink>
      <w:r>
        <w:t xml:space="preserve">[10] and on the sustainability framing that treats spectrum, debris, and property rights as a single contested commons</w:t>
      </w:r>
      <w:r>
        <w:t xml:space="preserve"> </w:t>
      </w:r>
      <w:hyperlink w:anchor="ref-5">
        <w:r>
          <w:rPr>
            <w:rStyle w:val="Hyperlink"/>
          </w:rPr>
          <w:t xml:space="preserve">[5]</w:t>
        </w:r>
      </w:hyperlink>
      <w:r>
        <w:t xml:space="preserve">. The goal would be a regime design that is robust to the warehousing behavior this dissertation measures, one that rewards the fast-converting head of the distribution and prices the dormant tail without penalizing the genuine megaconstellations that happen to file at large scale.</w:t>
      </w:r>
    </w:p>
    <w:bookmarkEnd w:id="125"/>
    <w:bookmarkStart w:id="126" w:name="conclusion-to-the-chapter"/>
    <w:p>
      <w:pPr>
        <w:pStyle w:val="Heading2"/>
        <w:spacing w:line="480" w:lineRule="auto"/>
      </w:pPr>
      <w:r>
        <w:t xml:space="preserve">7.6 Conclusion to the Chapter</w:t>
      </w:r>
    </w:p>
    <w:p>
      <w:pPr>
        <w:pStyle w:val="FirstParagraph"/>
        <w:spacing w:line="480" w:lineRule="auto"/>
      </w:pPr>
      <w:r>
        <w:t xml:space="preserve">The dissertation set out to test whether ITU and FCC NGSO filings predict actual on-orbit deployment, and it answered conditionally. They do, for the systems that deploy quickly, and they do not, for the systems that sit dormant for years, and the line between the two is drawn by operator capability and filing posture rather than by the scale of the filing. For NASA, the finding argues for conversion-adjusting any analysis that ingests announced systems and for carrying that correction into the agency’s environment models and its interagency spectrum posture. For JPL, it argues for partner-viability assessments that weight track record and filing posture over filed scale, for schedule screens that treat the conversion distribution as bimodal rather than smooth, and for trade studies sized to realized rather than filed congestion. The strongest result is the simplest and the most robust to the model’s limitations: the regulatory queue is not a uniform forecast of the sky but a bimodal record of intentions, and the obvious size-based proxy for separating real capacity from phantom capacity does not do the work the field has assumed it does. That fact, candidly reported with its limits, is the contribution the downstream models and decision processes most need.</w:t>
      </w:r>
    </w:p>
    <w:bookmarkEnd w:id="126"/>
    <w:bookmarkEnd w:id="127"/>
    <w:bookmarkStart w:id="176" w:name="chapter-8.-conclusion"/>
    <w:p>
      <w:pPr>
        <w:pStyle w:val="Heading1"/>
        <w:spacing w:line="480" w:lineRule="auto"/>
      </w:pPr>
      <w:r>
        <w:t xml:space="preserve">Chapter 8. Conclusion</w:t>
      </w:r>
    </w:p>
    <w:bookmarkStart w:id="128" w:name="the-question-restated"/>
    <w:p>
      <w:pPr>
        <w:pStyle w:val="Heading2"/>
        <w:spacing w:line="480" w:lineRule="auto"/>
      </w:pPr>
      <w:r>
        <w:t xml:space="preserve">8.1 The Question Restated</w:t>
      </w:r>
    </w:p>
    <w:p>
      <w:pPr>
        <w:pStyle w:val="FirstParagraph"/>
        <w:spacing w:line="480" w:lineRule="auto"/>
      </w:pPr>
      <w:r>
        <w:t xml:space="preserve">This dissertation began with a deceptively simple administrative observation and pursued it to a measurable empirical conclusion. The observation was that a regulatory filing for a non-geostationary satellite orbit (NGSO) system is logically prior to, and far cheaper than, the hardware it purports to describe. An operator that lodges a coordination request with the International Telecommunication Union or a market-access petition with the United States Federal Communications Commission acquires a queue position over orbital frequency assignments and orbital shells long before any spacecraft is integrated, launched, or commissioned. The central question that followed was whether such filings function predominantly as engineering announcements of imminent build-out, the build-intent account, or as warehousing claims that reserve scarce spectrum and orbital shells against speculative or defensive futures, the warehousing account.</w:t>
      </w:r>
    </w:p>
    <w:p>
      <w:pPr>
        <w:pStyle w:val="BodyText"/>
        <w:spacing w:line="480" w:lineRule="auto"/>
        <w:ind w:firstLine="720"/>
      </w:pPr>
      <w:r>
        <w:t xml:space="preserve">The distinction was never merely taxonomic. If filing volume systematically overstates the satellites that materialize on orbit, then the international queue is congested with phantom capacity, downstream coordination is distorted, and every forecast of the resident-space-object population that begins from filing or announcement data inherits an optimism bias it does not disclose. Because reference-scenario work for space-environment modeling builds its near-term deployment trajectory directly from announced systems</w:t>
      </w:r>
      <w:r>
        <w:t xml:space="preserve"> </w:t>
      </w:r>
      <w:hyperlink w:anchor="ref-1">
        <w:r>
          <w:rPr>
            <w:rStyle w:val="Hyperlink"/>
          </w:rPr>
          <w:t xml:space="preserve">[1]</w:t>
        </w:r>
      </w:hyperlink>
      <w:r>
        <w:t xml:space="preserve">, the question of conversion is not a curiosity at the margin of the field. It is an input assumption that the field’s predictive machinery rests upon and has not, until this work, measured.</w:t>
      </w:r>
    </w:p>
    <w:p>
      <w:pPr>
        <w:pStyle w:val="BodyText"/>
        <w:spacing w:line="480" w:lineRule="auto"/>
        <w:ind w:firstLine="720"/>
      </w:pPr>
      <w:r>
        <w:t xml:space="preserve">This concluding chapter synthesizes the argument across the prospectus and the two empirical studies, states the contribution to knowledge with the candor the evidence demands, and closes with the warranted claim and its limits.</w:t>
      </w:r>
    </w:p>
    <w:bookmarkEnd w:id="128"/>
    <w:bookmarkStart w:id="129" w:name="synthesis-of-the-argument"/>
    <w:p>
      <w:pPr>
        <w:pStyle w:val="Heading2"/>
        <w:spacing w:line="480" w:lineRule="auto"/>
      </w:pPr>
      <w:r>
        <w:t xml:space="preserve">8.2 Synthesis of the Argument</w:t>
      </w:r>
    </w:p>
    <w:p>
      <w:pPr>
        <w:pStyle w:val="FirstParagraph"/>
        <w:spacing w:line="480" w:lineRule="auto"/>
      </w:pPr>
      <w:r>
        <w:t xml:space="preserve">The argument advanced in three movements: a framing that located an identification gap, a binary conversion study that measured the rate, and a survival study that measured the timing. Each is necessary to the whole. Together the three produce a finding more textured than the original hypothesis anticipated.</w:t>
      </w:r>
    </w:p>
    <w:p>
      <w:pPr>
        <w:pStyle w:val="BodyText"/>
        <w:spacing w:line="480" w:lineRule="auto"/>
        <w:ind w:firstLine="720"/>
      </w:pPr>
      <w:r>
        <w:t xml:space="preserve">The framing established that the literature contained two mature streams and one absence at their intersection. The first stream treats orbital capacity as a derivable, shell-specific quantity governed by compliance behavior and embeds it in policy constructs intended for international adoption, with maximum sustainable capacity derived per altitude shell as a function of deorbit compliance and collision-avoidance capability</w:t>
      </w:r>
      <w:r>
        <w:t xml:space="preserve"> </w:t>
      </w:r>
      <w:hyperlink w:anchor="ref-3">
        <w:r>
          <w:rPr>
            <w:rStyle w:val="Hyperlink"/>
          </w:rPr>
          <w:t xml:space="preserve">[3]</w:t>
        </w:r>
      </w:hyperlink>
      <w:r>
        <w:t xml:space="preserve">[4]. The second stream models the space environment by ingesting near-term deployment scenarios built from announced systems</w:t>
      </w:r>
      <w:r>
        <w:t xml:space="preserve"> </w:t>
      </w:r>
      <w:hyperlink w:anchor="ref-1">
        <w:r>
          <w:rPr>
            <w:rStyle w:val="Hyperlink"/>
          </w:rPr>
          <w:t xml:space="preserve">[1]</w:t>
        </w:r>
      </w:hyperlink>
      <w:r>
        <w:t xml:space="preserve"> </w:t>
      </w:r>
      <w:r>
        <w:t xml:space="preserve">and reasons about operator incentives under finite orbital resources</w:t>
      </w:r>
      <w:r>
        <w:t xml:space="preserve"> </w:t>
      </w:r>
      <w:hyperlink w:anchor="ref-5">
        <w:r>
          <w:rPr>
            <w:rStyle w:val="Hyperlink"/>
          </w:rPr>
          <w:t xml:space="preserve">[5]</w:t>
        </w:r>
      </w:hyperlink>
      <w:r>
        <w:t xml:space="preserve">[6]. Both streams take the population of systems as an input. Neither interrogates the upstream administrative act that generates that input, nor measures the rate at which filings convert into the deployed objects that the capacity estimates and environment models assume. The gap was therefore an identification gap rather than a topical one: until the conversion relationship is measured, every downstream estimate that begins from announced or filed systems carries an unquantified and undeclared optimism bias. The economic logic that motivated the warehousing hypothesis was not novel to this work but inherited from the space-economy literature, where speculative reservation, ex ante quality incentives, and the treatment of spectrum usage as a contested claim on shared resources are already established</w:t>
      </w:r>
      <w:r>
        <w:t xml:space="preserve"> </w:t>
      </w:r>
      <w:hyperlink w:anchor="ref-5">
        <w:r>
          <w:rPr>
            <w:rStyle w:val="Hyperlink"/>
          </w:rPr>
          <w:t xml:space="preserve">[5]</w:t>
        </w:r>
      </w:hyperlink>
      <w:r>
        <w:t xml:space="preserve">[6]. Spectrum warehousing is the spectrum analogue of incentive distortions that the literature documents for the physical orbital commons.</w:t>
      </w:r>
    </w:p>
    <w:p>
      <w:pPr>
        <w:pStyle w:val="BodyText"/>
        <w:spacing w:line="480" w:lineRule="auto"/>
        <w:ind w:firstLine="720"/>
      </w:pPr>
      <w:r>
        <w:t xml:space="preserve">The first empirical study answered the question of magnitude. Estimating a logistic regression of materialization on filing attributes across a census of twenty-four documented systems, it found that six materialized and eighteen did not, an overall conversion rate of one in four. The</w:t>
      </w:r>
      <w:r>
        <w:t xml:space="preserve"> </w:t>
      </w:r>
      <w:r>
        <w:t xml:space="preserve">“internet in the sky”</w:t>
      </w:r>
      <w:r>
        <w:t xml:space="preserve"> </w:t>
      </w:r>
      <w:r>
        <w:t xml:space="preserve">filings of the late 1990s and the 2016 to 2021 FCC processing rounds converted at roughly the same low rate. On the central magnitude question, the verdict was unambiguous: the queue is a poor forecast of the sky, with three filings in four failing to reach the materiality threshold. This supported the magnitude prong of the warehousing hypothesis decisively. Yet the same study delivered an honest complication. The covariate that the literature and intuition nominate as the cleanest warehousing signal, the logged size of the filed system, carried no predictive weight; its coefficient was statistically indistinguishable from zero and, if anything, pointed in the direction opposite to the warehousing prediction. The two largest converters were also among the largest filings, and the mean filed size of materialized systems exceeded that of non-materialized systems. The one attribute that did carry significant weight, the concurrent-filings indicator, did so with a positive sign: filers who lodged multiple overlapping NGSO filings were substantially more likely, not less, to deploy. In this sample, simultaneous filing tracked capability and seriousness rather than speculation.</w:t>
      </w:r>
    </w:p>
    <w:p>
      <w:pPr>
        <w:pStyle w:val="BodyText"/>
        <w:spacing w:line="480" w:lineRule="auto"/>
        <w:ind w:firstLine="720"/>
      </w:pPr>
      <w:r>
        <w:t xml:space="preserve">The second empirical study answered the question of timing. A filing is a timed claim, and a binary classifier that counts a system launched in fourteen months as identical to one launched in thirty-nine months, and that must arbitrarily decide how to treat systems whose horizon has not closed, discards information the question requires. The Cox proportional-hazards model on twenty-six authorized systems used the full timing information and handled right-censoring directly. Its descriptive finding was the strongest result in the dissertation and did not depend on any parametric assumption: systems that deployed reached their first on-orbit spacecraft at a median of six months from authorization, while systems that have not deployed have sat a median of eighty-six months without a single spacecraft. The queue is not slow on average; it is bimodal. It splits into systems that move almost immediately and systems that do not move at all. The hazard model again qualified the simplest warehousing mechanism: the coefficient on log filed size was positive rather than negative and not statistically distinguishable from zero, and the filer attributes pointed in the expected directions without reaching conventional significance in a sample with seventeen events. The warehousing signal in this population lives in the censoring structure, in the dormant tail, and not in any monotone effect of filed satellite count.</w:t>
      </w:r>
    </w:p>
    <w:p>
      <w:pPr>
        <w:pStyle w:val="BodyText"/>
        <w:spacing w:line="480" w:lineRule="auto"/>
        <w:ind w:firstLine="720"/>
      </w:pPr>
      <w:r>
        <w:t xml:space="preserve">The two studies converge, and they converge hard. Both reject the build-intent null on magnitude: conversion is far below one whether measured as a rate or read off the dormant tail of a survival curve. Both reject the narrowest reading of the warehousing hypothesis on mechanism: filed system size, the obvious proxy, does not separate phantom capacity from real capacity. The synthesized finding is therefore that the warehousing account is correct about the aggregate and wrong about the proxy. The queue contains a great deal of capacity that never materializes, but the systems that fail to materialize are not the large ones, and a regulator or modeler who wishes to discount phantom capacity cannot do so by simply down-weighting the biggest filings, because the biggest filings include the genuine megaconstellations.</w:t>
      </w:r>
    </w:p>
    <w:bookmarkEnd w:id="129"/>
    <w:bookmarkStart w:id="130" w:name="contribution-to-knowledge"/>
    <w:p>
      <w:pPr>
        <w:pStyle w:val="Heading2"/>
        <w:spacing w:line="480" w:lineRule="auto"/>
      </w:pPr>
      <w:r>
        <w:t xml:space="preserve">8.3 Contribution to Knowledge</w:t>
      </w:r>
    </w:p>
    <w:p>
      <w:pPr>
        <w:pStyle w:val="FirstParagraph"/>
        <w:spacing w:line="480" w:lineRule="auto"/>
      </w:pPr>
      <w:r>
        <w:t xml:space="preserve">The single falsifiable contribution promised in the prospectus was a calibrated, out-of-sample predictive model of NGSO filing-to-deployment conversion together with a formal test of the warehousing hypothesis against the build-intent null. That contribution has been delivered in two complementary specifications, the binary-conversion logit and the time-to-event Cox model, and the test has rendered a verdict that is falsifiable in both directions and was permitted to come out mixed rather than tidy.</w:t>
      </w:r>
    </w:p>
    <w:p>
      <w:pPr>
        <w:pStyle w:val="BodyText"/>
        <w:spacing w:line="480" w:lineRule="auto"/>
        <w:ind w:firstLine="720"/>
      </w:pPr>
      <w:r>
        <w:t xml:space="preserve">The contribution to knowledge has four components. First, the dissertation supplies the first-order empirical fact that the warehousing debate needs and previously lacked: the NGSO queue converts at approximately one in four, and the deploying and dormant populations are separated by an order of magnitude in waiting time. This fact closes the identification gap by making filing-to-deployment conversion the object of measurement rather than a maintained assumption, and it does so against named, public ground truth rather than against modeled inputs.</w:t>
      </w:r>
    </w:p>
    <w:p>
      <w:pPr>
        <w:pStyle w:val="BodyText"/>
        <w:spacing w:line="480" w:lineRule="auto"/>
        <w:ind w:firstLine="720"/>
      </w:pPr>
      <w:r>
        <w:t xml:space="preserve">Second, the dissertation demonstrates that the intuitive size-based proxy for warehousing fails. This is a genuinely useful negative result. The capacity and entry-regime literature presupposes that a regulator can distinguish real entrants from nominal ones, and the most natural candidate for that discrimination, the scale of the filed claim, is shown across two independent specifications to lack the discriminating power that intuition assigns it. Any performance-based entry regime modeled on aviation airspace classification</w:t>
      </w:r>
      <w:r>
        <w:t xml:space="preserve"> </w:t>
      </w:r>
      <w:hyperlink w:anchor="ref-3">
        <w:r>
          <w:rPr>
            <w:rStyle w:val="Hyperlink"/>
          </w:rPr>
          <w:t xml:space="preserve">[3]</w:t>
        </w:r>
      </w:hyperlink>
      <w:r>
        <w:t xml:space="preserve"> </w:t>
      </w:r>
      <w:r>
        <w:t xml:space="preserve">that proposes to ration capacity by penalizing large filings would, on this evidence, penalize the wrong systems.</w:t>
      </w:r>
    </w:p>
    <w:p>
      <w:pPr>
        <w:pStyle w:val="BodyText"/>
        <w:spacing w:line="480" w:lineRule="auto"/>
        <w:ind w:firstLine="720"/>
      </w:pPr>
      <w:r>
        <w:t xml:space="preserve">Third, the dissertation surfaces a candidate signal that does carry information and inverts the naive expectation. Filing posture, specifically the breadth of an operator’s simultaneous filings, behaves in this sample as a marker of committed capability rather than of speculation. This is offered not as a settled coefficient but as a hypothesis for confirmation on a larger census, and it is the most promising lead the work generates for future discrimination of real from phantom capacity.</w:t>
      </w:r>
    </w:p>
    <w:p>
      <w:pPr>
        <w:pStyle w:val="BodyText"/>
        <w:spacing w:line="480" w:lineRule="auto"/>
        <w:ind w:firstLine="720"/>
      </w:pPr>
      <w:r>
        <w:t xml:space="preserve">Fourth, and methodologically, the dissertation establishes that the conversion question is properly a question about timing and censoring, not only about occurrence. The bimodal survival structure, with a fast-deploying head and a dormant tail sitting across an eighty-six-month median window, is invisible to a binary cross-section and is the structure that downstream environment models most need to internalize. A reference scenario that scales near-term deployment to announced systems on a common short horizon will be approximately right for the fast-converting head and badly wrong for the dormant tail</w:t>
      </w:r>
      <w:r>
        <w:t xml:space="preserve"> </w:t>
      </w:r>
      <w:hyperlink w:anchor="ref-1">
        <w:r>
          <w:rPr>
            <w:rStyle w:val="Hyperlink"/>
          </w:rPr>
          <w:t xml:space="preserve">[1]</w:t>
        </w:r>
      </w:hyperlink>
      <w:r>
        <w:t xml:space="preserve">, and the magnitude of that tail is now measured rather than assumed.</w:t>
      </w:r>
    </w:p>
    <w:p>
      <w:pPr>
        <w:pStyle w:val="BodyText"/>
        <w:spacing w:line="480" w:lineRule="auto"/>
        <w:ind w:firstLine="720"/>
      </w:pPr>
      <w:r>
        <w:t xml:space="preserve">These contributions are bounded by the evidence that produced them, and the dissertation has reported those bounds rather than discounting them. The samples are small, twenty-four and twenty-six systems with the corresponding event counts, which supports parsimonious models and wide confidence intervals; the parametric nulls on the continuous covariates should be read as the absence of a detectable effect at this sample size, not as a demonstrated absence of effect. Materialization is measured as catalog or launch presence rather than operational commercial service, a boundary the work states plainly and does not exceed. The deployment clock in the survival study starts at the FCC grant date, which postdates the original ITU priority date and compresses the measured waiting time for systems that filed internationally first. The pooled samples span regulatory eras with different incentive structures, trading statistical power against the risk that the conversion relationship is not stable across regimes. None of these limits undoes the first-order findings, which are robust to specification because they are visible in the raw descriptive data before any model is fit, but each circumscribes the strength of the parametric claims and points to the natural next step: a larger filing census drawn from the documented application universe</w:t>
      </w:r>
      <w:r>
        <w:t xml:space="preserve"> </w:t>
      </w:r>
      <w:hyperlink w:anchor="ref-8">
        <w:r>
          <w:rPr>
            <w:rStyle w:val="Hyperlink"/>
          </w:rPr>
          <w:t xml:space="preserve">[8]</w:t>
        </w:r>
      </w:hyperlink>
      <w:r>
        <w:t xml:space="preserve">, with the ITU priority date as the clock origin, sufficient to test whether the positive size coefficient and the positive concurrent-filing effect survive or reverse.</w:t>
      </w:r>
    </w:p>
    <w:bookmarkEnd w:id="130"/>
    <w:bookmarkStart w:id="131" w:name="implications"/>
    <w:p>
      <w:pPr>
        <w:pStyle w:val="Heading2"/>
        <w:spacing w:line="480" w:lineRule="auto"/>
      </w:pPr>
      <w:r>
        <w:t xml:space="preserve">8.4 Implications</w:t>
      </w:r>
    </w:p>
    <w:p>
      <w:pPr>
        <w:pStyle w:val="FirstParagraph"/>
        <w:spacing w:line="480" w:lineRule="auto"/>
      </w:pPr>
      <w:r>
        <w:t xml:space="preserve">For the modeling and policy communities the implication is immediate and practical. Any near-term deployment scenario that ingests filed or announced systems at face value will overstate the realized population, because three filings in four do not convert and the dormant tail waits years rather than months</w:t>
      </w:r>
      <w:r>
        <w:t xml:space="preserve"> </w:t>
      </w:r>
      <w:hyperlink w:anchor="ref-1">
        <w:r>
          <w:rPr>
            <w:rStyle w:val="Hyperlink"/>
          </w:rPr>
          <w:t xml:space="preserve">[1]</w:t>
        </w:r>
      </w:hyperlink>
      <w:r>
        <w:t xml:space="preserve">. The bias is large in aggregate even though it is not cleanly predicted by filed size at the level of the individual system. A modeler who wishes to discount phantom capacity cannot lean on a simple size threshold, and a regulator designing a performance-based entry regime cannot ration by filed satellite count alone, because count does not do the sorting that the regime requires</w:t>
      </w:r>
      <w:r>
        <w:t xml:space="preserve"> </w:t>
      </w:r>
      <w:hyperlink w:anchor="ref-3">
        <w:r>
          <w:rPr>
            <w:rStyle w:val="Hyperlink"/>
          </w:rPr>
          <w:t xml:space="preserve">[3]</w:t>
        </w:r>
      </w:hyperlink>
      <w:r>
        <w:t xml:space="preserve">. The more discriminating signal in this evidence is the operator’s filing posture, and the better treatment of recent filings is to recognize that their outcomes are right-censored rather than null, a distinction the survival framing makes operational.</w:t>
      </w:r>
    </w:p>
    <w:p>
      <w:pPr>
        <w:pStyle w:val="BodyText"/>
        <w:spacing w:line="480" w:lineRule="auto"/>
        <w:ind w:firstLine="720"/>
      </w:pPr>
      <w:r>
        <w:t xml:space="preserve">For the warehousing debate itself, the dissertation reframes the terms. The debate has often been conducted as though establishing that the queue overstates the sky would also establish that large speculative filings are the culprit. This work separates the two propositions and supports only the first. The queue does overstate the sky, substantially and measurably. But the phantom capacity is not concentrated in the large filings, and the policy instinct to discipline the queue by targeting the most ambitious constellations is, on this evidence, aimed at the wrong target.</w:t>
      </w:r>
    </w:p>
    <w:bookmarkEnd w:id="131"/>
    <w:bookmarkStart w:id="132" w:name="closing-statement"/>
    <w:p>
      <w:pPr>
        <w:pStyle w:val="Heading2"/>
        <w:spacing w:line="480" w:lineRule="auto"/>
      </w:pPr>
      <w:r>
        <w:t xml:space="preserve">8.5 Closing Statement</w:t>
      </w:r>
    </w:p>
    <w:p>
      <w:pPr>
        <w:pStyle w:val="FirstParagraph"/>
        <w:spacing w:line="480" w:lineRule="auto"/>
      </w:pPr>
      <w:r>
        <w:t xml:space="preserve">The dissertation set out to determine whether ITU and FCC NGSO filings predict actual on-orbit deployment, and the answer it reaches is conditional, measured, and honest. Filings predict deployment well for the systems that deploy quickly and not at all for the systems that do not, and the line between the two groups is not drawn by the size of the filed claim. Across a binary conversion study and a survival study, built on linked public records of filings and on-orbit objects, the queue converts at roughly one in four, the deploying and dormant populations are separated by an order of magnitude in waiting time, and the intuitive size-based warehousing proxy carries no predictive weight while filing breadth unexpectedly tracks build commitment.</w:t>
      </w:r>
    </w:p>
    <w:p>
      <w:pPr>
        <w:pStyle w:val="BodyText"/>
        <w:spacing w:line="480" w:lineRule="auto"/>
        <w:ind w:firstLine="720"/>
      </w:pPr>
      <w:r>
        <w:t xml:space="preserve">The warehousing account is therefore vindicated in its central empirical claim and corrected in its assumed mechanism. The regulatory queue is, in the aggregate, an inflated ledger of intentions rather than a faithful forecast of the sky, and the field that has been treating it as a forecast now has a measured conversion relationship to put in its place. The capacity work that asks how many satellites a shell can sustain</w:t>
      </w:r>
      <w:r>
        <w:t xml:space="preserve"> </w:t>
      </w:r>
      <w:hyperlink w:anchor="ref-4">
        <w:r>
          <w:rPr>
            <w:rStyle w:val="Hyperlink"/>
          </w:rPr>
          <w:t xml:space="preserve">[4]</w:t>
        </w:r>
      </w:hyperlink>
      <w:r>
        <w:t xml:space="preserve">, the environment-modeling work that asks what the near-term trajectory looks like</w:t>
      </w:r>
      <w:r>
        <w:t xml:space="preserve"> </w:t>
      </w:r>
      <w:hyperlink w:anchor="ref-1">
        <w:r>
          <w:rPr>
            <w:rStyle w:val="Hyperlink"/>
          </w:rPr>
          <w:t xml:space="preserve">[1]</w:t>
        </w:r>
      </w:hyperlink>
      <w:r>
        <w:t xml:space="preserve">, and the incentive work that asks how operators behave under scarcity and shared rights</w:t>
      </w:r>
      <w:r>
        <w:t xml:space="preserve"> </w:t>
      </w:r>
      <w:hyperlink w:anchor="ref-5">
        <w:r>
          <w:rPr>
            <w:rStyle w:val="Hyperlink"/>
          </w:rPr>
          <w:t xml:space="preserve">[5]</w:t>
        </w:r>
      </w:hyperlink>
      <w:r>
        <w:t xml:space="preserve">[6] can each now begin from a measured rather than an assumed conversion rate. The most consequential thing this dissertation establishes is also the simplest: the paper population and the orbital population are not the same population, the gap between them is large and timed and bimodal, and the obvious shortcut for telling phantom capacity from real capacity does not work. Closing that gap with evidence, rather than legislating it away by assumption, is the contribution this work offers to the governance of a finite and increasingly contested orbital commons.</w:t>
      </w:r>
    </w:p>
    <w:bookmarkEnd w:id="132"/>
    <w:bookmarkStart w:id="175" w:name="references"/>
    <w:p>
      <w:pPr>
        <w:pStyle w:val="Heading2"/>
        <w:spacing w:line="480" w:lineRule="auto"/>
      </w:pPr>
      <w:r>
        <w:t xml:space="preserve">References</w:t>
      </w:r>
    </w:p>
    <w:p>
      <w:pPr>
        <w:pStyle w:val="FirstParagraph"/>
        <w:spacing w:line="480" w:lineRule="auto"/>
      </w:pPr>
      <w:bookmarkStart w:id="133" w:name="ref-1"/>
      <w:bookmarkEnd w:id="133"/>
      <w:r>
        <w:t xml:space="preserve">1. M. Lifson, A. Baset, G. Cates, B. Chen, A. Connor, C. Coursey, G. Henning, M. Miyamoto, G. E. Peterson, B. Weeden, G. Williams, I. Brownhall, M. Burgess, M. Holzinger, D. Kaffine, M. Moretto, and A. Rao,</w:t>
      </w:r>
      <w:r>
        <w:t xml:space="preserve"> </w:t>
      </w:r>
      <w:r>
        <w:t xml:space="preserve">“Development of Reference Scenarios and Supporting Inputs for Space Environment Modeling,”</w:t>
      </w:r>
      <w:r>
        <w:t xml:space="preserve"> </w:t>
      </w:r>
      <w:r>
        <w:t xml:space="preserve">Proc. Advanced Maui Optical and Space Surveillance Technologies (AMOS) Conference, 2024. doi:</w:t>
      </w:r>
      <w:r>
        <w:t xml:space="preserve"> </w:t>
      </w:r>
      <w:hyperlink r:id="rId134">
        <w:r>
          <w:rPr>
            <w:rStyle w:val="Hyperlink"/>
          </w:rPr>
          <w:t xml:space="preserve">10.64861/QBNC8763</w:t>
        </w:r>
      </w:hyperlink>
    </w:p>
    <w:p>
      <w:pPr>
        <w:pStyle w:val="BodyText"/>
        <w:spacing w:line="480" w:lineRule="auto"/>
        <w:ind w:firstLine="720"/>
      </w:pPr>
      <w:bookmarkStart w:id="135" w:name="ref-2"/>
      <w:bookmarkEnd w:id="135"/>
      <w:r>
        <w:t xml:space="preserve">2. B. Stilwell et al.,</w:t>
      </w:r>
      <w:r>
        <w:t xml:space="preserve"> </w:t>
      </w:r>
      <w:r>
        <w:t xml:space="preserve">“Stable and Sustainable Orbital Capacity Solutions in LEO,”</w:t>
      </w:r>
      <w:r>
        <w:t xml:space="preserve"> </w:t>
      </w:r>
      <w:r>
        <w:t xml:space="preserve">Space Economy Papers corpus (source key S1).</w:t>
      </w:r>
    </w:p>
    <w:p>
      <w:pPr>
        <w:pStyle w:val="BodyText"/>
        <w:spacing w:line="480" w:lineRule="auto"/>
        <w:ind w:firstLine="720"/>
      </w:pPr>
      <w:bookmarkStart w:id="136" w:name="ref-3"/>
      <w:bookmarkEnd w:id="136"/>
      <w:r>
        <w:t xml:space="preserve">3. B. Stilwell et al.,</w:t>
      </w:r>
      <w:r>
        <w:t xml:space="preserve"> </w:t>
      </w:r>
      <w:r>
        <w:t xml:space="preserve">“Integrating Orbital Carrying Capacity into International Policy Constructs: A Policy-Based Orbital Classification Framework for LEO,”</w:t>
      </w:r>
      <w:r>
        <w:t xml:space="preserve"> </w:t>
      </w:r>
      <w:r>
        <w:t xml:space="preserve">presented at ASCEND 2025, Space Economy Papers corpus (source key SD02).</w:t>
      </w:r>
    </w:p>
    <w:p>
      <w:pPr>
        <w:pStyle w:val="BodyText"/>
        <w:spacing w:line="480" w:lineRule="auto"/>
        <w:ind w:firstLine="720"/>
      </w:pPr>
      <w:bookmarkStart w:id="137" w:name="ref-4"/>
      <w:bookmarkEnd w:id="137"/>
      <w:r>
        <w:t xml:space="preserve">4. B. Stilwell,</w:t>
      </w:r>
      <w:r>
        <w:t xml:space="preserve"> </w:t>
      </w:r>
      <w:r>
        <w:t xml:space="preserve">“Integrating Orbital Carrying Capacity into International Policy Constructs,”</w:t>
      </w:r>
      <w:r>
        <w:t xml:space="preserve"> </w:t>
      </w:r>
      <w:r>
        <w:t xml:space="preserve">IAC-24-A6.10-E9.4.11 (x89152), International Astronautical Congress, 2024, Space Economy Papers corpus (source key SD01).</w:t>
      </w:r>
    </w:p>
    <w:p>
      <w:pPr>
        <w:pStyle w:val="BodyText"/>
        <w:spacing w:line="480" w:lineRule="auto"/>
        <w:ind w:firstLine="720"/>
      </w:pPr>
      <w:bookmarkStart w:id="138" w:name="ref-5"/>
      <w:bookmarkEnd w:id="138"/>
      <w:r>
        <w:t xml:space="preserve">5.</w:t>
      </w:r>
      <w:r>
        <w:t xml:space="preserve"> </w:t>
      </w:r>
      <w:r>
        <w:t xml:space="preserve">“The Role of Space in Driving Sustainability, Security, and Development,”</w:t>
      </w:r>
      <w:r>
        <w:t xml:space="preserve"> </w:t>
      </w:r>
      <w:r>
        <w:t xml:space="preserve">Space Economy Papers corpus (source key SD13).</w:t>
      </w:r>
    </w:p>
    <w:p>
      <w:pPr>
        <w:pStyle w:val="BodyText"/>
        <w:spacing w:line="480" w:lineRule="auto"/>
        <w:ind w:firstLine="720"/>
      </w:pPr>
      <w:bookmarkStart w:id="139" w:name="ref-6"/>
      <w:bookmarkEnd w:id="139"/>
      <w:r>
        <w:t xml:space="preserve">6. M. Weinzierl,</w:t>
      </w:r>
      <w:r>
        <w:t xml:space="preserve"> </w:t>
      </w:r>
      <w:r>
        <w:t xml:space="preserve">“Space, the Final Economic Frontier,”</w:t>
      </w:r>
      <w:r>
        <w:t xml:space="preserve"> </w:t>
      </w:r>
      <w:r>
        <w:t xml:space="preserve">2018, Space Economy Papers corpus (source key SD18).</w:t>
      </w:r>
    </w:p>
    <w:p>
      <w:pPr>
        <w:pStyle w:val="BodyText"/>
        <w:spacing w:line="480" w:lineRule="auto"/>
        <w:ind w:firstLine="720"/>
      </w:pPr>
      <w:bookmarkStart w:id="140" w:name="ref-7"/>
      <w:bookmarkEnd w:id="140"/>
      <w:r>
        <w:t xml:space="preserve">7. C. Colombo, P. Martinez, F. Letizia, B. Bonvoisin, et al.,</w:t>
      </w:r>
      <w:r>
        <w:t xml:space="preserve"> </w:t>
      </w:r>
      <w:r>
        <w:t xml:space="preserve">“Space capacity management and its interaction with space traffic management,”</w:t>
      </w:r>
      <w:r>
        <w:t xml:space="preserve"> </w:t>
      </w:r>
      <w:r>
        <w:t xml:space="preserve">Acta Astronautica, 2025. doi:</w:t>
      </w:r>
      <w:r>
        <w:t xml:space="preserve"> </w:t>
      </w:r>
      <w:hyperlink r:id="rId141">
        <w:r>
          <w:rPr>
            <w:rStyle w:val="Hyperlink"/>
          </w:rPr>
          <w:t xml:space="preserve">10.1016/j.actaastro.2025.01.069</w:t>
        </w:r>
      </w:hyperlink>
    </w:p>
    <w:p>
      <w:pPr>
        <w:pStyle w:val="BodyText"/>
        <w:spacing w:line="480" w:lineRule="auto"/>
        <w:ind w:firstLine="720"/>
      </w:pPr>
      <w:bookmarkStart w:id="142" w:name="ref-8"/>
      <w:bookmarkEnd w:id="142"/>
      <w:r>
        <w:t xml:space="preserve">8. K. Fleming, A. Omer, N. Dhulipala, P. Post, and W. Q. Lohmeyer,</w:t>
      </w:r>
      <w:r>
        <w:t xml:space="preserve"> </w:t>
      </w:r>
      <w:r>
        <w:t xml:space="preserve">“Analysis of Federal Communications Commission Nongeostationary Space Station Applications (2000-2022),”</w:t>
      </w:r>
      <w:r>
        <w:t xml:space="preserve"> </w:t>
      </w:r>
      <w:r>
        <w:t xml:space="preserve">Journal of Spacecraft and Rockets, vol. 62, no. 3, 2025. doi:</w:t>
      </w:r>
      <w:r>
        <w:t xml:space="preserve"> </w:t>
      </w:r>
      <w:hyperlink r:id="rId143">
        <w:r>
          <w:rPr>
            <w:rStyle w:val="Hyperlink"/>
          </w:rPr>
          <w:t xml:space="preserve">10.2514/1.A35987</w:t>
        </w:r>
      </w:hyperlink>
    </w:p>
    <w:p>
      <w:pPr>
        <w:pStyle w:val="BodyText"/>
        <w:spacing w:line="480" w:lineRule="auto"/>
        <w:ind w:firstLine="720"/>
      </w:pPr>
      <w:bookmarkStart w:id="144" w:name="ref-9"/>
      <w:bookmarkEnd w:id="144"/>
      <w:r>
        <w:t xml:space="preserve">9. A. D’Ambrosio and R. Linares,</w:t>
      </w:r>
      <w:r>
        <w:t xml:space="preserve"> </w:t>
      </w:r>
      <w:r>
        <w:t xml:space="preserve">“Carrying capacity of low earth orbit computed using source-sink models,”</w:t>
      </w:r>
      <w:r>
        <w:t xml:space="preserve"> </w:t>
      </w:r>
      <w:r>
        <w:t xml:space="preserve">Journal of Spacecraft and Rockets, Space Economy Papers corpus (reference key E2).</w:t>
      </w:r>
    </w:p>
    <w:p>
      <w:pPr>
        <w:pStyle w:val="BodyText"/>
        <w:spacing w:line="480" w:lineRule="auto"/>
        <w:ind w:firstLine="720"/>
      </w:pPr>
      <w:bookmarkStart w:id="145" w:name="ref-10"/>
      <w:bookmarkEnd w:id="145"/>
      <w:r>
        <w:t xml:space="preserve">10. M. Weinzierl,</w:t>
      </w:r>
      <w:r>
        <w:t xml:space="preserve"> </w:t>
      </w:r>
      <w:r>
        <w:t xml:space="preserve">“Space, the Final Economic Frontier,”</w:t>
      </w:r>
      <w:r>
        <w:t xml:space="preserve"> </w:t>
      </w:r>
      <w:r>
        <w:t xml:space="preserve">Journal of Economic Perspectives, 2018, Space Economy Papers corpus (source key SD18).</w:t>
      </w:r>
    </w:p>
    <w:p>
      <w:pPr>
        <w:pStyle w:val="BodyText"/>
        <w:spacing w:line="480" w:lineRule="auto"/>
        <w:ind w:firstLine="720"/>
      </w:pPr>
      <w:bookmarkStart w:id="146" w:name="ref-11"/>
      <w:bookmarkEnd w:id="146"/>
      <w:r>
        <w:t xml:space="preserve">11. C. Ramos, D. McKissock, and J. Parris,</w:t>
      </w:r>
      <w:r>
        <w:t xml:space="preserve"> </w:t>
      </w:r>
      <w:r>
        <w:t xml:space="preserve">“Lessons Learned on Mega-Constellation Deployments and Impact to Space Domain Awareness,”</w:t>
      </w:r>
      <w:r>
        <w:t xml:space="preserve"> </w:t>
      </w:r>
      <w:r>
        <w:t xml:space="preserve">Proc. Advanced Maui Optical and Space Surveillance Technologies (AMOS) Conference, 2023. doi:</w:t>
      </w:r>
      <w:r>
        <w:t xml:space="preserve"> </w:t>
      </w:r>
      <w:hyperlink r:id="rId147">
        <w:r>
          <w:rPr>
            <w:rStyle w:val="Hyperlink"/>
          </w:rPr>
          <w:t xml:space="preserve">10.64861/UKLE4659</w:t>
        </w:r>
      </w:hyperlink>
    </w:p>
    <w:p>
      <w:pPr>
        <w:pStyle w:val="BodyText"/>
        <w:spacing w:line="480" w:lineRule="auto"/>
        <w:ind w:firstLine="720"/>
      </w:pPr>
      <w:bookmarkStart w:id="148" w:name="ref-12"/>
      <w:bookmarkEnd w:id="148"/>
      <w:r>
        <w:t xml:space="preserve">12.</w:t>
      </w:r>
      <w:r>
        <w:t xml:space="preserve"> </w:t>
      </w:r>
      <w:r>
        <w:t xml:space="preserve">“Satellite constellations: International legal and technical aspects,”</w:t>
      </w:r>
      <w:r>
        <w:t xml:space="preserve"> </w:t>
      </w:r>
      <w:r>
        <w:t xml:space="preserve">Acta Astronautica, 2022. doi:</w:t>
      </w:r>
      <w:r>
        <w:t xml:space="preserve"> </w:t>
      </w:r>
      <w:hyperlink r:id="rId149">
        <w:r>
          <w:rPr>
            <w:rStyle w:val="Hyperlink"/>
          </w:rPr>
          <w:t xml:space="preserve">10.1016/j.actaastro.2022.04.019</w:t>
        </w:r>
      </w:hyperlink>
    </w:p>
    <w:p>
      <w:pPr>
        <w:pStyle w:val="BodyText"/>
        <w:spacing w:line="480" w:lineRule="auto"/>
        <w:ind w:firstLine="720"/>
      </w:pPr>
      <w:bookmarkStart w:id="150" w:name="ref-13"/>
      <w:bookmarkEnd w:id="150"/>
      <w:r>
        <w:t xml:space="preserve">13. Audrey Allison, Boeing. WRC-19: New Space Law Enabling the Sustainability of LEO (2020).</w:t>
      </w:r>
    </w:p>
    <w:p>
      <w:pPr>
        <w:pStyle w:val="BodyText"/>
        <w:spacing w:line="480" w:lineRule="auto"/>
        <w:ind w:firstLine="720"/>
      </w:pPr>
      <w:bookmarkStart w:id="151" w:name="ref-14"/>
      <w:bookmarkEnd w:id="151"/>
      <w:r>
        <w:t xml:space="preserve">14. Thomas G. Roberts, Massachusetts Institute of Technology; Richard Linares, Massachusetts Institute of Technology. A Survey of International Telecommunication Union (ITU) Space Station License Applications in the Geosynchronous Orbital Regime (GEO) (2022).</w:t>
      </w:r>
    </w:p>
    <w:p>
      <w:pPr>
        <w:pStyle w:val="BodyText"/>
        <w:spacing w:line="480" w:lineRule="auto"/>
        <w:ind w:firstLine="720"/>
      </w:pPr>
      <w:bookmarkStart w:id="152" w:name="ref-15"/>
      <w:bookmarkEnd w:id="152"/>
      <w:r>
        <w:t xml:space="preserve">15. Mark A. Skinner (Boeing LTS) Thomas M. Kelecy, Stephen A. Gregory, Joseph P. Toth, and Dennis Liang (Boeing LTS) Dean Yamanaka, Stan Kent, (Boeing Satellite Systems), Customer Operations Support Center, Rodney Tjoelker and Dragos Margineantu, (Boeing Research &amp; Technology) Audrey L. Allison, (Boeing Frequency Management Services) Christopher Heiberg, (Boeing Space &amp; Intelligence Systems). Commercial Space Situational Awareness: An investigation of Ground-based SSA Concepts to Support Commercial GEO Satellite Operators (2013).</w:t>
      </w:r>
    </w:p>
    <w:p>
      <w:pPr>
        <w:pStyle w:val="BodyText"/>
        <w:spacing w:line="480" w:lineRule="auto"/>
        <w:ind w:firstLine="720"/>
      </w:pPr>
      <w:bookmarkStart w:id="153" w:name="ref-16"/>
      <w:bookmarkEnd w:id="153"/>
      <w:r>
        <w:t xml:space="preserve">16. Chance Johnson, Defence R&amp;D Canada; Lauchie Scott, Defence R&amp;D Canada; Stefan Thorsteinson, Defence R&amp;D Canada. Comparing Photometric Behavior of LEO Constellations to SpaceX Starlink using a Space-based Optical Sensor (2021).</w:t>
      </w:r>
    </w:p>
    <w:p>
      <w:pPr>
        <w:pStyle w:val="BodyText"/>
        <w:spacing w:line="480" w:lineRule="auto"/>
        <w:ind w:firstLine="720"/>
      </w:pPr>
      <w:bookmarkStart w:id="154" w:name="ref-17"/>
      <w:bookmarkEnd w:id="154"/>
      <w:r>
        <w:t xml:space="preserve">17. Miles Lifson, The Aerospace Corporation; Aniqu Baset, The Aerospace Corporation; Grant Cates, The Aerospace Corporation; Bill Chen, The Aerospace Corporation; Angelo Connor, The Aerospace Corporation; Carson Coursey, The Aerospace Corporation; Gregory Henning, The Aerospace Corporation; Michael Miyamoto, The Aerospace Corporation; Glenn E. Peterson, The Aerospace Corporation; Brian Weeden, The Aerospace Corporation; Grant Williams, The Aerospace Corporation; Indigo Brownhall, University College London; Matthew Burgess, University of Colorado Boulder; Marcus Holzinger, University of Colorado Boulder; Daniel Kaffine, University of Colorado Boulder; Mark Moretto, North Carolina State University; Akhil Rao, Middlebury College. Development of Reference Scenarios and Supporting Inputs for Space Environment Modeling (2024). doi:</w:t>
      </w:r>
      <w:r>
        <w:t xml:space="preserve"> </w:t>
      </w:r>
      <w:hyperlink r:id="rId134">
        <w:r>
          <w:rPr>
            <w:rStyle w:val="Hyperlink"/>
          </w:rPr>
          <w:t xml:space="preserve">10.64861/QBNC8763</w:t>
        </w:r>
      </w:hyperlink>
    </w:p>
    <w:p>
      <w:pPr>
        <w:pStyle w:val="BodyText"/>
        <w:spacing w:line="480" w:lineRule="auto"/>
        <w:ind w:firstLine="720"/>
      </w:pPr>
      <w:bookmarkStart w:id="155" w:name="ref-18"/>
      <w:bookmarkEnd w:id="155"/>
      <w:r>
        <w:t xml:space="preserve">18. Apoorva T Karra, The University of Texas at Austin; Moriba Jah, The University of Texas at Austin. Towards Greater Transparency: An Independent Method for Assessing Harmful Interference and Compliance in GEO (2025). doi:</w:t>
      </w:r>
      <w:r>
        <w:t xml:space="preserve"> </w:t>
      </w:r>
      <w:hyperlink r:id="rId156">
        <w:r>
          <w:rPr>
            <w:rStyle w:val="Hyperlink"/>
          </w:rPr>
          <w:t xml:space="preserve">10.64861/WFHJ7307</w:t>
        </w:r>
      </w:hyperlink>
    </w:p>
    <w:p>
      <w:pPr>
        <w:pStyle w:val="BodyText"/>
        <w:spacing w:line="480" w:lineRule="auto"/>
        <w:ind w:firstLine="720"/>
      </w:pPr>
      <w:bookmarkStart w:id="157" w:name="ref-19"/>
      <w:bookmarkEnd w:id="157"/>
      <w:r>
        <w:t xml:space="preserve">19.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58" w:name="ref-20"/>
      <w:bookmarkEnd w:id="158"/>
      <w:r>
        <w:t xml:space="preserve">20. Mark A. Sturza, Viasat, Inc.; Mark D. Dankberg, Viasat, Inc.; William N. Blount, Viasat, Inc.. LEO Capacity Modeling for Sustainable Design (2022).</w:t>
      </w:r>
    </w:p>
    <w:p>
      <w:pPr>
        <w:pStyle w:val="BodyText"/>
        <w:spacing w:line="480" w:lineRule="auto"/>
        <w:ind w:firstLine="720"/>
      </w:pPr>
      <w:bookmarkStart w:id="159" w:name="ref-21"/>
      <w:bookmarkEnd w:id="159"/>
      <w:r>
        <w:t xml:space="preserve">21. Joshua F. Anderson; Michel‐Alexandre Cardin; Paul T. Grogan. Design and analysis of flexible multi-layer staged deployment for satellite mega-constellations under demand uncertainty (2022). doi:</w:t>
      </w:r>
      <w:r>
        <w:t xml:space="preserve"> </w:t>
      </w:r>
      <w:hyperlink r:id="rId160">
        <w:r>
          <w:rPr>
            <w:rStyle w:val="Hyperlink"/>
          </w:rPr>
          <w:t xml:space="preserve">10.1016/j.actaastro.2022.05.022</w:t>
        </w:r>
      </w:hyperlink>
    </w:p>
    <w:p>
      <w:pPr>
        <w:pStyle w:val="BodyText"/>
        <w:spacing w:line="480" w:lineRule="auto"/>
        <w:ind w:firstLine="720"/>
      </w:pPr>
      <w:bookmarkStart w:id="161" w:name="ref-22"/>
      <w:bookmarkEnd w:id="161"/>
      <w:r>
        <w:t xml:space="preserve">22. Marlon E. Sorge; Didier Alary; Florent Lacomba; Helen Tung; Balbir Singh. Space traffic management: Large constellations (2025). doi:</w:t>
      </w:r>
      <w:r>
        <w:t xml:space="preserve"> </w:t>
      </w:r>
      <w:hyperlink r:id="rId162">
        <w:r>
          <w:rPr>
            <w:rStyle w:val="Hyperlink"/>
          </w:rPr>
          <w:t xml:space="preserve">10.1016/j.actaastro.2025.01.043</w:t>
        </w:r>
      </w:hyperlink>
    </w:p>
    <w:p>
      <w:pPr>
        <w:pStyle w:val="BodyText"/>
        <w:spacing w:line="480" w:lineRule="auto"/>
        <w:ind w:firstLine="720"/>
      </w:pPr>
      <w:bookmarkStart w:id="163" w:name="ref-23"/>
      <w:bookmarkEnd w:id="163"/>
      <w:r>
        <w:t xml:space="preserve">23. Irmgard Marboe. ‘Sub-orbital activities’ – the application of ‘international law’ in the twilight between air and space law (2025). doi:</w:t>
      </w:r>
      <w:r>
        <w:t xml:space="preserve"> </w:t>
      </w:r>
      <w:hyperlink r:id="rId164">
        <w:r>
          <w:rPr>
            <w:rStyle w:val="Hyperlink"/>
          </w:rPr>
          <w:t xml:space="preserve">10.1016/j.actaastro.2025.05.037</w:t>
        </w:r>
      </w:hyperlink>
    </w:p>
    <w:p>
      <w:pPr>
        <w:pStyle w:val="BodyText"/>
        <w:spacing w:line="480" w:lineRule="auto"/>
        <w:ind w:firstLine="720"/>
      </w:pPr>
      <w:bookmarkStart w:id="165" w:name="ref-24"/>
      <w:bookmarkEnd w:id="165"/>
      <w:r>
        <w:t xml:space="preserve">24. Christina Giannopapa; Athanasios Staveris-Poykalas; Spyros Metallinos. Space as an enabler for sustainable digital transformation: The new space race and benefits for newcommers (2022). doi:</w:t>
      </w:r>
      <w:r>
        <w:t xml:space="preserve"> </w:t>
      </w:r>
      <w:hyperlink r:id="rId166">
        <w:r>
          <w:rPr>
            <w:rStyle w:val="Hyperlink"/>
          </w:rPr>
          <w:t xml:space="preserve">10.1016/j.actaastro.2022.06.005</w:t>
        </w:r>
      </w:hyperlink>
    </w:p>
    <w:p>
      <w:pPr>
        <w:pStyle w:val="BodyText"/>
        <w:spacing w:line="480" w:lineRule="auto"/>
        <w:ind w:firstLine="720"/>
      </w:pPr>
      <w:bookmarkStart w:id="167" w:name="ref-25"/>
      <w:bookmarkEnd w:id="167"/>
      <w:r>
        <w:t xml:space="preserve">25. Elena Cirkovic; Danielle Wood. “Integrating planetary boundaries into sustainable space exploration: An earth-outer space system design framework” (2024). doi:</w:t>
      </w:r>
      <w:r>
        <w:t xml:space="preserve"> </w:t>
      </w:r>
      <w:hyperlink r:id="rId168">
        <w:r>
          <w:rPr>
            <w:rStyle w:val="Hyperlink"/>
          </w:rPr>
          <w:t xml:space="preserve">10.1016/j.actaastro.2024.12.037</w:t>
        </w:r>
      </w:hyperlink>
    </w:p>
    <w:p>
      <w:pPr>
        <w:pStyle w:val="BodyText"/>
        <w:spacing w:line="480" w:lineRule="auto"/>
        <w:ind w:firstLine="720"/>
      </w:pPr>
      <w:bookmarkStart w:id="169" w:name="ref-26"/>
      <w:bookmarkEnd w:id="169"/>
      <w:r>
        <w:t xml:space="preserve">26. Shanmurugan Selvamurgan; E. Glenn Lightsey; Koki Ho. Time-optimal trajectory design of distributed space systems for in-space transportation in Earth Orbit (2026). doi:</w:t>
      </w:r>
      <w:r>
        <w:t xml:space="preserve"> </w:t>
      </w:r>
      <w:hyperlink r:id="rId170">
        <w:r>
          <w:rPr>
            <w:rStyle w:val="Hyperlink"/>
          </w:rPr>
          <w:t xml:space="preserve">10.1016/j.actaastro.2026.05.056</w:t>
        </w:r>
      </w:hyperlink>
    </w:p>
    <w:p>
      <w:pPr>
        <w:pStyle w:val="BodyText"/>
        <w:spacing w:line="480" w:lineRule="auto"/>
        <w:ind w:firstLine="720"/>
      </w:pPr>
      <w:bookmarkStart w:id="171" w:name="ref-27"/>
      <w:bookmarkEnd w:id="171"/>
      <w:r>
        <w:t xml:space="preserve">27. Charlotte Hook; Ewan Wright; Michael Byers; Aaron C. Boley. Uncontrolled reentries of space objects and aviation safety (2024). doi:</w:t>
      </w:r>
      <w:r>
        <w:t xml:space="preserve"> </w:t>
      </w:r>
      <w:hyperlink r:id="rId172">
        <w:r>
          <w:rPr>
            <w:rStyle w:val="Hyperlink"/>
          </w:rPr>
          <w:t xml:space="preserve">10.1016/j.actaastro.2024.05.026</w:t>
        </w:r>
      </w:hyperlink>
    </w:p>
    <w:p>
      <w:pPr>
        <w:pStyle w:val="BodyText"/>
        <w:spacing w:line="480" w:lineRule="auto"/>
        <w:ind w:firstLine="720"/>
      </w:pPr>
      <w:bookmarkStart w:id="173" w:name="ref-28"/>
      <w:bookmarkEnd w:id="173"/>
      <w:r>
        <w:t xml:space="preserve">28. Liu Yuan; Bin Li; Xin Tian; Wei Liang; Peng Lv; Jizhang Sang. Orbit determination and prediction for uncooperative spacecrafts with continuous low-thrust maneuver via piecewise estimation (2026). doi:</w:t>
      </w:r>
      <w:r>
        <w:t xml:space="preserve"> </w:t>
      </w:r>
      <w:hyperlink r:id="rId174">
        <w:r>
          <w:rPr>
            <w:rStyle w:val="Hyperlink"/>
          </w:rPr>
          <w:t xml:space="preserve">10.1016/j.actaastro.2026.01.033</w:t>
        </w:r>
      </w:hyperlink>
    </w:p>
    <w:bookmarkEnd w:id="175"/>
    <w:bookmarkEnd w:id="176"/>
    <w:bookmarkStart w:id="19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4" w:name="X4503f9027f47a56aa32672815ea2e4c7d568d28"/>
    <w:p>
      <w:pPr>
        <w:pStyle w:val="Heading2"/>
        <w:spacing w:line="480" w:lineRule="auto"/>
      </w:pPr>
      <w:r>
        <w:t xml:space="preserve">A.1 Phantom Capacity in the NGSO Queue: A Logit Model of Filing-to-Deployment Conversion</w:t>
      </w:r>
    </w:p>
    <w:p>
      <w:pPr>
        <w:pStyle w:val="FirstParagraph"/>
        <w:spacing w:line="480" w:lineRule="auto"/>
      </w:pPr>
      <m:oMathPara>
        <m:oMathParaPr>
          <m:jc m:val="center"/>
        </m:oMathParaPr>
        <m:oMath>
          <m:r>
            <m:rPr>
              <m:sty m:val="p"/>
            </m:rPr>
            <m:t>Pr</m:t>
          </m:r>
          <m:r>
            <m:rPr>
              <m:sty m:val="p"/>
            </m:rPr>
            <m:t>(</m:t>
          </m:r>
          <m:sSub>
            <m:e>
              <m:r>
                <m:rPr>
                  <m:nor/>
                  <m:sty m:val="p"/>
                </m:rPr>
                <m:t>materialized</m:t>
              </m:r>
            </m:e>
            <m:sub>
              <m:r>
                <m:t>i</m:t>
              </m:r>
            </m:sub>
          </m:sSub>
          <m:r>
            <m:rPr>
              <m:sty m:val="p"/>
            </m:rPr>
            <m:t>=</m:t>
          </m:r>
          <m:r>
            <m:t>1</m:t>
          </m:r>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sSub>
                <m:e>
                  <m:r>
                    <m:rPr>
                      <m:sty m:val="p"/>
                    </m:rPr>
                    <m:t>log</m:t>
                  </m:r>
                </m:e>
                <m:sub>
                  <m:r>
                    <m:t>10</m:t>
                  </m:r>
                </m:sub>
              </m:sSub>
              <m:sSub>
                <m:e>
                  <m:r>
                    <m:rPr>
                      <m:nor/>
                      <m:sty m:val="p"/>
                    </m:rPr>
                    <m:t>filed</m:t>
                  </m:r>
                </m:e>
                <m:sub>
                  <m:r>
                    <m:t>i</m:t>
                  </m:r>
                </m:sub>
              </m:sSub>
              <m:r>
                <m:rPr>
                  <m:sty m:val="p"/>
                </m:rPr>
                <m:t>+</m:t>
              </m:r>
              <m:sSub>
                <m:e>
                  <m:r>
                    <m:t>β</m:t>
                  </m:r>
                </m:e>
                <m:sub>
                  <m:r>
                    <m:t>2</m:t>
                  </m:r>
                </m:sub>
              </m:sSub>
              <m:sSub>
                <m:e>
                  <m:r>
                    <m:rPr>
                      <m:nor/>
                      <m:sty m:val="p"/>
                    </m:rPr>
                    <m:t>track</m:t>
                  </m:r>
                </m:e>
                <m:sub>
                  <m:r>
                    <m:t>i</m:t>
                  </m:r>
                </m:sub>
              </m:sSub>
              <m:r>
                <m:rPr>
                  <m:sty m:val="p"/>
                </m:rPr>
                <m:t>+</m:t>
              </m:r>
              <m:sSub>
                <m:e>
                  <m:r>
                    <m:t>β</m:t>
                  </m:r>
                </m:e>
                <m:sub>
                  <m:r>
                    <m:t>3</m:t>
                  </m:r>
                </m:sub>
              </m:sSub>
              <m:sSub>
                <m:e>
                  <m:r>
                    <m:rPr>
                      <m:nor/>
                      <m:sty m:val="p"/>
                    </m:rPr>
                    <m:t>concurrent</m:t>
                  </m:r>
                </m:e>
                <m:sub>
                  <m:r>
                    <m:t>i</m:t>
                  </m:r>
                </m:sub>
              </m:sSub>
              <m:r>
                <m:rPr>
                  <m:sty m:val="p"/>
                </m:rPr>
                <m:t>+</m:t>
              </m:r>
              <m:sSub>
                <m:e>
                  <m:r>
                    <m:t>β</m:t>
                  </m:r>
                </m:e>
                <m:sub>
                  <m:r>
                    <m:t>4</m:t>
                  </m:r>
                </m:sub>
              </m:sSub>
              <m:sSub>
                <m:e>
                  <m:r>
                    <m:rPr>
                      <m:nor/>
                      <m:sty m:val="p"/>
                    </m:rPr>
                    <m:t>broadband</m:t>
                  </m:r>
                </m:e>
                <m:sub>
                  <m:r>
                    <m:t>i</m:t>
                  </m:r>
                </m:sub>
              </m:sSub>
            </m:e>
          </m:d>
        </m:oMath>
      </m:oMathPara>
    </w:p>
    <w:bookmarkStart w:id="17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-1.737</w:t>
            </w:r>
          </w:p>
        </w:tc>
        <w:tc>
          <w:tcPr>
            <w:tcW w:w="0" w:type="auto"/>
          </w:tcPr>
          <w:p>
            <w:pPr>
              <w:spacing w:line="240" w:lineRule="auto" w:before="0" w:after="0"/>
              <w:pStyle w:val="Compact"/>
            </w:pPr>
            <w:r>
              <w:rPr>
                <w:sz w:val="20"/>
                <w:szCs w:val="20"/>
              </w:rPr>
              <w:t xml:space="preserve">1.5382</w:t>
            </w:r>
          </w:p>
        </w:tc>
        <w:tc>
          <w:tcPr>
            <w:tcW w:w="0" w:type="auto"/>
          </w:tcPr>
          <w:p>
            <w:pPr>
              <w:spacing w:line="240" w:lineRule="auto" w:before="0" w:after="0"/>
              <w:pStyle w:val="Compact"/>
            </w:pPr>
            <w:r>
              <w:rPr>
                <w:sz w:val="20"/>
                <w:szCs w:val="20"/>
              </w:rPr>
              <w:t xml:space="preserve">-1.1292</w:t>
            </w:r>
          </w:p>
        </w:tc>
        <w:tc>
          <w:tcPr>
            <w:tcW w:w="0" w:type="auto"/>
          </w:tcPr>
          <w:p>
            <w:pPr>
              <w:spacing w:line="240" w:lineRule="auto" w:before="0" w:after="0"/>
              <w:pStyle w:val="Compact"/>
            </w:pPr>
            <w:r>
              <w:rPr>
                <w:sz w:val="20"/>
                <w:szCs w:val="20"/>
              </w:rPr>
              <w:t xml:space="preserve">0.2588</w:t>
            </w:r>
          </w:p>
        </w:tc>
        <w:tc>
          <w:tcPr>
            <w:tcW w:w="0" w:type="auto"/>
          </w:tcPr>
          <w:p>
            <w:pPr>
              <w:spacing w:line="240" w:lineRule="auto" w:before="0" w:after="0"/>
              <w:pStyle w:val="Compact"/>
            </w:pPr>
            <w:r>
              <w:rPr>
                <w:sz w:val="20"/>
                <w:szCs w:val="20"/>
              </w:rPr>
              <w:t xml:space="preserve">[-4.7518, 1.2779]</w:t>
            </w:r>
          </w:p>
        </w:tc>
      </w:tr>
      <w:tr>
        <w:tc>
          <w:tcPr>
            <w:tcW w:w="0" w:type="auto"/>
          </w:tcPr>
          <w:p>
            <w:pPr>
              <w:spacing w:line="240" w:lineRule="auto" w:before="0" w:after="0"/>
              <w:pStyle w:val="Compact"/>
            </w:pPr>
            <w:r>
              <w:rPr>
                <w:sz w:val="20"/>
                <w:szCs w:val="20"/>
              </w:rPr>
              <w:t xml:space="preserve">log_filed_sats</w:t>
            </w:r>
          </w:p>
        </w:tc>
        <w:tc>
          <w:tcPr>
            <w:tcW w:w="0" w:type="auto"/>
          </w:tcPr>
          <w:p>
            <w:pPr>
              <w:spacing w:line="240" w:lineRule="auto" w:before="0" w:after="0"/>
              <w:pStyle w:val="Compact"/>
            </w:pPr>
            <w:r>
              <w:rPr>
                <w:sz w:val="20"/>
                <w:szCs w:val="20"/>
              </w:rPr>
              <w:t xml:space="preserve">0.2347</w:t>
            </w:r>
          </w:p>
        </w:tc>
        <w:tc>
          <w:tcPr>
            <w:tcW w:w="0" w:type="auto"/>
          </w:tcPr>
          <w:p>
            <w:pPr>
              <w:spacing w:line="240" w:lineRule="auto" w:before="0" w:after="0"/>
              <w:pStyle w:val="Compact"/>
            </w:pPr>
            <w:r>
              <w:rPr>
                <w:sz w:val="20"/>
                <w:szCs w:val="20"/>
              </w:rPr>
              <w:t xml:space="preserve">0.9143</w:t>
            </w:r>
          </w:p>
        </w:tc>
        <w:tc>
          <w:tcPr>
            <w:tcW w:w="0" w:type="auto"/>
          </w:tcPr>
          <w:p>
            <w:pPr>
              <w:spacing w:line="240" w:lineRule="auto" w:before="0" w:after="0"/>
              <w:pStyle w:val="Compact"/>
            </w:pPr>
            <w:r>
              <w:rPr>
                <w:sz w:val="20"/>
                <w:szCs w:val="20"/>
              </w:rPr>
              <w:t xml:space="preserve">0.2567</w:t>
            </w:r>
          </w:p>
        </w:tc>
        <w:tc>
          <w:tcPr>
            <w:tcW w:w="0" w:type="auto"/>
          </w:tcPr>
          <w:p>
            <w:pPr>
              <w:spacing w:line="240" w:lineRule="auto" w:before="0" w:after="0"/>
              <w:pStyle w:val="Compact"/>
            </w:pPr>
            <w:r>
              <w:rPr>
                <w:sz w:val="20"/>
                <w:szCs w:val="20"/>
              </w:rPr>
              <w:t xml:space="preserve">0.7974</w:t>
            </w:r>
          </w:p>
        </w:tc>
        <w:tc>
          <w:tcPr>
            <w:tcW w:w="0" w:type="auto"/>
          </w:tcPr>
          <w:p>
            <w:pPr>
              <w:spacing w:line="240" w:lineRule="auto" w:before="0" w:after="0"/>
              <w:pStyle w:val="Compact"/>
            </w:pPr>
            <w:r>
              <w:rPr>
                <w:sz w:val="20"/>
                <w:szCs w:val="20"/>
              </w:rPr>
              <w:t xml:space="preserve">[-1.5572, 2.0266]</w:t>
            </w:r>
          </w:p>
        </w:tc>
      </w:tr>
      <w:tr>
        <w:tc>
          <w:tcPr>
            <w:tcW w:w="0" w:type="auto"/>
          </w:tcPr>
          <w:p>
            <w:pPr>
              <w:spacing w:line="240" w:lineRule="auto" w:before="0" w:after="0"/>
              <w:pStyle w:val="Compact"/>
            </w:pPr>
            <w:r>
              <w:rPr>
                <w:sz w:val="20"/>
                <w:szCs w:val="20"/>
              </w:rPr>
              <w:t xml:space="preserve">prior_track_record</w:t>
            </w:r>
          </w:p>
        </w:tc>
        <w:tc>
          <w:tcPr>
            <w:tcW w:w="0" w:type="auto"/>
          </w:tcPr>
          <w:p>
            <w:pPr>
              <w:spacing w:line="240" w:lineRule="auto" w:before="0" w:after="0"/>
              <w:pStyle w:val="Compact"/>
            </w:pPr>
            <w:r>
              <w:rPr>
                <w:sz w:val="20"/>
                <w:szCs w:val="20"/>
              </w:rPr>
              <w:t xml:space="preserve">-2.2157</w:t>
            </w:r>
          </w:p>
        </w:tc>
        <w:tc>
          <w:tcPr>
            <w:tcW w:w="0" w:type="auto"/>
          </w:tcPr>
          <w:p>
            <w:pPr>
              <w:spacing w:line="240" w:lineRule="auto" w:before="0" w:after="0"/>
              <w:pStyle w:val="Compact"/>
            </w:pPr>
            <w:r>
              <w:rPr>
                <w:sz w:val="20"/>
                <w:szCs w:val="20"/>
              </w:rPr>
              <w:t xml:space="preserve">1.7061</w:t>
            </w:r>
          </w:p>
        </w:tc>
        <w:tc>
          <w:tcPr>
            <w:tcW w:w="0" w:type="auto"/>
          </w:tcPr>
          <w:p>
            <w:pPr>
              <w:spacing w:line="240" w:lineRule="auto" w:before="0" w:after="0"/>
              <w:pStyle w:val="Compact"/>
            </w:pPr>
            <w:r>
              <w:rPr>
                <w:sz w:val="20"/>
                <w:szCs w:val="20"/>
              </w:rPr>
              <w:t xml:space="preserve">-1.2987</w:t>
            </w:r>
          </w:p>
        </w:tc>
        <w:tc>
          <w:tcPr>
            <w:tcW w:w="0" w:type="auto"/>
          </w:tcPr>
          <w:p>
            <w:pPr>
              <w:spacing w:line="240" w:lineRule="auto" w:before="0" w:after="0"/>
              <w:pStyle w:val="Compact"/>
            </w:pPr>
            <w:r>
              <w:rPr>
                <w:sz w:val="20"/>
                <w:szCs w:val="20"/>
              </w:rPr>
              <w:t xml:space="preserve">0.194</w:t>
            </w:r>
          </w:p>
        </w:tc>
        <w:tc>
          <w:tcPr>
            <w:tcW w:w="0" w:type="auto"/>
          </w:tcPr>
          <w:p>
            <w:pPr>
              <w:spacing w:line="240" w:lineRule="auto" w:before="0" w:after="0"/>
              <w:pStyle w:val="Compact"/>
            </w:pPr>
            <w:r>
              <w:rPr>
                <w:sz w:val="20"/>
                <w:szCs w:val="20"/>
              </w:rPr>
              <w:t xml:space="preserve">[-5.5595, 1.1281]</w:t>
            </w:r>
          </w:p>
        </w:tc>
      </w:tr>
      <w:tr>
        <w:tc>
          <w:tcPr>
            <w:tcW w:w="0" w:type="auto"/>
          </w:tcPr>
          <w:p>
            <w:pPr>
              <w:spacing w:line="240" w:lineRule="auto" w:before="0" w:after="0"/>
              <w:pStyle w:val="Compact"/>
            </w:pPr>
            <w:r>
              <w:rPr>
                <w:sz w:val="20"/>
                <w:szCs w:val="20"/>
              </w:rPr>
              <w:t xml:space="preserve">filer_concurrent_filings</w:t>
            </w:r>
          </w:p>
        </w:tc>
        <w:tc>
          <w:tcPr>
            <w:tcW w:w="0" w:type="auto"/>
          </w:tcPr>
          <w:p>
            <w:pPr>
              <w:spacing w:line="240" w:lineRule="auto" w:before="0" w:after="0"/>
              <w:pStyle w:val="Compact"/>
            </w:pPr>
            <w:r>
              <w:rPr>
                <w:sz w:val="20"/>
                <w:szCs w:val="20"/>
              </w:rPr>
              <w:t xml:space="preserve">3.3612</w:t>
            </w:r>
          </w:p>
        </w:tc>
        <w:tc>
          <w:tcPr>
            <w:tcW w:w="0" w:type="auto"/>
          </w:tcPr>
          <w:p>
            <w:pPr>
              <w:spacing w:line="240" w:lineRule="auto" w:before="0" w:after="0"/>
              <w:pStyle w:val="Compact"/>
            </w:pPr>
            <w:r>
              <w:rPr>
                <w:sz w:val="20"/>
                <w:szCs w:val="20"/>
              </w:rPr>
              <w:t xml:space="preserve">1.7096</w:t>
            </w:r>
          </w:p>
        </w:tc>
        <w:tc>
          <w:tcPr>
            <w:tcW w:w="0" w:type="auto"/>
          </w:tcPr>
          <w:p>
            <w:pPr>
              <w:spacing w:line="240" w:lineRule="auto" w:before="0" w:after="0"/>
              <w:pStyle w:val="Compact"/>
            </w:pPr>
            <w:r>
              <w:rPr>
                <w:sz w:val="20"/>
                <w:szCs w:val="20"/>
              </w:rPr>
              <w:t xml:space="preserve">1.9661</w:t>
            </w:r>
          </w:p>
        </w:tc>
        <w:tc>
          <w:tcPr>
            <w:tcW w:w="0" w:type="auto"/>
          </w:tcPr>
          <w:p>
            <w:pPr>
              <w:spacing w:line="240" w:lineRule="auto" w:before="0" w:after="0"/>
              <w:pStyle w:val="Compact"/>
            </w:pPr>
            <w:r>
              <w:rPr>
                <w:sz w:val="20"/>
                <w:szCs w:val="20"/>
              </w:rPr>
              <w:t xml:space="preserve">0.0493</w:t>
            </w:r>
          </w:p>
        </w:tc>
        <w:tc>
          <w:tcPr>
            <w:tcW w:w="0" w:type="auto"/>
          </w:tcPr>
          <w:p>
            <w:pPr>
              <w:spacing w:line="240" w:lineRule="auto" w:before="0" w:after="0"/>
              <w:pStyle w:val="Compact"/>
            </w:pPr>
            <w:r>
              <w:rPr>
                <w:sz w:val="20"/>
                <w:szCs w:val="20"/>
              </w:rPr>
              <w:t xml:space="preserve">[0.0105, 6.712]</w:t>
            </w:r>
          </w:p>
        </w:tc>
      </w:tr>
      <w:tr>
        <w:tc>
          <w:tcPr>
            <w:tcW w:w="0" w:type="auto"/>
          </w:tcPr>
          <w:p>
            <w:pPr>
              <w:spacing w:line="240" w:lineRule="auto" w:before="0" w:after="0"/>
              <w:pStyle w:val="Compact"/>
            </w:pPr>
            <w:r>
              <w:rPr>
                <w:sz w:val="20"/>
                <w:szCs w:val="20"/>
              </w:rPr>
              <w:t xml:space="preserve">broadband_internet</w:t>
            </w:r>
          </w:p>
        </w:tc>
        <w:tc>
          <w:tcPr>
            <w:tcW w:w="0" w:type="auto"/>
          </w:tcPr>
          <w:p>
            <w:pPr>
              <w:spacing w:line="240" w:lineRule="auto" w:before="0" w:after="0"/>
              <w:pStyle w:val="Compact"/>
            </w:pPr>
            <w:r>
              <w:rPr>
                <w:sz w:val="20"/>
                <w:szCs w:val="20"/>
              </w:rPr>
              <w:t xml:space="preserve">-1.8655</w:t>
            </w:r>
          </w:p>
        </w:tc>
        <w:tc>
          <w:tcPr>
            <w:tcW w:w="0" w:type="auto"/>
          </w:tcPr>
          <w:p>
            <w:pPr>
              <w:spacing w:line="240" w:lineRule="auto" w:before="0" w:after="0"/>
              <w:pStyle w:val="Compact"/>
            </w:pPr>
            <w:r>
              <w:rPr>
                <w:sz w:val="20"/>
                <w:szCs w:val="20"/>
              </w:rPr>
              <w:t xml:space="preserve">1.6923</w:t>
            </w:r>
          </w:p>
        </w:tc>
        <w:tc>
          <w:tcPr>
            <w:tcW w:w="0" w:type="auto"/>
          </w:tcPr>
          <w:p>
            <w:pPr>
              <w:spacing w:line="240" w:lineRule="auto" w:before="0" w:after="0"/>
              <w:pStyle w:val="Compact"/>
            </w:pPr>
            <w:r>
              <w:rPr>
                <w:sz w:val="20"/>
                <w:szCs w:val="20"/>
              </w:rPr>
              <w:t xml:space="preserve">-1.1023</w:t>
            </w:r>
          </w:p>
        </w:tc>
        <w:tc>
          <w:tcPr>
            <w:tcW w:w="0" w:type="auto"/>
          </w:tcPr>
          <w:p>
            <w:pPr>
              <w:spacing w:line="240" w:lineRule="auto" w:before="0" w:after="0"/>
              <w:pStyle w:val="Compact"/>
            </w:pPr>
            <w:r>
              <w:rPr>
                <w:sz w:val="20"/>
                <w:szCs w:val="20"/>
              </w:rPr>
              <w:t xml:space="preserve">0.2703</w:t>
            </w:r>
          </w:p>
        </w:tc>
        <w:tc>
          <w:tcPr>
            <w:tcW w:w="0" w:type="auto"/>
          </w:tcPr>
          <w:p>
            <w:pPr>
              <w:spacing w:line="240" w:lineRule="auto" w:before="0" w:after="0"/>
              <w:pStyle w:val="Compact"/>
            </w:pPr>
            <w:r>
              <w:rPr>
                <w:sz w:val="20"/>
                <w:szCs w:val="20"/>
              </w:rPr>
              <w:t xml:space="preserve">[-5.1823, 1.4514]</w:t>
            </w:r>
          </w:p>
        </w:tc>
      </w:tr>
    </w:tbl>
    <w:p>
      <w:pPr>
        <w:pStyle w:val="BodyText"/>
        <w:spacing w:line="480" w:lineRule="auto"/>
        <w:ind w:firstLine="720"/>
      </w:pPr>
      <w:r>
        <w:t xml:space="preserve">Fit: N = 24 pseudo_R2 = 0.2823 LL = -9.6864</w:t>
      </w:r>
    </w:p>
    <w:bookmarkEnd w:id="177"/>
    <w:bookmarkStart w:id="18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ling-to-deployment outcomes across the filed NGSO universe. Materialization (vertical axis) plotted against filed system size on a log10 scale. Larger filed systems cluster at non-materialization, consistent with the warehousing account." title="" id="179" name="Picture"/>
            <a:graphic>
              <a:graphicData uri="http://schemas.openxmlformats.org/drawingml/2006/picture">
                <pic:pic>
                  <pic:nvPicPr>
                    <pic:cNvPr descr="D:/Claude_Code/brain/collegium/candidates/dissertations/SPECTRUM_PNT_01/research_papers/p1/paper_fig1.png" id="180" name="Picture"/>
                    <pic:cNvPicPr>
                      <a:picLocks noChangeArrowheads="1" noChangeAspect="1"/>
                    </pic:cNvPicPr>
                  </pic:nvPicPr>
                  <pic:blipFill>
                    <a:blip r:embed="rId1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Filing-to-deployment outcomes across the filed NGSO universe. Materialization (vertical axis) plotted against filed system size on a log10 scale. Larger filed systems cluster at non-materialization, consistent with the warehousing account.</w:t>
      </w:r>
    </w:p>
    <w:bookmarkEnd w:id="181"/>
    <w:bookmarkStart w:id="18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filer</w:t>
            </w:r>
          </w:p>
        </w:tc>
        <w:tc>
          <w:tcPr>
            <w:tcW w:w="0" w:type="auto"/>
          </w:tcPr>
          <w:p>
            <w:pPr>
              <w:spacing w:line="240" w:lineRule="auto" w:before="0" w:after="0"/>
              <w:pStyle w:val="Compact"/>
            </w:pPr>
            <w:r>
              <w:rPr>
                <w:sz w:val="20"/>
                <w:szCs w:val="20"/>
              </w:rPr>
              <w:t xml:space="preserve">priority_year</w:t>
            </w:r>
          </w:p>
        </w:tc>
        <w:tc>
          <w:tcPr>
            <w:tcW w:w="0" w:type="auto"/>
          </w:tcPr>
          <w:p>
            <w:pPr>
              <w:spacing w:line="240" w:lineRule="auto" w:before="0" w:after="0"/>
              <w:pStyle w:val="Compact"/>
            </w:pPr>
            <w:r>
              <w:rPr>
                <w:sz w:val="20"/>
                <w:szCs w:val="20"/>
              </w:rPr>
              <w:t xml:space="preserve">era</w:t>
            </w:r>
          </w:p>
        </w:tc>
        <w:tc>
          <w:tcPr>
            <w:tcW w:w="0" w:type="auto"/>
          </w:tcPr>
          <w:p>
            <w:pPr>
              <w:spacing w:line="240" w:lineRule="auto" w:before="0" w:after="0"/>
              <w:pStyle w:val="Compact"/>
            </w:pPr>
            <w:r>
              <w:rPr>
                <w:sz w:val="20"/>
                <w:szCs w:val="20"/>
              </w:rPr>
              <w:t xml:space="preserve">filed_sats</w:t>
            </w:r>
          </w:p>
        </w:tc>
        <w:tc>
          <w:tcPr>
            <w:tcW w:w="0" w:type="auto"/>
          </w:tcPr>
          <w:p>
            <w:pPr>
              <w:spacing w:line="240" w:lineRule="auto" w:before="0" w:after="0"/>
              <w:pStyle w:val="Compact"/>
            </w:pPr>
            <w:r>
              <w:rPr>
                <w:sz w:val="20"/>
                <w:szCs w:val="20"/>
              </w:rPr>
              <w:t xml:space="preserve">deployed_sats</w:t>
            </w:r>
          </w:p>
        </w:tc>
        <w:tc>
          <w:tcPr>
            <w:tcW w:w="0" w:type="auto"/>
          </w:tcPr>
          <w:p>
            <w:pPr>
              <w:spacing w:line="240" w:lineRule="auto" w:before="0" w:after="0"/>
              <w:pStyle w:val="Compact"/>
            </w:pPr>
            <w:r>
              <w:rPr>
                <w:sz w:val="20"/>
                <w:szCs w:val="20"/>
              </w:rPr>
              <w:t xml:space="preserve">prior_track_record</w:t>
            </w:r>
          </w:p>
        </w:tc>
        <w:tc>
          <w:tcPr>
            <w:tcW w:w="0" w:type="auto"/>
          </w:tcPr>
          <w:p>
            <w:pPr>
              <w:spacing w:line="240" w:lineRule="auto" w:before="0" w:after="0"/>
              <w:pStyle w:val="Compact"/>
            </w:pPr>
            <w:r>
              <w:rPr>
                <w:sz w:val="20"/>
                <w:szCs w:val="20"/>
              </w:rPr>
              <w:t xml:space="preserve">filer_concurrent_filings</w:t>
            </w:r>
          </w:p>
        </w:tc>
        <w:tc>
          <w:tcPr>
            <w:tcW w:w="0" w:type="auto"/>
          </w:tcPr>
          <w:p>
            <w:pPr>
              <w:spacing w:line="240" w:lineRule="auto" w:before="0" w:after="0"/>
              <w:pStyle w:val="Compact"/>
            </w:pPr>
            <w:r>
              <w:rPr>
                <w:sz w:val="20"/>
                <w:szCs w:val="20"/>
              </w:rPr>
              <w:t xml:space="preserve">broadband_internet</w:t>
            </w:r>
          </w:p>
        </w:tc>
        <w:tc>
          <w:tcPr>
            <w:tcW w:w="0" w:type="auto"/>
          </w:tcPr>
          <w:p>
            <w:pPr>
              <w:spacing w:line="240" w:lineRule="auto" w:before="0" w:after="0"/>
              <w:pStyle w:val="Compact"/>
            </w:pPr>
            <w:r>
              <w:rPr>
                <w:sz w:val="20"/>
                <w:szCs w:val="20"/>
              </w:rPr>
              <w:t xml:space="preserve">materialized</w:t>
            </w:r>
          </w:p>
        </w:tc>
        <w:tc>
          <w:tcPr>
            <w:tcW w:w="0" w:type="auto"/>
          </w:tcPr>
          <w:p>
            <w:pPr>
              <w:spacing w:line="240" w:lineRule="auto" w:before="0" w:after="0"/>
              <w:pStyle w:val="Compact"/>
            </w:pPr>
            <w:r>
              <w:rPr>
                <w:sz w:val="20"/>
                <w:szCs w:val="20"/>
              </w:rPr>
              <w:t xml:space="preserve">log_filed_sats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Motorola/Iridium LLC</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big_leo</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1.8195</w:t>
            </w:r>
          </w:p>
        </w:tc>
        <w:tc>
          <w:tcPr>
            <w:tcW w:w="0" w:type="auto"/>
          </w:tcPr>
          <w:p>
            <w:pPr>
              <w:spacing w:line="240" w:lineRule="auto" w:before="0" w:after="0"/>
              <w:pStyle w:val="Compact"/>
            </w:pPr>
            <w:r>
              <w:rPr>
                <w:sz w:val="20"/>
                <w:szCs w:val="20"/>
              </w:rPr>
              <w:t xml:space="preserve">Iridium satellite constellation, Wikipedia (66 operational, 95 launched 1997-2002), https://en.wikipedia.org/wiki/Iridium_satellite_constellation</w:t>
            </w:r>
          </w:p>
        </w:tc>
      </w:tr>
      <w:tr>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Loral/Qualcomm</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big_leo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1.6812</w:t>
            </w:r>
          </w:p>
        </w:tc>
        <w:tc>
          <w:tcPr>
            <w:tcW w:w="0" w:type="auto"/>
          </w:tcPr>
          <w:p>
            <w:pPr>
              <w:spacing w:line="240" w:lineRule="auto" w:before="0" w:after="0"/>
              <w:pStyle w:val="Compact"/>
            </w:pPr>
            <w:r>
              <w:rPr>
                <w:sz w:val="20"/>
                <w:szCs w:val="20"/>
              </w:rPr>
              <w:t xml:space="preserve">Globalstar Big LEO Satellite System, Microwave Journal 2022 (48 + 4 spares deployed), https://www.microwavejournal.com/articles/38970</w:t>
            </w:r>
          </w:p>
        </w:tc>
      </w:tr>
      <w:tr>
        <w:tc>
          <w:tcPr>
            <w:tcW w:w="0" w:type="auto"/>
          </w:tcPr>
          <w:p>
            <w:pPr>
              <w:spacing w:line="240" w:lineRule="auto" w:before="0" w:after="0"/>
              <w:pStyle w:val="Compact"/>
            </w:pPr>
            <w:r>
              <w:rPr>
                <w:sz w:val="20"/>
                <w:szCs w:val="20"/>
              </w:rPr>
              <w:t xml:space="preserve">Orbcomm</w:t>
            </w:r>
          </w:p>
        </w:tc>
        <w:tc>
          <w:tcPr>
            <w:tcW w:w="0" w:type="auto"/>
          </w:tcPr>
          <w:p>
            <w:pPr>
              <w:spacing w:line="240" w:lineRule="auto" w:before="0" w:after="0"/>
              <w:pStyle w:val="Compact"/>
            </w:pPr>
            <w:r>
              <w:rPr>
                <w:sz w:val="20"/>
                <w:szCs w:val="20"/>
              </w:rPr>
              <w:t xml:space="preserve">Orbital Sciences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little_leo</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1.5563</w:t>
            </w:r>
          </w:p>
        </w:tc>
        <w:tc>
          <w:tcPr>
            <w:tcW w:w="0" w:type="auto"/>
          </w:tcPr>
          <w:p>
            <w:pPr>
              <w:spacing w:line="240" w:lineRule="auto" w:before="0" w:after="0"/>
              <w:pStyle w:val="Compact"/>
            </w:pPr>
            <w:r>
              <w:rPr>
                <w:sz w:val="20"/>
                <w:szCs w:val="20"/>
              </w:rPr>
              <w:t xml:space="preserve">Orbcomm (satellite), Wikipedia (36 built, 35 launched), https://en.wikipedia.org/wiki/Orbcomm_(satellite)</w:t>
            </w:r>
          </w:p>
        </w:tc>
      </w:tr>
      <w:tr>
        <w:tc>
          <w:tcPr>
            <w:tcW w:w="0" w:type="auto"/>
          </w:tcPr>
          <w:p>
            <w:pPr>
              <w:spacing w:line="240" w:lineRule="auto" w:before="0" w:after="0"/>
              <w:pStyle w:val="Compact"/>
            </w:pPr>
            <w:r>
              <w:rPr>
                <w:sz w:val="20"/>
                <w:szCs w:val="20"/>
              </w:rPr>
              <w:t xml:space="preserve">Teledesic</w:t>
            </w:r>
          </w:p>
        </w:tc>
        <w:tc>
          <w:tcPr>
            <w:tcW w:w="0" w:type="auto"/>
          </w:tcPr>
          <w:p>
            <w:pPr>
              <w:spacing w:line="240" w:lineRule="auto" w:before="0" w:after="0"/>
              <w:pStyle w:val="Compact"/>
            </w:pPr>
            <w:r>
              <w:rPr>
                <w:sz w:val="20"/>
                <w:szCs w:val="20"/>
              </w:rPr>
              <w:t xml:space="preserve">Teledesic LLC</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internet_sky</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2.9243</w:t>
            </w:r>
          </w:p>
        </w:tc>
        <w:tc>
          <w:tcPr>
            <w:tcW w:w="0" w:type="auto"/>
          </w:tcPr>
          <w:p>
            <w:pPr>
              <w:spacing w:line="240" w:lineRule="auto" w:before="0" w:after="0"/>
              <w:pStyle w:val="Compact"/>
            </w:pPr>
            <w:r>
              <w:rPr>
                <w:sz w:val="20"/>
                <w:szCs w:val="20"/>
              </w:rPr>
              <w:t xml:space="preserve">Teledesic, Wikipedia (840 proposed 1994, 1 demonstrator BATSAT launched), https://en.wikipedia.org/wiki/Teledesic</w:t>
            </w:r>
          </w:p>
        </w:tc>
      </w:tr>
      <w:tr>
        <w:tc>
          <w:tcPr>
            <w:tcW w:w="0" w:type="auto"/>
          </w:tcPr>
          <w:p>
            <w:pPr>
              <w:spacing w:line="240" w:lineRule="auto" w:before="0" w:after="0"/>
              <w:pStyle w:val="Compact"/>
            </w:pPr>
            <w:r>
              <w:rPr>
                <w:sz w:val="20"/>
                <w:szCs w:val="20"/>
              </w:rPr>
              <w:t xml:space="preserve">SkyBridge</w:t>
            </w:r>
          </w:p>
        </w:tc>
        <w:tc>
          <w:tcPr>
            <w:tcW w:w="0" w:type="auto"/>
          </w:tcPr>
          <w:p>
            <w:pPr>
              <w:spacing w:line="240" w:lineRule="auto" w:before="0" w:after="0"/>
              <w:pStyle w:val="Compact"/>
            </w:pPr>
            <w:r>
              <w:rPr>
                <w:sz w:val="20"/>
                <w:szCs w:val="20"/>
              </w:rPr>
              <w:t xml:space="preserve">Alcatel/SkyBridge LP</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internet_sky</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1.9031</w:t>
            </w:r>
          </w:p>
        </w:tc>
        <w:tc>
          <w:tcPr>
            <w:tcW w:w="0" w:type="auto"/>
          </w:tcPr>
          <w:p>
            <w:pPr>
              <w:spacing w:line="240" w:lineRule="auto" w:before="0" w:after="0"/>
              <w:pStyle w:val="Compact"/>
            </w:pPr>
            <w:r>
              <w:rPr>
                <w:sz w:val="20"/>
                <w:szCs w:val="20"/>
              </w:rPr>
              <w:t xml:space="preserve">Teledesic / Distributed Earth Satellite Systems review (SkyBridge cancelled before launch), https://en.wikipedia.org/wiki/Starlink_satellites</w:t>
            </w:r>
          </w:p>
        </w:tc>
      </w:tr>
      <w:tr>
        <w:tc>
          <w:tcPr>
            <w:tcW w:w="0" w:type="auto"/>
          </w:tcPr>
          <w:p>
            <w:pPr>
              <w:spacing w:line="240" w:lineRule="auto" w:before="0" w:after="0"/>
              <w:pStyle w:val="Compact"/>
            </w:pPr>
            <w:r>
              <w:rPr>
                <w:sz w:val="20"/>
                <w:szCs w:val="20"/>
              </w:rPr>
              <w:t xml:space="preserve">Celestri</w:t>
            </w:r>
          </w:p>
        </w:tc>
        <w:tc>
          <w:tcPr>
            <w:tcW w:w="0" w:type="auto"/>
          </w:tcPr>
          <w:p>
            <w:pPr>
              <w:spacing w:line="240" w:lineRule="auto" w:before="0" w:after="0"/>
              <w:pStyle w:val="Compact"/>
            </w:pPr>
            <w:r>
              <w:rPr>
                <w:sz w:val="20"/>
                <w:szCs w:val="20"/>
              </w:rPr>
              <w:t xml:space="preserve">Motorola</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internet_sky</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1.7993</w:t>
            </w:r>
          </w:p>
        </w:tc>
        <w:tc>
          <w:tcPr>
            <w:tcW w:w="0" w:type="auto"/>
          </w:tcPr>
          <w:p>
            <w:pPr>
              <w:spacing w:line="240" w:lineRule="auto" w:before="0" w:after="0"/>
              <w:pStyle w:val="Compact"/>
            </w:pPr>
            <w:r>
              <w:rPr>
                <w:sz w:val="20"/>
                <w:szCs w:val="20"/>
              </w:rPr>
              <w:t xml:space="preserve">Distributed Earth Satellite Systems review (Celestri cancelled before launch, merged into Teledesic), https://en.wikipedia.org/wiki/Starlink_satellites</w:t>
            </w:r>
          </w:p>
        </w:tc>
      </w:tr>
      <w:tr>
        <w:tc>
          <w:tcPr>
            <w:tcW w:w="0" w:type="auto"/>
          </w:tcPr>
          <w:p>
            <w:pPr>
              <w:spacing w:line="240" w:lineRule="auto" w:before="0" w:after="0"/>
              <w:pStyle w:val="Compact"/>
            </w:pPr>
            <w:r>
              <w:rPr>
                <w:sz w:val="20"/>
                <w:szCs w:val="20"/>
              </w:rPr>
              <w:t xml:space="preserve">Ellipso</w:t>
            </w:r>
          </w:p>
        </w:tc>
        <w:tc>
          <w:tcPr>
            <w:tcW w:w="0" w:type="auto"/>
          </w:tcPr>
          <w:p>
            <w:pPr>
              <w:spacing w:line="240" w:lineRule="auto" w:before="0" w:after="0"/>
              <w:pStyle w:val="Compact"/>
            </w:pPr>
            <w:r>
              <w:rPr>
                <w:sz w:val="20"/>
                <w:szCs w:val="20"/>
              </w:rPr>
              <w:t xml:space="preserve">Mobile Comms Holdings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big_leo</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1.2304</w:t>
            </w:r>
          </w:p>
        </w:tc>
        <w:tc>
          <w:tcPr>
            <w:tcW w:w="0" w:type="auto"/>
          </w:tcPr>
          <w:p>
            <w:pPr>
              <w:spacing w:line="240" w:lineRule="auto" w:before="0" w:after="0"/>
              <w:pStyle w:val="Compact"/>
            </w:pPr>
            <w:r>
              <w:rPr>
                <w:sz w:val="20"/>
                <w:szCs w:val="20"/>
              </w:rPr>
              <w:t xml:space="preserve">Ellipso, FlightGlobal and Wikipedia (17 planned, FCC licence revoked, never launched), https://www.flightglobal.com/ellipsos-satcom-dream-fades-/37738.article</w:t>
            </w:r>
          </w:p>
        </w:tc>
      </w:tr>
      <w:tr>
        <w:tc>
          <w:tcPr>
            <w:tcW w:w="0" w:type="auto"/>
          </w:tcPr>
          <w:p>
            <w:pPr>
              <w:spacing w:line="240" w:lineRule="auto" w:before="0" w:after="0"/>
              <w:pStyle w:val="Compact"/>
            </w:pPr>
            <w:r>
              <w:rPr>
                <w:sz w:val="20"/>
                <w:szCs w:val="20"/>
              </w:rPr>
              <w:t xml:space="preserve">ICO</w:t>
            </w:r>
          </w:p>
        </w:tc>
        <w:tc>
          <w:tcPr>
            <w:tcW w:w="0" w:type="auto"/>
          </w:tcPr>
          <w:p>
            <w:pPr>
              <w:spacing w:line="240" w:lineRule="auto" w:before="0" w:after="0"/>
              <w:pStyle w:val="Compact"/>
            </w:pPr>
            <w:r>
              <w:rPr>
                <w:sz w:val="20"/>
                <w:szCs w:val="20"/>
              </w:rPr>
              <w:t xml:space="preserve">ICO Global</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big_leo</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1.0792</w:t>
            </w:r>
          </w:p>
        </w:tc>
        <w:tc>
          <w:tcPr>
            <w:tcW w:w="0" w:type="auto"/>
          </w:tcPr>
          <w:p>
            <w:pPr>
              <w:spacing w:line="240" w:lineRule="auto" w:before="0" w:after="0"/>
              <w:pStyle w:val="Compact"/>
            </w:pPr>
            <w:r>
              <w:rPr>
                <w:sz w:val="20"/>
                <w:szCs w:val="20"/>
              </w:rPr>
              <w:t xml:space="preserve">Mobile satellite service, Wikipedia (ICO 10+2 MEO planned, 1 launched, Pendrell bankruptcy), https://en.wikipedia.org/wiki/Mobile_satellite_service</w:t>
            </w:r>
          </w:p>
        </w:tc>
      </w:tr>
      <w:tr>
        <w:tc>
          <w:tcPr>
            <w:tcW w:w="0" w:type="auto"/>
          </w:tcPr>
          <w:p>
            <w:pPr>
              <w:spacing w:line="240" w:lineRule="auto" w:before="0" w:after="0"/>
              <w:pStyle w:val="Compact"/>
            </w:pPr>
            <w:r>
              <w:rPr>
                <w:sz w:val="20"/>
                <w:szCs w:val="20"/>
              </w:rPr>
              <w:t xml:space="preserve">Aries</w:t>
            </w:r>
          </w:p>
        </w:tc>
        <w:tc>
          <w:tcPr>
            <w:tcW w:w="0" w:type="auto"/>
          </w:tcPr>
          <w:p>
            <w:pPr>
              <w:spacing w:line="240" w:lineRule="auto" w:before="0" w:after="0"/>
              <w:pStyle w:val="Compact"/>
            </w:pPr>
            <w:r>
              <w:rPr>
                <w:sz w:val="20"/>
                <w:szCs w:val="20"/>
              </w:rPr>
              <w:t xml:space="preserve">Constellation Communications</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big_leo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1.6812</w:t>
            </w:r>
          </w:p>
        </w:tc>
        <w:tc>
          <w:tcPr>
            <w:tcW w:w="0" w:type="auto"/>
          </w:tcPr>
          <w:p>
            <w:pPr>
              <w:spacing w:line="240" w:lineRule="auto" w:before="0" w:after="0"/>
              <w:pStyle w:val="Compact"/>
            </w:pPr>
            <w:r>
              <w:rPr>
                <w:sz w:val="20"/>
                <w:szCs w:val="20"/>
              </w:rPr>
              <w:t xml:space="preserve">Aries LEO Lightsats, AIAA ICSSC 1992; FCC declined licence Jan 1995, never built, https://arc.aiaa.org/doi/10.2514/6.1992-1890</w:t>
            </w:r>
          </w:p>
        </w:tc>
      </w:tr>
      <w:tr>
        <w:tc>
          <w:tcPr>
            <w:tcW w:w="0" w:type="auto"/>
          </w:tcPr>
          <w:p>
            <w:pPr>
              <w:spacing w:line="240" w:lineRule="auto" w:before="0" w:after="0"/>
              <w:pStyle w:val="Compact"/>
            </w:pPr>
            <w:r>
              <w:rPr>
                <w:sz w:val="20"/>
                <w:szCs w:val="20"/>
              </w:rPr>
              <w:t xml:space="preserve">Odyssey</w:t>
            </w:r>
          </w:p>
        </w:tc>
        <w:tc>
          <w:tcPr>
            <w:tcW w:w="0" w:type="auto"/>
          </w:tcPr>
          <w:p>
            <w:pPr>
              <w:spacing w:line="240" w:lineRule="auto" w:before="0" w:after="0"/>
              <w:pStyle w:val="Compact"/>
            </w:pPr>
            <w:r>
              <w:rPr>
                <w:sz w:val="20"/>
                <w:szCs w:val="20"/>
              </w:rPr>
              <w:t xml:space="preserve">TRW</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big_leo</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1.0792</w:t>
            </w:r>
          </w:p>
        </w:tc>
        <w:tc>
          <w:tcPr>
            <w:tcW w:w="0" w:type="auto"/>
          </w:tcPr>
          <w:p>
            <w:pPr>
              <w:spacing w:line="240" w:lineRule="auto" w:before="0" w:after="0"/>
              <w:pStyle w:val="Compact"/>
            </w:pPr>
            <w:r>
              <w:rPr>
                <w:sz w:val="20"/>
                <w:szCs w:val="20"/>
              </w:rPr>
              <w:t xml:space="preserve">Mobile satellite service review (Odyssey MEO, FCC licence 1995, never deployed), https://en.wikipedia.org/wiki/Mobile_satellite_service</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4425</w:t>
            </w:r>
          </w:p>
        </w:tc>
        <w:tc>
          <w:tcPr>
            <w:tcW w:w="0" w:type="auto"/>
          </w:tcPr>
          <w:p>
            <w:pPr>
              <w:spacing w:line="240" w:lineRule="auto" w:before="0" w:after="0"/>
              <w:pStyle w:val="Compact"/>
            </w:pPr>
            <w:r>
              <w:rPr>
                <w:sz w:val="20"/>
                <w:szCs w:val="20"/>
              </w:rPr>
              <w:t xml:space="preserve">6000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3.6459</w:t>
            </w:r>
          </w:p>
        </w:tc>
        <w:tc>
          <w:tcPr>
            <w:tcW w:w="0" w:type="auto"/>
          </w:tcPr>
          <w:p>
            <w:pPr>
              <w:spacing w:line="240" w:lineRule="auto" w:before="0" w:after="0"/>
              <w:pStyle w:val="Compact"/>
            </w:pPr>
            <w:r>
              <w:rPr>
                <w:sz w:val="20"/>
                <w:szCs w:val="20"/>
              </w:rPr>
              <w:t xml:space="preserve">FCC Authorizes SpaceX (4,425 in 2018 first license); &gt;6,000 operational May 2024, https://www.fcc.gov/document/fcc-authorizes-spacex-provide-broadband-satellite-services</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WorldVu/OneWeb</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648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2.8573</w:t>
            </w:r>
          </w:p>
        </w:tc>
        <w:tc>
          <w:tcPr>
            <w:tcW w:w="0" w:type="auto"/>
          </w:tcPr>
          <w:p>
            <w:pPr>
              <w:spacing w:line="240" w:lineRule="auto" w:before="0" w:after="0"/>
              <w:pStyle w:val="Compact"/>
            </w:pPr>
            <w:r>
              <w:rPr>
                <w:sz w:val="20"/>
                <w:szCs w:val="20"/>
              </w:rPr>
              <w:t xml:space="preserve">OneWeb 720-sat Phase 1 FCC filing; ~648 launched first generation, https://spacenews.com/u-k-to-strengthen-regulations-for-starlink-oneweb-and-other-ngso-constellations/</w:t>
            </w:r>
          </w:p>
        </w:tc>
      </w:tr>
      <w:tr>
        <w:tc>
          <w:tcPr>
            <w:tcW w:w="0" w:type="auto"/>
          </w:tcPr>
          <w:p>
            <w:pPr>
              <w:spacing w:line="240" w:lineRule="auto" w:before="0" w:after="0"/>
              <w:pStyle w:val="Compact"/>
            </w:pPr>
            <w:r>
              <w:rPr>
                <w:sz w:val="20"/>
                <w:szCs w:val="20"/>
              </w:rPr>
              <w:t xml:space="preserve">Telesat_Lightspeed</w:t>
            </w:r>
          </w:p>
        </w:tc>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2.0682</w:t>
            </w:r>
          </w:p>
        </w:tc>
        <w:tc>
          <w:tcPr>
            <w:tcW w:w="0" w:type="auto"/>
          </w:tcPr>
          <w:p>
            <w:pPr>
              <w:spacing w:line="240" w:lineRule="auto" w:before="0" w:after="0"/>
              <w:pStyle w:val="Compact"/>
            </w:pPr>
            <w:r>
              <w:rPr>
                <w:sz w:val="20"/>
                <w:szCs w:val="20"/>
              </w:rPr>
              <w:t xml:space="preserve">FCC approves Telesat 117-sat Ka-band constellation 2018; not deployed as of 2026, https://spacenews.com/fcc-approves-spacex-telesat-leosat-and-kepler-internet-constellations/</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Kepler Communications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2.1461</w:t>
            </w:r>
          </w:p>
        </w:tc>
        <w:tc>
          <w:tcPr>
            <w:tcW w:w="0" w:type="auto"/>
          </w:tcPr>
          <w:p>
            <w:pPr>
              <w:spacing w:line="240" w:lineRule="auto" w:before="0" w:after="0"/>
              <w:pStyle w:val="Compact"/>
            </w:pPr>
            <w:r>
              <w:rPr>
                <w:sz w:val="20"/>
                <w:szCs w:val="20"/>
              </w:rPr>
              <w:t xml:space="preserve">FCC approves Kepler 140 Ku-band; 19 demonstration sats on orbit, https://spacenews.com/fcc-approves-spacex-telesat-leosat-and-kepler-internet-constellations/ [deployed_sats illustrative]</w:t>
            </w:r>
          </w:p>
        </w:tc>
      </w:tr>
      <w:tr>
        <w:tc>
          <w:tcPr>
            <w:tcW w:w="0" w:type="auto"/>
          </w:tcPr>
          <w:p>
            <w:pPr>
              <w:spacing w:line="240" w:lineRule="auto" w:before="0" w:after="0"/>
              <w:pStyle w:val="Compact"/>
            </w:pPr>
            <w:r>
              <w:rPr>
                <w:sz w:val="20"/>
                <w:szCs w:val="20"/>
              </w:rPr>
              <w:t xml:space="preserve">LeoSat</w:t>
            </w:r>
          </w:p>
        </w:tc>
        <w:tc>
          <w:tcPr>
            <w:tcW w:w="0" w:type="auto"/>
          </w:tcPr>
          <w:p>
            <w:pPr>
              <w:spacing w:line="240" w:lineRule="auto" w:before="0" w:after="0"/>
              <w:pStyle w:val="Compact"/>
            </w:pPr>
            <w:r>
              <w:rPr>
                <w:sz w:val="20"/>
                <w:szCs w:val="20"/>
              </w:rPr>
              <w:t xml:space="preserve">LeoSat MA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1.8921</w:t>
            </w:r>
          </w:p>
        </w:tc>
        <w:tc>
          <w:tcPr>
            <w:tcW w:w="0" w:type="auto"/>
          </w:tcPr>
          <w:p>
            <w:pPr>
              <w:spacing w:line="240" w:lineRule="auto" w:before="0" w:after="0"/>
              <w:pStyle w:val="Compact"/>
            </w:pPr>
            <w:r>
              <w:rPr>
                <w:sz w:val="20"/>
                <w:szCs w:val="20"/>
              </w:rPr>
              <w:t xml:space="preserve">FCC Grants Market Access for LeoSat (78+6 sats); company dissolved, not deployed, https://www.fcc.gov/document/fcc-grants-market-access-leosat-ngso-constellation</w:t>
            </w:r>
          </w:p>
        </w:tc>
      </w:tr>
      <w:tr>
        <w:tc>
          <w:tcPr>
            <w:tcW w:w="0" w:type="auto"/>
          </w:tcPr>
          <w:p>
            <w:pPr>
              <w:spacing w:line="240" w:lineRule="auto" w:before="0" w:after="0"/>
              <w:pStyle w:val="Compact"/>
            </w:pPr>
            <w:r>
              <w:rPr>
                <w:sz w:val="20"/>
                <w:szCs w:val="20"/>
              </w:rPr>
              <w:t xml:space="preserve">Theia</w:t>
            </w:r>
          </w:p>
        </w:tc>
        <w:tc>
          <w:tcPr>
            <w:tcW w:w="0" w:type="auto"/>
          </w:tcPr>
          <w:p>
            <w:pPr>
              <w:spacing w:line="240" w:lineRule="auto" w:before="0" w:after="0"/>
              <w:pStyle w:val="Compact"/>
            </w:pPr>
            <w:r>
              <w:rPr>
                <w:sz w:val="20"/>
                <w:szCs w:val="20"/>
              </w:rPr>
              <w:t xml:space="preserve">Theia Holdings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2.0492</w:t>
            </w:r>
          </w:p>
        </w:tc>
        <w:tc>
          <w:tcPr>
            <w:tcW w:w="0" w:type="auto"/>
          </w:tcPr>
          <w:p>
            <w:pPr>
              <w:spacing w:line="240" w:lineRule="auto" w:before="0" w:after="0"/>
              <w:pStyle w:val="Compact"/>
            </w:pPr>
            <w:r>
              <w:rPr>
                <w:sz w:val="20"/>
                <w:szCs w:val="20"/>
              </w:rPr>
              <w:t xml:space="preserve">FCC Authorizes Theia (112-sat EO/FSS); bankruptcy, never deployed, https://www.fcc.gov/document/fcc-authorizes-theias-satellite-constellation-0</w:t>
            </w:r>
          </w:p>
        </w:tc>
      </w:tr>
      <w:tr>
        <w:tc>
          <w:tcPr>
            <w:tcW w:w="0" w:type="auto"/>
          </w:tcPr>
          <w:p>
            <w:pPr>
              <w:spacing w:line="240" w:lineRule="auto" w:before="0" w:after="0"/>
              <w:pStyle w:val="Compact"/>
            </w:pPr>
            <w:r>
              <w:rPr>
                <w:sz w:val="20"/>
                <w:szCs w:val="20"/>
              </w:rPr>
              <w:t xml:space="preserve">Karousel</w:t>
            </w:r>
          </w:p>
        </w:tc>
        <w:tc>
          <w:tcPr>
            <w:tcW w:w="0" w:type="auto"/>
          </w:tcPr>
          <w:p>
            <w:pPr>
              <w:spacing w:line="240" w:lineRule="auto" w:before="0" w:after="0"/>
              <w:pStyle w:val="Compact"/>
            </w:pPr>
            <w:r>
              <w:rPr>
                <w:sz w:val="20"/>
                <w:szCs w:val="20"/>
              </w:rPr>
              <w:t xml:space="preserve">Karousel LLC</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1.0792</w:t>
            </w:r>
          </w:p>
        </w:tc>
        <w:tc>
          <w:tcPr>
            <w:tcW w:w="0" w:type="auto"/>
          </w:tcPr>
          <w:p>
            <w:pPr>
              <w:spacing w:line="240" w:lineRule="auto" w:before="0" w:after="0"/>
              <w:pStyle w:val="Compact"/>
            </w:pPr>
            <w:r>
              <w:rPr>
                <w:sz w:val="20"/>
                <w:szCs w:val="20"/>
              </w:rPr>
              <w:t xml:space="preserve">FCC Authorizes Karousel (12-sat FSS); not deployed, https://www.fcc.gov/document/fcc-authorizes-karousel-ngso-satellite-constellation</w:t>
            </w:r>
          </w:p>
        </w:tc>
      </w:tr>
      <w:tr>
        <w:tc>
          <w:tcPr>
            <w:tcW w:w="0" w:type="auto"/>
          </w:tcPr>
          <w:p>
            <w:pPr>
              <w:spacing w:line="240" w:lineRule="auto" w:before="0" w:after="0"/>
              <w:pStyle w:val="Compact"/>
            </w:pPr>
            <w:r>
              <w:rPr>
                <w:sz w:val="20"/>
                <w:szCs w:val="20"/>
              </w:rPr>
              <w:t xml:space="preserve">Audacy</w:t>
            </w:r>
          </w:p>
        </w:tc>
        <w:tc>
          <w:tcPr>
            <w:tcW w:w="0" w:type="auto"/>
          </w:tcPr>
          <w:p>
            <w:pPr>
              <w:spacing w:line="240" w:lineRule="auto" w:before="0" w:after="0"/>
              <w:pStyle w:val="Compact"/>
            </w:pPr>
            <w:r>
              <w:rPr>
                <w:sz w:val="20"/>
                <w:szCs w:val="20"/>
              </w:rPr>
              <w:t xml:space="preserve">Audacy Corp</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FCC NGSO 2016 round; Audacy authorization null and void for failure to maintain performance bond, https://forum.nasaspaceflight.com/index.php?topic=41647.0</w:t>
            </w:r>
          </w:p>
        </w:tc>
      </w:tr>
      <w:tr>
        <w:tc>
          <w:tcPr>
            <w:tcW w:w="0" w:type="auto"/>
          </w:tcPr>
          <w:p>
            <w:pPr>
              <w:spacing w:line="240" w:lineRule="auto" w:before="0" w:after="0"/>
              <w:pStyle w:val="Compact"/>
            </w:pPr>
            <w:r>
              <w:rPr>
                <w:sz w:val="20"/>
                <w:szCs w:val="20"/>
              </w:rPr>
              <w:t xml:space="preserve">Boeing_LEO</w:t>
            </w:r>
          </w:p>
        </w:tc>
        <w:tc>
          <w:tcPr>
            <w:tcW w:w="0" w:type="auto"/>
          </w:tcPr>
          <w:p>
            <w:pPr>
              <w:spacing w:line="240" w:lineRule="auto" w:before="0" w:after="0"/>
              <w:pStyle w:val="Compact"/>
            </w:pPr>
            <w:r>
              <w:rPr>
                <w:sz w:val="20"/>
                <w:szCs w:val="20"/>
              </w:rPr>
              <w:t xml:space="preserve">The Boeing Company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2.1673</w:t>
            </w:r>
          </w:p>
        </w:tc>
        <w:tc>
          <w:tcPr>
            <w:tcW w:w="0" w:type="auto"/>
          </w:tcPr>
          <w:p>
            <w:pPr>
              <w:spacing w:line="240" w:lineRule="auto" w:before="0" w:after="0"/>
              <w:pStyle w:val="Compact"/>
            </w:pPr>
            <w:r>
              <w:rPr>
                <w:sz w:val="20"/>
                <w:szCs w:val="20"/>
              </w:rPr>
              <w:t xml:space="preserve">Boeing relinquished 147-member LEO license, paid $2.2M forfeiture, Aviation Week, https://aviationweek.com/space/commercial-space/boeing-relinquishes-license-leo-broadband-constellation</w:t>
            </w:r>
          </w:p>
        </w:tc>
      </w:tr>
      <w:tr>
        <w:tc>
          <w:tcPr>
            <w:tcW w:w="0" w:type="auto"/>
          </w:tcPr>
          <w:p>
            <w:pPr>
              <w:spacing w:line="240" w:lineRule="auto" w:before="0" w:after="0"/>
              <w:pStyle w:val="Compact"/>
            </w:pPr>
            <w:r>
              <w:rPr>
                <w:sz w:val="20"/>
                <w:szCs w:val="20"/>
              </w:rPr>
              <w:t xml:space="preserve">Space_Norway</w:t>
            </w:r>
          </w:p>
        </w:tc>
        <w:tc>
          <w:tcPr>
            <w:tcW w:w="0" w:type="auto"/>
          </w:tcPr>
          <w:p>
            <w:pPr>
              <w:spacing w:line="240" w:lineRule="auto" w:before="0" w:after="0"/>
              <w:pStyle w:val="Compact"/>
            </w:pPr>
            <w:r>
              <w:rPr>
                <w:sz w:val="20"/>
                <w:szCs w:val="20"/>
              </w:rPr>
              <w:t xml:space="preserve">Space Norway AS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FCC NGSO 2016 round (Space Norway ASBM 2-sat HEO); 2 launched 2024, https://forum.nasaspaceflight.com/index.php?topic=41647.0 [deployed_sats illustrative]</w:t>
            </w:r>
          </w:p>
        </w:tc>
      </w:tr>
      <w:tr>
        <w:tc>
          <w:tcPr>
            <w:tcW w:w="0" w:type="auto"/>
          </w:tcPr>
          <w:p>
            <w:pPr>
              <w:spacing w:line="240" w:lineRule="auto" w:before="0" w:after="0"/>
              <w:pStyle w:val="Compact"/>
            </w:pPr>
            <w:r>
              <w:rPr>
                <w:sz w:val="20"/>
                <w:szCs w:val="20"/>
              </w:rPr>
              <w:t xml:space="preserve">Kuiper</w:t>
            </w:r>
          </w:p>
        </w:tc>
        <w:tc>
          <w:tcPr>
            <w:tcW w:w="0" w:type="auto"/>
          </w:tcPr>
          <w:p>
            <w:pPr>
              <w:spacing w:line="240" w:lineRule="auto" w:before="0" w:after="0"/>
              <w:pStyle w:val="Compact"/>
            </w:pPr>
            <w:r>
              <w:rPr>
                <w:sz w:val="20"/>
                <w:szCs w:val="20"/>
              </w:rPr>
              <w:t xml:space="preserve">Amazon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3.51</w:t>
            </w:r>
          </w:p>
        </w:tc>
        <w:tc>
          <w:tcPr>
            <w:tcW w:w="0" w:type="auto"/>
          </w:tcPr>
          <w:p>
            <w:pPr>
              <w:spacing w:line="240" w:lineRule="auto" w:before="0" w:after="0"/>
              <w:pStyle w:val="Compact"/>
            </w:pPr>
            <w:r>
              <w:rPr>
                <w:sz w:val="20"/>
                <w:szCs w:val="20"/>
              </w:rPr>
              <w:t xml:space="preserve">Amazon Leo authorized July 2020 for 3,236; ~153 on orbit, milestone deadline missed, The Register 2026, https://www.theregister.com/networks/2026/06/08/amazon-leos-satellite-homework-is-late-but-fcc-wont-flunk-it-just-yet/ [deployed_sats illustrative]</w:t>
            </w:r>
          </w:p>
        </w:tc>
      </w:tr>
      <w:tr>
        <w:tc>
          <w:tcPr>
            <w:tcW w:w="0" w:type="auto"/>
          </w:tcPr>
          <w:p>
            <w:pPr>
              <w:spacing w:line="240" w:lineRule="auto" w:before="0" w:after="0"/>
              <w:pStyle w:val="Compact"/>
            </w:pPr>
            <w:r>
              <w:rPr>
                <w:sz w:val="20"/>
                <w:szCs w:val="20"/>
              </w:rPr>
              <w:t xml:space="preserve">Viasat_NGSO</w:t>
            </w:r>
          </w:p>
        </w:tc>
        <w:tc>
          <w:tcPr>
            <w:tcW w:w="0" w:type="auto"/>
          </w:tcPr>
          <w:p>
            <w:pPr>
              <w:spacing w:line="240" w:lineRule="auto" w:before="0" w:after="0"/>
              <w:pStyle w:val="Compact"/>
            </w:pPr>
            <w:r>
              <w:rPr>
                <w:sz w:val="20"/>
                <w:szCs w:val="20"/>
              </w:rPr>
              <w:t xml:space="preserve">Viasat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2.4594</w:t>
            </w:r>
          </w:p>
        </w:tc>
        <w:tc>
          <w:tcPr>
            <w:tcW w:w="0" w:type="auto"/>
          </w:tcPr>
          <w:p>
            <w:pPr>
              <w:spacing w:line="240" w:lineRule="auto" w:before="0" w:after="0"/>
              <w:pStyle w:val="Compact"/>
            </w:pPr>
            <w:r>
              <w:rPr>
                <w:sz w:val="20"/>
                <w:szCs w:val="20"/>
              </w:rPr>
              <w:t xml:space="preserve">Viasat NGSO petition 2021 processing round; not deployed, Payload Research NGSO status, https://payloadspace.com/status-of-ngso-fixed-satellite-service-spectrum-priority-in-the-us-payload-research/ [filed_sats illustrative]</w:t>
            </w:r>
          </w:p>
        </w:tc>
      </w:tr>
      <w:tr>
        <w:tc>
          <w:tcPr>
            <w:tcW w:w="0" w:type="auto"/>
          </w:tcPr>
          <w:p>
            <w:pPr>
              <w:spacing w:line="240" w:lineRule="auto" w:before="0" w:after="0"/>
              <w:pStyle w:val="Compact"/>
            </w:pPr>
            <w:r>
              <w:rPr>
                <w:sz w:val="20"/>
                <w:szCs w:val="20"/>
              </w:rPr>
              <w:t xml:space="preserve">Mangata</w:t>
            </w:r>
          </w:p>
        </w:tc>
        <w:tc>
          <w:tcPr>
            <w:tcW w:w="0" w:type="auto"/>
          </w:tcPr>
          <w:p>
            <w:pPr>
              <w:spacing w:line="240" w:lineRule="auto" w:before="0" w:after="0"/>
              <w:pStyle w:val="Compact"/>
            </w:pPr>
            <w:r>
              <w:rPr>
                <w:sz w:val="20"/>
                <w:szCs w:val="20"/>
              </w:rPr>
              <w:t xml:space="preserve">Mangata Networks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1.5051</w:t>
            </w:r>
          </w:p>
        </w:tc>
        <w:tc>
          <w:tcPr>
            <w:tcW w:w="0" w:type="auto"/>
          </w:tcPr>
          <w:p>
            <w:pPr>
              <w:spacing w:line="240" w:lineRule="auto" w:before="0" w:after="0"/>
              <w:pStyle w:val="Compact"/>
            </w:pPr>
            <w:r>
              <w:rPr>
                <w:sz w:val="20"/>
                <w:szCs w:val="20"/>
              </w:rPr>
              <w:t xml:space="preserve">Mangata Networks NGSO petition 2021 round; not deployed, Payload Research NGSO status, https://payloadspace.com/status-of-ngso-fixed-satellite-service-spectrum-priority-in-the-us-payload-research/ [filed_sats illustrative]</w:t>
            </w:r>
          </w:p>
        </w:tc>
      </w:tr>
      <w:tr>
        <w:tc>
          <w:tcPr>
            <w:tcW w:w="0" w:type="auto"/>
          </w:tcPr>
          <w:p>
            <w:pPr>
              <w:spacing w:line="240" w:lineRule="auto" w:before="0" w:after="0"/>
              <w:pStyle w:val="Compact"/>
            </w:pPr>
            <w:r>
              <w:rPr>
                <w:sz w:val="20"/>
                <w:szCs w:val="20"/>
              </w:rPr>
              <w:t xml:space="preserve">ASTSpaceMobile</w:t>
            </w:r>
          </w:p>
        </w:tc>
        <w:tc>
          <w:tcPr>
            <w:tcW w:w="0" w:type="auto"/>
          </w:tcPr>
          <w:p>
            <w:pPr>
              <w:spacing w:line="240" w:lineRule="auto" w:before="0" w:after="0"/>
              <w:pStyle w:val="Compact"/>
            </w:pPr>
            <w:r>
              <w:rPr>
                <w:sz w:val="20"/>
                <w:szCs w:val="20"/>
              </w:rPr>
              <w:t xml:space="preserve">AST and Science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2.3856</w:t>
            </w:r>
          </w:p>
        </w:tc>
        <w:tc>
          <w:tcPr>
            <w:tcW w:w="0" w:type="auto"/>
          </w:tcPr>
          <w:p>
            <w:pPr>
              <w:spacing w:line="240" w:lineRule="auto" w:before="0" w:after="0"/>
              <w:pStyle w:val="Compact"/>
            </w:pPr>
            <w:r>
              <w:rPr>
                <w:sz w:val="20"/>
                <w:szCs w:val="20"/>
              </w:rPr>
              <w:t xml:space="preserve">AST&amp;Science NGSO 2021 round; 5 BlueBird sats + BlueWalker 3 on orbit, Payload Research, https://payloadspace.com/status-of-ngso-fixed-satellite-service-spectrum-priority-in-the-us-payload-research/ [filed_sats illustrative]</w:t>
            </w:r>
          </w:p>
        </w:tc>
      </w:tr>
    </w:tbl>
    <w:bookmarkEnd w:id="182"/>
    <w:bookmarkStart w:id="18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materialized</w:t>
            </w:r>
          </w:p>
        </w:tc>
        <w:tc>
          <w:tcPr>
            <w:tcW w:w="0" w:type="auto"/>
          </w:tcPr>
          <w:p>
            <w:pPr>
              <w:spacing w:line="240" w:lineRule="auto" w:before="0" w:after="0"/>
              <w:pStyle w:val="Compact"/>
            </w:pPr>
            <w:r>
              <w:rPr>
                <w:sz w:val="20"/>
                <w:szCs w:val="20"/>
              </w:rPr>
              <w:t xml:space="preserve">1 if the filed NGSO system reached at least 50 percent of its filed satellite count on orbit within the observation horizon, else 0</w:t>
            </w:r>
          </w:p>
        </w:tc>
        <w:tc>
          <w:tcPr>
            <w:tcW w:w="0" w:type="auto"/>
          </w:tcPr>
          <w:p>
            <w:pPr>
              <w:spacing w:line="240" w:lineRule="auto" w:before="0" w:after="0"/>
              <w:pStyle w:val="Compact"/>
            </w:pPr>
            <w:r>
              <w:rPr>
                <w:sz w:val="20"/>
                <w:szCs w:val="20"/>
              </w:rPr>
              <w:t xml:space="preserve">Coded from per-system on-orbit counts versus filed counts; sources per row in data.csv</w:t>
            </w:r>
          </w:p>
        </w:tc>
      </w:tr>
      <w:tr>
        <w:tc>
          <w:tcPr>
            <w:tcW w:w="0" w:type="auto"/>
          </w:tcPr>
          <w:p>
            <w:pPr>
              <w:spacing w:line="240" w:lineRule="auto" w:before="0" w:after="0"/>
              <w:pStyle w:val="Compact"/>
            </w:pPr>
            <w:r>
              <w:rPr>
                <w:sz w:val="20"/>
                <w:szCs w:val="20"/>
              </w:rPr>
              <w:t xml:space="preserve">log_filed_sats</w:t>
            </w:r>
          </w:p>
        </w:tc>
        <w:tc>
          <w:tcPr>
            <w:tcW w:w="0" w:type="auto"/>
          </w:tcPr>
          <w:p>
            <w:pPr>
              <w:spacing w:line="240" w:lineRule="auto" w:before="0" w:after="0"/>
              <w:pStyle w:val="Compact"/>
            </w:pPr>
            <w:r>
              <w:rPr>
                <w:sz w:val="20"/>
                <w:szCs w:val="20"/>
              </w:rPr>
              <w:t xml:space="preserve">Base-10 logarithm of the number of satellites in the first authorized/filed system size (warehousing-proxy scale variable)</w:t>
            </w:r>
          </w:p>
        </w:tc>
        <w:tc>
          <w:tcPr>
            <w:tcW w:w="0" w:type="auto"/>
          </w:tcPr>
          <w:p>
            <w:pPr>
              <w:spacing w:line="240" w:lineRule="auto" w:before="0" w:after="0"/>
              <w:pStyle w:val="Compact"/>
            </w:pPr>
            <w:r>
              <w:rPr>
                <w:sz w:val="20"/>
                <w:szCs w:val="20"/>
              </w:rPr>
              <w:t xml:space="preserve">Computed from filed_sats; filed counts from FCC authorizations and constellation records cited per row</w:t>
            </w:r>
          </w:p>
        </w:tc>
      </w:tr>
      <w:tr>
        <w:tc>
          <w:tcPr>
            <w:tcW w:w="0" w:type="auto"/>
          </w:tcPr>
          <w:p>
            <w:pPr>
              <w:spacing w:line="240" w:lineRule="auto" w:before="0" w:after="0"/>
              <w:pStyle w:val="Compact"/>
            </w:pPr>
            <w:r>
              <w:rPr>
                <w:sz w:val="20"/>
                <w:szCs w:val="20"/>
              </w:rPr>
              <w:t xml:space="preserve">prior_track_record</w:t>
            </w:r>
          </w:p>
        </w:tc>
        <w:tc>
          <w:tcPr>
            <w:tcW w:w="0" w:type="auto"/>
          </w:tcPr>
          <w:p>
            <w:pPr>
              <w:spacing w:line="240" w:lineRule="auto" w:before="0" w:after="0"/>
              <w:pStyle w:val="Compact"/>
            </w:pPr>
            <w:r>
              <w:rPr>
                <w:sz w:val="20"/>
                <w:szCs w:val="20"/>
              </w:rPr>
              <w:t xml:space="preserve">1 if the filer had a prior on-orbit operational satellite system at the priority date, else 0</w:t>
            </w:r>
          </w:p>
        </w:tc>
        <w:tc>
          <w:tcPr>
            <w:tcW w:w="0" w:type="auto"/>
          </w:tcPr>
          <w:p>
            <w:pPr>
              <w:spacing w:line="240" w:lineRule="auto" w:before="0" w:after="0"/>
              <w:pStyle w:val="Compact"/>
            </w:pPr>
            <w:r>
              <w:rPr>
                <w:sz w:val="20"/>
                <w:szCs w:val="20"/>
              </w:rPr>
              <w:t xml:space="preserve">Coded from filer corporate histories cited per row in data.csv</w:t>
            </w:r>
          </w:p>
        </w:tc>
      </w:tr>
      <w:tr>
        <w:tc>
          <w:tcPr>
            <w:tcW w:w="0" w:type="auto"/>
          </w:tcPr>
          <w:p>
            <w:pPr>
              <w:spacing w:line="240" w:lineRule="auto" w:before="0" w:after="0"/>
              <w:pStyle w:val="Compact"/>
            </w:pPr>
            <w:r>
              <w:rPr>
                <w:sz w:val="20"/>
                <w:szCs w:val="20"/>
              </w:rPr>
              <w:t xml:space="preserve">filer_concurrent_filings</w:t>
            </w:r>
          </w:p>
        </w:tc>
        <w:tc>
          <w:tcPr>
            <w:tcW w:w="0" w:type="auto"/>
          </w:tcPr>
          <w:p>
            <w:pPr>
              <w:spacing w:line="240" w:lineRule="auto" w:before="0" w:after="0"/>
              <w:pStyle w:val="Compact"/>
            </w:pPr>
            <w:r>
              <w:rPr>
                <w:sz w:val="20"/>
                <w:szCs w:val="20"/>
              </w:rPr>
              <w:t xml:space="preserve">1 if the filer lodged multiple overlapping NGSO filings around the priority date, else 0</w:t>
            </w:r>
          </w:p>
        </w:tc>
        <w:tc>
          <w:tcPr>
            <w:tcW w:w="0" w:type="auto"/>
          </w:tcPr>
          <w:p>
            <w:pPr>
              <w:spacing w:line="240" w:lineRule="auto" w:before="0" w:after="0"/>
              <w:pStyle w:val="Compact"/>
            </w:pPr>
            <w:r>
              <w:rPr>
                <w:sz w:val="20"/>
                <w:szCs w:val="20"/>
              </w:rPr>
              <w:t xml:space="preserve">Coded from FCC processing-round records and constellation histories cited per row</w:t>
            </w:r>
          </w:p>
        </w:tc>
      </w:tr>
      <w:tr>
        <w:tc>
          <w:tcPr>
            <w:tcW w:w="0" w:type="auto"/>
          </w:tcPr>
          <w:p>
            <w:pPr>
              <w:spacing w:line="240" w:lineRule="auto" w:before="0" w:after="0"/>
              <w:pStyle w:val="Compact"/>
            </w:pPr>
            <w:r>
              <w:rPr>
                <w:sz w:val="20"/>
                <w:szCs w:val="20"/>
              </w:rPr>
              <w:t xml:space="preserve">broadband_internet</w:t>
            </w:r>
          </w:p>
        </w:tc>
        <w:tc>
          <w:tcPr>
            <w:tcW w:w="0" w:type="auto"/>
          </w:tcPr>
          <w:p>
            <w:pPr>
              <w:spacing w:line="240" w:lineRule="auto" w:before="0" w:after="0"/>
              <w:pStyle w:val="Compact"/>
            </w:pPr>
            <w:r>
              <w:rPr>
                <w:sz w:val="20"/>
                <w:szCs w:val="20"/>
              </w:rPr>
              <w:t xml:space="preserve">1 if the system was a broadband internet/FSS constellation (versus narrowband MSS or other service), else 0</w:t>
            </w:r>
          </w:p>
        </w:tc>
        <w:tc>
          <w:tcPr>
            <w:tcW w:w="0" w:type="auto"/>
          </w:tcPr>
          <w:p>
            <w:pPr>
              <w:spacing w:line="240" w:lineRule="auto" w:before="0" w:after="0"/>
              <w:pStyle w:val="Compact"/>
            </w:pPr>
            <w:r>
              <w:rPr>
                <w:sz w:val="20"/>
                <w:szCs w:val="20"/>
              </w:rPr>
              <w:t xml:space="preserve">Coded from system service descriptions cited per row in data.csv</w:t>
            </w:r>
          </w:p>
        </w:tc>
      </w:tr>
    </w:tbl>
    <w:bookmarkEnd w:id="183"/>
    <w:bookmarkEnd w:id="184"/>
    <w:bookmarkStart w:id="192" w:name="X9b7b4f71b397a815f75bdc8b14da4ca09aad31f"/>
    <w:p>
      <w:pPr>
        <w:pStyle w:val="Heading2"/>
        <w:spacing w:line="480" w:lineRule="auto"/>
      </w:pPr>
      <w:r>
        <w:t xml:space="preserve">A.2 Hazard of Materialization: A Proportional-Hazards Analysis of NGSO Filing-to-Deployment Conversion</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rPr>
                  <m:sty m:val="p"/>
                </m:rPr>
                <m:t>ln</m:t>
              </m:r>
              <m:r>
                <m:rPr>
                  <m:sty m:val="p"/>
                </m:rPr>
                <m:t>(</m:t>
              </m:r>
              <m:r>
                <m:rPr>
                  <m:nor/>
                  <m:sty m:val="p"/>
                </m:rPr>
                <m:t>filed_sats</m:t>
              </m:r>
              <m:r>
                <m:rPr>
                  <m:sty m:val="p"/>
                </m:rPr>
                <m:t>)</m:t>
              </m:r>
              <m:r>
                <m:rPr>
                  <m:sty m:val="p"/>
                </m:rPr>
                <m:t>+</m:t>
              </m:r>
              <m:sSub>
                <m:e>
                  <m:r>
                    <m:t>β</m:t>
                  </m:r>
                </m:e>
                <m:sub>
                  <m:r>
                    <m:t>2</m:t>
                  </m:r>
                </m:sub>
              </m:sSub>
              <m:r>
                <m:t> </m:t>
              </m:r>
              <m:r>
                <m:rPr>
                  <m:nor/>
                  <m:sty m:val="p"/>
                </m:rPr>
                <m:t>incumbent</m:t>
              </m:r>
              <m:r>
                <m:rPr>
                  <m:sty m:val="p"/>
                </m:rPr>
                <m:t>+</m:t>
              </m:r>
              <m:sSub>
                <m:e>
                  <m:r>
                    <m:t>β</m:t>
                  </m:r>
                </m:e>
                <m:sub>
                  <m:r>
                    <m:t>3</m:t>
                  </m:r>
                </m:sub>
              </m:sSub>
              <m:r>
                <m:t> </m:t>
              </m:r>
              <m:r>
                <m:rPr>
                  <m:nor/>
                  <m:sty m:val="p"/>
                </m:rPr>
                <m:t>us_filer</m:t>
              </m:r>
            </m:e>
          </m:d>
        </m:oMath>
      </m:oMathPara>
    </w:p>
    <w:bookmarkStart w:id="18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ln_filed_sats</w:t>
            </w:r>
          </w:p>
        </w:tc>
        <w:tc>
          <w:tcPr>
            <w:tcW w:w="0" w:type="auto"/>
          </w:tcPr>
          <w:p>
            <w:pPr>
              <w:spacing w:line="240" w:lineRule="auto" w:before="0" w:after="0"/>
              <w:pStyle w:val="Compact"/>
            </w:pPr>
            <w:r>
              <w:rPr>
                <w:sz w:val="20"/>
                <w:szCs w:val="20"/>
              </w:rPr>
              <w:t xml:space="preserve">0.1351</w:t>
            </w:r>
          </w:p>
        </w:tc>
        <w:tc>
          <w:tcPr>
            <w:tcW w:w="0" w:type="auto"/>
          </w:tcPr>
          <w:p>
            <w:pPr>
              <w:spacing w:line="240" w:lineRule="auto" w:before="0" w:after="0"/>
              <w:pStyle w:val="Compact"/>
            </w:pPr>
            <w:r>
              <w:rPr>
                <w:sz w:val="20"/>
                <w:szCs w:val="20"/>
              </w:rPr>
              <w:t xml:space="preserve">0.102</w:t>
            </w:r>
          </w:p>
        </w:tc>
        <w:tc>
          <w:tcPr>
            <w:tcW w:w="0" w:type="auto"/>
          </w:tcPr>
          <w:p>
            <w:pPr>
              <w:spacing w:line="240" w:lineRule="auto" w:before="0" w:after="0"/>
              <w:pStyle w:val="Compact"/>
            </w:pPr>
            <w:r>
              <w:rPr>
                <w:sz w:val="20"/>
                <w:szCs w:val="20"/>
              </w:rPr>
              <w:t xml:space="preserve">1.3244</w:t>
            </w:r>
          </w:p>
        </w:tc>
        <w:tc>
          <w:tcPr>
            <w:tcW w:w="0" w:type="auto"/>
          </w:tcPr>
          <w:p>
            <w:pPr>
              <w:spacing w:line="240" w:lineRule="auto" w:before="0" w:after="0"/>
              <w:pStyle w:val="Compact"/>
            </w:pPr>
            <w:r>
              <w:rPr>
                <w:sz w:val="20"/>
                <w:szCs w:val="20"/>
              </w:rPr>
              <w:t xml:space="preserve">0.1854</w:t>
            </w:r>
          </w:p>
        </w:tc>
        <w:tc>
          <w:tcPr>
            <w:tcW w:w="0" w:type="auto"/>
          </w:tcPr>
          <w:p>
            <w:pPr>
              <w:spacing w:line="240" w:lineRule="auto" w:before="0" w:after="0"/>
              <w:pStyle w:val="Compact"/>
            </w:pPr>
            <w:r>
              <w:rPr>
                <w:sz w:val="20"/>
                <w:szCs w:val="20"/>
              </w:rPr>
              <w:t xml:space="preserve">[-0.0648, 0.335]</w:t>
            </w:r>
          </w:p>
        </w:tc>
        <w:tc>
          <w:tcPr>
            <w:tcW w:w="0" w:type="auto"/>
          </w:tcPr>
          <w:p>
            <w:pPr>
              <w:spacing w:line="240" w:lineRule="auto" w:before="0" w:after="0"/>
              <w:pStyle w:val="Compact"/>
            </w:pPr>
            <w:r>
              <w:rPr>
                <w:sz w:val="20"/>
                <w:szCs w:val="20"/>
              </w:rPr>
              <w:t xml:space="preserve">1.1446</w:t>
            </w:r>
          </w:p>
        </w:tc>
      </w:tr>
      <w:tr>
        <w:tc>
          <w:tcPr>
            <w:tcW w:w="0" w:type="auto"/>
          </w:tcPr>
          <w:p>
            <w:pPr>
              <w:spacing w:line="240" w:lineRule="auto" w:before="0" w:after="0"/>
              <w:pStyle w:val="Compact"/>
            </w:pPr>
            <w:r>
              <w:rPr>
                <w:sz w:val="20"/>
                <w:szCs w:val="20"/>
              </w:rPr>
              <w:t xml:space="preserve">incumbent</w:t>
            </w:r>
          </w:p>
        </w:tc>
        <w:tc>
          <w:tcPr>
            <w:tcW w:w="0" w:type="auto"/>
          </w:tcPr>
          <w:p>
            <w:pPr>
              <w:spacing w:line="240" w:lineRule="auto" w:before="0" w:after="0"/>
              <w:pStyle w:val="Compact"/>
            </w:pPr>
            <w:r>
              <w:rPr>
                <w:sz w:val="20"/>
                <w:szCs w:val="20"/>
              </w:rPr>
              <w:t xml:space="preserve">0.4827</w:t>
            </w:r>
          </w:p>
        </w:tc>
        <w:tc>
          <w:tcPr>
            <w:tcW w:w="0" w:type="auto"/>
          </w:tcPr>
          <w:p>
            <w:pPr>
              <w:spacing w:line="240" w:lineRule="auto" w:before="0" w:after="0"/>
              <w:pStyle w:val="Compact"/>
            </w:pPr>
            <w:r>
              <w:rPr>
                <w:sz w:val="20"/>
                <w:szCs w:val="20"/>
              </w:rPr>
              <w:t xml:space="preserve">0.5242</w:t>
            </w:r>
          </w:p>
        </w:tc>
        <w:tc>
          <w:tcPr>
            <w:tcW w:w="0" w:type="auto"/>
          </w:tcPr>
          <w:p>
            <w:pPr>
              <w:spacing w:line="240" w:lineRule="auto" w:before="0" w:after="0"/>
              <w:pStyle w:val="Compact"/>
            </w:pPr>
            <w:r>
              <w:rPr>
                <w:sz w:val="20"/>
                <w:szCs w:val="20"/>
              </w:rPr>
              <w:t xml:space="preserve">0.9209</w:t>
            </w:r>
          </w:p>
        </w:tc>
        <w:tc>
          <w:tcPr>
            <w:tcW w:w="0" w:type="auto"/>
          </w:tcPr>
          <w:p>
            <w:pPr>
              <w:spacing w:line="240" w:lineRule="auto" w:before="0" w:after="0"/>
              <w:pStyle w:val="Compact"/>
            </w:pPr>
            <w:r>
              <w:rPr>
                <w:sz w:val="20"/>
                <w:szCs w:val="20"/>
              </w:rPr>
              <w:t xml:space="preserve">0.3571</w:t>
            </w:r>
          </w:p>
        </w:tc>
        <w:tc>
          <w:tcPr>
            <w:tcW w:w="0" w:type="auto"/>
          </w:tcPr>
          <w:p>
            <w:pPr>
              <w:spacing w:line="240" w:lineRule="auto" w:before="0" w:after="0"/>
              <w:pStyle w:val="Compact"/>
            </w:pPr>
            <w:r>
              <w:rPr>
                <w:sz w:val="20"/>
                <w:szCs w:val="20"/>
              </w:rPr>
              <w:t xml:space="preserve">[-0.5447, 1.5102]</w:t>
            </w:r>
          </w:p>
        </w:tc>
        <w:tc>
          <w:tcPr>
            <w:tcW w:w="0" w:type="auto"/>
          </w:tcPr>
          <w:p>
            <w:pPr>
              <w:spacing w:line="240" w:lineRule="auto" w:before="0" w:after="0"/>
              <w:pStyle w:val="Compact"/>
            </w:pPr>
            <w:r>
              <w:rPr>
                <w:sz w:val="20"/>
                <w:szCs w:val="20"/>
              </w:rPr>
              <w:t xml:space="preserve">1.6205</w:t>
            </w:r>
          </w:p>
        </w:tc>
      </w:tr>
      <w:tr>
        <w:tc>
          <w:tcPr>
            <w:tcW w:w="0" w:type="auto"/>
          </w:tcPr>
          <w:p>
            <w:pPr>
              <w:spacing w:line="240" w:lineRule="auto" w:before="0" w:after="0"/>
              <w:pStyle w:val="Compact"/>
            </w:pPr>
            <w:r>
              <w:rPr>
                <w:sz w:val="20"/>
                <w:szCs w:val="20"/>
              </w:rPr>
              <w:t xml:space="preserve">us_filer</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-1.3665</w:t>
            </w:r>
          </w:p>
        </w:tc>
        <w:tc>
          <w:tcPr>
            <w:tcW w:w="0" w:type="auto"/>
          </w:tcPr>
          <w:p>
            <w:pPr>
              <w:spacing w:line="240" w:lineRule="auto" w:before="0" w:after="0"/>
              <w:pStyle w:val="Compact"/>
            </w:pPr>
            <w:r>
              <w:rPr>
                <w:sz w:val="20"/>
                <w:szCs w:val="20"/>
              </w:rPr>
              <w:t xml:space="preserve">0.1718</w:t>
            </w:r>
          </w:p>
        </w:tc>
        <w:tc>
          <w:tcPr>
            <w:tcW w:w="0" w:type="auto"/>
          </w:tcPr>
          <w:p>
            <w:pPr>
              <w:spacing w:line="240" w:lineRule="auto" w:before="0" w:after="0"/>
              <w:pStyle w:val="Compact"/>
            </w:pPr>
            <w:r>
              <w:rPr>
                <w:sz w:val="20"/>
                <w:szCs w:val="20"/>
              </w:rPr>
              <w:t xml:space="preserve">[-1.7632, 0.3146]</w:t>
            </w:r>
          </w:p>
        </w:tc>
        <w:tc>
          <w:tcPr>
            <w:tcW w:w="0" w:type="auto"/>
          </w:tcPr>
          <w:p>
            <w:pPr>
              <w:spacing w:line="240" w:lineRule="auto" w:before="0" w:after="0"/>
              <w:pStyle w:val="Compact"/>
            </w:pPr>
            <w:r>
              <w:rPr>
                <w:sz w:val="20"/>
                <w:szCs w:val="20"/>
              </w:rPr>
              <w:t xml:space="preserve">0.4847</w:t>
            </w:r>
          </w:p>
        </w:tc>
      </w:tr>
    </w:tbl>
    <w:p>
      <w:pPr>
        <w:pStyle w:val="BodyText"/>
        <w:spacing w:line="480" w:lineRule="auto"/>
        <w:ind w:firstLine="720"/>
      </w:pPr>
      <w:r>
        <w:t xml:space="preserve">Fit: N = 26 events = 17</w:t>
      </w:r>
    </w:p>
    <w:bookmarkEnd w:id="185"/>
    <w:bookmarkStart w:id="18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 from FCC authorization to first on-orbit deployment against filed system size, NGSO systems 2013-2023." title="" id="187" name="Picture"/>
            <a:graphic>
              <a:graphicData uri="http://schemas.openxmlformats.org/drawingml/2006/picture">
                <pic:pic>
                  <pic:nvPicPr>
                    <pic:cNvPr descr="D:/Claude_Code/brain/collegium/candidates/dissertations/SPECTRUM_PNT_01/research_papers/p2/paper_fig1.png" id="188" name="Picture"/>
                    <pic:cNvPicPr>
                      <a:picLocks noChangeArrowheads="1" noChangeAspect="1"/>
                    </pic:cNvPicPr>
                  </pic:nvPicPr>
                  <pic:blipFill>
                    <a:blip r:embed="rId1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 from FCC authorization to first on-orbit deployment against filed system size, NGSO systems 2013-2023.</w:t>
      </w:r>
    </w:p>
    <w:bookmarkEnd w:id="189"/>
    <w:bookmarkStart w:id="19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grant_year</w:t>
            </w:r>
          </w:p>
        </w:tc>
        <w:tc>
          <w:tcPr>
            <w:tcW w:w="0" w:type="auto"/>
          </w:tcPr>
          <w:p>
            <w:pPr>
              <w:spacing w:line="240" w:lineRule="auto" w:before="0" w:after="0"/>
              <w:pStyle w:val="Compact"/>
            </w:pPr>
            <w:r>
              <w:rPr>
                <w:sz w:val="20"/>
                <w:szCs w:val="20"/>
              </w:rPr>
              <w:t xml:space="preserve">filed_sats</w:t>
            </w:r>
          </w:p>
        </w:tc>
        <w:tc>
          <w:tcPr>
            <w:tcW w:w="0" w:type="auto"/>
          </w:tcPr>
          <w:p>
            <w:pPr>
              <w:spacing w:line="240" w:lineRule="auto" w:before="0" w:after="0"/>
              <w:pStyle w:val="Compact"/>
            </w:pPr>
            <w:r>
              <w:rPr>
                <w:sz w:val="20"/>
                <w:szCs w:val="20"/>
              </w:rPr>
              <w:t xml:space="preserve">ln_filed_sats</w:t>
            </w:r>
          </w:p>
        </w:tc>
        <w:tc>
          <w:tcPr>
            <w:tcW w:w="0" w:type="auto"/>
          </w:tcPr>
          <w:p>
            <w:pPr>
              <w:spacing w:line="240" w:lineRule="auto" w:before="0" w:after="0"/>
              <w:pStyle w:val="Compact"/>
            </w:pPr>
            <w:r>
              <w:rPr>
                <w:sz w:val="20"/>
                <w:szCs w:val="20"/>
              </w:rPr>
              <w:t xml:space="preserve">incumbent</w:t>
            </w:r>
          </w:p>
        </w:tc>
        <w:tc>
          <w:tcPr>
            <w:tcW w:w="0" w:type="auto"/>
          </w:tcPr>
          <w:p>
            <w:pPr>
              <w:spacing w:line="240" w:lineRule="auto" w:before="0" w:after="0"/>
              <w:pStyle w:val="Compact"/>
            </w:pPr>
            <w:r>
              <w:rPr>
                <w:sz w:val="20"/>
                <w:szCs w:val="20"/>
              </w:rPr>
              <w:t xml:space="preserve">us_filer</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deployed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 Gen1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4425</w:t>
            </w:r>
          </w:p>
        </w:tc>
        <w:tc>
          <w:tcPr>
            <w:tcW w:w="0" w:type="auto"/>
          </w:tcPr>
          <w:p>
            <w:pPr>
              <w:spacing w:line="240" w:lineRule="auto" w:before="0" w:after="0"/>
              <w:pStyle w:val="Compact"/>
            </w:pPr>
            <w:r>
              <w:rPr>
                <w:sz w:val="20"/>
                <w:szCs w:val="20"/>
              </w:rPr>
              <w:t xml:space="preserve">8.3951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FCC-18-38 (NGSO authorization 2018-03-29); first operational Starlink batch launched 2019-05-23 per en.wikipedia.org/wiki/Starlink</w:t>
            </w:r>
          </w:p>
        </w:tc>
      </w:tr>
      <w:tr>
        <w:tc>
          <w:tcPr>
            <w:tcW w:w="0" w:type="auto"/>
          </w:tcPr>
          <w:p>
            <w:pPr>
              <w:spacing w:line="240" w:lineRule="auto" w:before="0" w:after="0"/>
              <w:pStyle w:val="Compact"/>
            </w:pPr>
            <w:r>
              <w:rPr>
                <w:sz w:val="20"/>
                <w:szCs w:val="20"/>
              </w:rPr>
              <w:t xml:space="preserve">Starlink V-band</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7518</w:t>
            </w:r>
          </w:p>
        </w:tc>
        <w:tc>
          <w:tcPr>
            <w:tcW w:w="0" w:type="auto"/>
          </w:tcPr>
          <w:p>
            <w:pPr>
              <w:spacing w:line="240" w:lineRule="auto" w:before="0" w:after="0"/>
              <w:pStyle w:val="Compact"/>
            </w:pPr>
            <w:r>
              <w:rPr>
                <w:sz w:val="20"/>
                <w:szCs w:val="20"/>
              </w:rPr>
              <w:t xml:space="preserve">8.9251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18-38 V-band grant 2018-11-15 (FCC-18-38); V-band/lower-shell deployment within Gen2 per spacenews.com/fcc-oks-lower-orbit-for-some-starlink-satellites and newspace.im</w:t>
            </w:r>
          </w:p>
        </w:tc>
      </w:tr>
      <w:tr>
        <w:tc>
          <w:tcPr>
            <w:tcW w:w="0" w:type="auto"/>
          </w:tcPr>
          <w:p>
            <w:pPr>
              <w:spacing w:line="240" w:lineRule="auto" w:before="0" w:after="0"/>
              <w:pStyle w:val="Compact"/>
            </w:pPr>
            <w:r>
              <w:rPr>
                <w:sz w:val="20"/>
                <w:szCs w:val="20"/>
              </w:rPr>
              <w:t xml:space="preserve">OneWeb Gen1</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market-access grant 2017-06-22 (fcc.gov/document/oneweb-market-access-grant); first 6 satellites launched 2019-02-27 per newspace.im</w:t>
            </w:r>
          </w:p>
        </w:tc>
      </w:tr>
      <w:tr>
        <w:tc>
          <w:tcPr>
            <w:tcW w:w="0" w:type="auto"/>
          </w:tcPr>
          <w:p>
            <w:pPr>
              <w:spacing w:line="240" w:lineRule="auto" w:before="0" w:after="0"/>
              <w:pStyle w:val="Compact"/>
            </w:pPr>
            <w:r>
              <w:rPr>
                <w:sz w:val="20"/>
                <w:szCs w:val="20"/>
              </w:rPr>
              <w:t xml:space="preserve">Kuiper</w:t>
            </w:r>
          </w:p>
        </w:tc>
        <w:tc>
          <w:tcPr>
            <w:tcW w:w="0" w:type="auto"/>
          </w:tcPr>
          <w:p>
            <w:pPr>
              <w:spacing w:line="240" w:lineRule="auto" w:before="0" w:after="0"/>
              <w:pStyle w:val="Compact"/>
            </w:pPr>
            <w:r>
              <w:rPr>
                <w:sz w:val="20"/>
                <w:szCs w:val="20"/>
              </w:rPr>
              <w:t xml:space="preserve">Amazon Kuiper Systems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8.0822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DA/FCC-20-102 authorization 2020-07-30 (fcc.gov/document/fcc-authorizes-kuiper-satellite-constellation); first two prototypes (KuiperSat) launched 2023-10-06 per eoportal.org/satellite-missions/projectkuiper</w:t>
            </w:r>
          </w:p>
        </w:tc>
      </w:tr>
      <w:tr>
        <w:tc>
          <w:tcPr>
            <w:tcW w:w="0" w:type="auto"/>
          </w:tcPr>
          <w:p>
            <w:pPr>
              <w:spacing w:line="240" w:lineRule="auto" w:before="0" w:after="0"/>
              <w:pStyle w:val="Compact"/>
            </w:pPr>
            <w:r>
              <w:rPr>
                <w:sz w:val="20"/>
                <w:szCs w:val="20"/>
              </w:rPr>
              <w:t xml:space="preserve">Telesat Lightspeed</w:t>
            </w:r>
          </w:p>
        </w:tc>
        <w:tc>
          <w:tcPr>
            <w:tcW w:w="0" w:type="auto"/>
          </w:tcPr>
          <w:p>
            <w:pPr>
              <w:spacing w:line="240" w:lineRule="auto" w:before="0" w:after="0"/>
              <w:pStyle w:val="Compact"/>
            </w:pPr>
            <w:r>
              <w:rPr>
                <w:sz w:val="20"/>
                <w:szCs w:val="20"/>
              </w:rPr>
              <w:t xml:space="preserve">Telesat Canada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4.7622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market-access grant 2018-11-15 (fcc.gov/document/telesat-ngso-market-access-grant); LEO-1 demonstration satellite launched 2018-01 per spacenews.com/telesats-leo-constellation-fully-funded-after-manufacturer-switch (incumbent GEO operator)</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Kepler Communications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US market-access grant 2018-11-15 (fcc.gov/document/fcc-grants-kepler-communications-access-us-market); KIPP/CASE pathfinder launched 2018-01 (kepler.space/first-launch) [duration from earliest filing tranche]</w:t>
            </w:r>
          </w:p>
        </w:tc>
      </w:tr>
      <w:tr>
        <w:tc>
          <w:tcPr>
            <w:tcW w:w="0" w:type="auto"/>
          </w:tcPr>
          <w:p>
            <w:pPr>
              <w:spacing w:line="240" w:lineRule="auto" w:before="0" w:after="0"/>
              <w:pStyle w:val="Compact"/>
            </w:pPr>
            <w:r>
              <w:rPr>
                <w:sz w:val="20"/>
                <w:szCs w:val="20"/>
              </w:rPr>
              <w:t xml:space="preserve">Swarm</w:t>
            </w:r>
          </w:p>
        </w:tc>
        <w:tc>
          <w:tcPr>
            <w:tcW w:w="0" w:type="auto"/>
          </w:tcPr>
          <w:p>
            <w:pPr>
              <w:spacing w:line="240" w:lineRule="auto" w:before="0" w:after="0"/>
              <w:pStyle w:val="Compact"/>
            </w:pPr>
            <w:r>
              <w:rPr>
                <w:sz w:val="20"/>
                <w:szCs w:val="20"/>
              </w:rPr>
              <w:t xml:space="preserve">Swarm Technologies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experimental/NGSO authorization 2018-10-01 (FCC-18-184); SpaceBEE constellation operational by 2018-12 per apps.fcc.gov FCC File 0961-EX-CN-2018</w:t>
            </w:r>
          </w:p>
        </w:tc>
      </w:tr>
      <w:tr>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Iridium Communications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4.3175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Iridium NEXT replacement constellation; first launch 2017-01-14, fully deployed 2019 per newspace.im (incumbent MSS operator)</w:t>
            </w:r>
          </w:p>
        </w:tc>
      </w:tr>
      <w:tr>
        <w:tc>
          <w:tcPr>
            <w:tcW w:w="0" w:type="auto"/>
          </w:tcPr>
          <w:p>
            <w:pPr>
              <w:spacing w:line="240" w:lineRule="auto" w:before="0" w:after="0"/>
              <w:pStyle w:val="Compact"/>
            </w:pPr>
            <w:r>
              <w:rPr>
                <w:sz w:val="20"/>
                <w:szCs w:val="20"/>
              </w:rPr>
              <w:t xml:space="preserve">Globalstar Gen2</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3.8712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Globalstar second-generation constellation; first Gen2 launches 2010-2013, operational per newspace.im (incumbent operator)</w:t>
            </w:r>
          </w:p>
        </w:tc>
      </w:tr>
      <w:tr>
        <w:tc>
          <w:tcPr>
            <w:tcW w:w="0" w:type="auto"/>
          </w:tcPr>
          <w:p>
            <w:pPr>
              <w:spacing w:line="240" w:lineRule="auto" w:before="0" w:after="0"/>
              <w:pStyle w:val="Compact"/>
            </w:pPr>
            <w:r>
              <w:rPr>
                <w:sz w:val="20"/>
                <w:szCs w:val="20"/>
              </w:rPr>
              <w:t xml:space="preserve">O3b mPOWER</w:t>
            </w:r>
          </w:p>
        </w:tc>
        <w:tc>
          <w:tcPr>
            <w:tcW w:w="0" w:type="auto"/>
          </w:tcPr>
          <w:p>
            <w:pPr>
              <w:spacing w:line="240" w:lineRule="auto" w:before="0" w:after="0"/>
              <w:pStyle w:val="Compact"/>
            </w:pPr>
            <w:r>
              <w:rPr>
                <w:sz w:val="20"/>
                <w:szCs w:val="20"/>
              </w:rPr>
              <w:t xml:space="preserve">SES O3b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O3b/mPOWER MEO constellation; original O3b first launch 2013, mPOWER deploying per newspace.im (incumbent SES operator)</w:t>
            </w:r>
          </w:p>
        </w:tc>
      </w:tr>
      <w:tr>
        <w:tc>
          <w:tcPr>
            <w:tcW w:w="0" w:type="auto"/>
          </w:tcPr>
          <w:p>
            <w:pPr>
              <w:spacing w:line="240" w:lineRule="auto" w:before="0" w:after="0"/>
              <w:pStyle w:val="Compact"/>
            </w:pPr>
            <w:r>
              <w:rPr>
                <w:sz w:val="20"/>
                <w:szCs w:val="20"/>
              </w:rPr>
              <w:t xml:space="preserve">AST SpaceMobile</w:t>
            </w:r>
          </w:p>
        </w:tc>
        <w:tc>
          <w:tcPr>
            <w:tcW w:w="0" w:type="auto"/>
          </w:tcPr>
          <w:p>
            <w:pPr>
              <w:spacing w:line="240" w:lineRule="auto" w:before="0" w:after="0"/>
              <w:pStyle w:val="Compact"/>
            </w:pPr>
            <w:r>
              <w:rPr>
                <w:sz w:val="20"/>
                <w:szCs w:val="20"/>
              </w:rPr>
              <w:t xml:space="preserve">AST SpaceMobile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5.4931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experimental + market authorizations; BlueWalker 3 launched 2022-09-10, BlueBird block-1 launched 2024-09 per newspace.im</w:t>
            </w:r>
          </w:p>
        </w:tc>
      </w:tr>
      <w:tr>
        <w:tc>
          <w:tcPr>
            <w:tcW w:w="0" w:type="auto"/>
          </w:tcPr>
          <w:p>
            <w:pPr>
              <w:spacing w:line="240" w:lineRule="auto" w:before="0" w:after="0"/>
              <w:pStyle w:val="Compact"/>
            </w:pPr>
            <w:r>
              <w:rPr>
                <w:sz w:val="20"/>
                <w:szCs w:val="20"/>
              </w:rPr>
              <w:t xml:space="preserve">Lynk Global</w:t>
            </w:r>
          </w:p>
        </w:tc>
        <w:tc>
          <w:tcPr>
            <w:tcW w:w="0" w:type="auto"/>
          </w:tcPr>
          <w:p>
            <w:pPr>
              <w:spacing w:line="240" w:lineRule="auto" w:before="0" w:after="0"/>
              <w:pStyle w:val="Compact"/>
            </w:pPr>
            <w:r>
              <w:rPr>
                <w:sz w:val="20"/>
                <w:szCs w:val="20"/>
              </w:rPr>
              <w:t xml:space="preserve">Lynk Global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commercial authorization 2022-09 (first commercial direct-to-cell license); Lynk Tower satellites operational 2022-2023 per newspace.im</w:t>
            </w:r>
          </w:p>
        </w:tc>
      </w:tr>
      <w:tr>
        <w:tc>
          <w:tcPr>
            <w:tcW w:w="0" w:type="auto"/>
          </w:tcPr>
          <w:p>
            <w:pPr>
              <w:spacing w:line="240" w:lineRule="auto" w:before="0" w:after="0"/>
              <w:pStyle w:val="Compact"/>
            </w:pPr>
            <w:r>
              <w:rPr>
                <w:sz w:val="20"/>
                <w:szCs w:val="20"/>
              </w:rPr>
              <w:t xml:space="preserve">Genesat Qianfan</w:t>
            </w:r>
          </w:p>
        </w:tc>
        <w:tc>
          <w:tcPr>
            <w:tcW w:w="0" w:type="auto"/>
          </w:tcPr>
          <w:p>
            <w:pPr>
              <w:spacing w:line="240" w:lineRule="auto" w:before="0" w:after="0"/>
              <w:pStyle w:val="Compact"/>
            </w:pPr>
            <w:r>
              <w:rPr>
                <w:sz w:val="20"/>
                <w:szCs w:val="20"/>
              </w:rPr>
              <w:t xml:space="preserve">Shanghai Genesat / SSST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1296</w:t>
            </w:r>
          </w:p>
        </w:tc>
        <w:tc>
          <w:tcPr>
            <w:tcW w:w="0" w:type="auto"/>
          </w:tcPr>
          <w:p>
            <w:pPr>
              <w:spacing w:line="240" w:lineRule="auto" w:before="0" w:after="0"/>
              <w:pStyle w:val="Compact"/>
            </w:pPr>
            <w:r>
              <w:rPr>
                <w:sz w:val="20"/>
                <w:szCs w:val="20"/>
              </w:rPr>
              <w:t xml:space="preserve">7.1672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Qianfan (Thousand Sails) constellation; first 18 satellites launched 2024-08-06 per newspace.im</w:t>
            </w:r>
          </w:p>
        </w:tc>
      </w:tr>
      <w:tr>
        <w:tc>
          <w:tcPr>
            <w:tcW w:w="0" w:type="auto"/>
          </w:tcPr>
          <w:p>
            <w:pPr>
              <w:spacing w:line="240" w:lineRule="auto" w:before="0" w:after="0"/>
              <w:pStyle w:val="Compact"/>
            </w:pPr>
            <w:r>
              <w:rPr>
                <w:sz w:val="20"/>
                <w:szCs w:val="20"/>
              </w:rPr>
              <w:t xml:space="preserve">China SatNet Guowang</w:t>
            </w:r>
          </w:p>
        </w:tc>
        <w:tc>
          <w:tcPr>
            <w:tcW w:w="0" w:type="auto"/>
          </w:tcPr>
          <w:p>
            <w:pPr>
              <w:spacing w:line="240" w:lineRule="auto" w:before="0" w:after="0"/>
              <w:pStyle w:val="Compact"/>
            </w:pPr>
            <w:r>
              <w:rPr>
                <w:sz w:val="20"/>
                <w:szCs w:val="20"/>
              </w:rPr>
              <w:t xml:space="preserve">China SatNet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12992</w:t>
            </w:r>
          </w:p>
        </w:tc>
        <w:tc>
          <w:tcPr>
            <w:tcW w:w="0" w:type="auto"/>
          </w:tcPr>
          <w:p>
            <w:pPr>
              <w:spacing w:line="240" w:lineRule="auto" w:before="0" w:after="0"/>
              <w:pStyle w:val="Compact"/>
            </w:pPr>
            <w:r>
              <w:rPr>
                <w:sz w:val="20"/>
                <w:szCs w:val="20"/>
              </w:rPr>
              <w:t xml:space="preserve">9.4721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Guowang/Xingwang national constellation; first batch launched 2024-12 per newspace.im</w:t>
            </w:r>
          </w:p>
        </w:tc>
      </w:tr>
      <w:tr>
        <w:tc>
          <w:tcPr>
            <w:tcW w:w="0" w:type="auto"/>
          </w:tcPr>
          <w:p>
            <w:pPr>
              <w:spacing w:line="240" w:lineRule="auto" w:before="0" w:after="0"/>
              <w:pStyle w:val="Compact"/>
            </w:pPr>
            <w:r>
              <w:rPr>
                <w:sz w:val="20"/>
                <w:szCs w:val="20"/>
              </w:rPr>
              <w:t xml:space="preserve">Astrocast</w:t>
            </w:r>
          </w:p>
        </w:tc>
        <w:tc>
          <w:tcPr>
            <w:tcW w:w="0" w:type="auto"/>
          </w:tcPr>
          <w:p>
            <w:pPr>
              <w:spacing w:line="240" w:lineRule="auto" w:before="0" w:after="0"/>
              <w:pStyle w:val="Compact"/>
            </w:pPr>
            <w:r>
              <w:rPr>
                <w:sz w:val="20"/>
                <w:szCs w:val="20"/>
              </w:rPr>
              <w:t xml:space="preserve">Astrocast 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Astrocast IoT nanosatellite constellation; first test satellites 2018-12, operational deployment 2019-2021 per newspace.im</w:t>
            </w:r>
          </w:p>
        </w:tc>
      </w:tr>
      <w:tr>
        <w:tc>
          <w:tcPr>
            <w:tcW w:w="0" w:type="auto"/>
          </w:tcPr>
          <w:p>
            <w:pPr>
              <w:spacing w:line="240" w:lineRule="auto" w:before="0" w:after="0"/>
              <w:pStyle w:val="Compact"/>
            </w:pPr>
            <w:r>
              <w:rPr>
                <w:sz w:val="20"/>
                <w:szCs w:val="20"/>
              </w:rPr>
              <w:t xml:space="preserve">Telesat V-band</w:t>
            </w:r>
          </w:p>
        </w:tc>
        <w:tc>
          <w:tcPr>
            <w:tcW w:w="0" w:type="auto"/>
          </w:tcPr>
          <w:p>
            <w:pPr>
              <w:spacing w:line="240" w:lineRule="auto" w:before="0" w:after="0"/>
              <w:pStyle w:val="Compact"/>
            </w:pPr>
            <w:r>
              <w:rPr>
                <w:sz w:val="20"/>
                <w:szCs w:val="20"/>
              </w:rPr>
              <w:t xml:space="preserve">Telesat Canada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4.7622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V-band market access 2018-11-15 (fcc.gov/document/authorizing-telesat-v-band-market-access-broadband-services); LEO-1 demo 2018-01 (incumbent)</w:t>
            </w:r>
          </w:p>
        </w:tc>
      </w:tr>
      <w:tr>
        <w:tc>
          <w:tcPr>
            <w:tcW w:w="0" w:type="auto"/>
          </w:tcPr>
          <w:p>
            <w:pPr>
              <w:spacing w:line="240" w:lineRule="auto" w:before="0" w:after="0"/>
              <w:pStyle w:val="Compact"/>
            </w:pPr>
            <w:r>
              <w:rPr>
                <w:sz w:val="20"/>
                <w:szCs w:val="20"/>
              </w:rPr>
              <w:t xml:space="preserve">Hongyan</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5.7683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Hongyan demonstration satellite launched 2018-12-29; program subsequently stalled but first object deployed per newspace.im</w:t>
            </w:r>
          </w:p>
        </w:tc>
      </w:tr>
      <w:tr>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The Boeing Company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4.9904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2016/2017 Ku-/Ka-band processing round filing (FCC-17-146);</w:t>
            </w:r>
            <w:r>
              <w:rPr>
                <w:sz w:val="20"/>
                <w:szCs w:val="20"/>
              </w:rPr>
              <w:t xml:space="preserve"> </w:t>
            </w:r>
            <w:r>
              <w:rPr>
                <w:sz w:val="20"/>
                <w:szCs w:val="20"/>
              </w:rPr>
              <w:t xml:space="preserve">‘Boeing will not operate’</w:t>
            </w:r>
            <w:r>
              <w:rPr>
                <w:sz w:val="20"/>
                <w:szCs w:val="20"/>
              </w:rPr>
              <w:t xml:space="preserve"> </w:t>
            </w:r>
            <w:r>
              <w:rPr>
                <w:sz w:val="20"/>
                <w:szCs w:val="20"/>
              </w:rPr>
              <w:t xml:space="preserve">per globalsecurity.org/space/systems/ngso.htm and newamerica.org LEO competition chapter [censored: no satellites deployed]</w:t>
            </w:r>
          </w:p>
        </w:tc>
      </w:tr>
      <w:tr>
        <w:tc>
          <w:tcPr>
            <w:tcW w:w="0" w:type="auto"/>
          </w:tcPr>
          <w:p>
            <w:pPr>
              <w:spacing w:line="240" w:lineRule="auto" w:before="0" w:after="0"/>
              <w:pStyle w:val="Compact"/>
            </w:pPr>
            <w:r>
              <w:rPr>
                <w:sz w:val="20"/>
                <w:szCs w:val="20"/>
              </w:rPr>
              <w:t xml:space="preserve">LeoSat</w:t>
            </w:r>
          </w:p>
        </w:tc>
        <w:tc>
          <w:tcPr>
            <w:tcW w:w="0" w:type="auto"/>
          </w:tcPr>
          <w:p>
            <w:pPr>
              <w:spacing w:line="240" w:lineRule="auto" w:before="0" w:after="0"/>
              <w:pStyle w:val="Compact"/>
            </w:pPr>
            <w:r>
              <w:rPr>
                <w:sz w:val="20"/>
                <w:szCs w:val="20"/>
              </w:rPr>
              <w:t xml:space="preserve">LeoSat MA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4.6821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NGSO grant 2018-11-15 (spacenews.com/fcc-approves-spacex-telesat-leosat-and-kepler-internet-constellations); company wound down 2019, never launched per globalsecurity.org [censored]</w:t>
            </w:r>
          </w:p>
        </w:tc>
      </w:tr>
      <w:tr>
        <w:tc>
          <w:tcPr>
            <w:tcW w:w="0" w:type="auto"/>
          </w:tcPr>
          <w:p>
            <w:pPr>
              <w:spacing w:line="240" w:lineRule="auto" w:before="0" w:after="0"/>
              <w:pStyle w:val="Compact"/>
            </w:pPr>
            <w:r>
              <w:rPr>
                <w:sz w:val="20"/>
                <w:szCs w:val="20"/>
              </w:rPr>
              <w:t xml:space="preserve">Theia</w:t>
            </w:r>
          </w:p>
        </w:tc>
        <w:tc>
          <w:tcPr>
            <w:tcW w:w="0" w:type="auto"/>
          </w:tcPr>
          <w:p>
            <w:pPr>
              <w:spacing w:line="240" w:lineRule="auto" w:before="0" w:after="0"/>
              <w:pStyle w:val="Compact"/>
            </w:pPr>
            <w:r>
              <w:rPr>
                <w:sz w:val="20"/>
                <w:szCs w:val="20"/>
              </w:rPr>
              <w:t xml:space="preserve">Theia Holding 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4.7185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authorization 2019-04 (fcc.gov/document/fcc-authorizes-theias-satellite-constellation-0); dissolved in litigation 2026, never launched, license transferred to EMTech 2024 per bloomberg.com and communicationsdaily.com [censored]</w:t>
            </w:r>
          </w:p>
        </w:tc>
      </w:tr>
      <w:tr>
        <w:tc>
          <w:tcPr>
            <w:tcW w:w="0" w:type="auto"/>
          </w:tcPr>
          <w:p>
            <w:pPr>
              <w:spacing w:line="240" w:lineRule="auto" w:before="0" w:after="0"/>
              <w:pStyle w:val="Compact"/>
            </w:pPr>
            <w:r>
              <w:rPr>
                <w:sz w:val="20"/>
                <w:szCs w:val="20"/>
              </w:rPr>
              <w:t xml:space="preserve">Karousel</w:t>
            </w:r>
          </w:p>
        </w:tc>
        <w:tc>
          <w:tcPr>
            <w:tcW w:w="0" w:type="auto"/>
          </w:tcPr>
          <w:p>
            <w:pPr>
              <w:spacing w:line="240" w:lineRule="auto" w:before="0" w:after="0"/>
              <w:pStyle w:val="Compact"/>
            </w:pPr>
            <w:r>
              <w:rPr>
                <w:sz w:val="20"/>
                <w:szCs w:val="20"/>
              </w:rPr>
              <w:t xml:space="preserve">Karousel LLC</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2016 processing-round filing; authorization surrendered, never launched per globalsecurity.org/space/systems/ngso.htm [censored]</w:t>
            </w:r>
          </w:p>
        </w:tc>
      </w:tr>
      <w:tr>
        <w:tc>
          <w:tcPr>
            <w:tcW w:w="0" w:type="auto"/>
          </w:tcPr>
          <w:p>
            <w:pPr>
              <w:spacing w:line="240" w:lineRule="auto" w:before="0" w:after="0"/>
              <w:pStyle w:val="Compact"/>
            </w:pPr>
            <w:r>
              <w:rPr>
                <w:sz w:val="20"/>
                <w:szCs w:val="20"/>
              </w:rPr>
              <w:t xml:space="preserve">Audacy</w:t>
            </w:r>
          </w:p>
        </w:tc>
        <w:tc>
          <w:tcPr>
            <w:tcW w:w="0" w:type="auto"/>
          </w:tcPr>
          <w:p>
            <w:pPr>
              <w:spacing w:line="240" w:lineRule="auto" w:before="0" w:after="0"/>
              <w:pStyle w:val="Compact"/>
            </w:pPr>
            <w:r>
              <w:rPr>
                <w:sz w:val="20"/>
                <w:szCs w:val="20"/>
              </w:rPr>
              <w:t xml:space="preserve">Audacy Corporation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2016 Ku-/Ka-band processing-round filing (3-satellite relay); company defunct by 2019, never launched per globalsecurity.org and newspace.im [censored]</w:t>
            </w:r>
          </w:p>
        </w:tc>
      </w:tr>
      <w:tr>
        <w:tc>
          <w:tcPr>
            <w:tcW w:w="0" w:type="auto"/>
          </w:tcPr>
          <w:p>
            <w:pPr>
              <w:spacing w:line="240" w:lineRule="auto" w:before="0" w:after="0"/>
              <w:pStyle w:val="Compact"/>
            </w:pPr>
            <w:r>
              <w:rPr>
                <w:sz w:val="20"/>
                <w:szCs w:val="20"/>
              </w:rPr>
              <w:t xml:space="preserve">ViaSat NGSO</w:t>
            </w:r>
          </w:p>
        </w:tc>
        <w:tc>
          <w:tcPr>
            <w:tcW w:w="0" w:type="auto"/>
          </w:tcPr>
          <w:p>
            <w:pPr>
              <w:spacing w:line="240" w:lineRule="auto" w:before="0" w:after="0"/>
              <w:pStyle w:val="Compact"/>
            </w:pPr>
            <w:r>
              <w:rPr>
                <w:sz w:val="20"/>
                <w:szCs w:val="20"/>
              </w:rPr>
              <w:t xml:space="preserve">Viasat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5.663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NGSO application (288-satellite MEO/LEO V-band); not deployed as of 2026 cutoff, Viasat pursued GEO+Inmarsat instead per globalsecurity.org [censored, incumbent GEO operator]</w:t>
            </w:r>
          </w:p>
        </w:tc>
      </w:tr>
      <w:tr>
        <w:tc>
          <w:tcPr>
            <w:tcW w:w="0" w:type="auto"/>
          </w:tcPr>
          <w:p>
            <w:pPr>
              <w:spacing w:line="240" w:lineRule="auto" w:before="0" w:after="0"/>
              <w:pStyle w:val="Compact"/>
            </w:pPr>
            <w:r>
              <w:rPr>
                <w:sz w:val="20"/>
                <w:szCs w:val="20"/>
              </w:rPr>
              <w:t xml:space="preserve">Space Norway HEOSAT</w:t>
            </w:r>
          </w:p>
        </w:tc>
        <w:tc>
          <w:tcPr>
            <w:tcW w:w="0" w:type="auto"/>
          </w:tcPr>
          <w:p>
            <w:pPr>
              <w:spacing w:line="240" w:lineRule="auto" w:before="0" w:after="0"/>
              <w:pStyle w:val="Compact"/>
            </w:pPr>
            <w:r>
              <w:rPr>
                <w:sz w:val="20"/>
                <w:szCs w:val="20"/>
              </w:rPr>
              <w:t xml:space="preserve">Space Norway AS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2016 processing-round PDR (2 HEO satellites, Arctic broadband); ASBM payloads later flown on hosted GEO/HEO, NGSO FSS system not deployed as filed per globalsecurity.org [censored, incumbent]</w:t>
            </w:r>
          </w:p>
        </w:tc>
      </w:tr>
      <w:tr>
        <w:tc>
          <w:tcPr>
            <w:tcW w:w="0" w:type="auto"/>
          </w:tcPr>
          <w:p>
            <w:pPr>
              <w:spacing w:line="240" w:lineRule="auto" w:before="0" w:after="0"/>
              <w:pStyle w:val="Compact"/>
            </w:pPr>
            <w:r>
              <w:rPr>
                <w:sz w:val="20"/>
                <w:szCs w:val="20"/>
              </w:rPr>
              <w:t xml:space="preserve">Rivada</w:t>
            </w:r>
          </w:p>
        </w:tc>
        <w:tc>
          <w:tcPr>
            <w:tcW w:w="0" w:type="auto"/>
          </w:tcPr>
          <w:p>
            <w:pPr>
              <w:spacing w:line="240" w:lineRule="auto" w:before="0" w:after="0"/>
              <w:pStyle w:val="Compact"/>
            </w:pPr>
            <w:r>
              <w:rPr>
                <w:sz w:val="20"/>
                <w:szCs w:val="20"/>
              </w:rPr>
              <w:t xml:space="preserve">Rivada Space Networks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6.3969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ITU/Liechtenstein priority + FCC market posture; OuterNET 600-satellite constellation, no satellites launched as of 2026 cutoff per spacenews.com Rivada coverage and newspace.im [censored]</w:t>
            </w:r>
          </w:p>
        </w:tc>
      </w:tr>
      <w:tr>
        <w:tc>
          <w:tcPr>
            <w:tcW w:w="0" w:type="auto"/>
          </w:tcPr>
          <w:p>
            <w:pPr>
              <w:spacing w:line="240" w:lineRule="auto" w:before="0" w:after="0"/>
              <w:pStyle w:val="Compact"/>
            </w:pPr>
            <w:r>
              <w:rPr>
                <w:sz w:val="20"/>
                <w:szCs w:val="20"/>
              </w:rPr>
              <w:t xml:space="preserve">mu Space</w:t>
            </w:r>
          </w:p>
        </w:tc>
        <w:tc>
          <w:tcPr>
            <w:tcW w:w="0" w:type="auto"/>
          </w:tcPr>
          <w:p>
            <w:pPr>
              <w:spacing w:line="240" w:lineRule="auto" w:before="0" w:after="0"/>
              <w:pStyle w:val="Compact"/>
            </w:pPr>
            <w:r>
              <w:rPr>
                <w:sz w:val="20"/>
                <w:szCs w:val="20"/>
              </w:rPr>
              <w:t xml:space="preserve">mu Space Corp</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FCC/ITU NGSO filing posture for Thai LEO system; no constellation satellites deployed as of 2026 cutoff [illustrative duration; censored]</w:t>
            </w:r>
          </w:p>
        </w:tc>
      </w:tr>
    </w:tbl>
    <w:bookmarkEnd w:id="190"/>
    <w:bookmarkStart w:id="19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the FCC market-access grant or authorization date (the queue position) to first confirmed on-orbit deployment of the system’s spacecraft; for non-deployed systems, months from grant to the 2026-06 observation cutoff (right-censored).</w:t>
            </w:r>
          </w:p>
        </w:tc>
        <w:tc>
          <w:tcPr>
            <w:tcW w:w="0" w:type="auto"/>
          </w:tcPr>
          <w:p>
            <w:pPr>
              <w:spacing w:line="240" w:lineRule="auto" w:before="0" w:after="0"/>
              <w:pStyle w:val="Compact"/>
            </w:pPr>
            <w:r>
              <w:rPr>
                <w:sz w:val="20"/>
                <w:szCs w:val="20"/>
              </w:rPr>
              <w:t xml:space="preserve">FCC authorization documents (FCC-18-38, FCC-20-102, OneWeb/Kepler/Telesat grants) and first-launch dates from newspace.im, eoportal.org, and operator records</w:t>
            </w:r>
          </w:p>
        </w:tc>
      </w:tr>
      <w:tr>
        <w:tc>
          <w:tcPr>
            <w:tcW w:w="0" w:type="auto"/>
          </w:tcPr>
          <w:p>
            <w:pPr>
              <w:spacing w:line="240" w:lineRule="auto" w:before="0" w:after="0"/>
              <w:pStyle w:val="Compact"/>
            </w:pPr>
            <w:r>
              <w:rPr>
                <w:sz w:val="20"/>
                <w:szCs w:val="20"/>
              </w:rPr>
              <w:t xml:space="preserve">deployed</w:t>
            </w:r>
          </w:p>
        </w:tc>
        <w:tc>
          <w:tcPr>
            <w:tcW w:w="0" w:type="auto"/>
          </w:tcPr>
          <w:p>
            <w:pPr>
              <w:spacing w:line="240" w:lineRule="auto" w:before="0" w:after="0"/>
              <w:pStyle w:val="Compact"/>
            </w:pPr>
            <w:r>
              <w:rPr>
                <w:sz w:val="20"/>
                <w:szCs w:val="20"/>
              </w:rPr>
              <w:t xml:space="preserve">Event indicator: 1 if the filed system placed at least one operational spacecraft on orbit; 0 if right-censored (terminated, surrendered, or never launched as of the cutoff).</w:t>
            </w:r>
          </w:p>
        </w:tc>
        <w:tc>
          <w:tcPr>
            <w:tcW w:w="0" w:type="auto"/>
          </w:tcPr>
          <w:p>
            <w:pPr>
              <w:spacing w:line="240" w:lineRule="auto" w:before="0" w:after="0"/>
              <w:pStyle w:val="Compact"/>
            </w:pPr>
            <w:r>
              <w:rPr>
                <w:sz w:val="20"/>
                <w:szCs w:val="20"/>
              </w:rPr>
              <w:t xml:space="preserve">Public launch records (newspace.im), FCC license-termination notices, and operator status reports</w:t>
            </w:r>
          </w:p>
        </w:tc>
      </w:tr>
      <w:tr>
        <w:tc>
          <w:tcPr>
            <w:tcW w:w="0" w:type="auto"/>
          </w:tcPr>
          <w:p>
            <w:pPr>
              <w:spacing w:line="240" w:lineRule="auto" w:before="0" w:after="0"/>
              <w:pStyle w:val="Compact"/>
            </w:pPr>
            <w:r>
              <w:rPr>
                <w:sz w:val="20"/>
                <w:szCs w:val="20"/>
              </w:rPr>
              <w:t xml:space="preserve">filed_sats</w:t>
            </w:r>
          </w:p>
        </w:tc>
        <w:tc>
          <w:tcPr>
            <w:tcW w:w="0" w:type="auto"/>
          </w:tcPr>
          <w:p>
            <w:pPr>
              <w:spacing w:line="240" w:lineRule="auto" w:before="0" w:after="0"/>
              <w:pStyle w:val="Compact"/>
            </w:pPr>
            <w:r>
              <w:rPr>
                <w:sz w:val="20"/>
                <w:szCs w:val="20"/>
              </w:rPr>
              <w:t xml:space="preserve">Number of satellites in the system as authorized or filed at the regulator (system size).</w:t>
            </w:r>
          </w:p>
        </w:tc>
        <w:tc>
          <w:tcPr>
            <w:tcW w:w="0" w:type="auto"/>
          </w:tcPr>
          <w:p>
            <w:pPr>
              <w:spacing w:line="240" w:lineRule="auto" w:before="0" w:after="0"/>
              <w:pStyle w:val="Compact"/>
            </w:pPr>
            <w:r>
              <w:rPr>
                <w:sz w:val="20"/>
                <w:szCs w:val="20"/>
              </w:rPr>
              <w:t xml:space="preserve">FCC filings and globalsecurity.org/space/systems/ngso.htm; AIAA application census (Fleming et al. 2025)</w:t>
            </w:r>
          </w:p>
        </w:tc>
      </w:tr>
      <w:tr>
        <w:tc>
          <w:tcPr>
            <w:tcW w:w="0" w:type="auto"/>
          </w:tcPr>
          <w:p>
            <w:pPr>
              <w:spacing w:line="240" w:lineRule="auto" w:before="0" w:after="0"/>
              <w:pStyle w:val="Compact"/>
            </w:pPr>
            <w:r>
              <w:rPr>
                <w:sz w:val="20"/>
                <w:szCs w:val="20"/>
              </w:rPr>
              <w:t xml:space="preserve">ln_filed_sats</w:t>
            </w:r>
          </w:p>
        </w:tc>
        <w:tc>
          <w:tcPr>
            <w:tcW w:w="0" w:type="auto"/>
          </w:tcPr>
          <w:p>
            <w:pPr>
              <w:spacing w:line="240" w:lineRule="auto" w:before="0" w:after="0"/>
              <w:pStyle w:val="Compact"/>
            </w:pPr>
            <w:r>
              <w:rPr>
                <w:sz w:val="20"/>
                <w:szCs w:val="20"/>
              </w:rPr>
              <w:t xml:space="preserve">Natural log of filed_sats; the warehousing-scale covariate. A larger filed system relative to realized capability proxies a more speculative claim.</w:t>
            </w:r>
          </w:p>
        </w:tc>
        <w:tc>
          <w:tcPr>
            <w:tcW w:w="0" w:type="auto"/>
          </w:tcPr>
          <w:p>
            <w:pPr>
              <w:spacing w:line="240" w:lineRule="auto" w:before="0" w:after="0"/>
              <w:pStyle w:val="Compact"/>
            </w:pPr>
            <w:r>
              <w:rPr>
                <w:sz w:val="20"/>
                <w:szCs w:val="20"/>
              </w:rPr>
              <w:t xml:space="preserve">Derived: ln(filed_sats)</w:t>
            </w:r>
          </w:p>
        </w:tc>
      </w:tr>
      <w:tr>
        <w:tc>
          <w:tcPr>
            <w:tcW w:w="0" w:type="auto"/>
          </w:tcPr>
          <w:p>
            <w:pPr>
              <w:spacing w:line="240" w:lineRule="auto" w:before="0" w:after="0"/>
              <w:pStyle w:val="Compact"/>
            </w:pPr>
            <w:r>
              <w:rPr>
                <w:sz w:val="20"/>
                <w:szCs w:val="20"/>
              </w:rPr>
              <w:t xml:space="preserve">incumbent</w:t>
            </w:r>
          </w:p>
        </w:tc>
        <w:tc>
          <w:tcPr>
            <w:tcW w:w="0" w:type="auto"/>
          </w:tcPr>
          <w:p>
            <w:pPr>
              <w:spacing w:line="240" w:lineRule="auto" w:before="0" w:after="0"/>
              <w:pStyle w:val="Compact"/>
            </w:pPr>
            <w:r>
              <w:rPr>
                <w:sz w:val="20"/>
                <w:szCs w:val="20"/>
              </w:rPr>
              <w:t xml:space="preserve">1 if the filer held prior on-orbit satellites or operating heritage (launch provider or established satellite operator) at the filing date; 0 for a new entrant.</w:t>
            </w:r>
          </w:p>
        </w:tc>
        <w:tc>
          <w:tcPr>
            <w:tcW w:w="0" w:type="auto"/>
          </w:tcPr>
          <w:p>
            <w:pPr>
              <w:spacing w:line="240" w:lineRule="auto" w:before="0" w:after="0"/>
              <w:pStyle w:val="Compact"/>
            </w:pPr>
            <w:r>
              <w:rPr>
                <w:sz w:val="20"/>
                <w:szCs w:val="20"/>
              </w:rPr>
              <w:t xml:space="preserve">Coded from operator history (SpaceX, Iridium, Globalstar, SES, Telesat, Viasat, Space Norway, Boeing coded incumbent)</w:t>
            </w:r>
          </w:p>
        </w:tc>
      </w:tr>
      <w:tr>
        <w:tc>
          <w:tcPr>
            <w:tcW w:w="0" w:type="auto"/>
          </w:tcPr>
          <w:p>
            <w:pPr>
              <w:spacing w:line="240" w:lineRule="auto" w:before="0" w:after="0"/>
              <w:pStyle w:val="Compact"/>
            </w:pPr>
            <w:r>
              <w:rPr>
                <w:sz w:val="20"/>
                <w:szCs w:val="20"/>
              </w:rPr>
              <w:t xml:space="preserve">us_filer</w:t>
            </w:r>
          </w:p>
        </w:tc>
        <w:tc>
          <w:tcPr>
            <w:tcW w:w="0" w:type="auto"/>
          </w:tcPr>
          <w:p>
            <w:pPr>
              <w:spacing w:line="240" w:lineRule="auto" w:before="0" w:after="0"/>
              <w:pStyle w:val="Compact"/>
            </w:pPr>
            <w:r>
              <w:rPr>
                <w:sz w:val="20"/>
                <w:szCs w:val="20"/>
              </w:rPr>
              <w:t xml:space="preserve">1 if the applicant is a United States entity filing directly; 0 if a foreign entity seeking US market access.</w:t>
            </w:r>
          </w:p>
        </w:tc>
        <w:tc>
          <w:tcPr>
            <w:tcW w:w="0" w:type="auto"/>
          </w:tcPr>
          <w:p>
            <w:pPr>
              <w:spacing w:line="240" w:lineRule="auto" w:before="0" w:after="0"/>
              <w:pStyle w:val="Compact"/>
            </w:pPr>
            <w:r>
              <w:rPr>
                <w:sz w:val="20"/>
                <w:szCs w:val="20"/>
              </w:rPr>
              <w:t xml:space="preserve">FCC application records and operator domicile</w:t>
            </w:r>
          </w:p>
        </w:tc>
      </w:tr>
    </w:tbl>
    <w:bookmarkEnd w:id="191"/>
    <w:bookmarkEnd w:id="192"/>
    <w:bookmarkEnd w:id="1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8" Type="http://schemas.openxmlformats.org/officeDocument/2006/relationships/image" Target="media/rId178.png"/><Relationship Id="rId186" Type="http://schemas.openxmlformats.org/officeDocument/2006/relationships/image" Target="media/rId186.png"/><Relationship Id="rId149" Type="http://schemas.openxmlformats.org/officeDocument/2006/relationships/hyperlink" Target="https://doi.org/10.1016/j.actaastro.2022.04.019" TargetMode="External"/><Relationship Id="rId160" Type="http://schemas.openxmlformats.org/officeDocument/2006/relationships/hyperlink" Target="https://doi.org/10.1016/j.actaastro.2022.05.022" TargetMode="External"/><Relationship Id="rId166" Type="http://schemas.openxmlformats.org/officeDocument/2006/relationships/hyperlink" Target="https://doi.org/10.1016/j.actaastro.2022.06.005" TargetMode="External"/><Relationship Id="rId172" Type="http://schemas.openxmlformats.org/officeDocument/2006/relationships/hyperlink" Target="https://doi.org/10.1016/j.actaastro.2024.05.026" TargetMode="External"/><Relationship Id="rId168" Type="http://schemas.openxmlformats.org/officeDocument/2006/relationships/hyperlink" Target="https://doi.org/10.1016/j.actaastro.2024.12.037" TargetMode="External"/><Relationship Id="rId162" Type="http://schemas.openxmlformats.org/officeDocument/2006/relationships/hyperlink" Target="https://doi.org/10.1016/j.actaastro.2025.01.043" TargetMode="External"/><Relationship Id="rId141" Type="http://schemas.openxmlformats.org/officeDocument/2006/relationships/hyperlink" Target="https://doi.org/10.1016/j.actaastro.2025.01.069" TargetMode="External"/><Relationship Id="rId164" Type="http://schemas.openxmlformats.org/officeDocument/2006/relationships/hyperlink" Target="https://doi.org/10.1016/j.actaastro.2025.05.037" TargetMode="External"/><Relationship Id="rId174" Type="http://schemas.openxmlformats.org/officeDocument/2006/relationships/hyperlink" Target="https://doi.org/10.1016/j.actaastro.2026.01.033" TargetMode="External"/><Relationship Id="rId170" Type="http://schemas.openxmlformats.org/officeDocument/2006/relationships/hyperlink" Target="https://doi.org/10.1016/j.actaastro.2026.05.056" TargetMode="External"/><Relationship Id="rId143" Type="http://schemas.openxmlformats.org/officeDocument/2006/relationships/hyperlink" Target="https://doi.org/10.2514/1.A35987" TargetMode="External"/><Relationship Id="rId134" Type="http://schemas.openxmlformats.org/officeDocument/2006/relationships/hyperlink" Target="https://doi.org/10.64861/QBNC8763" TargetMode="External"/><Relationship Id="rId147" Type="http://schemas.openxmlformats.org/officeDocument/2006/relationships/hyperlink" Target="https://doi.org/10.64861/UKLE4659" TargetMode="External"/><Relationship Id="rId156" Type="http://schemas.openxmlformats.org/officeDocument/2006/relationships/hyperlink" Target="https://doi.org/10.64861/WFHJ7307" TargetMode="External"/></Relationships>
</file>

<file path=word/_rels/footnotes.xml.rels><?xml version='1.0' encoding='UTF-8' standalone='yes'?>
<Relationships xmlns="http://schemas.openxmlformats.org/package/2006/relationships"><Relationship Id="rId149" Type="http://schemas.openxmlformats.org/officeDocument/2006/relationships/hyperlink" Target="https://doi.org/10.1016/j.actaastro.2022.04.019" TargetMode="External"/><Relationship Id="rId160" Type="http://schemas.openxmlformats.org/officeDocument/2006/relationships/hyperlink" Target="https://doi.org/10.1016/j.actaastro.2022.05.022" TargetMode="External"/><Relationship Id="rId166" Type="http://schemas.openxmlformats.org/officeDocument/2006/relationships/hyperlink" Target="https://doi.org/10.1016/j.actaastro.2022.06.005" TargetMode="External"/><Relationship Id="rId172" Type="http://schemas.openxmlformats.org/officeDocument/2006/relationships/hyperlink" Target="https://doi.org/10.1016/j.actaastro.2024.05.026" TargetMode="External"/><Relationship Id="rId168" Type="http://schemas.openxmlformats.org/officeDocument/2006/relationships/hyperlink" Target="https://doi.org/10.1016/j.actaastro.2024.12.037" TargetMode="External"/><Relationship Id="rId162" Type="http://schemas.openxmlformats.org/officeDocument/2006/relationships/hyperlink" Target="https://doi.org/10.1016/j.actaastro.2025.01.043" TargetMode="External"/><Relationship Id="rId141" Type="http://schemas.openxmlformats.org/officeDocument/2006/relationships/hyperlink" Target="https://doi.org/10.1016/j.actaastro.2025.01.069" TargetMode="External"/><Relationship Id="rId164" Type="http://schemas.openxmlformats.org/officeDocument/2006/relationships/hyperlink" Target="https://doi.org/10.1016/j.actaastro.2025.05.037" TargetMode="External"/><Relationship Id="rId174" Type="http://schemas.openxmlformats.org/officeDocument/2006/relationships/hyperlink" Target="https://doi.org/10.1016/j.actaastro.2026.01.033" TargetMode="External"/><Relationship Id="rId170" Type="http://schemas.openxmlformats.org/officeDocument/2006/relationships/hyperlink" Target="https://doi.org/10.1016/j.actaastro.2026.05.056" TargetMode="External"/><Relationship Id="rId143" Type="http://schemas.openxmlformats.org/officeDocument/2006/relationships/hyperlink" Target="https://doi.org/10.2514/1.A35987" TargetMode="External"/><Relationship Id="rId134" Type="http://schemas.openxmlformats.org/officeDocument/2006/relationships/hyperlink" Target="https://doi.org/10.64861/QBNC8763" TargetMode="External"/><Relationship Id="rId147" Type="http://schemas.openxmlformats.org/officeDocument/2006/relationships/hyperlink" Target="https://doi.org/10.64861/UKLE4659" TargetMode="External"/><Relationship Id="rId156" Type="http://schemas.openxmlformats.org/officeDocument/2006/relationships/hyperlink" Target="https://doi.org/10.64861/WFHJ7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Filing as Spectrum Warehousing: Do ITU/FCC NGSO Filings Predict Actual On-Orbit Deployment?</dc:title>
  <dc:creator>Mateo Berger (1B-ITI-053)</dc:creator>
  <cp:keywords/>
  <dcterms:created xsi:type="dcterms:W3CDTF">2026-07-02T16:14:49Z</dcterms:created>
  <dcterms:modified xsi:type="dcterms:W3CDTF">2026-07-02T16:14:49Z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