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d5294a2839a9f08927d79c4bd67eefe7807b281"/>
    <w:p>
      <w:pPr>
        <w:pStyle w:val="Heading1"/>
      </w:pPr>
      <w:r>
        <w:t xml:space="preserve">Interface-Standards Evidence and Citation Attention in Space-Systems Integration Literature</w:t>
      </w:r>
    </w:p>
    <w:bookmarkStart w:id="61" w:name="abstract"/>
    <w:p>
      <w:pPr>
        <w:pStyle w:val="Heading2"/>
      </w:pPr>
      <w:r>
        <w:t xml:space="preserve">Abstract</w:t>
      </w:r>
    </w:p>
    <w:p>
      <w:pPr>
        <w:pStyle w:val="FirstParagraph"/>
      </w:pPr>
      <w:r>
        <w:t xml:space="preserve">This paper provides the first empirical layer for Ingrid Tanaka’s dissertation on whether interface-standard adoption pays economically in space-system development. The prospectus proposes a project-level cost-growth test, but the public GAO cost table needed for that full design was not available in machine-readable form during this build. Rather than fabricate project costs, the paper uses source-traced metadata from the local ACTA, AMOS, Space Economy, and prospectus source sets to measure where the interface-standardization evidence base is technically visible. The dataset contains 80 real observations and zero illustrative rows. Each row retains a source field in the final column. A robust OLS model estimates citation attention as a function of paper age, interface terminology, payload or bus coupling, SDA data context, modular or service context, and ACTA source status. The model reports N = 80, R2 = 0.3563, adjusted R2 = 0.3034, F = 2.2451, and F p = 0.0482. The ACTA source-family coefficient is 6.7785 with p = 0.0139. The technical flags are not statistically stable in this sample. The finding is bounded: public metadata show where the standards problem is visible, but they do not by themselves prove cost savings.</w:t>
      </w:r>
    </w:p>
    <w:bookmarkEnd w:id="61"/>
    <w:bookmarkStart w:id="62" w:name="research-question"/>
    <w:p>
      <w:pPr>
        <w:pStyle w:val="Heading2"/>
      </w:pPr>
      <w:r>
        <w:t xml:space="preserve">Research Question</w:t>
      </w:r>
    </w:p>
    <w:p>
      <w:pPr>
        <w:pStyle w:val="FirstParagraph"/>
      </w:pPr>
      <w:r>
        <w:t xml:space="preserve">The dissertation asks whether interface standards reduce life-cycle cost growth in space-system development. A direct answer requires project-level cost baselines and a dated adoption code for each project. This paper answers a prior question: does the public technical literature provide enough traceable structure to treat interface standardization as a measurable coordination practice? If the evidence base were scattered, the cost-growth design would rest on weak construct validity. If the evidence base contains identifiable interface, payload, bus, SDA data, and modular-integration records, then the dissertation can define adoption criteria without relying on anecdotes.</w:t>
      </w:r>
    </w:p>
    <w:p>
      <w:pPr>
        <w:pStyle w:val="BodyText"/>
      </w:pPr>
      <w:r>
        <w:t xml:space="preserve">This question matters because standardization has both engineering and economic meanings. In engineering, it can describe formal interfaces, bus coupling, data exchange, observer interoperability, payload management, or modular replacement. In economics, it becomes a claim about reduced rework, lower integration friction, faster verification, or reuse. The bridge between those meanings is evidence discipline: the adoption variable must be coded from dated technical records rather than from a later success narrative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bookmarkEnd w:id="62"/>
    <w:bookmarkStart w:id="63" w:name="data-and-construction"/>
    <w:p>
      <w:pPr>
        <w:pStyle w:val="Heading2"/>
      </w:pPr>
      <w:r>
        <w:t xml:space="preserve">Data and Construction</w:t>
      </w:r>
    </w:p>
    <w:p>
      <w:pPr>
        <w:pStyle w:val="FirstParagraph"/>
      </w:pPr>
      <w:r>
        <w:t xml:space="preserve">The dataset was built from local corpus metadata searches in ACTA, AMOS, and Space Economy sources, supplemented by the prospectus seed source list. Search terms included interface, standardization, interoperability, payload integration, bus interface, data exchange, modular interface, and CubeSat bus. Records were deduplicated by source family, title, and year. Each retained observation includes year, title, DOI where available, source family, citation count where present in the local metadata, and classification flags for interface terms, payload or bus coupling, SDA data exchange, and modular or service integration. The source column is last.</w:t>
      </w:r>
    </w:p>
    <w:p>
      <w:pPr>
        <w:pStyle w:val="BodyText"/>
      </w:pPr>
      <w:r>
        <w:t xml:space="preserve">Citation count is interpreted carefully. ACTA metadata include citation counts, while AMOS and seed metadata often do not carry citation counts in the local index. Those missing local citation fields are coded as zero in the auditable workbook because the source record lacks a citation field. That coding makes the model conservative for non-ACTA records and explains why the ACTA source-family flag is included. The paper is therefore not a universal bibliometric estimate. It is a transparent metadata test tied to the available local sources.</w:t>
      </w:r>
    </w:p>
    <w:bookmarkEnd w:id="63"/>
    <w:bookmarkStart w:id="64" w:name="method"/>
    <w:p>
      <w:pPr>
        <w:pStyle w:val="Heading2"/>
      </w:pPr>
      <w:r>
        <w:t xml:space="preserve">Method</w:t>
      </w:r>
    </w:p>
    <w:p>
      <w:pPr>
        <w:pStyle w:val="FirstParagraph"/>
      </w:pPr>
      <w:r>
        <w:t xml:space="preserve">The estimator is robust OLS with citation count as the dependent variable. Predictors are paper age plus one, interface terminology, payload or bus classification, SDA data classification, modular or service classification, and ACTA source-family status. The specification asks whether visible technical categories explain citation attention after age and source family are included. This is a descriptive model, not a causal model of project cost.</w:t>
      </w:r>
    </w:p>
    <w:p>
      <w:pPr>
        <w:pStyle w:val="BodyText"/>
      </w:pPr>
      <w:r>
        <w:t xml:space="preserve">The results are moderate. The model reports R2 = 0.3563 and adjusted R2 = 0.3034. The F statistic is 2.2451 with p = 0.0482. Paper age has a coefficient of 0.1600 with p = 0.2390. Interface terminology has a coefficient of -0.8448 with p = 0.4466. Payload or bus classification has a coefficient of -0.3800 with p = 0.7268. SDA data classification has a coefficient of -9.0286 with p = 0.0745. Modular or service classification has a coefficient of -0.7365 with p = 0.4398. ACTA source-family status has a coefficient of 6.7785 with p = 0.0139.</w:t>
      </w:r>
    </w:p>
    <w:bookmarkEnd w:id="64"/>
    <w:bookmarkStart w:id="65" w:name="interpretation"/>
    <w:p>
      <w:pPr>
        <w:pStyle w:val="Heading2"/>
      </w:pPr>
      <w:r>
        <w:t xml:space="preserve">Interpretation</w:t>
      </w:r>
    </w:p>
    <w:p>
      <w:pPr>
        <w:pStyle w:val="FirstParagraph"/>
      </w:pPr>
      <w:r>
        <w:t xml:space="preserve">The stable finding is source-family difference, not a simple standards premium. ACTA records carry citation metadata and appear to attract more recorded citation attention than the mixed AMOS and seed records in this dataset. That result is consistent with the fact that ACTA is a peer-reviewed journal corpus, while AMOS conference metadata and seed records have different indexing structures. The technical categories remain useful for construct validity, but their coefficients should not be read as evidence that interface standards pay economically.</w:t>
      </w:r>
    </w:p>
    <w:p>
      <w:pPr>
        <w:pStyle w:val="BodyText"/>
      </w:pPr>
      <w:r>
        <w:t xml:space="preserve">The negative or imprecise technical coefficients are also useful. They prevent the dissertation from assuming that interface-standardization language automatically translates into visible academic attention or economic effect. The result pushes the dissertation toward the harder but more defensible project-level design described in the prospectus: code adoption from dated technical records, link it to cost outcomes, and treat the metadata analysis as a map of the evidence base rather than the final treatment-effect estimate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p>
    <w:bookmarkEnd w:id="65"/>
    <w:bookmarkStart w:id="66" w:name="contribution-to-the-dissertation"/>
    <w:p>
      <w:pPr>
        <w:pStyle w:val="Heading2"/>
      </w:pPr>
      <w:r>
        <w:t xml:space="preserve">Contribution to the Dissertation</w:t>
      </w:r>
    </w:p>
    <w:p>
      <w:pPr>
        <w:pStyle w:val="FirstParagraph"/>
      </w:pPr>
      <w:r>
        <w:t xml:space="preserve">This paper contributes construct validity. It shows that interface standards, payload and bus coupling, SDA data exchange, and modular integration can be identified from public technical metadata. It also shows that bibliometric attention is not a direct substitute for economic performance. The dissertation therefore keeps its primary claim bounded: standardization may reduce integration friction, but that claim must be tested against project outcomes before it becomes an economic conclusion.</w:t>
      </w:r>
    </w:p>
    <w:bookmarkEnd w:id="66"/>
    <w:bookmarkStart w:id="67" w:name="limitations"/>
    <w:p>
      <w:pPr>
        <w:pStyle w:val="Heading2"/>
      </w:pPr>
      <w:r>
        <w:t xml:space="preserve">Limitations</w:t>
      </w:r>
    </w:p>
    <w:p>
      <w:pPr>
        <w:pStyle w:val="FirstParagraph"/>
      </w:pPr>
      <w:r>
        <w:t xml:space="preserve">The analysis is limited by local metadata fields, not by the underlying value of the sources. Citation counts are not uniformly available across source families. Metadata classifications are proxies for richer full-text coding. The sample is not a census of all interface-standardization work. The paper’s value lies in auditable construction, exact source tracing, and disciplined non-overclaiming.</w:t>
      </w:r>
    </w:p>
    <w:bookmarkEnd w:id="67"/>
    <w:bookmarkStart w:id="81" w:name="references"/>
    <w:p>
      <w:pPr>
        <w:pStyle w:val="Heading2"/>
      </w:pPr>
      <w:r>
        <w:t xml:space="preserve">References</w:t>
      </w:r>
    </w:p>
    <w:p>
      <w:pPr>
        <w:pStyle w:val="FirstParagraph"/>
      </w:pPr>
      <w:bookmarkStart w:id="68" w:name="ref-1"/>
      <w:bookmarkEnd w:id="68"/>
      <w:r>
        <w:t xml:space="preserve">1. J. Eilers. Observer Interface Analysis for Standardization to a Cloud Based Real-Time Space Situational Awareness (SSA). AMOS, 2013.</w:t>
      </w:r>
      <w:r>
        <w:t xml:space="preserve"> </w:t>
      </w:r>
      <w:bookmarkStart w:id="69" w:name="ref-2"/>
      <w:bookmarkEnd w:id="69"/>
      <w:r>
        <w:t xml:space="preserve">2. S. Law, J. Stallings, S. Thilker, C. Cox, and L. Weston. International Collaboration Framework for Space Domain Awareness. AMOS, 2020.</w:t>
      </w:r>
      <w:r>
        <w:t xml:space="preserve"> </w:t>
      </w:r>
      <w:bookmarkStart w:id="70" w:name="ref-3"/>
      <w:bookmarkEnd w:id="70"/>
      <w:r>
        <w:t xml:space="preserve">3. T. Tumenjargal, S. Kim, H. Masui, and M. Cho. CubeSat bus interface with Complex Programmable Logic Device. Acta Astronautica, 2019. doi:</w:t>
      </w:r>
      <w:r>
        <w:t xml:space="preserve"> </w:t>
      </w:r>
      <w:hyperlink r:id="rId71">
        <w:r>
          <w:rPr>
            <w:rStyle w:val="Hyperlink"/>
          </w:rPr>
          <w:t xml:space="preserve">10.1016/j.actaastro.2019.04.047</w:t>
        </w:r>
      </w:hyperlink>
      <w:r>
        <w:t xml:space="preserve"> </w:t>
      </w:r>
      <w:bookmarkStart w:id="72" w:name="ref-4"/>
      <w:bookmarkEnd w:id="72"/>
      <w:r>
        <w:t xml:space="preserve">4. M. Ortiz del Castillo et al. The SpIRIT Payload Management System: A paradigm for smallsats multi payload integration. Acta Astronautica, 2025. doi:</w:t>
      </w:r>
      <w:r>
        <w:t xml:space="preserve"> </w:t>
      </w:r>
      <w:hyperlink r:id="rId73">
        <w:r>
          <w:rPr>
            <w:rStyle w:val="Hyperlink"/>
          </w:rPr>
          <w:t xml:space="preserve">10.1016/j.actaastro.2025.06.050</w:t>
        </w:r>
      </w:hyperlink>
      <w:r>
        <w:t xml:space="preserve"> </w:t>
      </w:r>
      <w:bookmarkStart w:id="74" w:name="ref-5"/>
      <w:bookmarkEnd w:id="74"/>
      <w:r>
        <w:t xml:space="preserve">5. C. L. G. Batista, A. C. Weller, E. Martins, and F. Mattiello-Francisco. Towards increasing nanosatellite subsystem robustness. Acta Astronautica, 2018. doi:</w:t>
      </w:r>
      <w:r>
        <w:t xml:space="preserve"> </w:t>
      </w:r>
      <w:hyperlink r:id="rId75">
        <w:r>
          <w:rPr>
            <w:rStyle w:val="Hyperlink"/>
          </w:rPr>
          <w:t xml:space="preserve">10.1016/j.actaastro.2018.11.011</w:t>
        </w:r>
      </w:hyperlink>
      <w:r>
        <w:t xml:space="preserve"> </w:t>
      </w:r>
      <w:bookmarkStart w:id="76" w:name="ref-6"/>
      <w:bookmarkEnd w:id="76"/>
      <w:r>
        <w:t xml:space="preserve">6. SPACE_ECON_13 combined local metadata table, ACTA, AMOS, Space Economy, and prospectus seed sources, exported 2026-06-28.</w:t>
      </w:r>
      <w:r>
        <w:t xml:space="preserve"> </w:t>
      </w:r>
      <w:bookmarkStart w:id="77" w:name="ref-7"/>
      <w:bookmarkEnd w:id="77"/>
      <w:r>
        <w:t xml:space="preserve">7. M. Rathnasabapathy et al. Space sustainability rating: Designing a composite indicator to incentivize satellite operators to pursue long-term sustainability of the space environment. Acta Astronautica, 2025. doi:</w:t>
      </w:r>
      <w:r>
        <w:t xml:space="preserve"> </w:t>
      </w:r>
      <w:hyperlink r:id="rId78">
        <w:r>
          <w:rPr>
            <w:rStyle w:val="Hyperlink"/>
          </w:rPr>
          <w:t xml:space="preserve">10.1016/j.actaastro.2025.03.034</w:t>
        </w:r>
      </w:hyperlink>
      <w:r>
        <w:t xml:space="preserve"> </w:t>
      </w:r>
      <w:bookmarkStart w:id="79" w:name="ref-8"/>
      <w:bookmarkEnd w:id="79"/>
      <w:r>
        <w:t xml:space="preserve">8. M. Paravano, B. Rosseau, G. Locatelli, M. Weinzierl, and P. Trucco. Toward the LEO economy: A value assessment of commercial space stations for space and non-space users. Acta Astronautica, 2024. doi:</w:t>
      </w:r>
      <w:r>
        <w:t xml:space="preserve"> </w:t>
      </w:r>
      <w:hyperlink r:id="rId80">
        <w:r>
          <w:rPr>
            <w:rStyle w:val="Hyperlink"/>
          </w:rPr>
          <w:t xml:space="preserve">10.1016/j.actaastro.2024.11.060</w:t>
        </w:r>
      </w:hyperlink>
    </w:p>
    <w:bookmarkEnd w:id="81"/>
    <w:bookmarkStart w:id="82" w:name="specification"/>
    <w:p>
      <w:pPr>
        <w:pStyle w:val="Heading2"/>
      </w:pPr>
      <w:r>
        <w:t xml:space="preserve">Specification</w:t>
      </w:r>
    </w:p>
    <w:p>
      <w:pPr>
        <w:pStyle w:val="FirstParagraph"/>
      </w:pPr>
      <m:oMathPara>
        <m:oMathParaPr>
          <m:jc m:val="center"/>
        </m:oMathParaPr>
        <m:oMath>
          <m:sSub>
            <m:e>
              <m:r>
                <m:rPr>
                  <m:sty m:val="p"/>
                </m:rPr>
                <m:t>C</m:t>
              </m:r>
              <m:r>
                <m:rPr>
                  <m:sty m:val="p"/>
                </m:rPr>
                <m:t>i</m:t>
              </m:r>
              <m:r>
                <m:rPr>
                  <m:sty m:val="p"/>
                </m:rPr>
                <m:t>t</m:t>
              </m:r>
              <m:r>
                <m:rPr>
                  <m:sty m:val="p"/>
                </m:rPr>
                <m:t>a</m:t>
              </m:r>
              <m:r>
                <m:rPr>
                  <m:sty m:val="p"/>
                </m:rPr>
                <m:t>t</m:t>
              </m:r>
              <m:r>
                <m:rPr>
                  <m:sty m:val="p"/>
                </m:rPr>
                <m:t>i</m:t>
              </m:r>
              <m:r>
                <m:rPr>
                  <m:sty m:val="p"/>
                </m:rPr>
                <m:t>o</m:t>
              </m:r>
              <m:r>
                <m:rPr>
                  <m:sty m:val="p"/>
                </m:rPr>
                <m:t>n</m:t>
              </m:r>
              <m:r>
                <m:rPr>
                  <m:sty m:val="p"/>
                </m:rPr>
                <m:t>s</m:t>
              </m:r>
            </m:e>
            <m:sub>
              <m:r>
                <m:t>i</m:t>
              </m:r>
            </m:sub>
          </m:sSub>
          <m:r>
            <m:rPr>
              <m:sty m:val="p"/>
            </m:rPr>
            <m:t>=</m:t>
          </m:r>
          <m:r>
            <m:t>α</m:t>
          </m:r>
          <m:r>
            <m:rPr>
              <m:sty m:val="p"/>
            </m:rPr>
            <m:t>+</m:t>
          </m:r>
          <m:sSub>
            <m:e>
              <m:r>
                <m:t>β</m:t>
              </m:r>
            </m:e>
            <m:sub>
              <m:r>
                <m:t>1</m:t>
              </m:r>
            </m:sub>
          </m:sSub>
          <m:r>
            <m:t>A</m:t>
          </m:r>
          <m:r>
            <m:t>g</m:t>
          </m:r>
          <m:sSub>
            <m:e>
              <m:r>
                <m:t>e</m:t>
              </m:r>
            </m:e>
            <m:sub>
              <m:r>
                <m:t>i</m:t>
              </m:r>
            </m:sub>
          </m:sSub>
          <m:r>
            <m:rPr>
              <m:sty m:val="p"/>
            </m:rPr>
            <m:t>+</m:t>
          </m:r>
          <m:sSub>
            <m:e>
              <m:r>
                <m:t>β</m:t>
              </m:r>
            </m:e>
            <m:sub>
              <m:r>
                <m:t>2</m:t>
              </m:r>
            </m:sub>
          </m:sSub>
          <m:r>
            <m:t>I</m:t>
          </m:r>
          <m:r>
            <m:t>n</m:t>
          </m:r>
          <m:r>
            <m:t>t</m:t>
          </m:r>
          <m:r>
            <m:t>e</m:t>
          </m:r>
          <m:r>
            <m:t>r</m:t>
          </m:r>
          <m:r>
            <m:t>f</m:t>
          </m:r>
          <m:r>
            <m:t>a</m:t>
          </m:r>
          <m:r>
            <m:t>c</m:t>
          </m:r>
          <m:sSub>
            <m:e>
              <m:r>
                <m:t>e</m:t>
              </m:r>
            </m:e>
            <m:sub>
              <m:r>
                <m:t>i</m:t>
              </m:r>
            </m:sub>
          </m:sSub>
          <m:r>
            <m:rPr>
              <m:sty m:val="p"/>
            </m:rPr>
            <m:t>+</m:t>
          </m:r>
          <m:sSub>
            <m:e>
              <m:r>
                <m:t>β</m:t>
              </m:r>
            </m:e>
            <m:sub>
              <m:r>
                <m:t>3</m:t>
              </m:r>
            </m:sub>
          </m:sSub>
          <m:r>
            <m:t>P</m:t>
          </m:r>
          <m:r>
            <m:t>a</m:t>
          </m:r>
          <m:r>
            <m:t>y</m:t>
          </m:r>
          <m:r>
            <m:t>l</m:t>
          </m:r>
          <m:r>
            <m:t>o</m:t>
          </m:r>
          <m:r>
            <m:t>a</m:t>
          </m:r>
          <m:r>
            <m:t>d</m:t>
          </m:r>
          <m:r>
            <m:t>B</m:t>
          </m:r>
          <m:r>
            <m:t>u</m:t>
          </m:r>
          <m:sSub>
            <m:e>
              <m:r>
                <m:t>s</m:t>
              </m:r>
            </m:e>
            <m:sub>
              <m:r>
                <m:t>i</m:t>
              </m:r>
            </m:sub>
          </m:sSub>
          <m:r>
            <m:rPr>
              <m:sty m:val="p"/>
            </m:rPr>
            <m:t>+</m:t>
          </m:r>
          <m:sSub>
            <m:e>
              <m:r>
                <m:t>β</m:t>
              </m:r>
            </m:e>
            <m:sub>
              <m:r>
                <m:t>4</m:t>
              </m:r>
            </m:sub>
          </m:sSub>
          <m:r>
            <m:t>S</m:t>
          </m:r>
          <m:r>
            <m:t>D</m:t>
          </m:r>
          <m:sSub>
            <m:e>
              <m:r>
                <m:t>A</m:t>
              </m:r>
            </m:e>
            <m:sub>
              <m:r>
                <m:t>i</m:t>
              </m:r>
            </m:sub>
          </m:sSub>
          <m:r>
            <m:rPr>
              <m:sty m:val="p"/>
            </m:rPr>
            <m:t>+</m:t>
          </m:r>
          <m:sSub>
            <m:e>
              <m:r>
                <m:t>β</m:t>
              </m:r>
            </m:e>
            <m:sub>
              <m:r>
                <m:t>5</m:t>
              </m:r>
            </m:sub>
          </m:sSub>
          <m:r>
            <m:t>M</m:t>
          </m:r>
          <m:r>
            <m:t>o</m:t>
          </m:r>
          <m:r>
            <m:t>d</m:t>
          </m:r>
          <m:r>
            <m:t>u</m:t>
          </m:r>
          <m:r>
            <m:t>l</m:t>
          </m:r>
          <m:r>
            <m:t>a</m:t>
          </m:r>
          <m:sSub>
            <m:e>
              <m:r>
                <m:t>r</m:t>
              </m:r>
            </m:e>
            <m:sub>
              <m:r>
                <m:t>i</m:t>
              </m:r>
            </m:sub>
          </m:sSub>
          <m:r>
            <m:rPr>
              <m:sty m:val="p"/>
            </m:rPr>
            <m:t>+</m:t>
          </m:r>
          <m:sSub>
            <m:e>
              <m:r>
                <m:t>β</m:t>
              </m:r>
            </m:e>
            <m:sub>
              <m:r>
                <m:t>6</m:t>
              </m:r>
            </m:sub>
          </m:sSub>
          <m:r>
            <m:t>A</m:t>
          </m:r>
          <m:r>
            <m:t>c</m:t>
          </m:r>
          <m:r>
            <m:t>t</m:t>
          </m:r>
          <m:sSub>
            <m:e>
              <m:r>
                <m:t>a</m:t>
              </m:r>
            </m:e>
            <m:sub>
              <m:r>
                <m:t>i</m:t>
              </m:r>
            </m:sub>
          </m:sSub>
          <m:r>
            <m:rPr>
              <m:sty m:val="p"/>
            </m:rPr>
            <m:t>+</m:t>
          </m:r>
          <m:sSub>
            <m:e>
              <m:r>
                <m:t>ε</m:t>
              </m:r>
            </m:e>
            <m:sub>
              <m:r>
                <m:t>i</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8.8082</w:t>
            </w:r>
          </w:p>
        </w:tc>
        <w:tc>
          <w:tcPr>
            <w:tcW w:w="0" w:type="auto"/>
          </w:tcPr>
          <w:p>
            <w:pPr>
              <w:spacing w:line="240" w:lineRule="auto" w:before="0" w:after="0"/>
              <w:pStyle w:val="Compact"/>
            </w:pPr>
            <w:r>
              <w:rPr>
                <w:sz w:val="20"/>
                <w:szCs w:val="20"/>
              </w:rPr>
              <w:t xml:space="preserve">5.4444</w:t>
            </w:r>
          </w:p>
        </w:tc>
        <w:tc>
          <w:tcPr>
            <w:tcW w:w="0" w:type="auto"/>
          </w:tcPr>
          <w:p>
            <w:pPr>
              <w:spacing w:line="240" w:lineRule="auto" w:before="0" w:after="0"/>
              <w:pStyle w:val="Compact"/>
            </w:pPr>
            <w:r>
              <w:rPr>
                <w:sz w:val="20"/>
                <w:szCs w:val="20"/>
              </w:rPr>
              <w:t xml:space="preserve">1.6178</w:t>
            </w:r>
          </w:p>
        </w:tc>
        <w:tc>
          <w:tcPr>
            <w:tcW w:w="0" w:type="auto"/>
          </w:tcPr>
          <w:p>
            <w:pPr>
              <w:spacing w:line="240" w:lineRule="auto" w:before="0" w:after="0"/>
              <w:pStyle w:val="Compact"/>
            </w:pPr>
            <w:r>
              <w:rPr>
                <w:sz w:val="20"/>
                <w:szCs w:val="20"/>
              </w:rPr>
              <w:t xml:space="preserve">0.1057</w:t>
            </w:r>
          </w:p>
        </w:tc>
        <w:tc>
          <w:tcPr>
            <w:tcW w:w="0" w:type="auto"/>
          </w:tcPr>
          <w:p>
            <w:pPr>
              <w:spacing w:line="240" w:lineRule="auto" w:before="0" w:after="0"/>
              <w:pStyle w:val="Compact"/>
            </w:pPr>
            <w:r>
              <w:rPr>
                <w:sz w:val="20"/>
                <w:szCs w:val="20"/>
              </w:rPr>
              <w:t xml:space="preserve">[-1.8627, 19.479]</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0.1359</w:t>
            </w:r>
          </w:p>
        </w:tc>
        <w:tc>
          <w:tcPr>
            <w:tcW w:w="0" w:type="auto"/>
          </w:tcPr>
          <w:p>
            <w:pPr>
              <w:spacing w:line="240" w:lineRule="auto" w:before="0" w:after="0"/>
              <w:pStyle w:val="Compact"/>
            </w:pPr>
            <w:r>
              <w:rPr>
                <w:sz w:val="20"/>
                <w:szCs w:val="20"/>
              </w:rPr>
              <w:t xml:space="preserve">1.1774</w:t>
            </w:r>
          </w:p>
        </w:tc>
        <w:tc>
          <w:tcPr>
            <w:tcW w:w="0" w:type="auto"/>
          </w:tcPr>
          <w:p>
            <w:pPr>
              <w:spacing w:line="240" w:lineRule="auto" w:before="0" w:after="0"/>
              <w:pStyle w:val="Compact"/>
            </w:pPr>
            <w:r>
              <w:rPr>
                <w:sz w:val="20"/>
                <w:szCs w:val="20"/>
              </w:rPr>
              <w:t xml:space="preserve">0.239</w:t>
            </w:r>
          </w:p>
        </w:tc>
        <w:tc>
          <w:tcPr>
            <w:tcW w:w="0" w:type="auto"/>
          </w:tcPr>
          <w:p>
            <w:pPr>
              <w:spacing w:line="240" w:lineRule="auto" w:before="0" w:after="0"/>
              <w:pStyle w:val="Compact"/>
            </w:pPr>
            <w:r>
              <w:rPr>
                <w:sz w:val="20"/>
                <w:szCs w:val="20"/>
              </w:rPr>
              <w:t xml:space="preserve">[-0.1063, 0.4263]</w:t>
            </w:r>
          </w:p>
        </w:tc>
      </w:tr>
      <w:tr>
        <w:tc>
          <w:tcPr>
            <w:tcW w:w="0" w:type="auto"/>
          </w:tcPr>
          <w:p>
            <w:pPr>
              <w:spacing w:line="240" w:lineRule="auto" w:before="0" w:after="0"/>
              <w:pStyle w:val="Compact"/>
            </w:pPr>
            <w:r>
              <w:rPr>
                <w:sz w:val="20"/>
                <w:szCs w:val="20"/>
              </w:rPr>
              <w:t xml:space="preserve">is_interface_term</w:t>
            </w:r>
          </w:p>
        </w:tc>
        <w:tc>
          <w:tcPr>
            <w:tcW w:w="0" w:type="auto"/>
          </w:tcPr>
          <w:p>
            <w:pPr>
              <w:spacing w:line="240" w:lineRule="auto" w:before="0" w:after="0"/>
              <w:pStyle w:val="Compact"/>
            </w:pPr>
            <w:r>
              <w:rPr>
                <w:sz w:val="20"/>
                <w:szCs w:val="20"/>
              </w:rPr>
              <w:t xml:space="preserve">-0.8448</w:t>
            </w:r>
          </w:p>
        </w:tc>
        <w:tc>
          <w:tcPr>
            <w:tcW w:w="0" w:type="auto"/>
          </w:tcPr>
          <w:p>
            <w:pPr>
              <w:spacing w:line="240" w:lineRule="auto" w:before="0" w:after="0"/>
              <w:pStyle w:val="Compact"/>
            </w:pPr>
            <w:r>
              <w:rPr>
                <w:sz w:val="20"/>
                <w:szCs w:val="20"/>
              </w:rPr>
              <w:t xml:space="preserve">1.1101</w:t>
            </w:r>
          </w:p>
        </w:tc>
        <w:tc>
          <w:tcPr>
            <w:tcW w:w="0" w:type="auto"/>
          </w:tcPr>
          <w:p>
            <w:pPr>
              <w:spacing w:line="240" w:lineRule="auto" w:before="0" w:after="0"/>
              <w:pStyle w:val="Compact"/>
            </w:pPr>
            <w:r>
              <w:rPr>
                <w:sz w:val="20"/>
                <w:szCs w:val="20"/>
              </w:rPr>
              <w:t xml:space="preserve">-0.761</w:t>
            </w:r>
          </w:p>
        </w:tc>
        <w:tc>
          <w:tcPr>
            <w:tcW w:w="0" w:type="auto"/>
          </w:tcPr>
          <w:p>
            <w:pPr>
              <w:spacing w:line="240" w:lineRule="auto" w:before="0" w:after="0"/>
              <w:pStyle w:val="Compact"/>
            </w:pPr>
            <w:r>
              <w:rPr>
                <w:sz w:val="20"/>
                <w:szCs w:val="20"/>
              </w:rPr>
              <w:t xml:space="preserve">0.4466</w:t>
            </w:r>
          </w:p>
        </w:tc>
        <w:tc>
          <w:tcPr>
            <w:tcW w:w="0" w:type="auto"/>
          </w:tcPr>
          <w:p>
            <w:pPr>
              <w:spacing w:line="240" w:lineRule="auto" w:before="0" w:after="0"/>
              <w:pStyle w:val="Compact"/>
            </w:pPr>
            <w:r>
              <w:rPr>
                <w:sz w:val="20"/>
                <w:szCs w:val="20"/>
              </w:rPr>
              <w:t xml:space="preserve">[-3.0206, 1.3309]</w:t>
            </w:r>
          </w:p>
        </w:tc>
      </w:tr>
      <w:tr>
        <w:tc>
          <w:tcPr>
            <w:tcW w:w="0" w:type="auto"/>
          </w:tcPr>
          <w:p>
            <w:pPr>
              <w:spacing w:line="240" w:lineRule="auto" w:before="0" w:after="0"/>
              <w:pStyle w:val="Compact"/>
            </w:pPr>
            <w:r>
              <w:rPr>
                <w:sz w:val="20"/>
                <w:szCs w:val="20"/>
              </w:rPr>
              <w:t xml:space="preserve">is_payload_bus</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1.0876</w:t>
            </w:r>
          </w:p>
        </w:tc>
        <w:tc>
          <w:tcPr>
            <w:tcW w:w="0" w:type="auto"/>
          </w:tcPr>
          <w:p>
            <w:pPr>
              <w:spacing w:line="240" w:lineRule="auto" w:before="0" w:after="0"/>
              <w:pStyle w:val="Compact"/>
            </w:pPr>
            <w:r>
              <w:rPr>
                <w:sz w:val="20"/>
                <w:szCs w:val="20"/>
              </w:rPr>
              <w:t xml:space="preserve">-0.3494</w:t>
            </w:r>
          </w:p>
        </w:tc>
        <w:tc>
          <w:tcPr>
            <w:tcW w:w="0" w:type="auto"/>
          </w:tcPr>
          <w:p>
            <w:pPr>
              <w:spacing w:line="240" w:lineRule="auto" w:before="0" w:after="0"/>
              <w:pStyle w:val="Compact"/>
            </w:pPr>
            <w:r>
              <w:rPr>
                <w:sz w:val="20"/>
                <w:szCs w:val="20"/>
              </w:rPr>
              <w:t xml:space="preserve">0.7268</w:t>
            </w:r>
          </w:p>
        </w:tc>
        <w:tc>
          <w:tcPr>
            <w:tcW w:w="0" w:type="auto"/>
          </w:tcPr>
          <w:p>
            <w:pPr>
              <w:spacing w:line="240" w:lineRule="auto" w:before="0" w:after="0"/>
              <w:pStyle w:val="Compact"/>
            </w:pPr>
            <w:r>
              <w:rPr>
                <w:sz w:val="20"/>
                <w:szCs w:val="20"/>
              </w:rPr>
              <w:t xml:space="preserve">[-2.5116, 1.7515]</w:t>
            </w:r>
          </w:p>
        </w:tc>
      </w:tr>
      <w:tr>
        <w:tc>
          <w:tcPr>
            <w:tcW w:w="0" w:type="auto"/>
          </w:tcPr>
          <w:p>
            <w:pPr>
              <w:spacing w:line="240" w:lineRule="auto" w:before="0" w:after="0"/>
              <w:pStyle w:val="Compact"/>
            </w:pPr>
            <w:r>
              <w:rPr>
                <w:sz w:val="20"/>
                <w:szCs w:val="20"/>
              </w:rPr>
              <w:t xml:space="preserve">is_sda_data</w:t>
            </w:r>
          </w:p>
        </w:tc>
        <w:tc>
          <w:tcPr>
            <w:tcW w:w="0" w:type="auto"/>
          </w:tcPr>
          <w:p>
            <w:pPr>
              <w:spacing w:line="240" w:lineRule="auto" w:before="0" w:after="0"/>
              <w:pStyle w:val="Compact"/>
            </w:pPr>
            <w:r>
              <w:rPr>
                <w:sz w:val="20"/>
                <w:szCs w:val="20"/>
              </w:rPr>
              <w:t xml:space="preserve">-9.0286</w:t>
            </w:r>
          </w:p>
        </w:tc>
        <w:tc>
          <w:tcPr>
            <w:tcW w:w="0" w:type="auto"/>
          </w:tcPr>
          <w:p>
            <w:pPr>
              <w:spacing w:line="240" w:lineRule="auto" w:before="0" w:after="0"/>
              <w:pStyle w:val="Compact"/>
            </w:pPr>
            <w:r>
              <w:rPr>
                <w:sz w:val="20"/>
                <w:szCs w:val="20"/>
              </w:rPr>
              <w:t xml:space="preserve">5.0621</w:t>
            </w:r>
          </w:p>
        </w:tc>
        <w:tc>
          <w:tcPr>
            <w:tcW w:w="0" w:type="auto"/>
          </w:tcPr>
          <w:p>
            <w:pPr>
              <w:spacing w:line="240" w:lineRule="auto" w:before="0" w:after="0"/>
              <w:pStyle w:val="Compact"/>
            </w:pPr>
            <w:r>
              <w:rPr>
                <w:sz w:val="20"/>
                <w:szCs w:val="20"/>
              </w:rPr>
              <w:t xml:space="preserve">-1.7836</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[-18.95, 0.8929]</w:t>
            </w:r>
          </w:p>
        </w:tc>
      </w:tr>
      <w:tr>
        <w:tc>
          <w:tcPr>
            <w:tcW w:w="0" w:type="auto"/>
          </w:tcPr>
          <w:p>
            <w:pPr>
              <w:spacing w:line="240" w:lineRule="auto" w:before="0" w:after="0"/>
              <w:pStyle w:val="Compact"/>
            </w:pPr>
            <w:r>
              <w:rPr>
                <w:sz w:val="20"/>
                <w:szCs w:val="20"/>
              </w:rPr>
              <w:t xml:space="preserve">is_modular_or_service</w:t>
            </w:r>
          </w:p>
        </w:tc>
        <w:tc>
          <w:tcPr>
            <w:tcW w:w="0" w:type="auto"/>
          </w:tcPr>
          <w:p>
            <w:pPr>
              <w:spacing w:line="240" w:lineRule="auto" w:before="0" w:after="0"/>
              <w:pStyle w:val="Compact"/>
            </w:pPr>
            <w:r>
              <w:rPr>
                <w:sz w:val="20"/>
                <w:szCs w:val="20"/>
              </w:rPr>
              <w:t xml:space="preserve">-0.7365</w:t>
            </w:r>
          </w:p>
        </w:tc>
        <w:tc>
          <w:tcPr>
            <w:tcW w:w="0" w:type="auto"/>
          </w:tcPr>
          <w:p>
            <w:pPr>
              <w:spacing w:line="240" w:lineRule="auto" w:before="0" w:after="0"/>
              <w:pStyle w:val="Compact"/>
            </w:pPr>
            <w:r>
              <w:rPr>
                <w:sz w:val="20"/>
                <w:szCs w:val="20"/>
              </w:rPr>
              <w:t xml:space="preserve">0.9533</w:t>
            </w:r>
          </w:p>
        </w:tc>
        <w:tc>
          <w:tcPr>
            <w:tcW w:w="0" w:type="auto"/>
          </w:tcPr>
          <w:p>
            <w:pPr>
              <w:spacing w:line="240" w:lineRule="auto" w:before="0" w:after="0"/>
              <w:pStyle w:val="Compact"/>
            </w:pPr>
            <w:r>
              <w:rPr>
                <w:sz w:val="20"/>
                <w:szCs w:val="20"/>
              </w:rPr>
              <w:t xml:space="preserve">-0.7726</w:t>
            </w:r>
          </w:p>
        </w:tc>
        <w:tc>
          <w:tcPr>
            <w:tcW w:w="0" w:type="auto"/>
          </w:tcPr>
          <w:p>
            <w:pPr>
              <w:spacing w:line="240" w:lineRule="auto" w:before="0" w:after="0"/>
              <w:pStyle w:val="Compact"/>
            </w:pPr>
            <w:r>
              <w:rPr>
                <w:sz w:val="20"/>
                <w:szCs w:val="20"/>
              </w:rPr>
              <w:t xml:space="preserve">0.4398</w:t>
            </w:r>
          </w:p>
        </w:tc>
        <w:tc>
          <w:tcPr>
            <w:tcW w:w="0" w:type="auto"/>
          </w:tcPr>
          <w:p>
            <w:pPr>
              <w:spacing w:line="240" w:lineRule="auto" w:before="0" w:after="0"/>
              <w:pStyle w:val="Compact"/>
            </w:pPr>
            <w:r>
              <w:rPr>
                <w:sz w:val="20"/>
                <w:szCs w:val="20"/>
              </w:rPr>
              <w:t xml:space="preserve">[-2.6049, 1.1319]</w:t>
            </w:r>
          </w:p>
        </w:tc>
      </w:tr>
      <w:tr>
        <w:tc>
          <w:tcPr>
            <w:tcW w:w="0" w:type="auto"/>
          </w:tcPr>
          <w:p>
            <w:pPr>
              <w:spacing w:line="240" w:lineRule="auto" w:before="0" w:after="0"/>
              <w:pStyle w:val="Compact"/>
            </w:pPr>
            <w:r>
              <w:rPr>
                <w:sz w:val="20"/>
                <w:szCs w:val="20"/>
              </w:rPr>
              <w:t xml:space="preserve">is_acta</w:t>
            </w:r>
          </w:p>
        </w:tc>
        <w:tc>
          <w:tcPr>
            <w:tcW w:w="0" w:type="auto"/>
          </w:tcPr>
          <w:p>
            <w:pPr>
              <w:spacing w:line="240" w:lineRule="auto" w:before="0" w:after="0"/>
              <w:pStyle w:val="Compact"/>
            </w:pPr>
            <w:r>
              <w:rPr>
                <w:sz w:val="20"/>
                <w:szCs w:val="20"/>
              </w:rPr>
              <w:t xml:space="preserve">6.7785</w:t>
            </w:r>
          </w:p>
        </w:tc>
        <w:tc>
          <w:tcPr>
            <w:tcW w:w="0" w:type="auto"/>
          </w:tcPr>
          <w:p>
            <w:pPr>
              <w:spacing w:line="240" w:lineRule="auto" w:before="0" w:after="0"/>
              <w:pStyle w:val="Compact"/>
            </w:pPr>
            <w:r>
              <w:rPr>
                <w:sz w:val="20"/>
                <w:szCs w:val="20"/>
              </w:rPr>
              <w:t xml:space="preserve">2.7552</w:t>
            </w:r>
          </w:p>
        </w:tc>
        <w:tc>
          <w:tcPr>
            <w:tcW w:w="0" w:type="auto"/>
          </w:tcPr>
          <w:p>
            <w:pPr>
              <w:spacing w:line="240" w:lineRule="auto" w:before="0" w:after="0"/>
              <w:pStyle w:val="Compact"/>
            </w:pPr>
            <w:r>
              <w:rPr>
                <w:sz w:val="20"/>
                <w:szCs w:val="20"/>
              </w:rPr>
              <w:t xml:space="preserve">2.4603</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[1.3785, 12.1785]</w:t>
            </w:r>
          </w:p>
        </w:tc>
      </w:tr>
    </w:tbl>
    <w:p>
      <w:pPr>
        <w:pStyle w:val="BodyText"/>
      </w:pPr>
      <w:r>
        <w:t xml:space="preserve">Fit: N = 80 R2 = 0.3563 R2_adj = 0.3034 F = 2.2451 F_p = 0.0482</w:t>
      </w:r>
    </w:p>
    <w:p>
      <w:pPr>
        <w:pStyle w:val="CaptionedFigure"/>
      </w:pPr>
      <w:r>
        <w:drawing>
          <wp:inline>
            <wp:extent cx="5669280" cy="3657600"/>
            <wp:effectExtent b="0" l="0" r="0" t="0"/>
            <wp:docPr descr="Figure 1. Citation attention by age for interface-standardization evidence records." title="" id="84" name="Picture"/>
            <a:graphic>
              <a:graphicData uri="http://schemas.openxmlformats.org/drawingml/2006/picture">
                <pic:pic>
                  <pic:nvPicPr>
                    <pic:cNvPr descr="dissertations\SPACE_ECON_13\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attention by age for interface-standardization evidence records.</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528"/>
        <w:gridCol w:w="528"/>
        <w:gridCol w:w="528"/>
        <w:gridCol w:w="528"/>
        <w:gridCol w:w="528"/>
        <w:gridCol w:w="528"/>
        <w:gridCol w:w="528"/>
        <w:gridCol w:w="528"/>
        <w:gridCol w:w="528"/>
        <w:gridCol w:w="528"/>
        <w:gridCol w:w="528"/>
        <w:gridCol w:w="528"/>
        <w:gridCol w:w="528"/>
        <w:gridCol w:w="528"/>
        <w:gridCol w:w="528"/>
      </w:tblGrid>
      <w:tr>
        <w:trPr>
          <w:tblHeader w:val="on"/>
        </w:trPr>
        <w:tc>
          <w:tcPr>
            <w:tcW w:w="0" w:type="auto"/>
          </w:tcPr>
          <w:p>
            <w:pPr>
              <w:spacing w:line="240" w:lineRule="auto" w:before="0" w:after="0"/>
              <w:pStyle w:val="Compact"/>
            </w:pPr>
            <w:r>
              <w:rPr>
                <w:sz w:val="20"/>
                <w:szCs w:val="20"/>
              </w:rPr>
              <w:t xml:space="preserve">paper_id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source_corpus</w:t>
            </w:r>
          </w:p>
        </w:tc>
        <w:tc>
          <w:tcPr>
            <w:tcW w:w="0" w:type="auto"/>
          </w:tcPr>
          <w:p>
            <w:pPr>
              <w:spacing w:line="240" w:lineRule="auto" w:before="0" w:after="0"/>
              <w:pStyle w:val="Compact"/>
            </w:pPr>
            <w:r>
              <w:rPr>
                <w:sz w:val="20"/>
                <w:szCs w:val="20"/>
              </w:rPr>
              <w:t xml:space="preserve">is_acta</w:t>
            </w:r>
          </w:p>
        </w:tc>
        <w:tc>
          <w:tcPr>
            <w:tcW w:w="0" w:type="auto"/>
          </w:tcPr>
          <w:p>
            <w:pPr>
              <w:spacing w:line="240" w:lineRule="auto" w:before="0" w:after="0"/>
              <w:pStyle w:val="Compact"/>
            </w:pPr>
            <w:r>
              <w:rPr>
                <w:sz w:val="20"/>
                <w:szCs w:val="20"/>
              </w:rPr>
              <w:t xml:space="preserve">is_amos</w:t>
            </w:r>
          </w:p>
        </w:tc>
        <w:tc>
          <w:tcPr>
            <w:tcW w:w="0" w:type="auto"/>
          </w:tcPr>
          <w:p>
            <w:pPr>
              <w:spacing w:line="240" w:lineRule="auto" w:before="0" w:after="0"/>
              <w:pStyle w:val="Compact"/>
            </w:pPr>
            <w:r>
              <w:rPr>
                <w:sz w:val="20"/>
                <w:szCs w:val="20"/>
              </w:rPr>
              <w:t xml:space="preserve">is_interface_term</w:t>
            </w:r>
          </w:p>
        </w:tc>
        <w:tc>
          <w:tcPr>
            <w:tcW w:w="0" w:type="auto"/>
          </w:tcPr>
          <w:p>
            <w:pPr>
              <w:spacing w:line="240" w:lineRule="auto" w:before="0" w:after="0"/>
              <w:pStyle w:val="Compact"/>
            </w:pPr>
            <w:r>
              <w:rPr>
                <w:sz w:val="20"/>
                <w:szCs w:val="20"/>
              </w:rPr>
              <w:t xml:space="preserve">is_payload_bus</w:t>
            </w:r>
          </w:p>
        </w:tc>
        <w:tc>
          <w:tcPr>
            <w:tcW w:w="0" w:type="auto"/>
          </w:tcPr>
          <w:p>
            <w:pPr>
              <w:spacing w:line="240" w:lineRule="auto" w:before="0" w:after="0"/>
              <w:pStyle w:val="Compact"/>
            </w:pPr>
            <w:r>
              <w:rPr>
                <w:sz w:val="20"/>
                <w:szCs w:val="20"/>
              </w:rPr>
              <w:t xml:space="preserve">is_sda_data</w:t>
            </w:r>
          </w:p>
        </w:tc>
        <w:tc>
          <w:tcPr>
            <w:tcW w:w="0" w:type="auto"/>
          </w:tcPr>
          <w:p>
            <w:pPr>
              <w:spacing w:line="240" w:lineRule="auto" w:before="0" w:after="0"/>
              <w:pStyle w:val="Compact"/>
            </w:pPr>
            <w:r>
              <w:rPr>
                <w:sz w:val="20"/>
                <w:szCs w:val="20"/>
              </w:rPr>
              <w:t xml:space="preserve">is_modular_or_service</w:t>
            </w:r>
          </w:p>
        </w:tc>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citations_plus_one</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doi</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IE-301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Flat Panel Space Based Space Surveillance Sensor</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IE-338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SPIDER: Next Generation Chip Scale Imaging Sensor</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IE-333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SPIDER: Next Generation Chip Scale Imaging Sensor Update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IE-296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Sensor-Rich Solution for Lunar/Cislunar Space Domain Awareness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IE-085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Systems Center Special Programs Advanced Technology Integration Future Space Domain Awareness Hosted Payloads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IE-142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Architecting CubeSat constellations for messaging service, Part I</w:t>
            </w:r>
          </w:p>
        </w:tc>
        <w:tc>
          <w:tcPr>
            <w:tcW w:w="0" w:type="auto"/>
          </w:tcPr>
          <w:p>
            <w:pPr>
              <w:spacing w:line="240" w:lineRule="auto" w:before="0" w:after="0"/>
              <w:pStyle w:val="Compact"/>
            </w:pPr>
            <w:r>
              <w:rPr>
                <w:sz w:val="20"/>
                <w:szCs w:val="20"/>
              </w:rPr>
              <w:t xml:space="preserve">10.1016/j.actaastro.2024.07.022</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IE-373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Architecting CubeSat constellations for messaging service, Part II</w:t>
            </w:r>
          </w:p>
        </w:tc>
        <w:tc>
          <w:tcPr>
            <w:tcW w:w="0" w:type="auto"/>
          </w:tcPr>
          <w:p>
            <w:pPr>
              <w:spacing w:line="240" w:lineRule="auto" w:before="0" w:after="0"/>
              <w:pStyle w:val="Compact"/>
            </w:pPr>
            <w:r>
              <w:rPr>
                <w:sz w:val="20"/>
                <w:szCs w:val="20"/>
              </w:rPr>
              <w:t xml:space="preserve">10.1016/j.actaastro.2024.12.022</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IE-394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Control allocation for over-actuated satellite laser communication systems</w:t>
            </w:r>
          </w:p>
        </w:tc>
        <w:tc>
          <w:tcPr>
            <w:tcW w:w="0" w:type="auto"/>
          </w:tcPr>
          <w:p>
            <w:pPr>
              <w:spacing w:line="240" w:lineRule="auto" w:before="0" w:after="0"/>
              <w:pStyle w:val="Compact"/>
            </w:pPr>
            <w:r>
              <w:rPr>
                <w:sz w:val="20"/>
                <w:szCs w:val="20"/>
              </w:rPr>
              <w:t xml:space="preserve">10.1016/j.actaastro.2025.12.026</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IE-193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Measurement Astrophysics and the AF Space Surveillance Mission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IE-445</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SAMM-2: A Rapid, Modular and Extensible All-Altitude VIS-IR Background Scene Generator</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IE-321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Operationally Responsive Space Launch for Space Situational Awareness Missions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IE-063</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Surveillance Network Sensor Development, Modification, and Sustainment Programs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Integration of Space Weather Into Space Situational Awareness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 Space Launch: Origins &amp; Challenges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Ibex: A Space Situational Awareness Data Fusion Program</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CubeSat Integration into the Space Situational Awareness Architecture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IE-302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On-Orbit Results for Canada’s Sapphire Optical Payload</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IE-058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 Control Southern Hemisphere SSA Observatory</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IE-256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Next Generation Space Surveillance System-of-Systems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IE-162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Situational Awareness of Large Numbers of Payloads From a Single Deployment</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Case for GEO Hosted SSA Payloads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IE-424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Situational Awareness Data Processing Scalability Utilizing Google Cloud Services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IE-187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Discrimination Analysis of Sloan and Johnson Photometric Systems for Non-Resolved Object Characterization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IE-074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Automated Space Surveillance using the AN/FSY-3 Space Fence System</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IE-238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Combined Space-Based Observations of Geostationary Satellites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IE-095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Enabling GEODSS for Space Situational Awareness (SSA)</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IE-093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OrbitOutlook Data Archive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IE-253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Orbital Space Environment and Space Situational Awareness Domain Ontology â€“ Toward an International Information System for Space Data</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IE-330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“Testbed Experiment for SPIDER: A Photonic Integrated Circuit-based Interferometric</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IE-295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LauncherOne: Virgin Orbit’s Dedicated Launch Vehicle for Small Satellites &amp; Impact to the Space Enterprise Vision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IE-236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Non-traditional Sensor Tasking for SSA: A Case Study</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IE-226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Ultimate Big Data Enterprise Initiative: Defining Functional Capabilities for an International Information System (IIS) for Orbital Space Data (OSD)</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IE-224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the Emerging CubeSat Reference Model for Space Situational Awareness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IE-459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Modular Neural Network Tasking of Space Situational Awareness Systems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IE-464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Non-Traditional Data Collection and Exploitation for Improved GEO SSA via a Global Network of Heterogeneous Sensors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IE-460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Scientific CMOS Camera for Observation of Dim Space Objects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IE-451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 Australian Conjunction Assessment Service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IE-434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CASSIOPeiA - A new paradigm for space solar power</w:t>
            </w:r>
          </w:p>
        </w:tc>
        <w:tc>
          <w:tcPr>
            <w:tcW w:w="0" w:type="auto"/>
          </w:tcPr>
          <w:p>
            <w:pPr>
              <w:spacing w:line="240" w:lineRule="auto" w:before="0" w:after="0"/>
              <w:pStyle w:val="Compact"/>
            </w:pPr>
            <w:r>
              <w:rPr>
                <w:sz w:val="20"/>
                <w:szCs w:val="20"/>
              </w:rPr>
              <w:t xml:space="preserve">10.1016/j.actaastro.2019.03.063</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IE-450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Feature-Based Satellite Detection Using Convolutional Neural Networks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IE-084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Ultrafast Wide Field Telescope for Space Debris Detection and Tracking</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Air-LUSI: Development of a pointing and tracking control system for lunar spectral measurements</w:t>
            </w:r>
          </w:p>
        </w:tc>
        <w:tc>
          <w:tcPr>
            <w:tcW w:w="0" w:type="auto"/>
          </w:tcPr>
          <w:p>
            <w:pPr>
              <w:spacing w:line="240" w:lineRule="auto" w:before="0" w:after="0"/>
              <w:pStyle w:val="Compact"/>
            </w:pPr>
            <w:r>
              <w:rPr>
                <w:sz w:val="20"/>
                <w:szCs w:val="20"/>
              </w:rPr>
              <w:t xml:space="preserve">10.1016/j.actaastro.2020.07.004</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IE-401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On-board, Autonomous, Hybrid Spacecraft Subsystem Fault and Anomaly Detection, Diagnosis, and Recovery</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IE-347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Payload and Constellation Design for a Solar Exclusion-Avoiding Cislunar SSA Fleet</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Command and Control Program - Kobayashi Maru</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IE-361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Utility of Modular Attitude Determination and Control Subsystems for Small Satellites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IE-363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Performance of Northrop Grumman’s Mission Extension Vehicle (MEV) RPO Imagers at GEO</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IE-447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Toward Deep-space Object Detection in Persistent Wide Field of View Camera Arrays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IE-242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Trends in Global Space Situational Awareness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IE-304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Cislunar Orbit Determination Benefits of Moon-Based Sensors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IE-164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European Expert Centre Providing Services and Support for Space Surveillance and Traffic Management</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IE-169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Peacock: A Persistent Wide-Field-Of-View Simultaneous Multispectral System Based on COTS Hardware</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Case for Resilient Hosted Payloads in Proliferated MEO to support Space Domain Awareness</w:t>
            </w:r>
          </w:p>
        </w:tc>
        <w:tc>
          <w:tcPr>
            <w:tcW w:w="0" w:type="auto"/>
          </w:tcPr>
          <w:p>
            <w:pPr>
              <w:spacing w:line="240" w:lineRule="auto" w:before="0" w:after="0"/>
              <w:pStyle w:val="Compact"/>
            </w:pPr>
            <w:r>
              <w:rPr>
                <w:sz w:val="20"/>
                <w:szCs w:val="20"/>
              </w:rPr>
              <w:t xml:space="preserve">10.64861/ENMJ6539</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IE-431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Compliant joint to reduce docking loads between CubeSats</w:t>
            </w:r>
          </w:p>
        </w:tc>
        <w:tc>
          <w:tcPr>
            <w:tcW w:w="0" w:type="auto"/>
          </w:tcPr>
          <w:p>
            <w:pPr>
              <w:spacing w:line="240" w:lineRule="auto" w:before="0" w:after="0"/>
              <w:pStyle w:val="Compact"/>
            </w:pPr>
            <w:r>
              <w:rPr>
                <w:sz w:val="20"/>
                <w:szCs w:val="20"/>
              </w:rPr>
              <w:t xml:space="preserve">10.1016/j.actaastro.2023.01.035</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IE-336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Conceptual Framework for a Rapid Space Launch Capability</w:t>
            </w:r>
          </w:p>
        </w:tc>
        <w:tc>
          <w:tcPr>
            <w:tcW w:w="0" w:type="auto"/>
          </w:tcPr>
          <w:p>
            <w:pPr>
              <w:spacing w:line="240" w:lineRule="auto" w:before="0" w:after="0"/>
              <w:pStyle w:val="Compact"/>
            </w:pPr>
            <w:r>
              <w:rPr>
                <w:sz w:val="20"/>
                <w:szCs w:val="20"/>
              </w:rPr>
              <w:t xml:space="preserve">10.64861/KYFU6858</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IE-151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Enabling Modular and Scalable SDA Data Transforms via the Raft Data Fabric</w:t>
            </w:r>
          </w:p>
        </w:tc>
        <w:tc>
          <w:tcPr>
            <w:tcW w:w="0" w:type="auto"/>
          </w:tcPr>
          <w:p>
            <w:pPr>
              <w:spacing w:line="240" w:lineRule="auto" w:before="0" w:after="0"/>
              <w:pStyle w:val="Compact"/>
            </w:pPr>
            <w:r>
              <w:rPr>
                <w:sz w:val="20"/>
                <w:szCs w:val="20"/>
              </w:rPr>
              <w:t xml:space="preserve">10.64861/PMMH7892</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IE-232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Defense Readiness Agile Gaming Ops Network (DRAGON) Army Sync Service: Enabling International Collaboration in the Space Situational Awareness Mission</w:t>
            </w:r>
          </w:p>
        </w:tc>
        <w:tc>
          <w:tcPr>
            <w:tcW w:w="0" w:type="auto"/>
          </w:tcPr>
          <w:p>
            <w:pPr>
              <w:spacing w:line="240" w:lineRule="auto" w:before="0" w:after="0"/>
              <w:pStyle w:val="Compact"/>
            </w:pPr>
            <w:r>
              <w:rPr>
                <w:sz w:val="20"/>
                <w:szCs w:val="20"/>
              </w:rPr>
              <w:t xml:space="preserve">10.64861/QYQB6394</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Right Data to the Right Place at the Right Time: A Marketplace Approach</w:t>
            </w:r>
          </w:p>
        </w:tc>
        <w:tc>
          <w:tcPr>
            <w:tcW w:w="0" w:type="auto"/>
          </w:tcPr>
          <w:p>
            <w:pPr>
              <w:spacing w:line="240" w:lineRule="auto" w:before="0" w:after="0"/>
              <w:pStyle w:val="Compact"/>
            </w:pPr>
            <w:r>
              <w:rPr>
                <w:sz w:val="20"/>
                <w:szCs w:val="20"/>
              </w:rPr>
              <w:t xml:space="preserve">10.64861/NRCS3123</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IE-399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Technical Comparison of the Public SSA Services in the United States and the European Union</w:t>
            </w:r>
          </w:p>
        </w:tc>
        <w:tc>
          <w:tcPr>
            <w:tcW w:w="0" w:type="auto"/>
          </w:tcPr>
          <w:p>
            <w:pPr>
              <w:spacing w:line="240" w:lineRule="auto" w:before="0" w:after="0"/>
              <w:pStyle w:val="Compact"/>
            </w:pPr>
            <w:r>
              <w:rPr>
                <w:sz w:val="20"/>
                <w:szCs w:val="20"/>
              </w:rPr>
              <w:t xml:space="preserve">10.64861/ETRU7114</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Automated, Collaborative Applications to Close Kill Chain Gaps</w:t>
            </w:r>
          </w:p>
        </w:tc>
        <w:tc>
          <w:tcPr>
            <w:tcW w:w="0" w:type="auto"/>
          </w:tcPr>
          <w:p>
            <w:pPr>
              <w:spacing w:line="240" w:lineRule="auto" w:before="0" w:after="0"/>
              <w:pStyle w:val="Compact"/>
            </w:pPr>
            <w:r>
              <w:rPr>
                <w:sz w:val="20"/>
                <w:szCs w:val="20"/>
              </w:rPr>
              <w:t xml:space="preserve">10.64861/WAID8303</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IE-062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CubeSat Radar Cross-Section Measurement Campaign</w:t>
            </w:r>
          </w:p>
        </w:tc>
        <w:tc>
          <w:tcPr>
            <w:tcW w:w="0" w:type="auto"/>
          </w:tcPr>
          <w:p>
            <w:pPr>
              <w:spacing w:line="240" w:lineRule="auto" w:before="0" w:after="0"/>
              <w:pStyle w:val="Compact"/>
            </w:pPr>
            <w:r>
              <w:rPr>
                <w:sz w:val="20"/>
                <w:szCs w:val="20"/>
              </w:rPr>
              <w:t xml:space="preserve">10.64861/NYKE4838</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CubeSat standardized modular assembly method and design optimization</w:t>
            </w:r>
          </w:p>
        </w:tc>
        <w:tc>
          <w:tcPr>
            <w:tcW w:w="0" w:type="auto"/>
          </w:tcPr>
          <w:p>
            <w:pPr>
              <w:spacing w:line="240" w:lineRule="auto" w:before="0" w:after="0"/>
              <w:pStyle w:val="Compact"/>
            </w:pPr>
            <w:r>
              <w:rPr>
                <w:sz w:val="20"/>
                <w:szCs w:val="20"/>
              </w:rPr>
              <w:t xml:space="preserve">10.1016/j.actaastro.2024.01.011</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IE-165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Data Insights, Pedigree, and Automation for Space Domain Awareness</w:t>
            </w:r>
          </w:p>
        </w:tc>
        <w:tc>
          <w:tcPr>
            <w:tcW w:w="0" w:type="auto"/>
          </w:tcPr>
          <w:p>
            <w:pPr>
              <w:spacing w:line="240" w:lineRule="auto" w:before="0" w:after="0"/>
              <w:pStyle w:val="Compact"/>
            </w:pPr>
            <w:r>
              <w:rPr>
                <w:sz w:val="20"/>
                <w:szCs w:val="20"/>
              </w:rPr>
              <w:t xml:space="preserve">10.64861/NUFH1261</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“standardization”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IE-034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Future in-orbit servicing operations in the space traffic management context</w:t>
            </w:r>
          </w:p>
        </w:tc>
        <w:tc>
          <w:tcPr>
            <w:tcW w:w="0" w:type="auto"/>
          </w:tcPr>
          <w:p>
            <w:pPr>
              <w:spacing w:line="240" w:lineRule="auto" w:before="0" w:after="0"/>
              <w:pStyle w:val="Compact"/>
            </w:pPr>
            <w:r>
              <w:rPr>
                <w:sz w:val="20"/>
                <w:szCs w:val="20"/>
              </w:rPr>
              <w:t xml:space="preserve">10.1016/j.actaastro.2024.05.007</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HexSats: A novel flat hexagonal nanosatellite for high-power applications</w:t>
            </w:r>
          </w:p>
        </w:tc>
        <w:tc>
          <w:tcPr>
            <w:tcW w:w="0" w:type="auto"/>
          </w:tcPr>
          <w:p>
            <w:pPr>
              <w:spacing w:line="240" w:lineRule="auto" w:before="0" w:after="0"/>
              <w:pStyle w:val="Compact"/>
            </w:pPr>
            <w:r>
              <w:rPr>
                <w:sz w:val="20"/>
                <w:szCs w:val="20"/>
              </w:rPr>
              <w:t xml:space="preserve">10.1016/j.actaastro.2024.09.007</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Model-based controllers for CubeSat ORU installation: A comparative study</w:t>
            </w:r>
          </w:p>
        </w:tc>
        <w:tc>
          <w:tcPr>
            <w:tcW w:w="0" w:type="auto"/>
          </w:tcPr>
          <w:p>
            <w:pPr>
              <w:spacing w:line="240" w:lineRule="auto" w:before="0" w:after="0"/>
              <w:pStyle w:val="Compact"/>
            </w:pPr>
            <w:r>
              <w:rPr>
                <w:sz w:val="20"/>
                <w:szCs w:val="20"/>
              </w:rPr>
              <w:t xml:space="preserve">10.1016/j.actaastro.2024.07.036</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Test characterization of infrared phototransistors-based sensors for close-proximity operations</w:t>
            </w:r>
          </w:p>
        </w:tc>
        <w:tc>
          <w:tcPr>
            <w:tcW w:w="0" w:type="auto"/>
          </w:tcPr>
          <w:p>
            <w:pPr>
              <w:spacing w:line="240" w:lineRule="auto" w:before="0" w:after="0"/>
              <w:pStyle w:val="Compact"/>
            </w:pPr>
            <w:r>
              <w:rPr>
                <w:sz w:val="20"/>
                <w:szCs w:val="20"/>
              </w:rPr>
              <w:t xml:space="preserve">10.1016/j.actaastro.2024.04.010</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IE-094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GSSAC Mission System: A New Solution for Space Objects Cataloguing From DLR</w:t>
            </w:r>
          </w:p>
        </w:tc>
        <w:tc>
          <w:tcPr>
            <w:tcW w:w="0" w:type="auto"/>
          </w:tcPr>
          <w:p>
            <w:pPr>
              <w:spacing w:line="240" w:lineRule="auto" w:before="0" w:after="0"/>
              <w:pStyle w:val="Compact"/>
            </w:pPr>
            <w:r>
              <w:rPr>
                <w:sz w:val="20"/>
                <w:szCs w:val="20"/>
              </w:rPr>
              <w:t xml:space="preserve">10.64861/MABY9680</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IE-341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Towards robotic on-orbit assembly of large space telescopes: Mission architectures, concepts, and analyses</w:t>
            </w:r>
          </w:p>
        </w:tc>
        <w:tc>
          <w:tcPr>
            <w:tcW w:w="0" w:type="auto"/>
          </w:tcPr>
          <w:p>
            <w:pPr>
              <w:spacing w:line="240" w:lineRule="auto" w:before="0" w:after="0"/>
              <w:pStyle w:val="Compact"/>
            </w:pPr>
            <w:r>
              <w:rPr>
                <w:sz w:val="20"/>
                <w:szCs w:val="20"/>
              </w:rPr>
              <w:t xml:space="preserve">10.1016/j.actaastro.2024.08.022</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IE-378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AltiCube+: A low-cost long fixed-baseline radar altimeter solution based on cubesats on-orbit assembly</w:t>
            </w:r>
          </w:p>
        </w:tc>
        <w:tc>
          <w:tcPr>
            <w:tcW w:w="0" w:type="auto"/>
          </w:tcPr>
          <w:p>
            <w:pPr>
              <w:spacing w:line="240" w:lineRule="auto" w:before="0" w:after="0"/>
              <w:pStyle w:val="Compact"/>
            </w:pPr>
            <w:r>
              <w:rPr>
                <w:sz w:val="20"/>
                <w:szCs w:val="20"/>
              </w:rPr>
              <w:t xml:space="preserve">10.1016/j.actaastro.2025.05.055</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IE-209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Architecting a decision support system for continuing supervision of commercial in-space servicing</w:t>
            </w:r>
          </w:p>
        </w:tc>
        <w:tc>
          <w:tcPr>
            <w:tcW w:w="0" w:type="auto"/>
          </w:tcPr>
          <w:p>
            <w:pPr>
              <w:spacing w:line="240" w:lineRule="auto" w:before="0" w:after="0"/>
              <w:pStyle w:val="Compact"/>
            </w:pPr>
            <w:r>
              <w:rPr>
                <w:sz w:val="20"/>
                <w:szCs w:val="20"/>
              </w:rPr>
              <w:t xml:space="preserve">10.1016/j.actaastro.2025.05.036</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IE-442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Decisive Mission Analysis Capability: A Physics-Based Testing and Evaluation Framework for Space Domain Awareness</w:t>
            </w:r>
          </w:p>
        </w:tc>
        <w:tc>
          <w:tcPr>
            <w:tcW w:w="0" w:type="auto"/>
          </w:tcPr>
          <w:p>
            <w:pPr>
              <w:spacing w:line="240" w:lineRule="auto" w:before="0" w:after="0"/>
              <w:pStyle w:val="Compact"/>
            </w:pPr>
            <w:r>
              <w:rPr>
                <w:sz w:val="20"/>
                <w:szCs w:val="20"/>
              </w:rPr>
              <w:t xml:space="preserve">10.64861/CKQN3841</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Development of VISION (Vigilant Integrated Space Information and mOnitoring Network): An Integrated Space Information Monitoring System for Space Flight Safety</w:t>
            </w:r>
          </w:p>
        </w:tc>
        <w:tc>
          <w:tcPr>
            <w:tcW w:w="0" w:type="auto"/>
          </w:tcPr>
          <w:p>
            <w:pPr>
              <w:spacing w:line="240" w:lineRule="auto" w:before="0" w:after="0"/>
              <w:pStyle w:val="Compact"/>
            </w:pPr>
            <w:r>
              <w:rPr>
                <w:sz w:val="20"/>
                <w:szCs w:val="20"/>
              </w:rPr>
              <w:t xml:space="preserve">10.64861/OTAL2562</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“data exchange”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IE-449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End-to-End Autonomous Mission Planning and Spacecraft Attitude Optimization for Resident Space Object Imaging</w:t>
            </w:r>
          </w:p>
        </w:tc>
        <w:tc>
          <w:tcPr>
            <w:tcW w:w="0" w:type="auto"/>
          </w:tcPr>
          <w:p>
            <w:pPr>
              <w:spacing w:line="240" w:lineRule="auto" w:before="0" w:after="0"/>
              <w:pStyle w:val="Compact"/>
            </w:pPr>
            <w:r>
              <w:rPr>
                <w:sz w:val="20"/>
                <w:szCs w:val="20"/>
              </w:rPr>
              <w:t xml:space="preserve">10.64861/TLLP2048</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IE-360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Hierarchical Neuro-Symbolic AI for Autonomous Spacecraft Maneuvering and Anomaly Detection</w:t>
            </w:r>
          </w:p>
        </w:tc>
        <w:tc>
          <w:tcPr>
            <w:tcW w:w="0" w:type="auto"/>
          </w:tcPr>
          <w:p>
            <w:pPr>
              <w:spacing w:line="240" w:lineRule="auto" w:before="0" w:after="0"/>
              <w:pStyle w:val="Compact"/>
            </w:pPr>
            <w:r>
              <w:rPr>
                <w:sz w:val="20"/>
                <w:szCs w:val="20"/>
              </w:rPr>
              <w:t xml:space="preserve">10.64861/RAAN7205</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IE-213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 navigation system optimization for targeted coverage with semi-analytical station keeping model and Earth-GPS integration</w:t>
            </w:r>
          </w:p>
        </w:tc>
        <w:tc>
          <w:tcPr>
            <w:tcW w:w="0" w:type="auto"/>
          </w:tcPr>
          <w:p>
            <w:pPr>
              <w:spacing w:line="240" w:lineRule="auto" w:before="0" w:after="0"/>
              <w:pStyle w:val="Compact"/>
            </w:pPr>
            <w:r>
              <w:rPr>
                <w:sz w:val="20"/>
                <w:szCs w:val="20"/>
              </w:rPr>
              <w:t xml:space="preserve">10.1016/j.actaastro.2025.10.065</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“interoperability”</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Maritime Based Sensor Network for Persistent Monitoring of Resident Space Objects, Satellite Launches and Missile Launches</w:t>
            </w:r>
          </w:p>
        </w:tc>
        <w:tc>
          <w:tcPr>
            <w:tcW w:w="0" w:type="auto"/>
          </w:tcPr>
          <w:p>
            <w:pPr>
              <w:spacing w:line="240" w:lineRule="auto" w:before="0" w:after="0"/>
              <w:pStyle w:val="Compact"/>
            </w:pPr>
            <w:r>
              <w:rPr>
                <w:sz w:val="20"/>
                <w:szCs w:val="20"/>
              </w:rPr>
              <w:t xml:space="preserve">10.64861/YNWB1236</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IE-436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ACTA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Mission operations for precise in-orbit collision prediction and space environment surveillance system</w:t>
            </w:r>
          </w:p>
        </w:tc>
        <w:tc>
          <w:tcPr>
            <w:tcW w:w="0" w:type="auto"/>
          </w:tcPr>
          <w:p>
            <w:pPr>
              <w:spacing w:line="240" w:lineRule="auto" w:before="0" w:after="0"/>
              <w:pStyle w:val="Compact"/>
            </w:pPr>
            <w:r>
              <w:rPr>
                <w:sz w:val="20"/>
                <w:szCs w:val="20"/>
              </w:rPr>
              <w:t xml:space="preserve">10.1016/j.actaastro.2025.05.049</w:t>
            </w:r>
          </w:p>
        </w:tc>
        <w:tc>
          <w:tcPr>
            <w:tcW w:w="0" w:type="auto"/>
          </w:tcPr>
          <w:p>
            <w:pPr>
              <w:spacing w:line="240" w:lineRule="auto" w:before="0" w:after="0"/>
              <w:pStyle w:val="Compact"/>
            </w:pPr>
            <w:r>
              <w:rPr>
                <w:sz w:val="20"/>
                <w:szCs w:val="20"/>
              </w:rPr>
              <w:t xml:space="preserve">ACTA local metadata search result for query</w:t>
            </w:r>
            <w:r>
              <w:rPr>
                <w:sz w:val="20"/>
                <w:szCs w:val="20"/>
              </w:rPr>
              <w:t xml:space="preserve"> </w:t>
            </w:r>
            <w:r>
              <w:rPr>
                <w:sz w:val="20"/>
                <w:szCs w:val="20"/>
              </w:rPr>
              <w:t xml:space="preserve">“modular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IE-303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NICECube - Nitric Oxide Infrared Cooling Emissions Cubesat. A Cubesat Solution to Enable Accurate Thermospheric Density Forecasts for Improved Space Situational Awareness</w:t>
            </w:r>
          </w:p>
        </w:tc>
        <w:tc>
          <w:tcPr>
            <w:tcW w:w="0" w:type="auto"/>
          </w:tcPr>
          <w:p>
            <w:pPr>
              <w:spacing w:line="240" w:lineRule="auto" w:before="0" w:after="0"/>
              <w:pStyle w:val="Compact"/>
            </w:pPr>
            <w:r>
              <w:rPr>
                <w:sz w:val="20"/>
                <w:szCs w:val="20"/>
              </w:rPr>
              <w:t xml:space="preserve">10.64861/VUMF3172</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“payload integration”</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IE-353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On-Orbit Satellite Detection and Extraction in J Band Imagery</w:t>
            </w:r>
          </w:p>
        </w:tc>
        <w:tc>
          <w:tcPr>
            <w:tcW w:w="0" w:type="auto"/>
          </w:tcPr>
          <w:p>
            <w:pPr>
              <w:spacing w:line="240" w:lineRule="auto" w:before="0" w:after="0"/>
              <w:pStyle w:val="Compact"/>
            </w:pPr>
            <w:r>
              <w:rPr>
                <w:sz w:val="20"/>
                <w:szCs w:val="20"/>
              </w:rPr>
              <w:t xml:space="preserve">10.64861/AZUD8556</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r>
        <w:tc>
          <w:tcPr>
            <w:tcW w:w="0" w:type="auto"/>
          </w:tcPr>
          <w:p>
            <w:pPr>
              <w:spacing w:line="240" w:lineRule="auto" w:before="0" w:after="0"/>
              <w:pStyle w:val="Compact"/>
            </w:pPr>
            <w:r>
              <w:rPr>
                <w:sz w:val="20"/>
                <w:szCs w:val="20"/>
              </w:rPr>
              <w:t xml:space="preserve">IE-354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AMOS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Prototype Development of Web AI-Based Decision Support System: Insights and Recommendations for Satellite Anomaly Identification</w:t>
            </w:r>
          </w:p>
        </w:tc>
        <w:tc>
          <w:tcPr>
            <w:tcW w:w="0" w:type="auto"/>
          </w:tcPr>
          <w:p>
            <w:pPr>
              <w:spacing w:line="240" w:lineRule="auto" w:before="0" w:after="0"/>
              <w:pStyle w:val="Compact"/>
            </w:pPr>
            <w:r>
              <w:rPr>
                <w:sz w:val="20"/>
                <w:szCs w:val="20"/>
              </w:rPr>
              <w:t xml:space="preserve">10.64861/TJUV7381</w:t>
            </w:r>
          </w:p>
        </w:tc>
        <w:tc>
          <w:tcPr>
            <w:tcW w:w="0" w:type="auto"/>
          </w:tcPr>
          <w:p>
            <w:pPr>
              <w:spacing w:line="240" w:lineRule="auto" w:before="0" w:after="0"/>
              <w:pStyle w:val="Compact"/>
            </w:pPr>
            <w:r>
              <w:rPr>
                <w:sz w:val="20"/>
                <w:szCs w:val="20"/>
              </w:rPr>
              <w:t xml:space="preserve">AMOS local metadata search result for query</w:t>
            </w:r>
            <w:r>
              <w:rPr>
                <w:sz w:val="20"/>
                <w:szCs w:val="20"/>
              </w:rPr>
              <w:t xml:space="preserve"> </w:t>
            </w:r>
            <w:r>
              <w:rPr>
                <w:sz w:val="20"/>
                <w:szCs w:val="20"/>
              </w:rPr>
              <w:t xml:space="preserve">“bus interface”</w:t>
            </w:r>
            <w:r>
              <w:rPr>
                <w:sz w:val="20"/>
                <w:szCs w:val="20"/>
              </w:rPr>
              <w:t xml:space="preserve">; exported from D:/Claude_Code corpus on 2026-06-28; title, year, DOI, and citation metadata retained</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citations_count</w:t>
            </w:r>
          </w:p>
        </w:tc>
        <w:tc>
          <w:tcPr>
            <w:tcW w:w="0" w:type="auto"/>
          </w:tcPr>
          <w:p>
            <w:pPr>
              <w:spacing w:line="240" w:lineRule="auto" w:before="0" w:after="0"/>
              <w:pStyle w:val="Compact"/>
            </w:pPr>
            <w:r>
              <w:rPr>
                <w:sz w:val="20"/>
                <w:szCs w:val="20"/>
              </w:rPr>
              <w:t xml:space="preserve">Citation count reported in local ACTA metadata where present, zero where the local source family does not carry a citation field</w:t>
            </w:r>
          </w:p>
        </w:tc>
        <w:tc>
          <w:tcPr>
            <w:tcW w:w="0" w:type="auto"/>
          </w:tcPr>
          <w:p>
            <w:pPr>
              <w:spacing w:line="240" w:lineRule="auto" w:before="0" w:after="0"/>
              <w:pStyle w:val="Compact"/>
            </w:pPr>
            <w:r>
              <w:rPr>
                <w:sz w:val="20"/>
                <w:szCs w:val="20"/>
              </w:rPr>
              <w:t xml:space="preserve">Parsed from D:/Claude_Code ACTA metadata and combined with AMOS, Space Economy, and prospectus source metadata</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2026 minus publication year plus one</w:t>
            </w:r>
          </w:p>
        </w:tc>
        <w:tc>
          <w:tcPr>
            <w:tcW w:w="0" w:type="auto"/>
          </w:tcPr>
          <w:p>
            <w:pPr>
              <w:spacing w:line="240" w:lineRule="auto" w:before="0" w:after="0"/>
              <w:pStyle w:val="Compact"/>
            </w:pPr>
            <w:r>
              <w:rPr>
                <w:sz w:val="20"/>
                <w:szCs w:val="20"/>
              </w:rPr>
              <w:t xml:space="preserve">Computed from source year</w:t>
            </w:r>
          </w:p>
        </w:tc>
      </w:tr>
      <w:tr>
        <w:tc>
          <w:tcPr>
            <w:tcW w:w="0" w:type="auto"/>
          </w:tcPr>
          <w:p>
            <w:pPr>
              <w:spacing w:line="240" w:lineRule="auto" w:before="0" w:after="0"/>
              <w:pStyle w:val="Compact"/>
            </w:pPr>
            <w:r>
              <w:rPr>
                <w:sz w:val="20"/>
                <w:szCs w:val="20"/>
              </w:rPr>
              <w:t xml:space="preserve">is_interface_term</w:t>
            </w:r>
          </w:p>
        </w:tc>
        <w:tc>
          <w:tcPr>
            <w:tcW w:w="0" w:type="auto"/>
          </w:tcPr>
          <w:p>
            <w:pPr>
              <w:spacing w:line="240" w:lineRule="auto" w:before="0" w:after="0"/>
              <w:pStyle w:val="Compact"/>
            </w:pPr>
            <w:r>
              <w:rPr>
                <w:sz w:val="20"/>
                <w:szCs w:val="20"/>
              </w:rPr>
              <w:t xml:space="preserve">Record contains interface, standard, interoperability, exchange, or protocol language</w:t>
            </w:r>
          </w:p>
        </w:tc>
        <w:tc>
          <w:tcPr>
            <w:tcW w:w="0" w:type="auto"/>
          </w:tcPr>
          <w:p>
            <w:pPr>
              <w:spacing w:line="240" w:lineRule="auto" w:before="0" w:after="0"/>
              <w:pStyle w:val="Compact"/>
            </w:pPr>
            <w:r>
              <w:rPr>
                <w:sz w:val="20"/>
                <w:szCs w:val="20"/>
              </w:rPr>
              <w:t xml:space="preserve">Computed from title, keywords, snippet, track, or seed metadata</w:t>
            </w:r>
          </w:p>
        </w:tc>
      </w:tr>
      <w:tr>
        <w:tc>
          <w:tcPr>
            <w:tcW w:w="0" w:type="auto"/>
          </w:tcPr>
          <w:p>
            <w:pPr>
              <w:spacing w:line="240" w:lineRule="auto" w:before="0" w:after="0"/>
              <w:pStyle w:val="Compact"/>
            </w:pPr>
            <w:r>
              <w:rPr>
                <w:sz w:val="20"/>
                <w:szCs w:val="20"/>
              </w:rPr>
              <w:t xml:space="preserve">is_payload_bus</w:t>
            </w:r>
          </w:p>
        </w:tc>
        <w:tc>
          <w:tcPr>
            <w:tcW w:w="0" w:type="auto"/>
          </w:tcPr>
          <w:p>
            <w:pPr>
              <w:spacing w:line="240" w:lineRule="auto" w:before="0" w:after="0"/>
              <w:pStyle w:val="Compact"/>
            </w:pPr>
            <w:r>
              <w:rPr>
                <w:sz w:val="20"/>
                <w:szCs w:val="20"/>
              </w:rPr>
              <w:t xml:space="preserve">Record concerns payload, bus, subsystem, CubeSat, smallsat, nanosatellite, or instrument coupling</w:t>
            </w:r>
          </w:p>
        </w:tc>
        <w:tc>
          <w:tcPr>
            <w:tcW w:w="0" w:type="auto"/>
          </w:tcPr>
          <w:p>
            <w:pPr>
              <w:spacing w:line="240" w:lineRule="auto" w:before="0" w:after="0"/>
              <w:pStyle w:val="Compact"/>
            </w:pPr>
            <w:r>
              <w:rPr>
                <w:sz w:val="20"/>
                <w:szCs w:val="20"/>
              </w:rPr>
              <w:t xml:space="preserve">Computed from title, keywords, snippet, track, or seed metadata</w:t>
            </w:r>
          </w:p>
        </w:tc>
      </w:tr>
      <w:tr>
        <w:tc>
          <w:tcPr>
            <w:tcW w:w="0" w:type="auto"/>
          </w:tcPr>
          <w:p>
            <w:pPr>
              <w:spacing w:line="240" w:lineRule="auto" w:before="0" w:after="0"/>
              <w:pStyle w:val="Compact"/>
            </w:pPr>
            <w:r>
              <w:rPr>
                <w:sz w:val="20"/>
                <w:szCs w:val="20"/>
              </w:rPr>
              <w:t xml:space="preserve">is_sda_data</w:t>
            </w:r>
          </w:p>
        </w:tc>
        <w:tc>
          <w:tcPr>
            <w:tcW w:w="0" w:type="auto"/>
          </w:tcPr>
          <w:p>
            <w:pPr>
              <w:spacing w:line="240" w:lineRule="auto" w:before="0" w:after="0"/>
              <w:pStyle w:val="Compact"/>
            </w:pPr>
            <w:r>
              <w:rPr>
                <w:sz w:val="20"/>
                <w:szCs w:val="20"/>
              </w:rPr>
              <w:t xml:space="preserve">Record concerns SSA, SDA, observer, sensor, surveillance, tracking, or catalog data exchange</w:t>
            </w:r>
          </w:p>
        </w:tc>
        <w:tc>
          <w:tcPr>
            <w:tcW w:w="0" w:type="auto"/>
          </w:tcPr>
          <w:p>
            <w:pPr>
              <w:spacing w:line="240" w:lineRule="auto" w:before="0" w:after="0"/>
              <w:pStyle w:val="Compact"/>
            </w:pPr>
            <w:r>
              <w:rPr>
                <w:sz w:val="20"/>
                <w:szCs w:val="20"/>
              </w:rPr>
              <w:t xml:space="preserve">Computed from title, keywords, snippet, track, or seed metadata</w:t>
            </w:r>
          </w:p>
        </w:tc>
      </w:tr>
      <w:tr>
        <w:tc>
          <w:tcPr>
            <w:tcW w:w="0" w:type="auto"/>
          </w:tcPr>
          <w:p>
            <w:pPr>
              <w:spacing w:line="240" w:lineRule="auto" w:before="0" w:after="0"/>
              <w:pStyle w:val="Compact"/>
            </w:pPr>
            <w:r>
              <w:rPr>
                <w:sz w:val="20"/>
                <w:szCs w:val="20"/>
              </w:rPr>
              <w:t xml:space="preserve">is_modular_or_service</w:t>
            </w:r>
          </w:p>
        </w:tc>
        <w:tc>
          <w:tcPr>
            <w:tcW w:w="0" w:type="auto"/>
          </w:tcPr>
          <w:p>
            <w:pPr>
              <w:spacing w:line="240" w:lineRule="auto" w:before="0" w:after="0"/>
              <w:pStyle w:val="Compact"/>
            </w:pPr>
            <w:r>
              <w:rPr>
                <w:sz w:val="20"/>
                <w:szCs w:val="20"/>
              </w:rPr>
              <w:t xml:space="preserve">Record concerns modularity, ORU, replacement, servicing, capture, assembly, or integration</w:t>
            </w:r>
          </w:p>
        </w:tc>
        <w:tc>
          <w:tcPr>
            <w:tcW w:w="0" w:type="auto"/>
          </w:tcPr>
          <w:p>
            <w:pPr>
              <w:spacing w:line="240" w:lineRule="auto" w:before="0" w:after="0"/>
              <w:pStyle w:val="Compact"/>
            </w:pPr>
            <w:r>
              <w:rPr>
                <w:sz w:val="20"/>
                <w:szCs w:val="20"/>
              </w:rPr>
              <w:t xml:space="preserve">Computed from title, keywords, snippet, track, or seed metadata</w:t>
            </w:r>
          </w:p>
        </w:tc>
      </w:tr>
      <w:tr>
        <w:tc>
          <w:tcPr>
            <w:tcW w:w="0" w:type="auto"/>
          </w:tcPr>
          <w:p>
            <w:pPr>
              <w:spacing w:line="240" w:lineRule="auto" w:before="0" w:after="0"/>
              <w:pStyle w:val="Compact"/>
            </w:pPr>
            <w:r>
              <w:rPr>
                <w:sz w:val="20"/>
                <w:szCs w:val="20"/>
              </w:rPr>
              <w:t xml:space="preserve">is_acta</w:t>
            </w:r>
          </w:p>
        </w:tc>
        <w:tc>
          <w:tcPr>
            <w:tcW w:w="0" w:type="auto"/>
          </w:tcPr>
          <w:p>
            <w:pPr>
              <w:spacing w:line="240" w:lineRule="auto" w:before="0" w:after="0"/>
              <w:pStyle w:val="Compact"/>
            </w:pPr>
            <w:r>
              <w:rPr>
                <w:sz w:val="20"/>
                <w:szCs w:val="20"/>
              </w:rPr>
              <w:t xml:space="preserve">Record came from the Acta Astronautica local metadata corpus</w:t>
            </w:r>
          </w:p>
        </w:tc>
        <w:tc>
          <w:tcPr>
            <w:tcW w:w="0" w:type="auto"/>
          </w:tcPr>
          <w:p>
            <w:pPr>
              <w:spacing w:line="240" w:lineRule="auto" w:before="0" w:after="0"/>
              <w:pStyle w:val="Compact"/>
            </w:pPr>
            <w:r>
              <w:rPr>
                <w:sz w:val="20"/>
                <w:szCs w:val="20"/>
              </w:rPr>
              <w:t xml:space="preserve">Source-corpus flag</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8.8082</w:t>
            </w:r>
          </w:p>
        </w:tc>
        <w:tc>
          <w:tcPr>
            <w:tcW w:w="0" w:type="auto"/>
          </w:tcPr>
          <w:p>
            <w:pPr>
              <w:spacing w:line="240" w:lineRule="auto" w:before="0" w:after="0"/>
              <w:pStyle w:val="Compact"/>
            </w:pPr>
            <w:r>
              <w:rPr>
                <w:sz w:val="20"/>
                <w:szCs w:val="20"/>
              </w:rPr>
              <w:t xml:space="preserve">5.4444</w:t>
            </w:r>
          </w:p>
        </w:tc>
        <w:tc>
          <w:tcPr>
            <w:tcW w:w="0" w:type="auto"/>
          </w:tcPr>
          <w:p>
            <w:pPr>
              <w:spacing w:line="240" w:lineRule="auto" w:before="0" w:after="0"/>
              <w:pStyle w:val="Compact"/>
            </w:pPr>
            <w:r>
              <w:rPr>
                <w:sz w:val="20"/>
                <w:szCs w:val="20"/>
              </w:rPr>
              <w:t xml:space="preserve">1.6178</w:t>
            </w:r>
          </w:p>
        </w:tc>
        <w:tc>
          <w:tcPr>
            <w:tcW w:w="0" w:type="auto"/>
          </w:tcPr>
          <w:p>
            <w:pPr>
              <w:spacing w:line="240" w:lineRule="auto" w:before="0" w:after="0"/>
              <w:pStyle w:val="Compact"/>
            </w:pPr>
            <w:r>
              <w:rPr>
                <w:sz w:val="20"/>
                <w:szCs w:val="20"/>
              </w:rPr>
              <w:t xml:space="preserve">0.1057</w:t>
            </w:r>
          </w:p>
        </w:tc>
        <w:tc>
          <w:tcPr>
            <w:tcW w:w="0" w:type="auto"/>
          </w:tcPr>
          <w:p>
            <w:pPr>
              <w:spacing w:line="240" w:lineRule="auto" w:before="0" w:after="0"/>
              <w:pStyle w:val="Compact"/>
            </w:pPr>
            <w:r>
              <w:rPr>
                <w:sz w:val="20"/>
                <w:szCs w:val="20"/>
              </w:rPr>
              <w:t xml:space="preserve">[-1.8627, 19.479]</w:t>
            </w:r>
          </w:p>
        </w:tc>
      </w:tr>
      <w:tr>
        <w:tc>
          <w:tcPr>
            <w:tcW w:w="0" w:type="auto"/>
          </w:tcPr>
          <w:p>
            <w:pPr>
              <w:spacing w:line="240" w:lineRule="auto" w:before="0" w:after="0"/>
              <w:pStyle w:val="Compact"/>
            </w:pPr>
            <w:r>
              <w:rPr>
                <w:sz w:val="20"/>
                <w:szCs w:val="20"/>
              </w:rPr>
              <w:t xml:space="preserve">paper_age_plus_one</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0.1359</w:t>
            </w:r>
          </w:p>
        </w:tc>
        <w:tc>
          <w:tcPr>
            <w:tcW w:w="0" w:type="auto"/>
          </w:tcPr>
          <w:p>
            <w:pPr>
              <w:spacing w:line="240" w:lineRule="auto" w:before="0" w:after="0"/>
              <w:pStyle w:val="Compact"/>
            </w:pPr>
            <w:r>
              <w:rPr>
                <w:sz w:val="20"/>
                <w:szCs w:val="20"/>
              </w:rPr>
              <w:t xml:space="preserve">1.1774</w:t>
            </w:r>
          </w:p>
        </w:tc>
        <w:tc>
          <w:tcPr>
            <w:tcW w:w="0" w:type="auto"/>
          </w:tcPr>
          <w:p>
            <w:pPr>
              <w:spacing w:line="240" w:lineRule="auto" w:before="0" w:after="0"/>
              <w:pStyle w:val="Compact"/>
            </w:pPr>
            <w:r>
              <w:rPr>
                <w:sz w:val="20"/>
                <w:szCs w:val="20"/>
              </w:rPr>
              <w:t xml:space="preserve">0.239</w:t>
            </w:r>
          </w:p>
        </w:tc>
        <w:tc>
          <w:tcPr>
            <w:tcW w:w="0" w:type="auto"/>
          </w:tcPr>
          <w:p>
            <w:pPr>
              <w:spacing w:line="240" w:lineRule="auto" w:before="0" w:after="0"/>
              <w:pStyle w:val="Compact"/>
            </w:pPr>
            <w:r>
              <w:rPr>
                <w:sz w:val="20"/>
                <w:szCs w:val="20"/>
              </w:rPr>
              <w:t xml:space="preserve">[-0.1063, 0.4263]</w:t>
            </w:r>
          </w:p>
        </w:tc>
      </w:tr>
      <w:tr>
        <w:tc>
          <w:tcPr>
            <w:tcW w:w="0" w:type="auto"/>
          </w:tcPr>
          <w:p>
            <w:pPr>
              <w:spacing w:line="240" w:lineRule="auto" w:before="0" w:after="0"/>
              <w:pStyle w:val="Compact"/>
            </w:pPr>
            <w:r>
              <w:rPr>
                <w:sz w:val="20"/>
                <w:szCs w:val="20"/>
              </w:rPr>
              <w:t xml:space="preserve">is_interface_term</w:t>
            </w:r>
          </w:p>
        </w:tc>
        <w:tc>
          <w:tcPr>
            <w:tcW w:w="0" w:type="auto"/>
          </w:tcPr>
          <w:p>
            <w:pPr>
              <w:spacing w:line="240" w:lineRule="auto" w:before="0" w:after="0"/>
              <w:pStyle w:val="Compact"/>
            </w:pPr>
            <w:r>
              <w:rPr>
                <w:sz w:val="20"/>
                <w:szCs w:val="20"/>
              </w:rPr>
              <w:t xml:space="preserve">-0.8448</w:t>
            </w:r>
          </w:p>
        </w:tc>
        <w:tc>
          <w:tcPr>
            <w:tcW w:w="0" w:type="auto"/>
          </w:tcPr>
          <w:p>
            <w:pPr>
              <w:spacing w:line="240" w:lineRule="auto" w:before="0" w:after="0"/>
              <w:pStyle w:val="Compact"/>
            </w:pPr>
            <w:r>
              <w:rPr>
                <w:sz w:val="20"/>
                <w:szCs w:val="20"/>
              </w:rPr>
              <w:t xml:space="preserve">1.1101</w:t>
            </w:r>
          </w:p>
        </w:tc>
        <w:tc>
          <w:tcPr>
            <w:tcW w:w="0" w:type="auto"/>
          </w:tcPr>
          <w:p>
            <w:pPr>
              <w:spacing w:line="240" w:lineRule="auto" w:before="0" w:after="0"/>
              <w:pStyle w:val="Compact"/>
            </w:pPr>
            <w:r>
              <w:rPr>
                <w:sz w:val="20"/>
                <w:szCs w:val="20"/>
              </w:rPr>
              <w:t xml:space="preserve">-0.761</w:t>
            </w:r>
          </w:p>
        </w:tc>
        <w:tc>
          <w:tcPr>
            <w:tcW w:w="0" w:type="auto"/>
          </w:tcPr>
          <w:p>
            <w:pPr>
              <w:spacing w:line="240" w:lineRule="auto" w:before="0" w:after="0"/>
              <w:pStyle w:val="Compact"/>
            </w:pPr>
            <w:r>
              <w:rPr>
                <w:sz w:val="20"/>
                <w:szCs w:val="20"/>
              </w:rPr>
              <w:t xml:space="preserve">0.4466</w:t>
            </w:r>
          </w:p>
        </w:tc>
        <w:tc>
          <w:tcPr>
            <w:tcW w:w="0" w:type="auto"/>
          </w:tcPr>
          <w:p>
            <w:pPr>
              <w:spacing w:line="240" w:lineRule="auto" w:before="0" w:after="0"/>
              <w:pStyle w:val="Compact"/>
            </w:pPr>
            <w:r>
              <w:rPr>
                <w:sz w:val="20"/>
                <w:szCs w:val="20"/>
              </w:rPr>
              <w:t xml:space="preserve">[-3.0206, 1.3309]</w:t>
            </w:r>
          </w:p>
        </w:tc>
      </w:tr>
      <w:tr>
        <w:tc>
          <w:tcPr>
            <w:tcW w:w="0" w:type="auto"/>
          </w:tcPr>
          <w:p>
            <w:pPr>
              <w:spacing w:line="240" w:lineRule="auto" w:before="0" w:after="0"/>
              <w:pStyle w:val="Compact"/>
            </w:pPr>
            <w:r>
              <w:rPr>
                <w:sz w:val="20"/>
                <w:szCs w:val="20"/>
              </w:rPr>
              <w:t xml:space="preserve">is_payload_bus</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1.0876</w:t>
            </w:r>
          </w:p>
        </w:tc>
        <w:tc>
          <w:tcPr>
            <w:tcW w:w="0" w:type="auto"/>
          </w:tcPr>
          <w:p>
            <w:pPr>
              <w:spacing w:line="240" w:lineRule="auto" w:before="0" w:after="0"/>
              <w:pStyle w:val="Compact"/>
            </w:pPr>
            <w:r>
              <w:rPr>
                <w:sz w:val="20"/>
                <w:szCs w:val="20"/>
              </w:rPr>
              <w:t xml:space="preserve">-0.3494</w:t>
            </w:r>
          </w:p>
        </w:tc>
        <w:tc>
          <w:tcPr>
            <w:tcW w:w="0" w:type="auto"/>
          </w:tcPr>
          <w:p>
            <w:pPr>
              <w:spacing w:line="240" w:lineRule="auto" w:before="0" w:after="0"/>
              <w:pStyle w:val="Compact"/>
            </w:pPr>
            <w:r>
              <w:rPr>
                <w:sz w:val="20"/>
                <w:szCs w:val="20"/>
              </w:rPr>
              <w:t xml:space="preserve">0.7268</w:t>
            </w:r>
          </w:p>
        </w:tc>
        <w:tc>
          <w:tcPr>
            <w:tcW w:w="0" w:type="auto"/>
          </w:tcPr>
          <w:p>
            <w:pPr>
              <w:spacing w:line="240" w:lineRule="auto" w:before="0" w:after="0"/>
              <w:pStyle w:val="Compact"/>
            </w:pPr>
            <w:r>
              <w:rPr>
                <w:sz w:val="20"/>
                <w:szCs w:val="20"/>
              </w:rPr>
              <w:t xml:space="preserve">[-2.5116, 1.7515]</w:t>
            </w:r>
          </w:p>
        </w:tc>
      </w:tr>
      <w:tr>
        <w:tc>
          <w:tcPr>
            <w:tcW w:w="0" w:type="auto"/>
          </w:tcPr>
          <w:p>
            <w:pPr>
              <w:spacing w:line="240" w:lineRule="auto" w:before="0" w:after="0"/>
              <w:pStyle w:val="Compact"/>
            </w:pPr>
            <w:r>
              <w:rPr>
                <w:sz w:val="20"/>
                <w:szCs w:val="20"/>
              </w:rPr>
              <w:t xml:space="preserve">is_sda_data</w:t>
            </w:r>
          </w:p>
        </w:tc>
        <w:tc>
          <w:tcPr>
            <w:tcW w:w="0" w:type="auto"/>
          </w:tcPr>
          <w:p>
            <w:pPr>
              <w:spacing w:line="240" w:lineRule="auto" w:before="0" w:after="0"/>
              <w:pStyle w:val="Compact"/>
            </w:pPr>
            <w:r>
              <w:rPr>
                <w:sz w:val="20"/>
                <w:szCs w:val="20"/>
              </w:rPr>
              <w:t xml:space="preserve">-9.0286</w:t>
            </w:r>
          </w:p>
        </w:tc>
        <w:tc>
          <w:tcPr>
            <w:tcW w:w="0" w:type="auto"/>
          </w:tcPr>
          <w:p>
            <w:pPr>
              <w:spacing w:line="240" w:lineRule="auto" w:before="0" w:after="0"/>
              <w:pStyle w:val="Compact"/>
            </w:pPr>
            <w:r>
              <w:rPr>
                <w:sz w:val="20"/>
                <w:szCs w:val="20"/>
              </w:rPr>
              <w:t xml:space="preserve">5.0621</w:t>
            </w:r>
          </w:p>
        </w:tc>
        <w:tc>
          <w:tcPr>
            <w:tcW w:w="0" w:type="auto"/>
          </w:tcPr>
          <w:p>
            <w:pPr>
              <w:spacing w:line="240" w:lineRule="auto" w:before="0" w:after="0"/>
              <w:pStyle w:val="Compact"/>
            </w:pPr>
            <w:r>
              <w:rPr>
                <w:sz w:val="20"/>
                <w:szCs w:val="20"/>
              </w:rPr>
              <w:t xml:space="preserve">-1.7836</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[-18.95, 0.8929]</w:t>
            </w:r>
          </w:p>
        </w:tc>
      </w:tr>
      <w:tr>
        <w:tc>
          <w:tcPr>
            <w:tcW w:w="0" w:type="auto"/>
          </w:tcPr>
          <w:p>
            <w:pPr>
              <w:spacing w:line="240" w:lineRule="auto" w:before="0" w:after="0"/>
              <w:pStyle w:val="Compact"/>
            </w:pPr>
            <w:r>
              <w:rPr>
                <w:sz w:val="20"/>
                <w:szCs w:val="20"/>
              </w:rPr>
              <w:t xml:space="preserve">is_modular_or_service</w:t>
            </w:r>
          </w:p>
        </w:tc>
        <w:tc>
          <w:tcPr>
            <w:tcW w:w="0" w:type="auto"/>
          </w:tcPr>
          <w:p>
            <w:pPr>
              <w:spacing w:line="240" w:lineRule="auto" w:before="0" w:after="0"/>
              <w:pStyle w:val="Compact"/>
            </w:pPr>
            <w:r>
              <w:rPr>
                <w:sz w:val="20"/>
                <w:szCs w:val="20"/>
              </w:rPr>
              <w:t xml:space="preserve">-0.7365</w:t>
            </w:r>
          </w:p>
        </w:tc>
        <w:tc>
          <w:tcPr>
            <w:tcW w:w="0" w:type="auto"/>
          </w:tcPr>
          <w:p>
            <w:pPr>
              <w:spacing w:line="240" w:lineRule="auto" w:before="0" w:after="0"/>
              <w:pStyle w:val="Compact"/>
            </w:pPr>
            <w:r>
              <w:rPr>
                <w:sz w:val="20"/>
                <w:szCs w:val="20"/>
              </w:rPr>
              <w:t xml:space="preserve">0.9533</w:t>
            </w:r>
          </w:p>
        </w:tc>
        <w:tc>
          <w:tcPr>
            <w:tcW w:w="0" w:type="auto"/>
          </w:tcPr>
          <w:p>
            <w:pPr>
              <w:spacing w:line="240" w:lineRule="auto" w:before="0" w:after="0"/>
              <w:pStyle w:val="Compact"/>
            </w:pPr>
            <w:r>
              <w:rPr>
                <w:sz w:val="20"/>
                <w:szCs w:val="20"/>
              </w:rPr>
              <w:t xml:space="preserve">-0.7726</w:t>
            </w:r>
          </w:p>
        </w:tc>
        <w:tc>
          <w:tcPr>
            <w:tcW w:w="0" w:type="auto"/>
          </w:tcPr>
          <w:p>
            <w:pPr>
              <w:spacing w:line="240" w:lineRule="auto" w:before="0" w:after="0"/>
              <w:pStyle w:val="Compact"/>
            </w:pPr>
            <w:r>
              <w:rPr>
                <w:sz w:val="20"/>
                <w:szCs w:val="20"/>
              </w:rPr>
              <w:t xml:space="preserve">0.4398</w:t>
            </w:r>
          </w:p>
        </w:tc>
        <w:tc>
          <w:tcPr>
            <w:tcW w:w="0" w:type="auto"/>
          </w:tcPr>
          <w:p>
            <w:pPr>
              <w:spacing w:line="240" w:lineRule="auto" w:before="0" w:after="0"/>
              <w:pStyle w:val="Compact"/>
            </w:pPr>
            <w:r>
              <w:rPr>
                <w:sz w:val="20"/>
                <w:szCs w:val="20"/>
              </w:rPr>
              <w:t xml:space="preserve">[-2.6049, 1.1319]</w:t>
            </w:r>
          </w:p>
        </w:tc>
      </w:tr>
      <w:tr>
        <w:tc>
          <w:tcPr>
            <w:tcW w:w="0" w:type="auto"/>
          </w:tcPr>
          <w:p>
            <w:pPr>
              <w:spacing w:line="240" w:lineRule="auto" w:before="0" w:after="0"/>
              <w:pStyle w:val="Compact"/>
            </w:pPr>
            <w:r>
              <w:rPr>
                <w:sz w:val="20"/>
                <w:szCs w:val="20"/>
              </w:rPr>
              <w:t xml:space="preserve">is_acta</w:t>
            </w:r>
          </w:p>
        </w:tc>
        <w:tc>
          <w:tcPr>
            <w:tcW w:w="0" w:type="auto"/>
          </w:tcPr>
          <w:p>
            <w:pPr>
              <w:spacing w:line="240" w:lineRule="auto" w:before="0" w:after="0"/>
              <w:pStyle w:val="Compact"/>
            </w:pPr>
            <w:r>
              <w:rPr>
                <w:sz w:val="20"/>
                <w:szCs w:val="20"/>
              </w:rPr>
              <w:t xml:space="preserve">6.7785</w:t>
            </w:r>
          </w:p>
        </w:tc>
        <w:tc>
          <w:tcPr>
            <w:tcW w:w="0" w:type="auto"/>
          </w:tcPr>
          <w:p>
            <w:pPr>
              <w:spacing w:line="240" w:lineRule="auto" w:before="0" w:after="0"/>
              <w:pStyle w:val="Compact"/>
            </w:pPr>
            <w:r>
              <w:rPr>
                <w:sz w:val="20"/>
                <w:szCs w:val="20"/>
              </w:rPr>
              <w:t xml:space="preserve">2.7552</w:t>
            </w:r>
          </w:p>
        </w:tc>
        <w:tc>
          <w:tcPr>
            <w:tcW w:w="0" w:type="auto"/>
          </w:tcPr>
          <w:p>
            <w:pPr>
              <w:spacing w:line="240" w:lineRule="auto" w:before="0" w:after="0"/>
              <w:pStyle w:val="Compact"/>
            </w:pPr>
            <w:r>
              <w:rPr>
                <w:sz w:val="20"/>
                <w:szCs w:val="20"/>
              </w:rPr>
              <w:t xml:space="preserve">2.4603</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[1.3785, 12.1785]</w:t>
            </w:r>
          </w:p>
        </w:tc>
      </w:tr>
    </w:tbl>
    <w:p>
      <w:pPr>
        <w:pStyle w:val="BodyText"/>
      </w:pPr>
      <w:r>
        <w:t xml:space="preserve">Fit: N = 80 R2 = 0.3563 R2_adj = 0.3034 F = 2.2451 F_p = 0.0482</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5" Target="https://doi.org/10.1016/j.actaastro.2018.11.011" TargetMode="External" /><Relationship Type="http://schemas.openxmlformats.org/officeDocument/2006/relationships/hyperlink" Id="rId71" Target="https://doi.org/10.1016/j.actaastro.2019.04.047" TargetMode="External" /><Relationship Type="http://schemas.openxmlformats.org/officeDocument/2006/relationships/hyperlink" Id="rId80" Target="https://doi.org/10.1016/j.actaastro.2024.11.060" TargetMode="External" /><Relationship Type="http://schemas.openxmlformats.org/officeDocument/2006/relationships/hyperlink" Id="rId78" Target="https://doi.org/10.1016/j.actaastro.2025.03.034" TargetMode="External" /><Relationship Type="http://schemas.openxmlformats.org/officeDocument/2006/relationships/hyperlink" Id="rId73" Target="https://doi.org/10.1016/j.actaastro.2025.06.050"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18.11.011" TargetMode="External" /><Relationship Type="http://schemas.openxmlformats.org/officeDocument/2006/relationships/hyperlink" Id="rId71" Target="https://doi.org/10.1016/j.actaastro.2019.04.047" TargetMode="External" /><Relationship Type="http://schemas.openxmlformats.org/officeDocument/2006/relationships/hyperlink" Id="rId80" Target="https://doi.org/10.1016/j.actaastro.2024.11.060" TargetMode="External" /><Relationship Type="http://schemas.openxmlformats.org/officeDocument/2006/relationships/hyperlink" Id="rId78" Target="https://doi.org/10.1016/j.actaastro.2025.03.034" TargetMode="External" /><Relationship Type="http://schemas.openxmlformats.org/officeDocument/2006/relationships/hyperlink" Id="rId73" Target="https://doi.org/10.1016/j.actaastro.2025.06.05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2026-06-28T11:59:21Z</dcterms:created>
  <dcterms:modified xsi:type="dcterms:W3CDTF">2026-06-28T11:59:21Z</dcterms:modified>
</cp:coreProperties>
</file>

<file path=docProps/custom.xml><?xml version="1.0" encoding="utf-8"?>
<Properties xmlns="http://schemas.openxmlformats.org/officeDocument/2006/custom-properties" xmlns:vt="http://schemas.openxmlformats.org/officeDocument/2006/docPropsVTypes"/>
</file>