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STANDARDIZATION PAY? AN INTERFACE-STANDARDS ADOPTION TEST ON THE ECONOMICS</w:t>
      </w:r>
    </w:p>
    <w:p>
      <w:pPr>
        <w:jc w:val="center"/>
      </w:pPr>
    </w:p>
    <w:p>
      <w:pPr>
        <w:jc w:val="center"/>
      </w:pPr>
      <w:r>
        <w:rPr>
          <w:rFonts w:ascii="Times New Roman" w:hAnsi="Times New Roman"/>
          <w:sz w:val="24"/>
        </w:rPr>
        <w:t>by</w:t>
      </w:r>
    </w:p>
    <w:p>
      <w:pPr>
        <w:jc w:val="center"/>
      </w:pPr>
      <w:r>
        <w:rPr>
          <w:rFonts w:ascii="Times New Roman" w:hAnsi="Times New Roman"/>
          <w:b/>
          <w:sz w:val="28"/>
        </w:rPr>
        <w:t>Ingrid Tanaka</w:t>
      </w:r>
    </w:p>
    <w:p>
      <w:pPr>
        <w:jc w:val="center"/>
      </w:pPr>
      <w:r>
        <w:rPr>
          <w:rFonts w:ascii="Times New Roman" w:hAnsi="Times New Roman"/>
          <w:sz w:val="24"/>
        </w:rPr>
        <w:t>1B-ECO-156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Budgets fail quietly. Space systems fail their budgets quietly, and rarely all at once. A telescope slips a year, a lander redesigns a coupling, a ground segment reworks a data feed, and each of these small integration troubles accretes into the cost growth that eventually appears in a public accountability table. The engineering community has a favored remedy for that accretion. It is interface standards. Define the seams between subsystems, payloads, ground systems, and partners in advance, write them down, hold conformance tests against them, and the argument runs that later integration will cost less because fewer surprises appear at the seams. This dissertation takes that argument seriously enough to try to falsify it.</w:t>
      </w:r>
    </w:p>
    <w:p>
      <w:pPr>
        <w:pStyle w:val="BodyText"/>
        <w:spacing w:line="480" w:lineRule="auto"/>
        <w:ind w:firstLine="720"/>
      </w:pPr>
      <w:r>
        <w:t xml:space="preserve">Intuition favors the remedy. It is attractive precisely because it is intuitive. Anyone who has watched a payload team and a bus team discover, late, that their assumptions about power, timing, or telemetry do not match will believe that a prior agreement would have helped. Observer-interface standardization has been proposed as a precondition for scalable, cloud-based space situational awareness</w:t>
      </w:r>
      <w:r>
        <w:t xml:space="preserve"> </w:t>
      </w:r>
      <w:hyperlink w:anchor="ref-1">
        <w:r>
          <w:rPr>
            <w:rStyle w:val="Hyperlink"/>
          </w:rPr>
          <w:t xml:space="preserve">[1]</w:t>
        </w:r>
      </w:hyperlink>
      <w:r>
        <w:t xml:space="preserve">. International collaboration frameworks for space-domain awareness rest on shared exchange practices that are technical before they are organizational</w:t>
      </w:r>
      <w:r>
        <w:t xml:space="preserve"> </w:t>
      </w:r>
      <w:hyperlink w:anchor="ref-2">
        <w:r>
          <w:rPr>
            <w:rStyle w:val="Hyperlink"/>
          </w:rPr>
          <w:t xml:space="preserve">[2]</w:t>
        </w:r>
      </w:hyperlink>
      <w:r>
        <w:t xml:space="preserve">. CubeSat bus-interface work confronts subsystem coupling at the smallest scale</w:t>
      </w:r>
      <w:r>
        <w:t xml:space="preserve"> </w:t>
      </w:r>
      <w:hyperlink w:anchor="ref-3">
        <w:r>
          <w:rPr>
            <w:rStyle w:val="Hyperlink"/>
          </w:rPr>
          <w:t xml:space="preserve">[3]</w:t>
        </w:r>
      </w:hyperlink>
      <w:r>
        <w:t xml:space="preserve">. Multi-payload smallsat integration research treats payload multiplicity as an interface-management burden</w:t>
      </w:r>
      <w:r>
        <w:t xml:space="preserve"> </w:t>
      </w:r>
      <w:hyperlink w:anchor="ref-4">
        <w:r>
          <w:rPr>
            <w:rStyle w:val="Hyperlink"/>
          </w:rPr>
          <w:t xml:space="preserve">[4]</w:t>
        </w:r>
      </w:hyperlink>
      <w:r>
        <w:t xml:space="preserve">, and nanosatellite robustness studies fold subsystem design discipline into a larger concern for dependable performance</w:t>
      </w:r>
      <w:r>
        <w:t xml:space="preserve"> </w:t>
      </w:r>
      <w:hyperlink w:anchor="ref-5">
        <w:r>
          <w:rPr>
            <w:rStyle w:val="Hyperlink"/>
          </w:rPr>
          <w:t xml:space="preserve">[5]</w:t>
        </w:r>
      </w:hyperlink>
      <w:r>
        <w:t xml:space="preserve">. The intuition is everywhere in the literature. What is missing is the number.</w:t>
      </w:r>
    </w:p>
    <w:bookmarkStart w:id="61" w:name="the-problem"/>
    <w:p>
      <w:pPr>
        <w:pStyle w:val="Heading2"/>
        <w:spacing w:line="480" w:lineRule="auto"/>
      </w:pPr>
      <w:r>
        <w:t xml:space="preserve">1.1 The problem</w:t>
      </w:r>
    </w:p>
    <w:p>
      <w:pPr>
        <w:pStyle w:val="FirstParagraph"/>
        <w:spacing w:line="480" w:lineRule="auto"/>
      </w:pPr>
      <w:r>
        <w:t xml:space="preserve">Intuition and evidence have not been joined. Engineering papers describe interface mechanisms in rich detail, yet they are not designed as economic treatment-effect estimates. Public accountability records, by contrast, measure cost growth with care but say nothing about whether a given project adopted interface standards before it committed to a baseline. Between the two sits an unmeasured claim. Nobody has produced a defensible project-level estimate of whether documented interface-standard adoption, coded from records dated before baseline commitment, is associated with lower percentage life-cycle cost growth in comparable projects.</w:t>
      </w:r>
    </w:p>
    <w:p>
      <w:pPr>
        <w:pStyle w:val="BodyText"/>
        <w:spacing w:line="480" w:lineRule="auto"/>
        <w:ind w:firstLine="720"/>
      </w:pPr>
      <w:r>
        <w:t xml:space="preserve">That gap has practical weight. Interface standards are often justified as infrastructure-like investments. They demand early design discipline, documentation, and conformance testing, and they pay back, if at all, later, in integration, verification, operations, or reuse. Infrastructure arguments of this shape are notoriously hard to settle because the costs are visible and near while the benefits are diffuse and distant. A program manager deciding whether to fund an interface-control regime before the baseline is being asked to accept a certain early cost against an uncertain later saving. Absent evidence, the decision defaults to belief, precedent, or the loudest advocate in the room.</w:t>
      </w:r>
    </w:p>
    <w:p>
      <w:pPr>
        <w:pStyle w:val="BodyText"/>
        <w:spacing w:line="480" w:lineRule="auto"/>
        <w:ind w:firstLine="720"/>
      </w:pPr>
      <w:r>
        <w:t xml:space="preserve">Stakes here are not academic. NASA major projects carry multi-billion-dollar life-cycle costs, and the public record of their cost growth is scrutinized annually. If interface standardization reliably trims cost growth even by a few points, the aggregate savings across a portfolio would be large, and the case for mandating early interface discipline would strengthen. If it does not, then resources spent enforcing standardization as a cost-control measure would be better redirected, and the practice should be defended on other grounds, such as reliability or interoperability, rather than on economics it cannot deliver. Either answer is useful. The status quo is not. The current situation, in which the economic claim is asserted without a test, helps no one.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dissertation makes one falsifiable claim and organizes everything else around it. Let percentage life-cycle cost growth for a NASA major project be defined as the current life-cycle cost estimate minus the baseline estimate, divided by the baseline, times one hundred. Let a project be coded as an adopter when primary technical records document formal interface-standard adoption before baseline commitment, and a non-adopter otherwise. The contribution is an estimate of the adjusted average effect of pre-baseline interface-standard adoption on percentage life-cycle cost growth, obtained after matching and regression adjustment on observable project characteristics.</w:t>
      </w:r>
    </w:p>
    <w:p>
      <w:pPr>
        <w:pStyle w:val="BodyText"/>
        <w:spacing w:line="480" w:lineRule="auto"/>
        <w:ind w:firstLine="720"/>
      </w:pPr>
      <w:r>
        <w:t xml:space="preserve">The null hypothesis is that pre-baseline adoption does not reduce cost growth, that the adjusted effect is greater than or equal to zero. The alternative is that adoption reduces cost growth, that the adjusted effect is less than zero. Stated this way, the claim can be wrong. A finding of zero or positive effect would not be a failed dissertation. It would be a real result that disciplines the field’s optimism, and the design is built so that such a finding would be as credible as its opposite.</w:t>
      </w:r>
    </w:p>
    <w:p>
      <w:pPr>
        <w:pStyle w:val="BodyText"/>
        <w:spacing w:line="480" w:lineRule="auto"/>
        <w:ind w:firstLine="720"/>
      </w:pPr>
      <w:r>
        <w:t xml:space="preserve">Honesty about the present state of that design matters from the first page. The full project-level cost table that the ideal test demands was not available in machine-readable form during this build. Rather than fabricate project costs, the empirical work reported here establishes the two prior conditions on which the cost-growth test depends. The first empirical layer asks whether the interface-standardization evidence base is coherent enough to define adoption at all, using source-traced metadata from real records rather than invented observations. The second asks whether that evidence base has matured over time in a measurable way, which is the premise behind treating standardization as a coordination practice rather than a scatter of one-off cases. Both layers are built on eighty real observations with every row source-traced</w:t>
      </w:r>
      <w:r>
        <w:t xml:space="preserve"> </w:t>
      </w:r>
      <w:hyperlink w:anchor="ref-6">
        <w:r>
          <w:rPr>
            <w:rStyle w:val="Hyperlink"/>
          </w:rPr>
          <w:t xml:space="preserve">[6]</w:t>
        </w:r>
      </w:hyperlink>
      <w:r>
        <w:t xml:space="preserve">. Neither claims to be the cost-growth estimate. Together they show that the construct is real, the literature has accumulated, and the primary design is therefore feasible rather than speculative.</w:t>
      </w:r>
    </w:p>
    <w:bookmarkEnd w:id="62"/>
    <w:bookmarkStart w:id="63" w:name="Xe2a808cca0414d4d3c19ab3a897ed65b4d08952"/>
    <w:p>
      <w:pPr>
        <w:pStyle w:val="Heading2"/>
        <w:spacing w:line="480" w:lineRule="auto"/>
      </w:pPr>
      <w:r>
        <w:t xml:space="preserve">1.3 Why bibliometric evidence, and what it can and cannot say</w:t>
      </w:r>
    </w:p>
    <w:p>
      <w:pPr>
        <w:pStyle w:val="FirstParagraph"/>
        <w:spacing w:line="480" w:lineRule="auto"/>
      </w:pPr>
      <w:r>
        <w:t xml:space="preserve">An objection arrives at once. It is reasonable. If the dissertation’s contribution is a cost-growth estimate, why report bibliometric results at all? The answer is construct validity. A treatment variable is only as good as the evidence used to code it. If interface standardization appeared in the public record as an incoherent handful of unrelated papers, then any adoption code built from that record would rest on sand, and the cost-growth estimate would inherit the weakness. Before estimating an effect, one should demonstrate that the thing being coded is identifiable, recurrent, and traceable. That demonstration is what the empirical chapters deliver.</w:t>
      </w:r>
    </w:p>
    <w:p>
      <w:pPr>
        <w:pStyle w:val="BodyText"/>
        <w:spacing w:line="480" w:lineRule="auto"/>
        <w:ind w:firstLine="720"/>
      </w:pPr>
      <w:r>
        <w:t xml:space="preserve">The first layer models citation attention across eighty source-traced records as a function of paper age, interface terminology, payload or bus coupling, space-domain-awareness data context, modular or service context, and journal source family. It reports a model with an F statistic of 2.2451 at p equal to 0.0482 and an adjusted R-squared of 0.3034, with the one stable coefficient being source family rather than any technical flag</w:t>
      </w:r>
      <w:r>
        <w:t xml:space="preserve"> </w:t>
      </w:r>
      <w:hyperlink w:anchor="ref-6">
        <w:r>
          <w:rPr>
            <w:rStyle w:val="Hyperlink"/>
          </w:rPr>
          <w:t xml:space="preserve">[6]</w:t>
        </w:r>
      </w:hyperlink>
      <w:r>
        <w:t xml:space="preserve">. That result is deliberately modest, and its modesty is the point. Bibliometric attention is not economic performance, and the analysis is honest that visible academic interest does not translate mechanically into cost savings. The second layer fits a log-log learning curve to the cumulative evidence stock across nineteen years and reports a strong fit with an elasticity above one</w:t>
      </w:r>
      <w:r>
        <w:t xml:space="preserve"> </w:t>
      </w:r>
      <w:hyperlink w:anchor="ref-6">
        <w:r>
          <w:rPr>
            <w:rStyle w:val="Hyperlink"/>
          </w:rPr>
          <w:t xml:space="preserve">[6]</w:t>
        </w:r>
      </w:hyperlink>
      <w:r>
        <w:t xml:space="preserve">. The evidence base grows like an accumulating coordination literature, not like scattered noise.</w:t>
      </w:r>
    </w:p>
    <w:p>
      <w:pPr>
        <w:pStyle w:val="BodyText"/>
        <w:spacing w:line="480" w:lineRule="auto"/>
        <w:ind w:firstLine="720"/>
      </w:pPr>
      <w:r>
        <w:t xml:space="preserve">Neither result proves the economic claim. Both bound it. The dissertation is careful, throughout, to keep the map of the evidence base distinct from the treatment effect it is designed to support. A reader who wants the cost-growth number will find, instead, a rigorously specified design for producing it and two empirical anchors that show the design is not built on a phantom.</w:t>
      </w:r>
    </w:p>
    <w:bookmarkEnd w:id="63"/>
    <w:bookmarkStart w:id="64" w:name="scope-and-boundaries"/>
    <w:p>
      <w:pPr>
        <w:pStyle w:val="Heading2"/>
        <w:spacing w:line="480" w:lineRule="auto"/>
      </w:pPr>
      <w:r>
        <w:t xml:space="preserve">1.4 Scope and boundaries</w:t>
      </w:r>
    </w:p>
    <w:p>
      <w:pPr>
        <w:pStyle w:val="FirstParagraph"/>
        <w:spacing w:line="480" w:lineRule="auto"/>
      </w:pPr>
      <w:r>
        <w:t xml:space="preserve">The claim is bounded to publicly assessed NASA major-project economics. It does not speak to commercial smallsat constellations, to international missions outside the public accountability record, or to classified programs. This boundary is a feature. The generalizability the design gives up in exchange for measurement discipline is generalizability it could not have credibly claimed anyway, since the cost records that make the outcome measurable exist only for a specific population of projects.</w:t>
      </w:r>
    </w:p>
    <w:p>
      <w:pPr>
        <w:pStyle w:val="BodyText"/>
        <w:spacing w:line="480" w:lineRule="auto"/>
        <w:ind w:firstLine="720"/>
      </w:pPr>
      <w:r>
        <w:t xml:space="preserve">Several threats to validity are visible from the outset and are treated as first-class concerns rather than afterthoughts. More capable programs may be more likely to adopt standards, which would confound a naive comparison; matching and maturity controls are the response. Troubled projects may document standards after integration problems appear, which would reverse the causal arrow; requiring documentation dated before baseline is the response. Public records may omit internal standards, which would introduce measurement error; requiring dated documentary evidence and recoding ambiguous cases only in sensitivity analysis is the response. The number of NASA major projects is small, which limits statistical power; the design therefore favors transparent coding and effect-size interpretation over elaborate models that a small sample cannot support. None of these responses eliminates the threat. Each bounds it, and the bounding is stated so a reader can judge it.</w:t>
      </w:r>
    </w:p>
    <w:bookmarkEnd w:id="64"/>
    <w:bookmarkStart w:id="65" w:name="a-the-counterfactual-and-why-it-is-hard"/>
    <w:p>
      <w:pPr>
        <w:pStyle w:val="Heading2"/>
        <w:spacing w:line="480" w:lineRule="auto"/>
      </w:pPr>
      <w:r>
        <w:t xml:space="preserve">1.4a The counterfactual and why it is hard</w:t>
      </w:r>
    </w:p>
    <w:p>
      <w:pPr>
        <w:pStyle w:val="FirstParagraph"/>
        <w:spacing w:line="480" w:lineRule="auto"/>
      </w:pPr>
      <w:r>
        <w:t xml:space="preserve">At the heart of the economic claim lies a counterfactual that is easy to state and hard to observe. To say that standardization reduced a project’s cost growth is to say that the same project, had it not standardized, would have grown its cost more. That alternative history is unobservable for any single project, which is why the design turns to comparison across projects rather than introspection within one. The matched non-adopter is a stand-in for the treated project’s unlived alternative, and the credibility of the entire estimate rests on how good that stand-in is. If adopters and their matched comparisons differ only in adoption, the comparison recovers the counterfactual; if they differ in hidden ways that also move cost, it does not.</w:t>
      </w:r>
    </w:p>
    <w:p>
      <w:pPr>
        <w:pStyle w:val="BodyText"/>
        <w:spacing w:line="480" w:lineRule="auto"/>
        <w:ind w:firstLine="720"/>
      </w:pPr>
      <w:r>
        <w:t xml:space="preserve">This counterfactual difficulty is what separates an economic study from an engineering demonstration. An engineer can show that a standardized interface worked in a given mission. The economist must show that the standardized project cost less than it otherwise would have, against an alternative that never happened. The engineering literature is rich in the first kind of showing and silent on the second, and the silence is not an oversight; it is the boundary of what a mechanism demonstration can do</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dissertation’s design exists precisely to cross that boundary, and the difficulty of the counterfactual is the reason the identification chapter is as careful as it is. Naming the difficulty at the outset keeps the reader from mistaking a comparison of realized outcomes for a direct observation of the effect, which it can never be.</w:t>
      </w:r>
    </w:p>
    <w:bookmarkEnd w:id="65"/>
    <w:bookmarkStart w:id="66" w:name="roadmap"/>
    <w:p>
      <w:pPr>
        <w:pStyle w:val="Heading2"/>
        <w:spacing w:line="480" w:lineRule="auto"/>
      </w:pPr>
      <w:r>
        <w:t xml:space="preserve">1.5 Roadmap</w:t>
      </w:r>
    </w:p>
    <w:p>
      <w:pPr>
        <w:pStyle w:val="FirstParagraph"/>
        <w:spacing w:line="480" w:lineRule="auto"/>
      </w:pPr>
      <w:r>
        <w:t xml:space="preserve">A roadmap helps here. Eight chapters build the argument in order. Chapter 2 situates the work against the technical interface literature and the project-economics literature, showing where each is strong and why neither, alone, answers the question. Chapter 3 states the theory, the mechanism by which pre-baseline interface agreement could reduce later cost growth, and the testable predictions that mechanism implies. Chapter 4 develops the identification strategy, a matched panel difference-in-differences design with an event-study diagnostic, and explains the assumption under which it recovers an effect rather than a correlation. Chapter 5 describes the data and measurement, the real dataset used in the empirical layers, how variables were constructed, and the source provenance behind every observation. Chapter 6 reports the estimator output exactly as the underlying analyses produced it and interprets the signs and magnitudes without inflating them. Chapter 7 discusses what the findings mean, the threats that remain, and the questions the data cannot answer. Chapter 8 draws the contribution together, connects it to governance and program practice, and sets out the future work that would complete the cost-growth test.</w:t>
      </w:r>
    </w:p>
    <w:bookmarkEnd w:id="66"/>
    <w:bookmarkStart w:id="67" w:name="the-economic-character-of-the-claim"/>
    <w:p>
      <w:pPr>
        <w:pStyle w:val="Heading2"/>
        <w:spacing w:line="480" w:lineRule="auto"/>
      </w:pPr>
      <w:r>
        <w:t xml:space="preserve">1.6 The economic character of the claim</w:t>
      </w:r>
    </w:p>
    <w:p>
      <w:pPr>
        <w:pStyle w:val="FirstParagraph"/>
        <w:spacing w:line="480" w:lineRule="auto"/>
      </w:pPr>
      <w:r>
        <w:t xml:space="preserve">It helps to be precise about what kind of economic claim is on trial, because the word standardization carries several economic meanings and only one of them is being tested. Standardization can mean the reduction of variety, as when a fleet converges on a single bus. It can mean the codification of an interface, as when two subsystems agree on a data format. It can mean conformance to an external standard body’s specification. This dissertation tests the middle sense, interface codification before baseline, because that is the sense the technical records document and the sense the cost mechanism concerns. A reader who has in mind variety reduction or external conformance should hold those aside; the treatment here is the documented act of fixing the seams early.</w:t>
      </w:r>
    </w:p>
    <w:p>
      <w:pPr>
        <w:pStyle w:val="BodyText"/>
        <w:spacing w:line="480" w:lineRule="auto"/>
        <w:ind w:firstLine="720"/>
      </w:pPr>
      <w:r>
        <w:t xml:space="preserve">The economic logic is an expected-value comparison, and stating it that way clarifies why the answer is not obvious in advance. Early conformance imposes a cost that is nearly certain and paid up front: the labor of writing interface-control documents, the discipline of conformance testing, the schedule spent reaching agreement. Late rework imposes a cost that is uncertain and paid later: it occurs only if a mismatch is discovered, and its size depends on how deeply the mismatch has propagated by the time it surfaces. Whether standardization pays is whether the certain early cost is smaller than the expected late cost, and that comparison can plausibly go either way depending on the interface, the mission, and the program. The value-assessment literature on space assets makes the same point in a different setting: technical merit and economic value are distinct, and the second depends on realized use rather than design quality</w:t>
      </w:r>
      <w:r>
        <w:t xml:space="preserve"> </w:t>
      </w:r>
      <w:hyperlink w:anchor="ref-8">
        <w:r>
          <w:rPr>
            <w:rStyle w:val="Hyperlink"/>
          </w:rPr>
          <w:t xml:space="preserve">[8]</w:t>
        </w:r>
      </w:hyperlink>
      <w:r>
        <w:t xml:space="preserve">. An interface standard is economically valuable only if the rework it prevents would actually have occurred and would actually have been expensive.</w:t>
      </w:r>
    </w:p>
    <w:p>
      <w:pPr>
        <w:pStyle w:val="BodyText"/>
        <w:spacing w:line="480" w:lineRule="auto"/>
        <w:ind w:firstLine="720"/>
      </w:pPr>
      <w:r>
        <w:t xml:space="preserve">This framing also explains why the dissertation resists a common rhetorical move. Advocates of standardization often point to a maturing, prominent literature as evidence that the practice works. The sustainability-rating literature shows why measurement of diffuse-benefit practices must be built deliberately rather than inferred from prominence</w:t>
      </w:r>
      <w:r>
        <w:t xml:space="preserve"> </w:t>
      </w:r>
      <w:hyperlink w:anchor="ref-7">
        <w:r>
          <w:rPr>
            <w:rStyle w:val="Hyperlink"/>
          </w:rPr>
          <w:t xml:space="preserve">[7]</w:t>
        </w:r>
      </w:hyperlink>
      <w:r>
        <w:t xml:space="preserve">, and the empirical results in Chapter 6 confirm the caution: prominence in the record tracks which corpus indexes citations, not the economic value of the underlying practice</w:t>
      </w:r>
      <w:r>
        <w:t xml:space="preserve"> </w:t>
      </w:r>
      <w:hyperlink w:anchor="ref-6">
        <w:r>
          <w:rPr>
            <w:rStyle w:val="Hyperlink"/>
          </w:rPr>
          <w:t xml:space="preserve">[6]</w:t>
        </w:r>
      </w:hyperlink>
      <w:r>
        <w:t xml:space="preserve">. The claim under test is narrow, quantitative, and falsifiable, and it will not be settled by pointing at how much has been written.</w:t>
      </w:r>
    </w:p>
    <w:bookmarkEnd w:id="67"/>
    <w:bookmarkStart w:id="68" w:name="a-note-on-method-and-honesty"/>
    <w:p>
      <w:pPr>
        <w:pStyle w:val="Heading2"/>
        <w:spacing w:line="480" w:lineRule="auto"/>
      </w:pPr>
      <w:r>
        <w:t xml:space="preserve">1.7 A note on method and honesty</w:t>
      </w:r>
    </w:p>
    <w:p>
      <w:pPr>
        <w:pStyle w:val="FirstParagraph"/>
        <w:spacing w:line="480" w:lineRule="auto"/>
      </w:pPr>
      <w:r>
        <w:t xml:space="preserve">One methodological commitment runs through every chapter and deserves statement at the outset. The dissertation never substitutes an available proxy for an unavailable outcome. When the project-level cost table proved unavailable in machine-readable form, the response was not to approximate cost growth from some convenient surrogate, nor to present the bibliometric layers as if they bore on cost. The response was to report exactly what the real data can support, to state exactly what it cannot, and to specify the design that would close the gap. This is a slower path to a conclusion, and it produces a dissertation that ends with an open question rather than a closed one. The alternative, dressing construct-validity evidence in the language of a cost result, would be a category error that the source tracing itself is designed to prevent, since there is no cost column in the dataset to over-read.</w:t>
      </w:r>
    </w:p>
    <w:p>
      <w:pPr>
        <w:pStyle w:val="BodyText"/>
        <w:spacing w:line="480" w:lineRule="auto"/>
        <w:ind w:firstLine="720"/>
      </w:pPr>
      <w:r>
        <w:t xml:space="preserve">That commitment is not merely stylistic. In the economics of infrastructure-like investments, the central analytic hazard is precisely the substitution of a visible near-term signal for the diffuse long-term outcome that actually matters, and the debris-economics argument for acting before costs compound is an argument about resisting exactly that hazard</w:t>
      </w:r>
      <w:r>
        <w:t xml:space="preserve"> </w:t>
      </w:r>
      <w:hyperlink w:anchor="ref-10">
        <w:r>
          <w:rPr>
            <w:rStyle w:val="Hyperlink"/>
          </w:rPr>
          <w:t xml:space="preserve">[10]</w:t>
        </w:r>
      </w:hyperlink>
      <w:r>
        <w:t xml:space="preserve">. A study of standardization that fell into proxy substitution would reproduce, in its own method, the error it set out to discipline in the field. Keeping the map of the evidence base rigorously separate from the treatment effect is therefore both a methodological choice and a small enactment of the thesis.</w:t>
      </w:r>
    </w:p>
    <w:p>
      <w:pPr>
        <w:pStyle w:val="BodyText"/>
        <w:spacing w:line="480" w:lineRule="auto"/>
        <w:ind w:firstLine="720"/>
      </w:pPr>
      <w:r>
        <w:t xml:space="preserve">A dissertation that promised a clean economic verdict and delivered one would be more satisfying to read. Given the state of the available data, it would also be dishonest. What follows is the harder and more defensible thing: a precisely specified test of a real claim, two empirical anchors that show the test is feasible, and a disciplined refusal to overstate what the evidence in hand can bear. The claim that standardization pays is worth settling. This is how one would settle it, and how far the settling has honestly gotten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68"/>
    <w:bookmarkEnd w:id="69"/>
    <w:bookmarkStart w:id="80" w:name="chapter-2.-literature"/>
    <w:p>
      <w:pPr>
        <w:pStyle w:val="Heading1"/>
        <w:spacing w:line="480" w:lineRule="auto"/>
      </w:pPr>
      <w:r>
        <w:t xml:space="preserve">Chapter 2. Literature</w:t>
      </w:r>
    </w:p>
    <w:p>
      <w:pPr>
        <w:pStyle w:val="FirstParagraph"/>
        <w:spacing w:line="480" w:lineRule="auto"/>
      </w:pPr>
      <w:r>
        <w:t xml:space="preserve">Three literatures matter. Three bodies of work bear on whether interface standards pay, and none of them, alone, answers the question. There is a technical interface-engineering literature that specifies mechanisms with great care. There is a project-economics and public-accountability literature that measures cost outcomes with equal care. And there is a governance literature that treats standardization as a coordination practice across organizations rather than a purely internal design choice. This chapter reads each of these in turn, marks its strength, and then names the seam none of them crosses. The dissertation lives in that seam.</w:t>
      </w:r>
    </w:p>
    <w:bookmarkStart w:id="70" w:name="how-the-strands-were-assembled"/>
    <w:p>
      <w:pPr>
        <w:pStyle w:val="Heading2"/>
        <w:spacing w:line="480" w:lineRule="auto"/>
      </w:pPr>
      <w:r>
        <w:t xml:space="preserve">2.0 How the strands were assembled</w:t>
      </w:r>
    </w:p>
    <w:p>
      <w:pPr>
        <w:pStyle w:val="FirstParagraph"/>
        <w:spacing w:line="480" w:lineRule="auto"/>
      </w:pPr>
      <w:r>
        <w:t xml:space="preserve">The reference base for this review was drawn deliberately across families rather than from a single venue, because the question straddles engineering, economics, and governance and no single literature contains all three. Conference proceedings from the surveillance and space-situational-awareness community supply the observer-interface, sensor, and data-exchange perspective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4">
        <w:r>
          <w:rPr>
            <w:rStyle w:val="Hyperlink"/>
          </w:rPr>
          <w:t xml:space="preserve">[14]</w:t>
        </w:r>
      </w:hyperlink>
      <w:r>
        <w:t xml:space="preserve">. Peer-reviewed journal articles supply the spacecraft-engineering perspective, from bus and payload coupling to modular assembly and servicing</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 Economics and governance sources supply the value, sustainability, and coordination perspectives</w:t>
      </w:r>
      <w:r>
        <w:t xml:space="preserve"> </w:t>
      </w:r>
      <w:hyperlink w:anchor="ref-8">
        <w:r>
          <w:rPr>
            <w:rStyle w:val="Hyperlink"/>
          </w:rPr>
          <w:t xml:space="preserve">[8]</w:t>
        </w:r>
      </w:hyperlink>
      <w:r>
        <w:t xml:space="preserve"> </w:t>
      </w:r>
      <w:hyperlink w:anchor="ref-7">
        <w:r>
          <w:rPr>
            <w:rStyle w:val="Hyperlink"/>
          </w:rPr>
          <w:t xml:space="preserve">[7]</w:t>
        </w:r>
      </w:hyperlink>
      <w:r>
        <w:t xml:space="preserve"> </w:t>
      </w:r>
      <w:hyperlink w:anchor="ref-23">
        <w:r>
          <w:rPr>
            <w:rStyle w:val="Hyperlink"/>
          </w:rPr>
          <w:t xml:space="preserve">[23]</w:t>
        </w:r>
      </w:hyperlink>
      <w:r>
        <w:t xml:space="preserve">. This spread is what lets the review locate a gap that any one family, read alone, would miss, since each family treats its own concerns as complete and the seams between them as someone else’s problem.</w:t>
      </w:r>
    </w:p>
    <w:bookmarkEnd w:id="70"/>
    <w:bookmarkStart w:id="71" w:name="the-technical-interface-literature"/>
    <w:p>
      <w:pPr>
        <w:pStyle w:val="Heading2"/>
        <w:spacing w:line="480" w:lineRule="auto"/>
      </w:pPr>
      <w:r>
        <w:t xml:space="preserve">2.1 The technical interface literature</w:t>
      </w:r>
    </w:p>
    <w:p>
      <w:pPr>
        <w:pStyle w:val="FirstParagraph"/>
        <w:spacing w:line="480" w:lineRule="auto"/>
      </w:pPr>
      <w:r>
        <w:t xml:space="preserve">Interface structure is a recurring problem in space-systems engineering, and the literature returns to it at every scale of the enterprise. At the level of ground and observing assets, observer-interface standardization has been analyzed as the precondition for scalable, cloud-based, real-time space situational awareness, where heterogeneous sensors cannot be integrated into a shared picture until their interfaces are defined in common terms</w:t>
      </w:r>
      <w:r>
        <w:t xml:space="preserve"> </w:t>
      </w:r>
      <w:hyperlink w:anchor="ref-1">
        <w:r>
          <w:rPr>
            <w:rStyle w:val="Hyperlink"/>
          </w:rPr>
          <w:t xml:space="preserve">[1]</w:t>
        </w:r>
      </w:hyperlink>
      <w:r>
        <w:t xml:space="preserve">. The problem is not incidental to the mission. It is the mission’s data architecture. If the observer interfaces are bespoke, every new asset imposes a fresh integration cost, and the promised economies of a networked surveillance system never arrive.</w:t>
      </w:r>
    </w:p>
    <w:p>
      <w:pPr>
        <w:pStyle w:val="BodyText"/>
        <w:spacing w:line="480" w:lineRule="auto"/>
        <w:ind w:firstLine="720"/>
      </w:pPr>
      <w:r>
        <w:t xml:space="preserve">The same problem reappears in cross-organizational form. International collaboration frameworks for space-domain awareness are built around common exchange practices, and the framing makes clear that interoperability is technical before it is diplomatic</w:t>
      </w:r>
      <w:r>
        <w:t xml:space="preserve"> </w:t>
      </w:r>
      <w:hyperlink w:anchor="ref-2">
        <w:r>
          <w:rPr>
            <w:rStyle w:val="Hyperlink"/>
          </w:rPr>
          <w:t xml:space="preserve">[2]</w:t>
        </w:r>
      </w:hyperlink>
      <w:r>
        <w:t xml:space="preserve">. Partners cannot share a catalog they cannot parse. A more recent integrated monitoring system for space flight safety extends this line, treating the fusion of many information sources into a single operational picture as an interface-management problem at system scale</w:t>
      </w:r>
      <w:r>
        <w:t xml:space="preserve"> </w:t>
      </w:r>
      <w:hyperlink w:anchor="ref-14">
        <w:r>
          <w:rPr>
            <w:rStyle w:val="Hyperlink"/>
          </w:rPr>
          <w:t xml:space="preserve">[14]</w:t>
        </w:r>
      </w:hyperlink>
      <w:r>
        <w:t xml:space="preserve">. Standardization, in these accounts, is what turns a collection of independent capabilities into a system whose whole exceeds its parts.</w:t>
      </w:r>
    </w:p>
    <w:p>
      <w:pPr>
        <w:pStyle w:val="BodyText"/>
        <w:spacing w:line="480" w:lineRule="auto"/>
        <w:ind w:firstLine="720"/>
      </w:pPr>
      <w:r>
        <w:t xml:space="preserve">Descend to the spacecraft itself and the interface problem sharpens rather than softens. A CubeSat bus interface implemented on a complex programmable logic device addresses subsystem coupling directly, showing that even the smallest spacecraft carry recurring seams that must be engineered</w:t>
      </w:r>
      <w:r>
        <w:t xml:space="preserve"> </w:t>
      </w:r>
      <w:hyperlink w:anchor="ref-3">
        <w:r>
          <w:rPr>
            <w:rStyle w:val="Hyperlink"/>
          </w:rPr>
          <w:t xml:space="preserve">[3]</w:t>
        </w:r>
      </w:hyperlink>
      <w:r>
        <w:t xml:space="preserve">. Multi-payload smallsat integration raises the burden further. A payload management system designed for multi-payload integration is presented as a paradigm precisely because payload multiplicity multiplies the interfaces that must be managed</w:t>
      </w:r>
      <w:r>
        <w:t xml:space="preserve"> </w:t>
      </w:r>
      <w:hyperlink w:anchor="ref-4">
        <w:r>
          <w:rPr>
            <w:rStyle w:val="Hyperlink"/>
          </w:rPr>
          <w:t xml:space="preserve">[4]</w:t>
        </w:r>
      </w:hyperlink>
      <w:r>
        <w:t xml:space="preserve">. Nanosatellite robustness research places subsystem design practice inside a broader concern for dependable performance, linking repeatable interface discipline to reliability outcomes</w:t>
      </w:r>
      <w:r>
        <w:t xml:space="preserve"> </w:t>
      </w:r>
      <w:hyperlink w:anchor="ref-5">
        <w:r>
          <w:rPr>
            <w:rStyle w:val="Hyperlink"/>
          </w:rPr>
          <w:t xml:space="preserve">[5]</w:t>
        </w:r>
      </w:hyperlink>
      <w:r>
        <w:t xml:space="preserve">. Radiation-hardness assurance work for commercial space avionics makes a parallel point about the value of standardized engineering and testing approaches in a domain where ad hoc practice is expensive and dangerous</w:t>
      </w:r>
      <w:r>
        <w:t xml:space="preserve"> </w:t>
      </w:r>
      <w:hyperlink w:anchor="ref-18">
        <w:r>
          <w:rPr>
            <w:rStyle w:val="Hyperlink"/>
          </w:rPr>
          <w:t xml:space="preserve">[18]</w:t>
        </w:r>
      </w:hyperlink>
      <w:r>
        <w:t xml:space="preserve">. Across bus, payload, subsystem, and avionics, the technical literature agrees that interfaces are a central engineering object and that discipline at the seams matters.</w:t>
      </w:r>
    </w:p>
    <w:p>
      <w:pPr>
        <w:pStyle w:val="BodyText"/>
        <w:spacing w:line="480" w:lineRule="auto"/>
        <w:ind w:firstLine="720"/>
      </w:pPr>
      <w:r>
        <w:t xml:space="preserve">One thing is missing. What this literature does not do is estimate an economic treatment effect. It describes mechanisms, demonstrates feasibility, and occasionally reports integration effort, but it is not designed to answer whether adopting a standard before baseline commitment lowers realized project cost growth relative to a comparable project that did not. The construct validity it supplies is real and necessary. The causal economic estimate it does not supply.</w:t>
      </w:r>
    </w:p>
    <w:bookmarkEnd w:id="71"/>
    <w:bookmarkStart w:id="72" w:name="X58897dc13d9b947b97117a989818a78fa1d4ca2"/>
    <w:p>
      <w:pPr>
        <w:pStyle w:val="Heading2"/>
        <w:spacing w:line="480" w:lineRule="auto"/>
      </w:pPr>
      <w:r>
        <w:t xml:space="preserve">2.2 The project-economics and accountability literature</w:t>
      </w:r>
    </w:p>
    <w:p>
      <w:pPr>
        <w:pStyle w:val="FirstParagraph"/>
        <w:spacing w:line="480" w:lineRule="auto"/>
      </w:pPr>
      <w:r>
        <w:t xml:space="preserve">A different literature measures what the technical literature leaves unmeasured: money. Public accountability records track cost baselines, current estimates, launch-readiness dates, and annual project status for major projects, and they do so with a rigor that makes cost growth a well-defined quantity. Percentage life-cycle cost growth, current estimate minus baseline over baseline, is exactly the kind of outcome an economic test needs, and it is available in the public record for a specific population of projects.</w:t>
      </w:r>
    </w:p>
    <w:p>
      <w:pPr>
        <w:pStyle w:val="BodyText"/>
        <w:spacing w:line="480" w:lineRule="auto"/>
        <w:ind w:firstLine="720"/>
      </w:pPr>
      <w:r>
        <w:t xml:space="preserve">Economic reasoning about space investments has grown more sophisticated in parallel. Value-assessment work on commercial space stations distinguishes value to space users from value to non-space users and shows that the economic case for a space asset depends on how its services are priced and shared, not on its engineering elegance alone</w:t>
      </w:r>
      <w:r>
        <w:t xml:space="preserve"> </w:t>
      </w:r>
      <w:hyperlink w:anchor="ref-8">
        <w:r>
          <w:rPr>
            <w:rStyle w:val="Hyperlink"/>
          </w:rPr>
          <w:t xml:space="preserve">[8]</w:t>
        </w:r>
      </w:hyperlink>
      <w:r>
        <w:t xml:space="preserve">. That distinction matters here. It warns against the assumption that a technically superior interface is automatically an economically superior one, since value depends on realized use, not on design merit. The space-sustainability rating literature makes an adjacent methodological contribution by constructing a composite indicator meant to change operator behavior, demonstrating that measurement systems can be designed to incentivize practices whose benefits are diffuse and long-dated</w:t>
      </w:r>
      <w:r>
        <w:t xml:space="preserve"> </w:t>
      </w:r>
      <w:hyperlink w:anchor="ref-7">
        <w:r>
          <w:rPr>
            <w:rStyle w:val="Hyperlink"/>
          </w:rPr>
          <w:t xml:space="preserve">[7]</w:t>
        </w:r>
      </w:hyperlink>
      <w:r>
        <w:t xml:space="preserve"> </w:t>
      </w:r>
      <w:hyperlink w:anchor="ref-21">
        <w:r>
          <w:rPr>
            <w:rStyle w:val="Hyperlink"/>
          </w:rPr>
          <w:t xml:space="preserve">[21]</w:t>
        </w:r>
      </w:hyperlink>
      <w:r>
        <w:t xml:space="preserve">. Interface standardization has the same diffuse-benefit structure, and the sustainability-rating work is a useful model for how such benefits can be made legible.</w:t>
      </w:r>
    </w:p>
    <w:p>
      <w:pPr>
        <w:pStyle w:val="BodyText"/>
        <w:spacing w:line="480" w:lineRule="auto"/>
        <w:ind w:firstLine="720"/>
      </w:pPr>
      <w:r>
        <w:t xml:space="preserve">The debris-economics literature supplies the sharpest statement of the infrastructure-investment problem. The argument that one should pay for active debris removal now rather than pay more later is, at its core, a claim about deferred costs and the discipline required to act before the bill comes due</w:t>
      </w:r>
      <w:r>
        <w:t xml:space="preserve"> </w:t>
      </w:r>
      <w:hyperlink w:anchor="ref-10">
        <w:r>
          <w:rPr>
            <w:rStyle w:val="Hyperlink"/>
          </w:rPr>
          <w:t xml:space="preserve">[10]</w:t>
        </w:r>
      </w:hyperlink>
      <w:r>
        <w:t xml:space="preserve">. Interface standardization sits in the same economic family. Its costs are early, concrete, and borne by identifiable teams; its benefits are late, diffuse, and hard to attribute. The accountability literature can measure the late outcome. It cannot, on its own, tell you which projects paid the early price of standardization, because that information lives in technical records the cost tables do not reference.</w:t>
      </w:r>
    </w:p>
    <w:bookmarkEnd w:id="72"/>
    <w:bookmarkStart w:id="73" w:name="standardization-as-governance"/>
    <w:p>
      <w:pPr>
        <w:pStyle w:val="Heading2"/>
        <w:spacing w:line="480" w:lineRule="auto"/>
      </w:pPr>
      <w:r>
        <w:t xml:space="preserve">2.3 Standardization as governance</w:t>
      </w:r>
    </w:p>
    <w:p>
      <w:pPr>
        <w:pStyle w:val="FirstParagraph"/>
        <w:spacing w:line="480" w:lineRule="auto"/>
      </w:pPr>
      <w:r>
        <w:t xml:space="preserve">The third literature treats standardization as a governance practice. In space-domain-awareness collaboration, the standardization problem extends across organizations, data providers, and national boundaries, and the coordination it requires is institutional as much as technical</w:t>
      </w:r>
      <w:r>
        <w:t xml:space="preserve"> </w:t>
      </w:r>
      <w:hyperlink w:anchor="ref-2">
        <w:r>
          <w:rPr>
            <w:rStyle w:val="Hyperlink"/>
          </w:rPr>
          <w:t xml:space="preserve">[2]</w:t>
        </w:r>
      </w:hyperlink>
      <w:r>
        <w:t xml:space="preserve"> </w:t>
      </w:r>
      <w:hyperlink w:anchor="ref-15">
        <w:r>
          <w:rPr>
            <w:rStyle w:val="Hyperlink"/>
          </w:rPr>
          <w:t xml:space="preserve">[15]</w:t>
        </w:r>
      </w:hyperlink>
      <w:r>
        <w:t xml:space="preserve">. Marketplace and data-fabric approaches to delivering the right data to the right place at the right time frame interoperability as a matter of shared rules and exchange formats that no single actor controls</w:t>
      </w:r>
      <w:r>
        <w:t xml:space="preserve"> </w:t>
      </w:r>
      <w:hyperlink w:anchor="ref-11">
        <w:r>
          <w:rPr>
            <w:rStyle w:val="Hyperlink"/>
          </w:rPr>
          <w:t xml:space="preserve">[11]</w:t>
        </w:r>
      </w:hyperlink>
      <w:r>
        <w:t xml:space="preserve">. Data-driven governance of AI-based space systems raises the coordination stakes further, since standardized interfaces become the mechanism through which oversight and accountability are exercised over autonomous capabilities</w:t>
      </w:r>
      <w:r>
        <w:t xml:space="preserve"> </w:t>
      </w:r>
      <w:hyperlink w:anchor="ref-23">
        <w:r>
          <w:rPr>
            <w:rStyle w:val="Hyperlink"/>
          </w:rPr>
          <w:t xml:space="preserve">[23]</w:t>
        </w:r>
      </w:hyperlink>
      <w:r>
        <w:t xml:space="preserve">.</w:t>
      </w:r>
    </w:p>
    <w:p>
      <w:pPr>
        <w:pStyle w:val="BodyText"/>
        <w:spacing w:line="480" w:lineRule="auto"/>
        <w:ind w:firstLine="720"/>
      </w:pPr>
      <w:r>
        <w:t xml:space="preserve">Governance framings matter for identification, not only for description. If standardization is a practice that more capable and better-coordinated programs adopt, then adopters and non-adopters differ in ways that also affect cost, and a naive comparison would confound the practice with the capability. The governance literature thus supplies the theoretical grounding for the dissertation’s central identification worry: selection into standardization. It also suggests where the practice is likely to appear, which helps in coding adoption from public records.</w:t>
      </w:r>
    </w:p>
    <w:bookmarkEnd w:id="73"/>
    <w:bookmarkStart w:id="74" w:name="the-unjoined-seam"/>
    <w:p>
      <w:pPr>
        <w:pStyle w:val="Heading2"/>
        <w:spacing w:line="480" w:lineRule="auto"/>
      </w:pPr>
      <w:r>
        <w:t xml:space="preserve">2.4 The unjoined seam</w:t>
      </w:r>
    </w:p>
    <w:p>
      <w:pPr>
        <w:pStyle w:val="FirstParagraph"/>
        <w:spacing w:line="480" w:lineRule="auto"/>
      </w:pPr>
      <w:r>
        <w:t xml:space="preserve">Set the three literatures side by side and the gap is precise. The technical literature can document that a project adopted an interface standard, and when. The accountability literature can measure how that project’s cost grew. No study joins them. There is no falsifiable, project-level test of whether documented pre-baseline interface-standard adoption is associated with lower cost growth after accounting for observable project differences. The mechanisms are described; the outcomes are measured; the causal link between the two is asserted rather than estimated.</w:t>
      </w:r>
    </w:p>
    <w:p>
      <w:pPr>
        <w:pStyle w:val="BodyText"/>
        <w:spacing w:line="480" w:lineRule="auto"/>
        <w:ind w:firstLine="720"/>
      </w:pPr>
      <w:r>
        <w:t xml:space="preserve">This dissertation joins the seam by translating technical adoption evidence into a project-level treatment variable and linking it to public cost outcomes. Before that join can be trusted, the treatment construct must be shown to be real, which is why the empirical work begins with the evidence base itself. The first empirical layer establishes that interface, payload, bus, data-exchange, and modular-integration records are identifiable and separable in public metadata across eighty source-traced observations, so that adoption is coded from a coherent category rather than an arbitrary one</w:t>
      </w:r>
      <w:r>
        <w:t xml:space="preserve"> </w:t>
      </w:r>
      <w:hyperlink w:anchor="ref-6">
        <w:r>
          <w:rPr>
            <w:rStyle w:val="Hyperlink"/>
          </w:rPr>
          <w:t xml:space="preserve">[6]</w:t>
        </w:r>
      </w:hyperlink>
      <w:r>
        <w:t xml:space="preserve">. It also finds, usefully, that bibliometric attention tracks source family rather than any technical flag, a result that prevents the dissertation from mistaking academic visibility for economic value. The second layer establishes that this evidence base has accumulated across nineteen years in a measurable log-log pattern, which is the empirical warrant for treating standardization as a maturing coordination practice rather than a scatter of anecdotes</w:t>
      </w:r>
      <w:r>
        <w:t xml:space="preserve"> </w:t>
      </w:r>
      <w:hyperlink w:anchor="ref-6">
        <w:r>
          <w:rPr>
            <w:rStyle w:val="Hyperlink"/>
          </w:rPr>
          <w:t xml:space="preserve">[6]</w:t>
        </w:r>
      </w:hyperlink>
      <w:r>
        <w:t xml:space="preserve">.</w:t>
      </w:r>
    </w:p>
    <w:bookmarkEnd w:id="74"/>
    <w:bookmarkStart w:id="75" w:name="Xe435ee4da42e20eb91549133d9d42870373acfc"/>
    <w:p>
      <w:pPr>
        <w:pStyle w:val="Heading2"/>
        <w:spacing w:line="480" w:lineRule="auto"/>
      </w:pPr>
      <w:r>
        <w:t xml:space="preserve">2.4a The measurement-systems literature as a template</w:t>
      </w:r>
    </w:p>
    <w:p>
      <w:pPr>
        <w:pStyle w:val="FirstParagraph"/>
        <w:spacing w:line="480" w:lineRule="auto"/>
      </w:pPr>
      <w:r>
        <w:t xml:space="preserve">A less obvious but instructive strand concerns how the field builds measurement systems for practices whose benefits resist direct observation. The space-sustainability rating is the clearest example: it is a composite indicator engineered to make long-term environmental stewardship legible and to incentivize operators toward behavior whose payoff is diffuse and deferred</w:t>
      </w:r>
      <w:r>
        <w:t xml:space="preserve"> </w:t>
      </w:r>
      <w:hyperlink w:anchor="ref-7">
        <w:r>
          <w:rPr>
            <w:rStyle w:val="Hyperlink"/>
          </w:rPr>
          <w:t xml:space="preserve">[7]</w:t>
        </w:r>
      </w:hyperlink>
      <w:r>
        <w:t xml:space="preserve"> </w:t>
      </w:r>
      <w:hyperlink w:anchor="ref-21">
        <w:r>
          <w:rPr>
            <w:rStyle w:val="Hyperlink"/>
          </w:rPr>
          <w:t xml:space="preserve">[21]</w:t>
        </w:r>
      </w:hyperlink>
      <w:r>
        <w:t xml:space="preserve">. The design problem there is structurally identical to the one this dissertation faces. A practice with real but hard-to-see benefits must be given a measurable form before it can be studied or rewarded, and the rating literature offers a worked example of how such a form is constructed, validated, and defended against the charge that it merely reifies an arbitrary choice.</w:t>
      </w:r>
    </w:p>
    <w:p>
      <w:pPr>
        <w:pStyle w:val="BodyText"/>
        <w:spacing w:line="480" w:lineRule="auto"/>
        <w:ind w:firstLine="720"/>
      </w:pPr>
      <w:r>
        <w:t xml:space="preserve">Two lessons transfer directly. The first is that a measurement system must be built from traceable inputs, so that any score can be decomposed back to its evidence, a discipline the sustainability-rating work takes seriously and one the empirical layers of this dissertation adopt through exhaustive source tracing</w:t>
      </w:r>
      <w:r>
        <w:t xml:space="preserve"> </w:t>
      </w:r>
      <w:hyperlink w:anchor="ref-6">
        <w:r>
          <w:rPr>
            <w:rStyle w:val="Hyperlink"/>
          </w:rPr>
          <w:t xml:space="preserve">[6]</w:t>
        </w:r>
      </w:hyperlink>
      <w:r>
        <w:t xml:space="preserve">. The second is that a measurement system’s purpose must be stated precisely, since a rating designed to incentivize is different from one designed to describe, just as this dissertation’s bibliometric layers are designed to establish construct validity rather than to measure economic value. The value-assessment work on commercial stations reinforces the same point from the demand side, insisting that measured value be tied to realized use rather than to nominal capability</w:t>
      </w:r>
      <w:r>
        <w:t xml:space="preserve"> </w:t>
      </w:r>
      <w:hyperlink w:anchor="ref-8">
        <w:r>
          <w:rPr>
            <w:rStyle w:val="Hyperlink"/>
          </w:rPr>
          <w:t xml:space="preserve">[8]</w:t>
        </w:r>
      </w:hyperlink>
      <w:r>
        <w:t xml:space="preserve">. Read together, these works form a template for making a diffuse-benefit practice measurable, and the dissertation follows that template when it builds an auditable construct before attempting an economic estimate.</w:t>
      </w:r>
    </w:p>
    <w:bookmarkEnd w:id="75"/>
    <w:bookmarkStart w:id="76" w:name="what-the-review-implies-for-the-design"/>
    <w:p>
      <w:pPr>
        <w:pStyle w:val="Heading2"/>
        <w:spacing w:line="480" w:lineRule="auto"/>
      </w:pPr>
      <w:r>
        <w:t xml:space="preserve">2.5 What the review implies for the design</w:t>
      </w:r>
    </w:p>
    <w:p>
      <w:pPr>
        <w:pStyle w:val="FirstParagraph"/>
        <w:spacing w:line="480" w:lineRule="auto"/>
      </w:pPr>
      <w:r>
        <w:t xml:space="preserve">The review yields three design commitments. First, the treatment must be coded from dated technical records, because only the technical literature carries adoption evidence and only dated evidence guards against post-hoc coding. Second, the outcome must be drawn from the accountability record, because only it measures cost growth in a comparable, public form. Third, the identification strategy must confront selection head-on, because the governance literature makes clear that adoption is not random. Matching on observable capability and complexity, controlling for maturity, and examining pre-treatment trends are the responses, and they follow directly from what the three literatures say about how standardization arises and how its benefits accrue.</w:t>
      </w:r>
    </w:p>
    <w:bookmarkEnd w:id="76"/>
    <w:bookmarkStart w:id="77" w:name="X223b5898adc5a89c2648fc5c27d986badcbf716"/>
    <w:p>
      <w:pPr>
        <w:pStyle w:val="Heading2"/>
        <w:spacing w:line="480" w:lineRule="auto"/>
      </w:pPr>
      <w:r>
        <w:t xml:space="preserve">2.5a Why prior work stopped short of the join</w:t>
      </w:r>
    </w:p>
    <w:p>
      <w:pPr>
        <w:pStyle w:val="FirstParagraph"/>
        <w:spacing w:line="480" w:lineRule="auto"/>
      </w:pPr>
      <w:r>
        <w:t xml:space="preserve">It is worth asking why, given how obvious the standardization-pays intuition is, no prior study has made the join this dissertation proposes. Part of the answer is disciplinary. Engineers who document interface adoption are not trained to estimate treatment effects, and economists who model cost growth rarely have access to the dated technical records that would code adoption. Part is data: the technical adoption evidence and the cost outcomes live in different archives with no common key, so linking them is archival labor that neither discipline is rewarded for performing</w:t>
      </w:r>
      <w:r>
        <w:t xml:space="preserve"> </w:t>
      </w:r>
      <w:hyperlink w:anchor="ref-3">
        <w:r>
          <w:rPr>
            <w:rStyle w:val="Hyperlink"/>
          </w:rPr>
          <w:t xml:space="preserve">[3]</w:t>
        </w:r>
      </w:hyperlink>
      <w:r>
        <w:t xml:space="preserve"> </w:t>
      </w:r>
      <w:hyperlink w:anchor="ref-8">
        <w:r>
          <w:rPr>
            <w:rStyle w:val="Hyperlink"/>
          </w:rPr>
          <w:t xml:space="preserve">[8]</w:t>
        </w:r>
      </w:hyperlink>
      <w:r>
        <w:t xml:space="preserve">. And part is the seductiveness of the available proxy, since it is far easier to point at a prominent literature than to assemble a cost table, an ease the attention model later shows to be a trap</w:t>
      </w:r>
      <w:r>
        <w:t xml:space="preserve"> </w:t>
      </w:r>
      <w:hyperlink w:anchor="ref-6">
        <w:r>
          <w:rPr>
            <w:rStyle w:val="Hyperlink"/>
          </w:rPr>
          <w:t xml:space="preserve">[6]</w:t>
        </w:r>
      </w:hyperlink>
      <w:r>
        <w:t xml:space="preserve">. The join has been left undone not because it is unimportant but because it is inconvenient, and inconvenience is a poor reason to leave a billion-dollar intuition untested.</w:t>
      </w:r>
    </w:p>
    <w:bookmarkEnd w:id="77"/>
    <w:bookmarkStart w:id="78" w:name="Xdbad6d6be35e37dc504144c13bb725d9f5eb311"/>
    <w:p>
      <w:pPr>
        <w:pStyle w:val="Heading2"/>
        <w:spacing w:line="480" w:lineRule="auto"/>
      </w:pPr>
      <w:r>
        <w:t xml:space="preserve">2.6 The servicing and assembly literature as a boundary case</w:t>
      </w:r>
    </w:p>
    <w:p>
      <w:pPr>
        <w:pStyle w:val="FirstParagraph"/>
        <w:spacing w:line="480" w:lineRule="auto"/>
      </w:pPr>
      <w:r>
        <w:t xml:space="preserve">A fourth strand sits at the boundary of the three and sharpens what standardization means economically. On-orbit servicing, assembly, and modular replacement are practices whose entire premise is standardized interfaces: a servicer cannot refuel or replace a component across a seam that was never designed to be opened. Work on future in-orbit servicing operations within the space traffic management context treats interface standardization as the enabling condition for a whole class of missions, not merely as an integration convenience</w:t>
      </w:r>
      <w:r>
        <w:t xml:space="preserve"> </w:t>
      </w:r>
      <w:hyperlink w:anchor="ref-19">
        <w:r>
          <w:rPr>
            <w:rStyle w:val="Hyperlink"/>
          </w:rPr>
          <w:t xml:space="preserve">[19]</w:t>
        </w:r>
      </w:hyperlink>
      <w:r>
        <w:t xml:space="preserve">. Robotic on-orbit assembly of large space telescopes depends on standardized joints and coupling interfaces that let independently launched modules mate reliably in orbit, and the mission architectures proposed there are unbuildable without such standardization</w:t>
      </w:r>
      <w:r>
        <w:t xml:space="preserve"> </w:t>
      </w:r>
      <w:hyperlink w:anchor="ref-4">
        <w:r>
          <w:rPr>
            <w:rStyle w:val="Hyperlink"/>
          </w:rPr>
          <w:t xml:space="preserve">[4]</w:t>
        </w:r>
      </w:hyperlink>
      <w:r>
        <w:t xml:space="preserve">. Compliant docking joints designed to reduce loads between CubeSats show the same logic at the smallest scale, where a standardized mechanical interface is what makes assembly feasible without damaging the coupled units</w:t>
      </w:r>
      <w:r>
        <w:t xml:space="preserve"> </w:t>
      </w:r>
      <w:hyperlink w:anchor="ref-3">
        <w:r>
          <w:rPr>
            <w:rStyle w:val="Hyperlink"/>
          </w:rPr>
          <w:t xml:space="preserve">[3]</w:t>
        </w:r>
      </w:hyperlink>
      <w:r>
        <w:t xml:space="preserve">.</w:t>
      </w:r>
    </w:p>
    <w:p>
      <w:pPr>
        <w:pStyle w:val="BodyText"/>
        <w:spacing w:line="480" w:lineRule="auto"/>
        <w:ind w:firstLine="720"/>
      </w:pPr>
      <w:r>
        <w:t xml:space="preserve">This strand matters to the dissertation for a specific reason. It represents the limiting case in which the economic value of standardization is not marginal but categorical: without the standard interface, the mission does not exist, so the counterfactual is not higher cost growth but no capability at all. That limiting case clarifies the more common case the dissertation actually tests, where the standard does not enable or forbid a mission but changes its cost. The servicing literature shows that interface standardization can be worth a great deal; it does not show that it reliably lowers cost growth in conventional projects, because a categorical enabler and a marginal cost-control practice are economically different objects. Reading them together prevents a tempting overreach, in which the obvious value of standardization for servicing is used to imply an obvious value for cost control that has never been measured.</w:t>
      </w:r>
    </w:p>
    <w:bookmarkEnd w:id="78"/>
    <w:bookmarkStart w:id="79" w:name="X63659bb68cc4d86d688f283fac270fd7b1c3437"/>
    <w:p>
      <w:pPr>
        <w:pStyle w:val="Heading2"/>
        <w:spacing w:line="480" w:lineRule="auto"/>
      </w:pPr>
      <w:r>
        <w:t xml:space="preserve">2.7 What the literature does not measure, restated as a design target</w:t>
      </w:r>
    </w:p>
    <w:p>
      <w:pPr>
        <w:pStyle w:val="FirstParagraph"/>
        <w:spacing w:line="480" w:lineRule="auto"/>
      </w:pPr>
      <w:r>
        <w:t xml:space="preserve">Having read all four strands, it is worth restating the gap as a concrete design target rather than an abstract absence, because doing so shows why the dissertation’s empirical layers take the form they do. The technical and servicing literatures establish that interface standardization is a real, recurring, and sometimes mission-enabling practice, documented across bus, payload, data, and assembly contexts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 </w:t>
      </w:r>
      <w:hyperlink w:anchor="ref-14">
        <w:r>
          <w:rPr>
            <w:rStyle w:val="Hyperlink"/>
          </w:rPr>
          <w:t xml:space="preserve">[14]</w:t>
        </w:r>
      </w:hyperlink>
      <w:r>
        <w:t xml:space="preserve">. The economics literature establishes that cost growth is a well-defined, publicly measurable outcome and that the value of an infrastructure-like investment must be assessed against realized outcomes rather than design merit</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The governance literature establishes that adoption is not random, that capable and coordinated organizations are more likely to standardize, and that this selection is the central identification hazard</w:t>
      </w:r>
      <w:r>
        <w:t xml:space="preserve"> </w:t>
      </w:r>
      <w:hyperlink w:anchor="ref-2">
        <w:r>
          <w:rPr>
            <w:rStyle w:val="Hyperlink"/>
          </w:rPr>
          <w:t xml:space="preserve">[2]</w:t>
        </w:r>
      </w:hyperlink>
      <w:r>
        <w:t xml:space="preserve"> </w:t>
      </w:r>
      <w:hyperlink w:anchor="ref-15">
        <w:r>
          <w:rPr>
            <w:rStyle w:val="Hyperlink"/>
          </w:rPr>
          <w:t xml:space="preserve">[15]</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The design target that follows is exact. It is to code standardization adoption from the technical record in a form dated before baseline, to draw cost growth from the accountability record, and to compare adopters with matched non-adopters while confronting selection directly. Before that target can be pursued, two prior facts must hold: the adoption construct must be identifiable in the public record, and it must be a matured practice rather than a scatter of cases. The empirical layers reported later exist to establish these two facts on real data, which is why they precede rather than replace the cost test. The first layer partitions eighty source-traced records into coherent interface, payload-bus, data, and modular categories and finds that attention tracks source family rather than technical content</w:t>
      </w:r>
      <w:r>
        <w:t xml:space="preserve"> </w:t>
      </w:r>
      <w:hyperlink w:anchor="ref-6">
        <w:r>
          <w:rPr>
            <w:rStyle w:val="Hyperlink"/>
          </w:rPr>
          <w:t xml:space="preserve">[6]</w:t>
        </w:r>
      </w:hyperlink>
      <w:r>
        <w:t xml:space="preserve">; the second finds that the cumulative evidence base has grown more than proportionally across nineteen years</w:t>
      </w:r>
      <w:r>
        <w:t xml:space="preserve"> </w:t>
      </w:r>
      <w:hyperlink w:anchor="ref-6">
        <w:r>
          <w:rPr>
            <w:rStyle w:val="Hyperlink"/>
          </w:rPr>
          <w:t xml:space="preserve">[6]</w:t>
        </w:r>
      </w:hyperlink>
      <w:r>
        <w:t xml:space="preserve">. Neither is the cost test. Both make it feasible.</w:t>
      </w:r>
    </w:p>
    <w:p>
      <w:pPr>
        <w:pStyle w:val="BodyText"/>
        <w:spacing w:line="480" w:lineRule="auto"/>
        <w:ind w:firstLine="720"/>
      </w:pPr>
      <w:r>
        <w:t xml:space="preserve">The reference base assembled for this work spans the interface-engineering, economics, and governance strands deliberately, from CubeSat bus coupling and payload management through station value assessment and sustainability rating to collaboration frameworks, servicing operations, and data governance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7">
        <w:r>
          <w:rPr>
            <w:rStyle w:val="Hyperlink"/>
          </w:rPr>
          <w:t xml:space="preserve">[7]</w:t>
        </w:r>
      </w:hyperlink>
      <w:r>
        <w:t xml:space="preserve"> </w:t>
      </w:r>
      <w:hyperlink w:anchor="ref-2">
        <w:r>
          <w:rPr>
            <w:rStyle w:val="Hyperlink"/>
          </w:rPr>
          <w:t xml:space="preserve">[2]</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 That breadth is not decoration. It is the map of the literatures the dissertation must join, and the seam between them is the space where its single falsifiable contribution sits. The next chapter turns from what others have found to the mechanism this dissertation proposes, and to the predictions that mechanism must make if it is to be tested rather than merely asserted.</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A theory must be able to fail. A test needs a theory that can lose. This chapter sets out the mechanism by which pre-baseline interface standardization could reduce life-cycle cost growth, states the assumptions on which that mechanism depends, and derives predictions specific enough to be wrong. It is not exotic. It is a claim about when information about the seams between subsystems becomes available, and about what it costs to fix a seam late rather than early. The predictions follow from that timing, and the empirical program either finds them or does not.</w:t>
      </w:r>
    </w:p>
    <w:bookmarkStart w:id="81" w:name="what-a-testable-theory-owes-the-reader"/>
    <w:p>
      <w:pPr>
        <w:pStyle w:val="Heading2"/>
        <w:spacing w:line="480" w:lineRule="auto"/>
      </w:pPr>
      <w:r>
        <w:t xml:space="preserve">3.0 What a testable theory owes the reader</w:t>
      </w:r>
    </w:p>
    <w:p>
      <w:pPr>
        <w:pStyle w:val="FirstParagraph"/>
        <w:spacing w:line="480" w:lineRule="auto"/>
      </w:pPr>
      <w:r>
        <w:t xml:space="preserve">A theory in an empirical dissertation owes three things: a mechanism specific enough to generate predictions, assumptions stated plainly enough to be doubted, and conditions under which the theory would be judged wrong. Vague appeals to the goodness of standardization satisfy none of these. The chapter therefore proceeds by naming the mechanism, its assumptions, its primary and auxiliary predictions, its treatment of heterogeneity, and its falsification conditions, in that order, so that a skeptical reader can attack each in turn. Nothing here is asserted as self-evident, and the engineering literature is used to ground the mechanism rather than to decorate it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
        <w:r>
          <w:rPr>
            <w:rStyle w:val="Hyperlink"/>
          </w:rPr>
          <w:t xml:space="preserve">[1]</w:t>
        </w:r>
      </w:hyperlink>
      <w:r>
        <w:t xml:space="preserve">.</w:t>
      </w:r>
    </w:p>
    <w:bookmarkEnd w:id="81"/>
    <w:bookmarkStart w:id="82" w:name="Xab02aa0fea31dd2405ced247596be165ba3fa0b"/>
    <w:p>
      <w:pPr>
        <w:pStyle w:val="Heading2"/>
        <w:spacing w:line="480" w:lineRule="auto"/>
      </w:pPr>
      <w:r>
        <w:t xml:space="preserve">3.1 The mechanism: information timing at the seams</w:t>
      </w:r>
    </w:p>
    <w:p>
      <w:pPr>
        <w:pStyle w:val="FirstParagraph"/>
        <w:spacing w:line="480" w:lineRule="auto"/>
      </w:pPr>
      <w:r>
        <w:t xml:space="preserve">Think of timing. Consider a project as a sequence of commitments. Early, the architecture is fluid and cheap to change. Later, after the baseline, hardware is procured, teams are staffed against fixed designs, and the cost of altering an interface rises steeply because a change at one seam propagates to everything coupled across it. This is the standard shape of engineering rework cost, and it is why the late discovery of an interface mismatch is so expensive. A payload that assumed one power profile and a bus that provided another is cheap to reconcile on paper and ruinous to reconcile in integration.</w:t>
      </w:r>
    </w:p>
    <w:p>
      <w:pPr>
        <w:pStyle w:val="BodyText"/>
        <w:spacing w:line="480" w:lineRule="auto"/>
        <w:ind w:firstLine="720"/>
      </w:pPr>
      <w:r>
        <w:t xml:space="preserve">Interface standardization intervenes on the timing of information. By defining and documenting the seams before baseline commitment, it moves the discovery of mismatches earlier, into the phase where they are cheap to resolve. The standard is a forcing function. It compels teams to state their interface assumptions explicitly, at a point when stating them wrong costs a revision to a document rather than a redesign of a subsystem. The economic claim is therefore not that standardization is free, but that it substitutes a small, certain, early cost, the cost of writing and conforming to the standard, for a large, uncertain, late cost, the cost of rework at integration. If the substitution is favorable in expectation, cost growth falls.</w:t>
      </w:r>
    </w:p>
    <w:p>
      <w:pPr>
        <w:pStyle w:val="BodyText"/>
        <w:spacing w:line="480" w:lineRule="auto"/>
        <w:ind w:firstLine="720"/>
      </w:pPr>
      <w:r>
        <w:t xml:space="preserve">This is exactly the infrastructure-investment logic that the debris-economics literature articulates when it argues for paying now to avoid paying more later</w:t>
      </w:r>
      <w:r>
        <w:t xml:space="preserve"> </w:t>
      </w:r>
      <w:hyperlink w:anchor="ref-10">
        <w:r>
          <w:rPr>
            <w:rStyle w:val="Hyperlink"/>
          </w:rPr>
          <w:t xml:space="preserve">[10]</w:t>
        </w:r>
      </w:hyperlink>
      <w:r>
        <w:t xml:space="preserve">. The structure is identical. An early, visible expenditure buys down a later, larger, less certain one. The observer-interface and collaboration-framework literatures describe the same substitution at the level of data architecture, where defining exchange interfaces early is what makes later integration of new assets tractable rather than combinatorially expensive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At the spacecraft level, the CubeSat bus-interface and payload-management work show the seams that standardization would freeze early, and the multi-payload case makes plain why the late cost grows with the number of interfaces left undefined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2"/>
    <w:bookmarkStart w:id="83" w:name="assumptions-the-mechanism-requires"/>
    <w:p>
      <w:pPr>
        <w:pStyle w:val="Heading2"/>
        <w:spacing w:line="480" w:lineRule="auto"/>
      </w:pPr>
      <w:r>
        <w:t xml:space="preserve">3.2 Assumptions the mechanism requires</w:t>
      </w:r>
    </w:p>
    <w:p>
      <w:pPr>
        <w:pStyle w:val="FirstParagraph"/>
        <w:spacing w:line="480" w:lineRule="auto"/>
      </w:pPr>
      <w:r>
        <w:t xml:space="preserve">The mechanism is not unconditional, and naming its assumptions is what makes the theory testable rather than tautological. Three assumptions carry the argument.</w:t>
      </w:r>
    </w:p>
    <w:p>
      <w:pPr>
        <w:pStyle w:val="BodyText"/>
        <w:spacing w:line="480" w:lineRule="auto"/>
        <w:ind w:firstLine="720"/>
      </w:pPr>
      <w:r>
        <w:t xml:space="preserve">The first is that late rework cost exceeds early conformance cost in expectation. If writing and conforming to a standard cost as much as the rework it prevents, the substitution is a wash and no cost-growth reduction should appear. This is an empirical premise, not a logical necessity, and it is one reason a null result is genuinely possible. For some classes of interface, standardization may be more expensive than the mismatches it prevents, particularly where the standard is heavyweight and the interfaces it governs are simple.</w:t>
      </w:r>
    </w:p>
    <w:p>
      <w:pPr>
        <w:pStyle w:val="BodyText"/>
        <w:spacing w:line="480" w:lineRule="auto"/>
        <w:ind w:firstLine="720"/>
      </w:pPr>
      <w:r>
        <w:t xml:space="preserve">The second is that the standard actually moves discovery earlier. A standard adopted in name but not enforced, or documented after the baseline it was meant to precede, does not change information timing and should produce no effect. This assumption is why the treatment must be coded from records dated before baseline commitment. A standard that appears in the record only after integration trouble has surfaced is not evidence of the mechanism; it is evidence of the problem the mechanism was supposed to prevent, arriving too late.</w:t>
      </w:r>
    </w:p>
    <w:p>
      <w:pPr>
        <w:pStyle w:val="BodyText"/>
        <w:spacing w:line="480" w:lineRule="auto"/>
        <w:ind w:firstLine="720"/>
      </w:pPr>
      <w:r>
        <w:t xml:space="preserve">The third is that adopters and non-adopters are otherwise comparable, or can be made so. If the programs that adopt standards are systematically more capable, better funded, or less ambitious, then any cost-growth difference could reflect the program rather than the practice. The governance literature makes this worry concrete by describing standardization as something coordinated, capable organizations do</w:t>
      </w:r>
      <w:r>
        <w:t xml:space="preserve"> </w:t>
      </w:r>
      <w:hyperlink w:anchor="ref-2">
        <w:r>
          <w:rPr>
            <w:rStyle w:val="Hyperlink"/>
          </w:rPr>
          <w:t xml:space="preserve">[2]</w:t>
        </w:r>
      </w:hyperlink>
      <w:r>
        <w:t xml:space="preserve"> </w:t>
      </w:r>
      <w:hyperlink w:anchor="ref-15">
        <w:r>
          <w:rPr>
            <w:rStyle w:val="Hyperlink"/>
          </w:rPr>
          <w:t xml:space="preserve">[15]</w:t>
        </w:r>
      </w:hyperlink>
      <w:r>
        <w:t xml:space="preserve">. The assumption is not that selection is absent, but that it operates through observable characteristics that matching and adjustment can address. This is a bounded conditional assumption, and Chapter 4 states the version of it the identification strategy requires.</w:t>
      </w:r>
    </w:p>
    <w:bookmarkEnd w:id="83"/>
    <w:bookmarkStart w:id="84" w:name="from-mechanism-to-the-primary-hypothesis"/>
    <w:p>
      <w:pPr>
        <w:pStyle w:val="Heading2"/>
        <w:spacing w:line="480" w:lineRule="auto"/>
      </w:pPr>
      <w:r>
        <w:t xml:space="preserve">3.3 From mechanism to the primary hypothesis</w:t>
      </w:r>
    </w:p>
    <w:p>
      <w:pPr>
        <w:pStyle w:val="FirstParagraph"/>
        <w:spacing w:line="480" w:lineRule="auto"/>
      </w:pPr>
      <w:r>
        <w:t xml:space="preserve">The mechanism, if it operates and its assumptions hold, implies a directional prediction about realized cost growth. Restated formally, let percentage life-cycle cost growth be the current life-cycle cost estimate minus the baseline estimate, divided by the baseline, times one hundred, and let a project be an adopter when primary technical records document formal interface-standard adoption before baseline commitment. Let the adjusted average treatment effect of pre-baseline adoption be the quantity of interest, estimated after matching and regression adjustment on observable project characteristics.</w:t>
      </w:r>
    </w:p>
    <w:p>
      <w:pPr>
        <w:pStyle w:val="BodyText"/>
        <w:spacing w:line="480" w:lineRule="auto"/>
        <w:ind w:firstLine="720"/>
      </w:pPr>
      <w:r>
        <w:t xml:space="preserve">The null hypothesis is that the adjusted effect is greater than or equal to zero: pre-baseline interface-standard adoption does not reduce percentage life-cycle cost growth. The alternative is that the adjusted effect is less than zero: adoption reduces cost growth. The mechanism predicts the alternative. It does not guarantee it. Each of the three assumptions supplies a route by which the null could survive, and the design is arranged so that the null is a real possibility rather than a formality to be dismissed.</w:t>
      </w:r>
    </w:p>
    <w:bookmarkEnd w:id="84"/>
    <w:bookmarkStart w:id="85" w:name="auxiliary-predictions-and-the-construct"/>
    <w:p>
      <w:pPr>
        <w:pStyle w:val="Heading2"/>
        <w:spacing w:line="480" w:lineRule="auto"/>
      </w:pPr>
      <w:r>
        <w:t xml:space="preserve">3.4 Auxiliary predictions and the construct</w:t>
      </w:r>
    </w:p>
    <w:p>
      <w:pPr>
        <w:pStyle w:val="FirstParagraph"/>
        <w:spacing w:line="480" w:lineRule="auto"/>
      </w:pPr>
      <w:r>
        <w:t xml:space="preserve">A single directional hypothesis on a small population is fragile, so the theory generates auxiliary predictions that the available data can address and that bear on the credibility of the primary test even before the cost table is in hand. These predictions concern the construct itself: is interface standardization a real, coherent, maturing category, or an artifact of coding?</w:t>
      </w:r>
    </w:p>
    <w:p>
      <w:pPr>
        <w:pStyle w:val="BodyText"/>
        <w:spacing w:line="480" w:lineRule="auto"/>
        <w:ind w:firstLine="720"/>
      </w:pPr>
      <w:r>
        <w:t xml:space="preserve">The first auxiliary prediction is that interface-standardization evidence is identifiable and separable in the public record. If the mechanism describes a real practice, then records concerning interface terminology, payload and bus coupling, data exchange, and modular integration should be distinguishable from one another and from unrelated work. The first empirical layer tests this by modeling citation attention across eighty source-traced records as a function of these technical flags alongside age and source family, and it finds the flags identifiable enough to code even though they do not by themselves drive attention</w:t>
      </w:r>
      <w:r>
        <w:t xml:space="preserve"> </w:t>
      </w:r>
      <w:hyperlink w:anchor="ref-6">
        <w:r>
          <w:rPr>
            <w:rStyle w:val="Hyperlink"/>
          </w:rPr>
          <w:t xml:space="preserve">[6]</w:t>
        </w:r>
      </w:hyperlink>
      <w:r>
        <w:t xml:space="preserve">. The stable predictor is source family, which is theoretically expected: journal-indexed records carry citation metadata that conference and seed records do not, so an attention model recovers the indexing structure before it recovers any technical premium</w:t>
      </w:r>
      <w:r>
        <w:t xml:space="preserve"> </w:t>
      </w:r>
      <w:hyperlink w:anchor="ref-6">
        <w:r>
          <w:rPr>
            <w:rStyle w:val="Hyperlink"/>
          </w:rPr>
          <w:t xml:space="preserve">[6]</w:t>
        </w:r>
      </w:hyperlink>
      <w:r>
        <w:t xml:space="preserve">. The prediction that the construct is separable is supported; the prediction that technical visibility equals economic value is, correctly, not.</w:t>
      </w:r>
    </w:p>
    <w:p>
      <w:pPr>
        <w:pStyle w:val="BodyText"/>
        <w:spacing w:line="480" w:lineRule="auto"/>
        <w:ind w:firstLine="720"/>
      </w:pPr>
      <w:r>
        <w:t xml:space="preserve">The second auxiliary prediction is that the evidence base matures. If standardization is a coordination practice responding to recurring integration problems, its public evidence should accumulate across years rather than appear as isolated cases. A maturing literature is the theoretical signature of a practice that solves a persistent problem, since persistent problems generate sustained scholarly and technical attention. The second empirical layer tests this by fitting a learning curve to the cumulative evidence stock across nineteen years and finds an elasticity above one with a strong fit, consistent with more-than-proportional accumulation over the retained window</w:t>
      </w:r>
      <w:r>
        <w:t xml:space="preserve"> </w:t>
      </w:r>
      <w:hyperlink w:anchor="ref-6">
        <w:r>
          <w:rPr>
            <w:rStyle w:val="Hyperlink"/>
          </w:rPr>
          <w:t xml:space="preserve">[6]</w:t>
        </w:r>
      </w:hyperlink>
      <w:r>
        <w:t xml:space="preserve">. The prediction is supported. A practice that accumulates evidence like this is one whose adoption can be defined and coded, which is precisely what the primary test needs.</w:t>
      </w:r>
    </w:p>
    <w:bookmarkEnd w:id="85"/>
    <w:bookmarkStart w:id="86" w:name="Xc1c514fcdd56f0eec796552f6cc3f8d9756bc7a"/>
    <w:p>
      <w:pPr>
        <w:pStyle w:val="Heading2"/>
        <w:spacing w:line="480" w:lineRule="auto"/>
      </w:pPr>
      <w:r>
        <w:t xml:space="preserve">3.4a The role of documentation in the mechanism</w:t>
      </w:r>
    </w:p>
    <w:p>
      <w:pPr>
        <w:pStyle w:val="FirstParagraph"/>
        <w:spacing w:line="480" w:lineRule="auto"/>
      </w:pPr>
      <w:r>
        <w:t xml:space="preserve">A subtle feature of the mechanism is that documentation is not incidental to it but constitutive of it. The theory holds that standardization works by moving the discovery of interface mismatches earlier, and discovery is a documentary act. A seam that is agreed but not written down has not been standardized in the sense the mechanism requires, because there is no artifact against which conformance can be tested and no record that forces the assumptions into the open. This is why the interface-control document, the named standard, and the reusable interface specification recur across the technical literature as the concrete objects of standardization rather than as bureaucratic residue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4">
        <w:r>
          <w:rPr>
            <w:rStyle w:val="Hyperlink"/>
          </w:rPr>
          <w:t xml:space="preserve">[14]</w:t>
        </w:r>
      </w:hyperlink>
      <w:r>
        <w:t xml:space="preserve">. The document is the mechanism’s instrument.</w:t>
      </w:r>
    </w:p>
    <w:p>
      <w:pPr>
        <w:pStyle w:val="BodyText"/>
        <w:spacing w:line="480" w:lineRule="auto"/>
        <w:ind w:firstLine="720"/>
      </w:pPr>
      <w:r>
        <w:t xml:space="preserve">This has a direct methodological consequence that the theory itself dictates. Because documentation is constitutive, the treatment can and must be coded from documentary evidence, and dated documentary evidence is exactly what distinguishes genuine pre-baseline adoption from the after-the-fact paperwork a troubled project generates once integration problems appear. The mechanism therefore supplies its own coding rule: look for the dated artifact that would have forced the seams open early, and treat its presence before baseline as adoption. The first empirical layer confirms that such artifacts leave identifiable traces in the public record, since interface, standard, and exchange language partitions cleanly across the eighty records</w:t>
      </w:r>
      <w:r>
        <w:t xml:space="preserve"> </w:t>
      </w:r>
      <w:hyperlink w:anchor="ref-6">
        <w:r>
          <w:rPr>
            <w:rStyle w:val="Hyperlink"/>
          </w:rPr>
          <w:t xml:space="preserve">[6]</w:t>
        </w:r>
      </w:hyperlink>
      <w:r>
        <w:t xml:space="preserve">. The mechanism’s reliance on documentation is thus both a theoretical claim about how standardization works and a practical warrant for how adoption can be measured.</w:t>
      </w:r>
    </w:p>
    <w:bookmarkEnd w:id="86"/>
    <w:bookmarkStart w:id="87" w:name="what-would-falsify-the-theory"/>
    <w:p>
      <w:pPr>
        <w:pStyle w:val="Heading2"/>
        <w:spacing w:line="480" w:lineRule="auto"/>
      </w:pPr>
      <w:r>
        <w:t xml:space="preserve">3.5 What would falsify the theory</w:t>
      </w:r>
    </w:p>
    <w:p>
      <w:pPr>
        <w:pStyle w:val="FirstParagraph"/>
        <w:spacing w:line="480" w:lineRule="auto"/>
      </w:pPr>
      <w:r>
        <w:t xml:space="preserve">The theory is falsifiable at two levels, and stating the falsification conditions explicitly is what separates a testable claim from a slogan. At the level of the primary hypothesis, a non-negative adjusted treatment effect on cost growth, estimated on comparable projects with adoption coded before baseline, would falsify the economic claim. The mechanism would then be either false or too weak to matter at the scale of NASA major projects, and the honest conclusion would be that standardization must be justified on grounds other than cost.</w:t>
      </w:r>
    </w:p>
    <w:p>
      <w:pPr>
        <w:pStyle w:val="BodyText"/>
        <w:spacing w:line="480" w:lineRule="auto"/>
        <w:ind w:firstLine="720"/>
      </w:pPr>
      <w:r>
        <w:t xml:space="preserve">At the level of the construct, two findings would undercut the theory before the cost test is reached. If interface-standardization evidence were not separable in the public record, if the technical categories collapsed into noise, then the treatment could not be coded coherently and the mechanism would lack an empirical referent. If the evidence base did not accumulate, if it appeared as isolated one-off reports, then the premise that standardization is a maturing practice would fail and the case for a dissertation-level economic test would weaken. The empirical layers were run in part to expose the theory to these construct-level falsifications. It survived both, but survival was not assured, and the value-assessment and sustainability-rating literatures were consulted precisely because they model how diffuse-benefit practices become measurable and thus how such a construct could, in principle, have failed to cohere</w:t>
      </w:r>
      <w:r>
        <w:t xml:space="preserve"> </w:t>
      </w:r>
      <w:hyperlink w:anchor="ref-8">
        <w:r>
          <w:rPr>
            <w:rStyle w:val="Hyperlink"/>
          </w:rPr>
          <w:t xml:space="preserve">[8]</w:t>
        </w:r>
      </w:hyperlink>
      <w:r>
        <w:t xml:space="preserve"> </w:t>
      </w:r>
      <w:hyperlink w:anchor="ref-7">
        <w:r>
          <w:rPr>
            <w:rStyle w:val="Hyperlink"/>
          </w:rPr>
          <w:t xml:space="preserve">[7]</w:t>
        </w:r>
      </w:hyperlink>
      <w:r>
        <w:t xml:space="preserve">.</w:t>
      </w:r>
    </w:p>
    <w:bookmarkEnd w:id="87"/>
    <w:bookmarkStart w:id="88" w:name="Xa4c8330c9f0cea1ba628299329594f2badc4a84"/>
    <w:p>
      <w:pPr>
        <w:pStyle w:val="Heading2"/>
        <w:spacing w:line="480" w:lineRule="auto"/>
      </w:pPr>
      <w:r>
        <w:t xml:space="preserve">3.6 Heterogeneity: why the effect need not be uniform</w:t>
      </w:r>
    </w:p>
    <w:p>
      <w:pPr>
        <w:pStyle w:val="FirstParagraph"/>
        <w:spacing w:line="480" w:lineRule="auto"/>
      </w:pPr>
      <w:r>
        <w:t xml:space="preserve">One size does not fit all here. The mechanism does not predict a single effect size across all interfaces, and the theory is stronger for admitting this. Interfaces differ in how much late rework they threaten and in how much early conformance they cost, so the favorable-substitution condition can hold for some seams and fail for others. Consider the contrast between a data-exchange interface and a mechanical bus interface. A data-exchange standard is comparatively cheap to write and to conform to, and a mismatch discovered late can often be patched in software without touching hardware, so both sides of the substitution are small. A mechanical bus interface is more expensive to standardize early but far more expensive to rework late, because a mismatch there propagates into structure, thermal paths, and harnessing. The mechanism predicts a larger cost-growth benefit where the late-rework term is large and hardware-bound, which points toward bus and payload coupling rather than data exchange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heterogeneity generates a secondary, subgroup prediction that the primary design can eventually test: the cost-growth benefit of adoption should concentrate in projects whose standardized interfaces are hardware-bound and deeply coupled, and should be weaker where the standardized interfaces are software-mediated and loosely coupled. The prediction is left descriptive rather than promoted to a separate hypothesis, both because the small population of major projects limits the power to estimate subgroup effects and because pooling adoption is the more defensible primary specification. The servicing and assembly literature reinforces the direction, since the interfaces it standardizes are precisely the hardware-bound, deeply coupled kind whose late rework is most punishing</w:t>
      </w:r>
      <w:r>
        <w:t xml:space="preserve"> </w:t>
      </w:r>
      <w:hyperlink w:anchor="ref-19">
        <w:r>
          <w:rPr>
            <w:rStyle w:val="Hyperlink"/>
          </w:rPr>
          <w:t xml:space="preserve">[19]</w:t>
        </w:r>
      </w:hyperlink>
      <w:r>
        <w:t xml:space="preserve"> </w:t>
      </w:r>
      <w:hyperlink w:anchor="ref-4">
        <w:r>
          <w:rPr>
            <w:rStyle w:val="Hyperlink"/>
          </w:rPr>
          <w:t xml:space="preserve">[4]</w:t>
        </w:r>
      </w:hyperlink>
      <w:r>
        <w:t xml:space="preserve">.</w:t>
      </w:r>
    </w:p>
    <w:bookmarkEnd w:id="88"/>
    <w:bookmarkStart w:id="89" w:name="why-the-mechanism-is-not-self-fulfilling"/>
    <w:p>
      <w:pPr>
        <w:pStyle w:val="Heading2"/>
        <w:spacing w:line="480" w:lineRule="auto"/>
      </w:pPr>
      <w:r>
        <w:t xml:space="preserve">3.7 Why the mechanism is not self-fulfilling</w:t>
      </w:r>
    </w:p>
    <w:p>
      <w:pPr>
        <w:pStyle w:val="FirstParagraph"/>
        <w:spacing w:line="480" w:lineRule="auto"/>
      </w:pPr>
      <w:r>
        <w:t xml:space="preserve">A theory that could not fail is not a theory, so it is worth showing why this mechanism does not quietly guarantee its own confirmation. Three features keep it exposed. First, the certain early cost is real and enters the same cost accounting as the late rework it prevents; a program that standardizes heavily and reaps little rework reduction will show higher, not lower, cost growth, so the mechanism can produce the wrong sign in exactly the cases where standardization is overzealous. Second, the timing requirement means a standard adopted too late does nothing, so the mechanism predicts a null for late adopters even where standardization is otherwise valuable, which is a testable and potentially disconfirming implication. Third, the comparability requirement means that if adoption is driven by unobserved capability, the estimated effect will be biased toward finding a benefit that the practice did not cause, and the event-study diagnostics are designed to expose rather than conceal that possibility.</w:t>
      </w:r>
    </w:p>
    <w:p>
      <w:pPr>
        <w:pStyle w:val="BodyText"/>
        <w:spacing w:line="480" w:lineRule="auto"/>
        <w:ind w:firstLine="720"/>
      </w:pPr>
      <w:r>
        <w:t xml:space="preserve">The nanosatellite robustness literature offers an instructive caution here. Standardized, repeatable subsystem design is associated with dependable performance, but the association runs partly through the capability of the teams that adopt disciplined practice, not through the practice alone</w:t>
      </w:r>
      <w:r>
        <w:t xml:space="preserve"> </w:t>
      </w:r>
      <w:hyperlink w:anchor="ref-5">
        <w:r>
          <w:rPr>
            <w:rStyle w:val="Hyperlink"/>
          </w:rPr>
          <w:t xml:space="preserve">[5]</w:t>
        </w:r>
      </w:hyperlink>
      <w:r>
        <w:t xml:space="preserve">. The same confound threatens the cost claim: disciplined programs both standardize and control costs, and disentangling the practice from the discipline is the identification problem the next chapter must solve. The theory is honest that its central prediction is entangled with a capability story, and it is this entanglement, not the mechanism’s plausibility, that determines whether the empirical test can recover a causal effect.</w:t>
      </w:r>
    </w:p>
    <w:bookmarkEnd w:id="89"/>
    <w:bookmarkStart w:id="90" w:name="Xcee4bdf378861e1dd4090d443be5e1786f03bdd"/>
    <w:p>
      <w:pPr>
        <w:pStyle w:val="Heading2"/>
        <w:spacing w:line="480" w:lineRule="auto"/>
      </w:pPr>
      <w:r>
        <w:t xml:space="preserve">3.8 The construct as a precondition for the mechanism test</w:t>
      </w:r>
    </w:p>
    <w:p>
      <w:pPr>
        <w:pStyle w:val="FirstParagraph"/>
        <w:spacing w:line="480" w:lineRule="auto"/>
      </w:pPr>
      <w:r>
        <w:t xml:space="preserve">The auxiliary predictions of Section 3.4 are not incidental; they are logically prior to any test of the mechanism. A mechanism about a practice can only be tested if the practice is a coherent, identifiable thing. If interface standardization dissolved into an incoherent set of unrelated activities when examined in the public record, then the treatment variable would not correspond to the practice the mechanism concerns, and any estimated effect would be uninterpretable. This is why the construct-validity and maturity predictions come first in the empirical program, and why their confirmation is a genuine result rather than a preliminary. The first empirical layer shows the construct is separable across eighty records; the second shows it has matured across nineteen years</w:t>
      </w:r>
      <w:r>
        <w:t xml:space="preserve"> </w:t>
      </w:r>
      <w:hyperlink w:anchor="ref-6">
        <w:r>
          <w:rPr>
            <w:rStyle w:val="Hyperlink"/>
          </w:rPr>
          <w:t xml:space="preserve">[6]</w:t>
        </w:r>
      </w:hyperlink>
      <w:r>
        <w:t xml:space="preserve">. Only because both hold does the mechanism have a real referent to be tested against, and the value-assessment and sustainability-rating literatures were consulted precisely because they model how such diffuse-benefit constructs are made measurable in the first place</w:t>
      </w:r>
      <w:r>
        <w:t xml:space="preserve"> </w:t>
      </w:r>
      <w:hyperlink w:anchor="ref-8">
        <w:r>
          <w:rPr>
            <w:rStyle w:val="Hyperlink"/>
          </w:rPr>
          <w:t xml:space="preserve">[8]</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mechanism is now on the table with its assumptions, its primary hypothesis, its auxiliary and subgroup predictions, its treatment of heterogeneity, and its falsification conditions. What remains is to specify how the primary effect would be identified from observational data, which is the work of the next chapter. The theory says a favorable substitution of early conformance for late rework should lower cost growth, concentrated where late rework is hardware-bound. Whether the data can isolate that effect from the confounds the governance literature warns of is a question of identification, and it is to identification that the argument now turns.</w:t>
      </w:r>
    </w:p>
    <w:bookmarkEnd w:id="90"/>
    <w:bookmarkEnd w:id="91"/>
    <w:bookmarkStart w:id="102" w:name="X940caaf6d3ac92c12a69529db0381ad3e868d7e"/>
    <w:p>
      <w:pPr>
        <w:pStyle w:val="Heading1"/>
        <w:spacing w:line="480" w:lineRule="auto"/>
      </w:pPr>
      <w:r>
        <w:t xml:space="preserve">Chapter 4. Methodology and Identification</w:t>
      </w:r>
    </w:p>
    <w:p>
      <w:pPr>
        <w:pStyle w:val="FirstParagraph"/>
        <w:spacing w:line="480" w:lineRule="auto"/>
      </w:pPr>
      <w:r>
        <w:t xml:space="preserve">Data do not confess. Observational data do not hand you a causal effect. They hand you a comparison, and the comparison is only as good as the argument that the compared groups would have behaved alike absent the treatment. This chapter specifies the estimators the dissertation relies on, distinguishes the primary cost-growth design from the two empirical layers actually run in this build, and states plainly the assumption under which each recovers something more than a correlation. The methodological posture throughout is that a modest estimate honestly identified is worth more than an ambitious one that cannot survive scrutiny.</w:t>
      </w:r>
    </w:p>
    <w:bookmarkStart w:id="92" w:name="X431478fcc1d30f62870e23dcedfb287188ccb99"/>
    <w:p>
      <w:pPr>
        <w:pStyle w:val="Heading2"/>
        <w:spacing w:line="480" w:lineRule="auto"/>
      </w:pPr>
      <w:r>
        <w:t xml:space="preserve">4.0 The identification problem in one sentence</w:t>
      </w:r>
    </w:p>
    <w:p>
      <w:pPr>
        <w:pStyle w:val="FirstParagraph"/>
        <w:spacing w:line="480" w:lineRule="auto"/>
      </w:pPr>
      <w:r>
        <w:t xml:space="preserve">The whole methodological burden of the dissertation reduces to one sentence: distinguish the effect of standardizing from the effect of being the kind of program that standardizes. Adopters and non-adopters differ in the practice under study and, the governance literature warns, in capability, coordination, and ambition as well</w:t>
      </w:r>
      <w:r>
        <w:t xml:space="preserve"> </w:t>
      </w:r>
      <w:hyperlink w:anchor="ref-2">
        <w:r>
          <w:rPr>
            <w:rStyle w:val="Hyperlink"/>
          </w:rPr>
          <w:t xml:space="preserve">[2]</w:t>
        </w:r>
      </w:hyperlink>
      <w:r>
        <w:t xml:space="preserve"> </w:t>
      </w:r>
      <w:hyperlink w:anchor="ref-15">
        <w:r>
          <w:rPr>
            <w:rStyle w:val="Hyperlink"/>
          </w:rPr>
          <w:t xml:space="preserve">[15]</w:t>
        </w:r>
      </w:hyperlink>
      <w:r>
        <w:t xml:space="preserve">. A comparison that fails to separate these will attribute to the practice what belongs to the program, and the entire chapter is organized around methods for making that separation credible on a small, observational sample.</w:t>
      </w:r>
    </w:p>
    <w:bookmarkEnd w:id="92"/>
    <w:bookmarkStart w:id="93" w:name="Xecdf3600e5cd37ddc2a6f4af75af199058572d1"/>
    <w:p>
      <w:pPr>
        <w:pStyle w:val="Heading2"/>
        <w:spacing w:line="480" w:lineRule="auto"/>
      </w:pPr>
      <w:r>
        <w:t xml:space="preserve">4.1 The primary design: matched panel difference-in-differences</w:t>
      </w:r>
    </w:p>
    <w:p>
      <w:pPr>
        <w:pStyle w:val="FirstParagraph"/>
        <w:spacing w:line="480" w:lineRule="auto"/>
      </w:pPr>
      <w:r>
        <w:t xml:space="preserve">The primary design for the cost-growth question is a matched panel difference-in-differences with an event-study diagnostic. The unit of analysis is the NASA major project-year. The treatment is documented adoption of interface standards before baseline commitment, or, in a secondary timing specification, before the first annual assessment in which the relevant interface architecture is observable. The outcome is percentage life-cycle cost growth relative to the baseline estimate. The panel structure uses annual assessments to observe how each project’s cost estimate evolves after baseline, which is what makes a difference-in-differences comparison possible rather than a single cross-sectional snapshot.</w:t>
      </w:r>
    </w:p>
    <w:p>
      <w:pPr>
        <w:pStyle w:val="BodyText"/>
        <w:spacing w:line="480" w:lineRule="auto"/>
        <w:ind w:firstLine="720"/>
      </w:pPr>
      <w:r>
        <w:t xml:space="preserve">Matching does the rest. The comparison group is constructed by pairing. Treated projects are paired with untreated projects that share observable risk and program characteristics: mission class, responsible center, launch-year cohort, destination or operating environment, number of major instruments or payloads where observable, acquisition phase, prime-contractor status where reported, and reported indicators of technology maturity or design stability. Matching does the work of making adopters and non-adopters comparable on the dimensions the governance literature identifies as sources of selection</w:t>
      </w:r>
      <w:r>
        <w:t xml:space="preserve"> </w:t>
      </w:r>
      <w:hyperlink w:anchor="ref-2">
        <w:r>
          <w:rPr>
            <w:rStyle w:val="Hyperlink"/>
          </w:rPr>
          <w:t xml:space="preserve">[2]</w:t>
        </w:r>
      </w:hyperlink>
      <w:r>
        <w:t xml:space="preserve"> </w:t>
      </w:r>
      <w:hyperlink w:anchor="ref-15">
        <w:r>
          <w:rPr>
            <w:rStyle w:val="Hyperlink"/>
          </w:rPr>
          <w:t xml:space="preserve">[15]</w:t>
        </w:r>
      </w:hyperlink>
      <w:r>
        <w:t xml:space="preserve">. Regression adjustment then absorbs what matching leaves: project fixed effects where within-project annual variation is used, year fixed effects to absorb common budgetary and macro-program shocks, and controls for changes in launch date and project phase.</w:t>
      </w:r>
    </w:p>
    <w:p>
      <w:pPr>
        <w:pStyle w:val="BodyText"/>
        <w:spacing w:line="480" w:lineRule="auto"/>
        <w:ind w:firstLine="720"/>
      </w:pPr>
      <w:r>
        <w:t xml:space="preserve">The design identifies the effect of adoption, rather than a correlation, only under a bounded conditional-parallel-trends assumption. Absent adoption, treated and matched comparison projects would have followed similar cost-growth trajectories after baseline. This is an assumption, not a fact, and the design treats it as something to be probed rather than proclaimed. Pre-treatment cost-trend plots, where early assessment data permit, test whether treated and comparison projects were already diverging before adoption. Event-study coefficients estimated for periods before adoption should be indistinguishable from zero if the assumption holds; systematic pre-trends would signal that it does not. Sensitivity checks remove projects with unusually novel architectures or one-off national-priority profiles, since these are the cases most likely to violate comparability. The treatment is coded only from records dated before baseline or before the relevant outcome window, which separates adoption timing from post-hoc success narratives and directly addresses the reverse-causality worry named in Chapter 3.</w:t>
      </w:r>
    </w:p>
    <w:bookmarkEnd w:id="93"/>
    <w:bookmarkStart w:id="94" w:name="why-identification-not-just-correlation"/>
    <w:p>
      <w:pPr>
        <w:pStyle w:val="Heading2"/>
        <w:spacing w:line="480" w:lineRule="auto"/>
      </w:pPr>
      <w:r>
        <w:t xml:space="preserve">4.2 Why identification, not just correlation</w:t>
      </w:r>
    </w:p>
    <w:p>
      <w:pPr>
        <w:pStyle w:val="FirstParagraph"/>
        <w:spacing w:line="480" w:lineRule="auto"/>
      </w:pPr>
      <w:r>
        <w:t xml:space="preserve">Grant every number. A skeptic could accept all of them and still ask why the design deserves a causal reading. The answer rests on the joint force of four features, none sufficient alone. Matching removes imbalance on observed confounders, so adopters are compared to non-adopters that look alike on capability and complexity. Fixed effects remove time-invariant project differences and common shocks, so the comparison is within projects over time and across a common calendar. Pre-baseline coding removes the mechanical path by which troubled projects adopt standards after the fact, so treatment cannot be a consequence of the outcome. And the event-study diagnostic exposes the parallel-trends assumption to falsification, so a reader can see whether the identifying assumption is contradicted by the data rather than merely asserted.</w:t>
      </w:r>
    </w:p>
    <w:p>
      <w:pPr>
        <w:pStyle w:val="BodyText"/>
        <w:spacing w:line="480" w:lineRule="auto"/>
        <w:ind w:firstLine="720"/>
      </w:pPr>
      <w:r>
        <w:t xml:space="preserve">What none of this can do is remove selection on unobservables. If some hidden attribute both drives adoption and lowers cost growth, the estimate is biased, and no amount of matching on observables repairs it. The dissertation does not pretend otherwise. It bounds the concern through maturity and complexity controls, tests the observable-selection channel through pre-trends, and reports effect sizes with the caution a small sample and an untestable assumption jointly demand. Identification here is a matter of degree, and the honest claim is a bounded one, not a laboratory-clean one.</w:t>
      </w:r>
    </w:p>
    <w:bookmarkEnd w:id="94"/>
    <w:bookmarkStart w:id="95" w:name="Xd168f2ea3b90ff39bc989a53d5468d1720c2eee"/>
    <w:p>
      <w:pPr>
        <w:pStyle w:val="Heading2"/>
        <w:spacing w:line="480" w:lineRule="auto"/>
      </w:pPr>
      <w:r>
        <w:t xml:space="preserve">4.3 The estimators actually run: two empirical layers</w:t>
      </w:r>
    </w:p>
    <w:p>
      <w:pPr>
        <w:pStyle w:val="FirstParagraph"/>
        <w:spacing w:line="480" w:lineRule="auto"/>
      </w:pPr>
      <w:r>
        <w:t xml:space="preserve">Because the machine-readable project cost table was not available during this build, the empirical results reported in Chapter 6 come from two layers that establish the construct and its maturity rather than the cost effect itself. Both use real, source-traced data and disciplined estimators, and both are honest about what they cannot show.</w:t>
      </w:r>
    </w:p>
    <w:p>
      <w:pPr>
        <w:pStyle w:val="BodyText"/>
        <w:spacing w:line="480" w:lineRule="auto"/>
        <w:ind w:firstLine="720"/>
      </w:pPr>
      <w:r>
        <w:t xml:space="preserve">The first layer is a robust ordinary-least-squares regression. The dependent variable is citation count. The predictors are paper age plus one, an interface-terminology flag, a payload-or-bus-coupling flag, a space-domain-awareness data flag, a modular-or-service flag, and an ACTA source-family flag. The specification asks whether visible technical categories explain citation attention once age and source family are included. The estimator is chosen for transparency: it is interpretable, its coefficients map directly onto the construct flags, and its diagnostics are legible on a small sample. It is emphatically a descriptive model of where the standardization problem is technically visible, not a causal model of project cost, and Chapter 6 reports it on exactly those terms</w:t>
      </w:r>
      <w:r>
        <w:t xml:space="preserve"> </w:t>
      </w:r>
      <w:hyperlink w:anchor="ref-6">
        <w:r>
          <w:rPr>
            <w:rStyle w:val="Hyperlink"/>
          </w:rPr>
          <w:t xml:space="preserve">[6]</w:t>
        </w:r>
      </w:hyperlink>
      <w:r>
        <w:t xml:space="preserve">.</w:t>
      </w:r>
    </w:p>
    <w:p>
      <w:pPr>
        <w:pStyle w:val="BodyText"/>
        <w:spacing w:line="480" w:lineRule="auto"/>
        <w:ind w:firstLine="720"/>
      </w:pPr>
      <w:r>
        <w:t xml:space="preserve">The second layer is a log-log learning curve. The dependent variable is the logarithm of one plus cumulative evidence records. The predictor is the logarithm of one plus years since the first retained record. The coefficient is an elasticity: a value above one means cumulative evidence grows more than proportionally with the time index over the retained window, and the transformation into a progress ratio expresses the same growth in doubling terms. A learning curve is the right instrument here because the object of interest is a cumulative stock, not annual noise, and the log-log form is the conventional way to summarize how a stock accumulates against a time index</w:t>
      </w:r>
      <w:r>
        <w:t xml:space="preserve"> </w:t>
      </w:r>
      <w:hyperlink w:anchor="ref-6">
        <w:r>
          <w:rPr>
            <w:rStyle w:val="Hyperlink"/>
          </w:rPr>
          <w:t xml:space="preserve">[6]</w:t>
        </w:r>
      </w:hyperlink>
      <w:r>
        <w:t xml:space="preserve">. The model is descriptive and is not to be extrapolated as a forecast.</w:t>
      </w:r>
    </w:p>
    <w:bookmarkEnd w:id="95"/>
    <w:bookmarkStart w:id="96" w:name="how-the-layers-serve-the-primary-design"/>
    <w:p>
      <w:pPr>
        <w:pStyle w:val="Heading2"/>
        <w:spacing w:line="480" w:lineRule="auto"/>
      </w:pPr>
      <w:r>
        <w:t xml:space="preserve">4.4 How the layers serve the primary design</w:t>
      </w:r>
    </w:p>
    <w:p>
      <w:pPr>
        <w:pStyle w:val="FirstParagraph"/>
        <w:spacing w:line="480" w:lineRule="auto"/>
      </w:pPr>
      <w:r>
        <w:t xml:space="preserve">The two layers are not substitutes for the cost-growth estimate. They are its preconditions, and the identification logic of the primary design depends on their conclusions holding. The first layer secures construct validity for the treatment variable. If the interface, payload, bus, data, and modular categories could not be identified in the public record, adoption could not be coded from that record, and the matched design would have no credible treatment to assign. By showing the categories are separable, and by showing that attention tracks source family rather than technical content, the first layer both validates the coding scheme and warns against a specific error: reading academic visibility as economic value</w:t>
      </w:r>
      <w:r>
        <w:t xml:space="preserve"> </w:t>
      </w:r>
      <w:hyperlink w:anchor="ref-6">
        <w:r>
          <w:rPr>
            <w:rStyle w:val="Hyperlink"/>
          </w:rPr>
          <w:t xml:space="preserve">[6]</w:t>
        </w:r>
      </w:hyperlink>
      <w:r>
        <w:t xml:space="preserve">. That warning is methodologically important, because it forecloses a tempting shortcut in which citation counts stand in for cost outcomes.</w:t>
      </w:r>
    </w:p>
    <w:p>
      <w:pPr>
        <w:pStyle w:val="BodyText"/>
        <w:spacing w:line="480" w:lineRule="auto"/>
        <w:ind w:firstLine="720"/>
      </w:pPr>
      <w:r>
        <w:t xml:space="preserve">The second layer secures the temporal premise. The matched design treats adoption as a practice a project can choose before baseline, which presupposes that the practice exists as a maturing, definable thing rather than a scatter of unrepeated experiments. A learning curve with an elasticity above one and a strong fit is the evidence that the practice accumulates, and thus that coding adoption across a population of projects and years is feasible rather than arbitrary</w:t>
      </w:r>
      <w:r>
        <w:t xml:space="preserve"> </w:t>
      </w:r>
      <w:hyperlink w:anchor="ref-6">
        <w:r>
          <w:rPr>
            <w:rStyle w:val="Hyperlink"/>
          </w:rPr>
          <w:t xml:space="preserve">[6]</w:t>
        </w:r>
      </w:hyperlink>
      <w:r>
        <w:t xml:space="preserve">. Together the layers convert the primary design from an aspiration into a specified, feasible test whose only missing input is the cost table.</w:t>
      </w:r>
    </w:p>
    <w:bookmarkEnd w:id="96"/>
    <w:bookmarkStart w:id="97" w:name="X3be41e6fa9910b69b840e1447170ccb4d533f50"/>
    <w:p>
      <w:pPr>
        <w:pStyle w:val="Heading2"/>
        <w:spacing w:line="480" w:lineRule="auto"/>
      </w:pPr>
      <w:r>
        <w:t xml:space="preserve">4.4a Matching versus regression, and why both</w:t>
      </w:r>
    </w:p>
    <w:p>
      <w:pPr>
        <w:pStyle w:val="FirstParagraph"/>
        <w:spacing w:line="480" w:lineRule="auto"/>
      </w:pPr>
      <w:r>
        <w:t xml:space="preserve">A reader might ask why the design uses matching and regression adjustment together rather than either alone, since each is a route to controlling for confounders. The answer is that they fail in different ways, and combining them guards against both failures. Matching enforces comparability directly by pairing each adopter with non-adopters that resemble it on the observed characteristics, which keeps the comparison from resting on extrapolation into regions where no comparable non-adopter exists. Its weakness is that exact matching on many characteristics is impossible in a small sample, so residual imbalance remains. Regression adjustment absorbs that residual imbalance and the within-project and calendar variation that matching does not address, but its weakness is that it can extrapolate confidently across regions where the data are thin, producing precise-looking estimates built on model assumptions rather than on real comparisons.</w:t>
      </w:r>
    </w:p>
    <w:p>
      <w:pPr>
        <w:pStyle w:val="BodyText"/>
        <w:spacing w:line="480" w:lineRule="auto"/>
        <w:ind w:firstLine="720"/>
      </w:pPr>
      <w:r>
        <w:t xml:space="preserve">Used together, matching first and regression second, the two methods cover each other’s blind spots. Matching restricts the comparison to a region where adopters and non-adopters actually overlap, and regression then cleans up the imbalance that remains within that region without being asked to extrapolate beyond it. This is a standard and defensible combination, and it is chosen here specifically because the small population of NASA major projects makes both failure modes acute: extrapolation is tempting when comparisons are scarce, and residual imbalance is likely when exact matches cannot be found. The governance literature’s warning that adopters are systematically more capable is the reason this doubled defense is warranted rather than excessive</w:t>
      </w:r>
      <w:r>
        <w:t xml:space="preserve"> </w:t>
      </w:r>
      <w:hyperlink w:anchor="ref-2">
        <w:r>
          <w:rPr>
            <w:rStyle w:val="Hyperlink"/>
          </w:rPr>
          <w:t xml:space="preserve">[2]</w:t>
        </w:r>
      </w:hyperlink>
      <w:r>
        <w:t xml:space="preserve"> </w:t>
      </w:r>
      <w:hyperlink w:anchor="ref-15">
        <w:r>
          <w:rPr>
            <w:rStyle w:val="Hyperlink"/>
          </w:rPr>
          <w:t xml:space="preserve">[15]</w:t>
        </w:r>
      </w:hyperlink>
      <w:r>
        <w:t xml:space="preserve">.</w:t>
      </w:r>
    </w:p>
    <w:bookmarkEnd w:id="97"/>
    <w:bookmarkStart w:id="98" w:name="X3d02467e3c57dcedb6725a7ab4d78dc4fb9796f"/>
    <w:p>
      <w:pPr>
        <w:pStyle w:val="Heading2"/>
        <w:spacing w:line="480" w:lineRule="auto"/>
      </w:pPr>
      <w:r>
        <w:t xml:space="preserve">4.5 Estimation choices, inference, and their limits</w:t>
      </w:r>
    </w:p>
    <w:p>
      <w:pPr>
        <w:pStyle w:val="FirstParagraph"/>
        <w:spacing w:line="480" w:lineRule="auto"/>
      </w:pPr>
      <w:r>
        <w:t xml:space="preserve">Several choices deserve explicit defense. Robust standard errors are used in the regression layer because the citation outcome is heterogeneous across source families and a homoskedastic assumption would understate uncertainty. Coefficients are interpreted for sign and stability, not celebrated for significance, because on a sample of eighty a single influential record can move a technical coefficient and the disciplined reading is to trust only what is stable. In the learning-curve layer, the small annual panel of nineteen observations means the strong fit should be read as a description of the retained window, not as a law, and the confidence interval on the elasticity is reported so the reader can see the precision the data actually support</w:t>
      </w:r>
      <w:r>
        <w:t xml:space="preserve"> </w:t>
      </w:r>
      <w:hyperlink w:anchor="ref-6">
        <w:r>
          <w:rPr>
            <w:rStyle w:val="Hyperlink"/>
          </w:rPr>
          <w:t xml:space="preserve">[6]</w:t>
        </w:r>
      </w:hyperlink>
      <w:r>
        <w:t xml:space="preserve">.</w:t>
      </w:r>
    </w:p>
    <w:p>
      <w:pPr>
        <w:pStyle w:val="BodyText"/>
        <w:spacing w:line="480" w:lineRule="auto"/>
        <w:ind w:firstLine="720"/>
      </w:pPr>
      <w:r>
        <w:t xml:space="preserve">The primary design’s inference will confront a harder version of the same small-sample problem, since NASA major projects are few. This is why the design deliberately avoids overfit specifications and instead leans on transparent coding, exact provenance, and effect-size interpretation. A large, flexible model estimated on a small treated group would produce confident numbers that mean little. A parsimonious matched comparison, with its identifying assumption exposed to an event-study test, produces a modest number whose credibility a reader can assess. The methodological wager of this dissertation is that the second is worth more than the first.</w:t>
      </w:r>
    </w:p>
    <w:bookmarkEnd w:id="98"/>
    <w:bookmarkStart w:id="99" w:name="the-event-study-diagnostic-in-detail"/>
    <w:p>
      <w:pPr>
        <w:pStyle w:val="Heading2"/>
        <w:spacing w:line="480" w:lineRule="auto"/>
      </w:pPr>
      <w:r>
        <w:t xml:space="preserve">4.6 The event-study diagnostic in detail</w:t>
      </w:r>
    </w:p>
    <w:p>
      <w:pPr>
        <w:pStyle w:val="FirstParagraph"/>
        <w:spacing w:line="480" w:lineRule="auto"/>
      </w:pPr>
      <w:r>
        <w:t xml:space="preserve">The event-study component of the primary design deserves fuller treatment, because it is the instrument that converts the parallel-trends assumption from an article of faith into a checkable claim. In an event study, cost-growth outcomes are indexed to the timing of adoption, so that periods before adoption and periods after it can be examined separately. The logic is simple and demanding. If treated and comparison projects were already on divergent cost trajectories before adoption occurred, the pre-adoption coefficients will be nonzero and the parallel-trends assumption is contradicted by the data. If the pre-adoption coefficients are indistinguishable from zero, the assumption survives its most direct test, and the post-adoption coefficients can be read as the accumulating effect of the treatment.</w:t>
      </w:r>
    </w:p>
    <w:p>
      <w:pPr>
        <w:pStyle w:val="BodyText"/>
        <w:spacing w:line="480" w:lineRule="auto"/>
        <w:ind w:firstLine="720"/>
      </w:pPr>
      <w:r>
        <w:t xml:space="preserve">Two features make this diagnostic especially valuable for the standardization question. First, because adoption is coded before baseline, the pre-adoption window is not empty; there is real cost-trajectory information to examine, which is not always the case in event studies of practices adopted mid-stream. Second, the shape of the post-adoption coefficients speaks to the mechanism. The theory predicts that standardization’s benefit accrues at integration and verification, which occur well after baseline, so a mechanism-consistent result would show little immediate effect and a growing benefit in later post-baseline periods. A cost-growth reduction that appeared instantly at adoption would be suspicious, since the mechanism operates through deferred rework avoidance rather than immediate savings. The event study thus tests not only whether an effect exists but whether its timing matches the theory, which is a stronger form of corroboration than a single average effect.</w:t>
      </w:r>
    </w:p>
    <w:bookmarkEnd w:id="99"/>
    <w:bookmarkStart w:id="100" w:name="robustness-architecture"/>
    <w:p>
      <w:pPr>
        <w:pStyle w:val="Heading2"/>
        <w:spacing w:line="480" w:lineRule="auto"/>
      </w:pPr>
      <w:r>
        <w:t xml:space="preserve">4.7 Robustness architecture</w:t>
      </w:r>
    </w:p>
    <w:p>
      <w:pPr>
        <w:pStyle w:val="FirstParagraph"/>
        <w:spacing w:line="480" w:lineRule="auto"/>
      </w:pPr>
      <w:r>
        <w:t xml:space="preserve">A single estimate, however carefully identified, is not persuasive on a small sample, so the primary design is built as a family of specifications rather than a single regression. Three axes of robustness are planned. The first varies the treatment definition, contrasting the primary pre-baseline coding against the secondary timing specification that codes adoption before the first assessment in which the interface architecture is observable; agreement across the two would show the result is not an artifact of one coding rule. The second varies the comparison group, tightening and loosening the matching criteria to check that the estimate is stable as the definition of a comparable non-adopter changes. The third varies the sample, removing novel-architecture and national-priority projects whose cost dynamics are idiosyncratic, to confirm that a handful of unusual programs are not driving the result.</w:t>
      </w:r>
    </w:p>
    <w:p>
      <w:pPr>
        <w:pStyle w:val="BodyText"/>
        <w:spacing w:line="480" w:lineRule="auto"/>
        <w:ind w:firstLine="720"/>
      </w:pPr>
      <w:r>
        <w:t xml:space="preserve">This architecture is a direct response to the small population. When a treated group is small, any single specification is vulnerable to the influence of a few projects, and the honest defense is to show that the estimate persists across reasonable choices rather than to defend one choice as uniquely correct. The radiation-hardness-assurance literature offers a useful analogy in its insistence that a result be demonstrated across multiple testing approaches rather than a single one, precisely because any single method can mislead in a domain where failures are rare and expensive</w:t>
      </w:r>
      <w:r>
        <w:t xml:space="preserve"> </w:t>
      </w:r>
      <w:hyperlink w:anchor="ref-18">
        <w:r>
          <w:rPr>
            <w:rStyle w:val="Hyperlink"/>
          </w:rPr>
          <w:t xml:space="preserve">[18]</w:t>
        </w:r>
      </w:hyperlink>
      <w:r>
        <w:t xml:space="preserve">. The same reasoning motivates treating the cost-growth estimate as robust only if it survives variation across all three axes.</w:t>
      </w:r>
    </w:p>
    <w:bookmarkEnd w:id="100"/>
    <w:bookmarkStart w:id="101" w:name="X652d0c45dacd6aa58a558c9d812980a2ae210ac"/>
    <w:p>
      <w:pPr>
        <w:pStyle w:val="Heading2"/>
        <w:spacing w:line="480" w:lineRule="auto"/>
      </w:pPr>
      <w:r>
        <w:t xml:space="preserve">4.8 Why the two run layers are honest stand-ins, not substitutes</w:t>
      </w:r>
    </w:p>
    <w:p>
      <w:pPr>
        <w:pStyle w:val="FirstParagraph"/>
        <w:spacing w:line="480" w:lineRule="auto"/>
      </w:pPr>
      <w:r>
        <w:t xml:space="preserve">It bears emphasizing, because the distinction is easy to blur, that the two empirical layers are not a scaled-down version of the primary test. They estimate different quantities from different data and answer different questions. The regression layer estimates citation attention, an outcome that has no economic content and is used only to demonstrate that the treatment categories are separable</w:t>
      </w:r>
      <w:r>
        <w:t xml:space="preserve"> </w:t>
      </w:r>
      <w:hyperlink w:anchor="ref-6">
        <w:r>
          <w:rPr>
            <w:rStyle w:val="Hyperlink"/>
          </w:rPr>
          <w:t xml:space="preserve">[6]</w:t>
        </w:r>
      </w:hyperlink>
      <w:r>
        <w:t xml:space="preserve">. The learning-curve layer estimates an elasticity of evidence accumulation, a temporal descriptor with no cost content, used only to demonstrate that the practice has matured</w:t>
      </w:r>
      <w:r>
        <w:t xml:space="preserve"> </w:t>
      </w:r>
      <w:hyperlink w:anchor="ref-6">
        <w:r>
          <w:rPr>
            <w:rStyle w:val="Hyperlink"/>
          </w:rPr>
          <w:t xml:space="preserve">[6]</w:t>
        </w:r>
      </w:hyperlink>
      <w:r>
        <w:t xml:space="preserve">. Neither shares the primary design’s outcome, treatment, or identifying assumption.</w:t>
      </w:r>
    </w:p>
    <w:p>
      <w:pPr>
        <w:pStyle w:val="BodyText"/>
        <w:spacing w:line="480" w:lineRule="auto"/>
        <w:ind w:firstLine="720"/>
      </w:pPr>
      <w:r>
        <w:t xml:space="preserve">The relationship is one of precondition, not approximation. A completed cost-growth estimate requires a codable treatment and a matured practice; the two layers establish those requirements on real data so that the cost estimate, when the cost table becomes available, rests on demonstrated rather than assumed foundations. Presenting the layers as a partial answer to the cost question would be exactly the proxy substitution the dissertation refuses. Presenting them as feasibility evidence for a well-specified design is what they honestly are, and the interpretive discipline of keeping these roles distinct is itself part of the methodological contribution.</w:t>
      </w:r>
    </w:p>
    <w:p>
      <w:pPr>
        <w:pStyle w:val="BodyText"/>
        <w:spacing w:line="480" w:lineRule="auto"/>
        <w:ind w:firstLine="720"/>
      </w:pPr>
      <w:r>
        <w:t xml:space="preserve">The estimators are now specified, the identifying assumption stated and made falsifiable, the event-study diagnostic and robustness architecture laid out, and the relationship between the layers actually run and the primary design made explicit. What the estimators consume is data, and the credibility of every number depends on where that data came from and how each variable was built. The next chapter opens the dataset to inspection, observation by observation and variable by variable, so that the results in Chapter 6 can be read against a fully disclosed provenance.</w:t>
      </w:r>
    </w:p>
    <w:bookmarkEnd w:id="101"/>
    <w:bookmarkEnd w:id="102"/>
    <w:bookmarkStart w:id="113" w:name="chapter-5.-data-and-measurement"/>
    <w:p>
      <w:pPr>
        <w:pStyle w:val="Heading1"/>
        <w:spacing w:line="480" w:lineRule="auto"/>
      </w:pPr>
      <w:r>
        <w:t xml:space="preserve">Chapter 5. Data and Measurement</w:t>
      </w:r>
    </w:p>
    <w:p>
      <w:pPr>
        <w:pStyle w:val="FirstParagraph"/>
        <w:spacing w:line="480" w:lineRule="auto"/>
      </w:pPr>
      <w:r>
        <w:t xml:space="preserve">Data first. The credibility of an empirical claim is inseparable from the credibility of the data behind it. This chapter opens the dataset to inspection. It describes where every observation came from, how each variable was constructed, what the sample includes and excludes, and where the measurement is strong and where it is a proxy. The governing commitment is that a reader should be able to trace any number in Chapter 6 back to a real record and a stated rule, and that nothing in the data is illustrative or invented.</w:t>
      </w:r>
    </w:p>
    <w:bookmarkStart w:id="103" w:name="the-principle-behind-the-disclosure"/>
    <w:p>
      <w:pPr>
        <w:pStyle w:val="Heading2"/>
        <w:spacing w:line="480" w:lineRule="auto"/>
      </w:pPr>
      <w:r>
        <w:t xml:space="preserve">5.0 The principle behind the disclosure</w:t>
      </w:r>
    </w:p>
    <w:p>
      <w:pPr>
        <w:pStyle w:val="FirstParagraph"/>
        <w:spacing w:line="480" w:lineRule="auto"/>
      </w:pPr>
      <w:r>
        <w:t xml:space="preserve">The unusual length of this chapter is deliberate and follows from a principle: an empirical claim inherits the credibility of its data, and data credibility is established by disclosure, not by assertion. A reader who cannot trace a number to a record has no way to distinguish a real finding from an artifact, so the chapter discloses provenance, sample, variable construction, source families, and limits in enough detail that every figure in the next chapter can be checked against a stated rule and a real observation</w:t>
      </w:r>
      <w:r>
        <w:t xml:space="preserve"> </w:t>
      </w:r>
      <w:hyperlink w:anchor="ref-6">
        <w:r>
          <w:rPr>
            <w:rStyle w:val="Hyperlink"/>
          </w:rPr>
          <w:t xml:space="preserve">[6]</w:t>
        </w:r>
      </w:hyperlink>
      <w:r>
        <w:t xml:space="preserve">. The disclosure is the argument for trust, and skimping on it would undercut the results it supports.</w:t>
      </w:r>
    </w:p>
    <w:bookmarkEnd w:id="103"/>
    <w:bookmarkStart w:id="104" w:name="X66f563d94b6d566bf85102559e2fb1d94776375"/>
    <w:p>
      <w:pPr>
        <w:pStyle w:val="Heading2"/>
        <w:spacing w:line="480" w:lineRule="auto"/>
      </w:pPr>
      <w:r>
        <w:t xml:space="preserve">5.1 Provenance: four real sources and one export</w:t>
      </w:r>
    </w:p>
    <w:p>
      <w:pPr>
        <w:pStyle w:val="FirstParagraph"/>
        <w:spacing w:line="480" w:lineRule="auto"/>
      </w:pPr>
      <w:r>
        <w:t xml:space="preserve">The empirical dataset was built from source-traced metadata drawn from local corpus searches across ACTA, AMOS, and Space Economy source families, supplemented by the prospectus seed source list, and exported as a combined metadata table on 2026-06-28</w:t>
      </w:r>
      <w:r>
        <w:t xml:space="preserve"> </w:t>
      </w:r>
      <w:hyperlink w:anchor="ref-6">
        <w:r>
          <w:rPr>
            <w:rStyle w:val="Hyperlink"/>
          </w:rPr>
          <w:t xml:space="preserve">[6]</w:t>
        </w:r>
      </w:hyperlink>
      <w:r>
        <w:t xml:space="preserve">. Each observation retains a source field as its final column, so that provenance travels with the record rather than living in a separate log. Search terms combined the vocabulary of interface coordination: interface, standardization, interoperability, payload integration, bus interface, data exchange, modular interface, and CubeSat bus. Records were deduplicated by source family, title, and year, so a paper indexed in more than one search does not enter twice.</w:t>
      </w:r>
    </w:p>
    <w:p>
      <w:pPr>
        <w:pStyle w:val="BodyText"/>
        <w:spacing w:line="480" w:lineRule="auto"/>
        <w:ind w:firstLine="720"/>
      </w:pPr>
      <w:r>
        <w:t xml:space="preserve">This dataset is the empirical instrument for the two layers reported in Chapter 6. It is not the project-level cost table that the primary design requires. The prospectus specifies four public data sources for that primary design, and it is worth stating them here so the reader can see the distance between what was built and what the full test would consume. Primary technical records from the NASA Technical Reports Server would supply the dated adoption evidence, coded from interface-control documents, named interface standards, reusable bus or payload interfaces, standardized data-exchange interfaces, and standardized ground or observer interfaces. Annual accountability assessments would supply baseline cost, current life-cycle cost, launch-readiness dates, project phase, and reported risk descriptors, from which percentage life-cycle cost growth would be computed. Budget justifications would reconcile program naming, account structures, and fiscal-year reporting across time. Mission press kits and public mission pages would validate launch dates, destinations, and payload counts, used only to corroborate values also traceable to the accountability or budget records. The metadata dataset stands in for none of these. It establishes the construct on which their eventual use depends.</w:t>
      </w:r>
    </w:p>
    <w:bookmarkEnd w:id="104"/>
    <w:bookmarkStart w:id="105" w:name="Xab29c3348f66747a18643305fad6b5a2452e222"/>
    <w:p>
      <w:pPr>
        <w:pStyle w:val="Heading2"/>
        <w:spacing w:line="480" w:lineRule="auto"/>
      </w:pPr>
      <w:r>
        <w:t xml:space="preserve">5.2 The sample: eighty records across nineteen years</w:t>
      </w:r>
    </w:p>
    <w:p>
      <w:pPr>
        <w:pStyle w:val="FirstParagraph"/>
        <w:spacing w:line="480" w:lineRule="auto"/>
      </w:pPr>
      <w:r>
        <w:t xml:space="preserve">The dataset contains eighty real observations and zero illustrative rows</w:t>
      </w:r>
      <w:r>
        <w:t xml:space="preserve"> </w:t>
      </w:r>
      <w:hyperlink w:anchor="ref-6">
        <w:r>
          <w:rPr>
            <w:rStyle w:val="Hyperlink"/>
          </w:rPr>
          <w:t xml:space="preserve">[6]</w:t>
        </w:r>
      </w:hyperlink>
      <w:r>
        <w:t xml:space="preserve">. Each observation is a source-traced metadata record with a year, a title, a DOI where the source carries one, a source-family label, a citation count where the local metadata reports one, and a set of classification flags. The records span publication years from 2007 through 2025, a nineteen-year window that becomes the temporal spine of the second empirical layer. They divide between two source families with different indexing structures: a set of AMOS conference records and a set of ACTA journal records, joined by seed sources from the prospectus reference set.</w:t>
      </w:r>
    </w:p>
    <w:p>
      <w:pPr>
        <w:pStyle w:val="BodyText"/>
        <w:spacing w:line="480" w:lineRule="auto"/>
        <w:ind w:firstLine="720"/>
      </w:pPr>
      <w:r>
        <w:t xml:space="preserve">The distribution across years is uneven, and the unevenness matters for the learning-curve layer. Early years are sparse, with two records in 2007 and none in 2008 and 2011, while later years are dense, with twelve records in 2024 and fourteen in 2025</w:t>
      </w:r>
      <w:r>
        <w:t xml:space="preserve"> </w:t>
      </w:r>
      <w:hyperlink w:anchor="ref-6">
        <w:r>
          <w:rPr>
            <w:rStyle w:val="Hyperlink"/>
          </w:rPr>
          <w:t xml:space="preserve">[6]</w:t>
        </w:r>
      </w:hyperlink>
      <w:r>
        <w:t xml:space="preserve">. This rising density is not an artifact of search effort; it reflects a genuinely growing literature, and it is the raw material from which the cumulative evidence stock is built. The titles themselves range across the interface problem at every scale: flat-panel space-based surveillance sensors, chip-scale imaging payloads, lunar and cislunar domain-awareness sensor suites, CubeSat integration into surveillance architectures, modular attitude-control subsystems, on-orbit servicing and assembly, and standardized modular assembly methods for CubeSats. The breadth is the point. It is what lets the construct span the bus, payload, data-exchange, and modular-integration subdomains the theory requires.</w:t>
      </w:r>
    </w:p>
    <w:bookmarkEnd w:id="105"/>
    <w:bookmarkStart w:id="106" w:name="X763fbca8345bea3026b32004e00f0c9efc0295a"/>
    <w:p>
      <w:pPr>
        <w:pStyle w:val="Heading2"/>
        <w:spacing w:line="480" w:lineRule="auto"/>
      </w:pPr>
      <w:r>
        <w:t xml:space="preserve">5.3 Variable construction in the regression layer</w:t>
      </w:r>
    </w:p>
    <w:p>
      <w:pPr>
        <w:pStyle w:val="FirstParagraph"/>
        <w:spacing w:line="480" w:lineRule="auto"/>
      </w:pPr>
      <w:r>
        <w:t xml:space="preserve">Start with the outcome. The dependent variable in the first layer is citation count. It is measured from citation counts reported in the local ACTA metadata where present, and coded as zero where the source family does not carry a citation field</w:t>
      </w:r>
      <w:r>
        <w:t xml:space="preserve"> </w:t>
      </w:r>
      <w:hyperlink w:anchor="ref-6">
        <w:r>
          <w:rPr>
            <w:rStyle w:val="Hyperlink"/>
          </w:rPr>
          <w:t xml:space="preserve">[6]</w:t>
        </w:r>
      </w:hyperlink>
      <w:r>
        <w:t xml:space="preserve">. This construction demands scrutiny, because it is the single most consequential measurement decision in the dataset. ACTA journal records carry citation counts in the local index; AMOS conference records and seed records generally do not. Missing citation fields are therefore coded as zero rather than dropped, which makes the model conservative for non-ACTA records and, by construction, gives the ACTA source-family flag real work to do. The consequence, visible in Chapter 6, is that source family emerges as the stable predictor, and the honest reading is that the model partly recovers the indexing structure of the sources rather than a pure attention premium. The measurement choice is disclosed precisely so this reading is available to the reader rather than hidden.</w:t>
      </w:r>
    </w:p>
    <w:p>
      <w:pPr>
        <w:pStyle w:val="BodyText"/>
        <w:spacing w:line="480" w:lineRule="auto"/>
        <w:ind w:firstLine="720"/>
      </w:pPr>
      <w:r>
        <w:t xml:space="preserve">The predictors are constructed from the record text and metadata. Paper age plus one is 2026 minus the publication year plus one, a standard transformation that keeps the variable positive and interpretable</w:t>
      </w:r>
      <w:r>
        <w:t xml:space="preserve"> </w:t>
      </w:r>
      <w:hyperlink w:anchor="ref-6">
        <w:r>
          <w:rPr>
            <w:rStyle w:val="Hyperlink"/>
          </w:rPr>
          <w:t xml:space="preserve">[6]</w:t>
        </w:r>
      </w:hyperlink>
      <w:r>
        <w:t xml:space="preserve">. The interface-terminology flag marks records containing interface, standard, interoperability, exchange, or protocol language. The payload-or-bus flag marks records concerning payload, bus, subsystem, CubeSat, smallsat, nanosatellite, or instrument coupling. The data flag marks records concerning space situational or domain awareness, observer, sensor, surveillance, tracking, or catalog data exchange. The modular-or-service flag marks records concerning modularity, orbital replacement units, replacement, servicing, capture, assembly, or integration. The ACTA flag marks records from the ACTA journal corpus. Each flag is computed from title, keywords, snippet, track, or seed metadata, so the coding rule is mechanical and reproducible rather than a matter of judgment applied case by case</w:t>
      </w:r>
      <w:r>
        <w:t xml:space="preserve"> </w:t>
      </w:r>
      <w:hyperlink w:anchor="ref-6">
        <w:r>
          <w:rPr>
            <w:rStyle w:val="Hyperlink"/>
          </w:rPr>
          <w:t xml:space="preserve">[6]</w:t>
        </w:r>
      </w:hyperlink>
      <w:r>
        <w:t xml:space="preserve">.</w:t>
      </w:r>
    </w:p>
    <w:p>
      <w:pPr>
        <w:pStyle w:val="BodyText"/>
        <w:spacing w:line="480" w:lineRule="auto"/>
        <w:ind w:firstLine="720"/>
      </w:pPr>
      <w:r>
        <w:t xml:space="preserve">These flags are proxies, and the chapter says so. A flag computed from title and metadata is a coarser instrument than full-text coding of an actual interface-control document. It captures topical presence, not depth of adoption. For the construct-validity purpose of the first layer, topical separability is sufficient, since the question is whether the categories are identifiable at all. For the eventual project-level treatment coding, the prospectus rightly demands dated documentary evidence rather than a topical flag, and Chapter 4 preserves that stricter standard for the primary design.</w:t>
      </w:r>
    </w:p>
    <w:bookmarkEnd w:id="106"/>
    <w:bookmarkStart w:id="107" w:name="Xfcb48eec5ce36a798176a361ac78fc6f543a3e6"/>
    <w:p>
      <w:pPr>
        <w:pStyle w:val="Heading2"/>
        <w:spacing w:line="480" w:lineRule="auto"/>
      </w:pPr>
      <w:r>
        <w:t xml:space="preserve">5.4 Variable construction in the learning-curve layer</w:t>
      </w:r>
    </w:p>
    <w:p>
      <w:pPr>
        <w:pStyle w:val="FirstParagraph"/>
        <w:spacing w:line="480" w:lineRule="auto"/>
      </w:pPr>
      <w:r>
        <w:t xml:space="preserve">The second layer aggregates the same eighty records into annual counts, producing a nineteen-row panel from 2007 through 2025</w:t>
      </w:r>
      <w:r>
        <w:t xml:space="preserve"> </w:t>
      </w:r>
      <w:hyperlink w:anchor="ref-6">
        <w:r>
          <w:rPr>
            <w:rStyle w:val="Hyperlink"/>
          </w:rPr>
          <w:t xml:space="preserve">[6]</w:t>
        </w:r>
      </w:hyperlink>
      <w:r>
        <w:t xml:space="preserve">. For each year the panel records the number of retained evidence records, the number explicitly containing interface or standards language, the number classified as payload, bus, subsystem, or instrument coupling, and the number classified as data exchange, together with the running cumulative totals. The dependent variable for the curve is one plus the cumulative count of source-traced evidence records through the year, and the predictor is one plus the elapsed years since the first retained record</w:t>
      </w:r>
      <w:r>
        <w:t xml:space="preserve"> </w:t>
      </w:r>
      <w:hyperlink w:anchor="ref-6">
        <w:r>
          <w:rPr>
            <w:rStyle w:val="Hyperlink"/>
          </w:rPr>
          <w:t xml:space="preserve">[6]</w:t>
        </w:r>
      </w:hyperlink>
      <w:r>
        <w:t xml:space="preserve">. The plus-one transformations keep the logarithms defined at the origin and are standard for learning-curve estimation.</w:t>
      </w:r>
    </w:p>
    <w:p>
      <w:pPr>
        <w:pStyle w:val="BodyText"/>
        <w:spacing w:line="480" w:lineRule="auto"/>
        <w:ind w:firstLine="720"/>
      </w:pPr>
      <w:r>
        <w:t xml:space="preserve">This aggregation has two virtues worth naming. It makes the evidence base reproducible, because every annual count traces back to the underlying records in the regression-layer file, and it separates the maturity of the literature from the economic effect of adoption, because a growing count of records is explicitly a statement about the literature and not about project cost. The cumulative series rises from three at the origin to eighty-one by the final year, and it is this monotone accumulation that the log-log curve summarizes</w:t>
      </w:r>
      <w:r>
        <w:t xml:space="preserve"> </w:t>
      </w:r>
      <w:hyperlink w:anchor="ref-6">
        <w:r>
          <w:rPr>
            <w:rStyle w:val="Hyperlink"/>
          </w:rPr>
          <w:t xml:space="preserve">[6]</w:t>
        </w:r>
      </w:hyperlink>
      <w:r>
        <w:t xml:space="preserve">.</w:t>
      </w:r>
    </w:p>
    <w:bookmarkEnd w:id="107"/>
    <w:bookmarkStart w:id="108" w:name="Xb2a6becfa5fc099835d8286a47682a8437e9cf7"/>
    <w:p>
      <w:pPr>
        <w:pStyle w:val="Heading2"/>
        <w:spacing w:line="480" w:lineRule="auto"/>
      </w:pPr>
      <w:r>
        <w:t xml:space="preserve">5.5 What the measurement can and cannot support</w:t>
      </w:r>
    </w:p>
    <w:p>
      <w:pPr>
        <w:pStyle w:val="FirstParagraph"/>
        <w:spacing w:line="480" w:lineRule="auto"/>
      </w:pPr>
      <w:r>
        <w:t xml:space="preserve">The dataset supports two claims and refuses a third. It supports the claim that interface-standardization evidence is identifiable and separable in the public record, because the classification flags partition the eighty records into coherent, non-arbitrary categories that can be counted and modeled. It supports the claim that this evidence base has accumulated across nineteen years in a measurable pattern, because the annual aggregation yields a clean cumulative series with a strong log-log fit. It refuses the claim that any of this measures the economic effect of adoption on project cost, because the dataset contains no project costs, no baselines, and no adoption dates tied to cost outcomes. The refusal is deliberate and is enforced by the source tracing itself: there is no cost column to over-read.</w:t>
      </w:r>
    </w:p>
    <w:p>
      <w:pPr>
        <w:pStyle w:val="BodyText"/>
        <w:spacing w:line="480" w:lineRule="auto"/>
        <w:ind w:firstLine="720"/>
      </w:pPr>
      <w:r>
        <w:t xml:space="preserve">The measurement limitations are therefore bounded and disclosed rather than hidden. Citation counts are not uniformly available across source families, and the zero-coding of missing fields shapes the regression result. Classification flags are topical proxies, not full-text adoption codes. Search terms shape inclusion, so the sample is a defensible slice of the interface-standardization literature rather than a census of it. Nineteen annual observations are a small panel, and the learning curve describes the retained window rather than forecasting beyond it. Against these limits stands the compensating strength that every observation is real, every variable is constructed by a stated rule, and every record carries its source</w:t>
      </w:r>
      <w:r>
        <w:t xml:space="preserve"> </w:t>
      </w:r>
      <w:hyperlink w:anchor="ref-6">
        <w:r>
          <w:rPr>
            <w:rStyle w:val="Hyperlink"/>
          </w:rPr>
          <w:t xml:space="preserve">[6]</w:t>
        </w:r>
      </w:hyperlink>
      <w:r>
        <w:t xml:space="preserve">. That is the trade the dataset makes: it gives up the cost outcome it cannot honestly supply and delivers, in exchange, a fully auditable foundation for the construct on which the cost test would be built.</w:t>
      </w:r>
    </w:p>
    <w:bookmarkEnd w:id="108"/>
    <w:bookmarkStart w:id="109" w:name="Xcd716664f5638e39fcd91f9cef1b7dad3246a89"/>
    <w:p>
      <w:pPr>
        <w:pStyle w:val="Heading2"/>
        <w:spacing w:line="480" w:lineRule="auto"/>
      </w:pPr>
      <w:r>
        <w:t xml:space="preserve">5.5a The classification flags as a coding instrument</w:t>
      </w:r>
    </w:p>
    <w:p>
      <w:pPr>
        <w:pStyle w:val="FirstParagraph"/>
        <w:spacing w:line="480" w:lineRule="auto"/>
      </w:pPr>
      <w:r>
        <w:t xml:space="preserve">The four technical flags deserve to be understood as a coding instrument with a definite grain, because their grain determines what the first empirical layer can and cannot see. Each flag fires on the presence of vocabulary in the record’s title, keywords, snippet, track, or seed metadata, which means the instrument detects topical presence at the granularity of a metadata record rather than the depth of an engineering practice inside a full document</w:t>
      </w:r>
      <w:r>
        <w:t xml:space="preserve"> </w:t>
      </w:r>
      <w:hyperlink w:anchor="ref-6">
        <w:r>
          <w:rPr>
            <w:rStyle w:val="Hyperlink"/>
          </w:rPr>
          <w:t xml:space="preserve">[6]</w:t>
        </w:r>
      </w:hyperlink>
      <w:r>
        <w:t xml:space="preserve">. A record about a CubeSat bus interface and a record that merely mentions a bus in passing both fire the payload-or-bus flag, and the instrument cannot distinguish them. This coarseness is acceptable for the construct-validity question, which asks only whether the categories are separable, and it is unacceptable for the treatment-coding question, which asks how deeply a project adopted a standard, which is why the primary design reserves a stricter documentary standard.</w:t>
      </w:r>
    </w:p>
    <w:p>
      <w:pPr>
        <w:pStyle w:val="BodyText"/>
        <w:spacing w:line="480" w:lineRule="auto"/>
        <w:ind w:firstLine="720"/>
      </w:pPr>
      <w:r>
        <w:t xml:space="preserve">Reading the flags across the eighty records shows the instrument behaving sensibly. The interface-terminology flag fires broadly, since interface language is common across the corpus. The payload-or-bus flag concentrates on the spacecraft-engineering records, the data flag on the surveillance and awareness records, and the modular-or-service flag on the assembly, servicing, and replacement records</w:t>
      </w:r>
      <w:r>
        <w:t xml:space="preserve"> </w:t>
      </w:r>
      <w:hyperlink w:anchor="ref-6">
        <w:r>
          <w:rPr>
            <w:rStyle w:val="Hyperlink"/>
          </w:rPr>
          <w:t xml:space="preserve">[6]</w:t>
        </w:r>
      </w:hyperlink>
      <w:r>
        <w:t xml:space="preserve">. The categories overlap where the underlying work overlaps, which is expected: a paper on modular CubeSat assembly fires both the payload-bus and the modular flags because it genuinely concerns both. This overlap is not noise but structure, and it is the structure that lets the construct span the bus, payload, data, and modular subdomains the theory requires while remaining coded by a single mechanical rule.</w:t>
      </w:r>
    </w:p>
    <w:bookmarkEnd w:id="109"/>
    <w:bookmarkStart w:id="110" w:name="a-closer-look-at-the-source-families"/>
    <w:p>
      <w:pPr>
        <w:pStyle w:val="Heading2"/>
        <w:spacing w:line="480" w:lineRule="auto"/>
      </w:pPr>
      <w:r>
        <w:t xml:space="preserve">5.6 A closer look at the source families</w:t>
      </w:r>
    </w:p>
    <w:p>
      <w:pPr>
        <w:pStyle w:val="FirstParagraph"/>
        <w:spacing w:line="480" w:lineRule="auto"/>
      </w:pPr>
      <w:r>
        <w:t xml:space="preserve">Source family carries the result. Because that distinction turns out to drive the regression, it deserves description in its own right rather than as a footnote to the coefficient. The AMOS records are conference proceedings from a surveillance and space-situational-awareness community, and in the local index they generally do not carry a citation count, which is why the construction rule assigns them zero</w:t>
      </w:r>
      <w:r>
        <w:t xml:space="preserve"> </w:t>
      </w:r>
      <w:hyperlink w:anchor="ref-6">
        <w:r>
          <w:rPr>
            <w:rStyle w:val="Hyperlink"/>
          </w:rPr>
          <w:t xml:space="preserve">[6]</w:t>
        </w:r>
      </w:hyperlink>
      <w:r>
        <w:t xml:space="preserve">. Their titles cluster around sensors, surveillance architectures, data fusion, and observatory systems: flat-panel surveillance sensors, cislunar sensor fleets, space-fence automation, and integrated monitoring networks for flight safety</w:t>
      </w:r>
      <w:r>
        <w:t xml:space="preserve"> </w:t>
      </w:r>
      <w:hyperlink w:anchor="ref-14">
        <w:r>
          <w:rPr>
            <w:rStyle w:val="Hyperlink"/>
          </w:rPr>
          <w:t xml:space="preserve">[14]</w:t>
        </w:r>
      </w:hyperlink>
      <w:r>
        <w:t xml:space="preserve">. The ACTA records are peer-reviewed journal articles that do carry citation counts, and their titles cluster around spacecraft engineering and mission design: CubeSat constellations for messaging, modular assembly methods, compliant docking joints, on-orbit servicing, and robotic telescope assembly</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These two families are not interchangeable, and the difference is substantive as well as bibliometric. Conference proceedings and journal articles differ in review process, indexing, and citation culture, so a citation-count comparison across them measures the indexing structure at least as much as it measures scholarly impact. Disclosing this makes the Chapter 6 result legible: when the model reports a large, significant ACTA coefficient, the reader already knows that ACTA is the family that carries citation metadata and that AMOS records were zero-coded, so the coefficient’s meaning is bounded in advance. The dataset does not hide this dependence behind a summary statistic; it exposes the source of the effect so that the effect cannot be misread as a standardization premium.</w:t>
      </w:r>
    </w:p>
    <w:bookmarkEnd w:id="110"/>
    <w:bookmarkStart w:id="111" w:name="reproducibility-and-the-audit-trail"/>
    <w:p>
      <w:pPr>
        <w:pStyle w:val="Heading2"/>
        <w:spacing w:line="480" w:lineRule="auto"/>
      </w:pPr>
      <w:r>
        <w:t xml:space="preserve">5.7 Reproducibility and the audit trail</w:t>
      </w:r>
    </w:p>
    <w:p>
      <w:pPr>
        <w:pStyle w:val="FirstParagraph"/>
        <w:spacing w:line="480" w:lineRule="auto"/>
      </w:pPr>
      <w:r>
        <w:t xml:space="preserve">Every claim in the empirical chapters can be traced to a specific record, and the dataset is built so that this tracing is mechanical rather than a matter of trust. Each of the eighty regression-layer observations carries a paper identifier, a year, a title, a DOI where the source supplies one, the classification flags, the citation value, and a source string describing the exact query and export that produced it</w:t>
      </w:r>
      <w:r>
        <w:t xml:space="preserve"> </w:t>
      </w:r>
      <w:hyperlink w:anchor="ref-6">
        <w:r>
          <w:rPr>
            <w:rStyle w:val="Hyperlink"/>
          </w:rPr>
          <w:t xml:space="preserve">[6]</w:t>
        </w:r>
      </w:hyperlink>
      <w:r>
        <w:t xml:space="preserve">. Each of the nineteen learning-curve rows is an aggregate whose components are the same eighty records, so a reader can reconstruct any annual count by filtering the record-level file to a given year and applying the classification rules. There is no hidden intermediate step, no manual adjustment applied between the records and the aggregates, and no observation whose provenance is unrecorded.</w:t>
      </w:r>
    </w:p>
    <w:p>
      <w:pPr>
        <w:pStyle w:val="BodyText"/>
        <w:spacing w:line="480" w:lineRule="auto"/>
        <w:ind w:firstLine="720"/>
      </w:pPr>
      <w:r>
        <w:t xml:space="preserve">This audit trail is not merely good practice; it is load-bearing for the dissertation’s central methodological commitment. The refusal to substitute proxies for outcomes is only credible if a reader can verify that the reported numbers come from the stated data, and the source tracing is what makes that verification possible. It also disciplines the interpretation. Because the cost column that a treatment-effect estimate would require is visibly absent from the dataset, no reader and no author can accidentally read the bibliometric results as cost results; the structure of the data itself enforces the boundary that Chapter 4 drew in argument. The sustainability-rating literature makes the general case that a measurement instrument’s credibility depends on the transparency of its construction</w:t>
      </w:r>
      <w:r>
        <w:t xml:space="preserve"> </w:t>
      </w:r>
      <w:hyperlink w:anchor="ref-7">
        <w:r>
          <w:rPr>
            <w:rStyle w:val="Hyperlink"/>
          </w:rPr>
          <w:t xml:space="preserve">[7]</w:t>
        </w:r>
      </w:hyperlink>
      <w:r>
        <w:t xml:space="preserve"> </w:t>
      </w:r>
      <w:hyperlink w:anchor="ref-21">
        <w:r>
          <w:rPr>
            <w:rStyle w:val="Hyperlink"/>
          </w:rPr>
          <w:t xml:space="preserve">[21]</w:t>
        </w:r>
      </w:hyperlink>
      <w:r>
        <w:t xml:space="preserve">, and the audit trail here is the local application of that principle.</w:t>
      </w:r>
    </w:p>
    <w:bookmarkEnd w:id="111"/>
    <w:bookmarkStart w:id="112" w:name="from-measurement-to-result"/>
    <w:p>
      <w:pPr>
        <w:pStyle w:val="Heading2"/>
        <w:spacing w:line="480" w:lineRule="auto"/>
      </w:pPr>
      <w:r>
        <w:t xml:space="preserve">5.8 From measurement to result</w:t>
      </w:r>
    </w:p>
    <w:p>
      <w:pPr>
        <w:pStyle w:val="FirstParagraph"/>
        <w:spacing w:line="480" w:lineRule="auto"/>
      </w:pPr>
      <w:r>
        <w:t xml:space="preserve">The measurement decisions described in this chapter fully determine how the Chapter 6 results should be read, and it is worth stating the linkage explicitly before turning to the numbers. The zero-coding of missing citation fields is why source family, not technical content, will emerge as the stable predictor in the attention model. The topical-flag construction is why the model can speak to construct separability but not to depth of adoption. The plus-one transformations and the annual aggregation are why the learning curve is defined at the origin and why its elasticity describes accumulation over the retained window rather than a forecast. None of these is a hidden assumption smuggled into the results; each is a stated construction rule whose consequence is visible in the output</w:t>
      </w:r>
      <w:r>
        <w:t xml:space="preserve"> </w:t>
      </w:r>
      <w:hyperlink w:anchor="ref-6">
        <w:r>
          <w:rPr>
            <w:rStyle w:val="Hyperlink"/>
          </w:rPr>
          <w:t xml:space="preserve">[6]</w:t>
        </w:r>
      </w:hyperlink>
      <w:r>
        <w:t xml:space="preserve">.</w:t>
      </w:r>
    </w:p>
    <w:p>
      <w:pPr>
        <w:pStyle w:val="BodyText"/>
        <w:spacing w:line="480" w:lineRule="auto"/>
        <w:ind w:firstLine="720"/>
      </w:pPr>
      <w:r>
        <w:t xml:space="preserve">With provenance, sample, variables, source families, audit trail, and limits now on the record, the results can be read for what they are. The next chapter reports the estimator output from both layers exactly as the analyses produced it, coefficient by coefficient, and interprets the signs and magnitudes against the theory and the measurement described here.</w:t>
      </w:r>
    </w:p>
    <w:bookmarkEnd w:id="112"/>
    <w:bookmarkEnd w:id="113"/>
    <w:bookmarkStart w:id="123" w:name="chapter-6.-results"/>
    <w:p>
      <w:pPr>
        <w:pStyle w:val="Heading1"/>
        <w:spacing w:line="480" w:lineRule="auto"/>
      </w:pPr>
      <w:r>
        <w:t xml:space="preserve">Chapter 6. Results</w:t>
      </w:r>
    </w:p>
    <w:p>
      <w:pPr>
        <w:pStyle w:val="FirstParagraph"/>
        <w:spacing w:line="480" w:lineRule="auto"/>
      </w:pPr>
      <w:r>
        <w:t xml:space="preserve">Here are the numbers. This chapter reports the estimator output from both empirical layers exactly as the analyses produced it, and then interprets the signs and magnitudes against the theory of Chapter 3 and the measurement of Chapter 5. Nothing here is rounded toward a preferred conclusion, and nothing is dramatized. The first layer is a robust ordinary-least-squares model of citation attention. The second is a log-log learning curve for evidence accumulation. Read together, they establish that the interface-standardization construct is separable and that its evidence base has matured, while refusing to claim the cost effect neither was built to estimate.</w:t>
      </w:r>
    </w:p>
    <w:bookmarkStart w:id="114" w:name="the-citation-attention-model"/>
    <w:p>
      <w:pPr>
        <w:pStyle w:val="Heading2"/>
        <w:spacing w:line="480" w:lineRule="auto"/>
      </w:pPr>
      <w:r>
        <w:t xml:space="preserve">6.1 The citation-attention model</w:t>
      </w:r>
    </w:p>
    <w:p>
      <w:pPr>
        <w:pStyle w:val="FirstParagraph"/>
        <w:spacing w:line="480" w:lineRule="auto"/>
      </w:pPr>
      <w:r>
        <w:t xml:space="preserve">The first layer regresses citation count on paper age plus one, an interface-terminology flag, a payload-or-bus flag, a space-domain-awareness data flag, a modular-or-service flag, and an ACTA source-family flag, across the eighty source-traced records described in Chapter 5. The model reports N = 80, R-squared = 0.3563, and adjusted R-squared = 0.3034</w:t>
      </w:r>
      <w:r>
        <w:t xml:space="preserve"> </w:t>
      </w:r>
      <w:hyperlink w:anchor="ref-6">
        <w:r>
          <w:rPr>
            <w:rStyle w:val="Hyperlink"/>
          </w:rPr>
          <w:t xml:space="preserve">[6]</w:t>
        </w:r>
      </w:hyperlink>
      <w:r>
        <w:t xml:space="preserve">. The overall F statistic is 2.2451 with an F p-value of 0.0482</w:t>
      </w:r>
      <w:r>
        <w:t xml:space="preserve"> </w:t>
      </w:r>
      <w:hyperlink w:anchor="ref-6">
        <w:r>
          <w:rPr>
            <w:rStyle w:val="Hyperlink"/>
          </w:rPr>
          <w:t xml:space="preserve">[6]</w:t>
        </w:r>
      </w:hyperlink>
      <w:r>
        <w:t xml:space="preserve">. The model is therefore jointly significant at the conventional five percent threshold, but only marginally so, and the gap between the R-squared and the adjusted R-squared signals that several of the six predictors are contributing little once the others are present.</w:t>
      </w:r>
    </w:p>
    <w:p>
      <w:pPr>
        <w:pStyle w:val="BodyText"/>
        <w:spacing w:line="480" w:lineRule="auto"/>
        <w:ind w:firstLine="720"/>
      </w:pPr>
      <w:r>
        <w:t xml:space="preserve">Look at the coefficients. They tell a consistent story about where the explanatory power sits. Paper age plus one has a coefficient of 0.1600 with p = 0.2390</w:t>
      </w:r>
      <w:r>
        <w:t xml:space="preserve"> </w:t>
      </w:r>
      <w:hyperlink w:anchor="ref-6">
        <w:r>
          <w:rPr>
            <w:rStyle w:val="Hyperlink"/>
          </w:rPr>
          <w:t xml:space="preserve">[6]</w:t>
        </w:r>
      </w:hyperlink>
      <w:r>
        <w:t xml:space="preserve">. The point estimate is positive, which is the expected direction, since older papers have had more time to accumulate citations, but the coefficient is not statistically distinguishable from zero in this sample. The interface-terminology flag has a coefficient of -0.8448 with p = 0.4466</w:t>
      </w:r>
      <w:r>
        <w:t xml:space="preserve"> </w:t>
      </w:r>
      <w:hyperlink w:anchor="ref-6">
        <w:r>
          <w:rPr>
            <w:rStyle w:val="Hyperlink"/>
          </w:rPr>
          <w:t xml:space="preserve">[6]</w:t>
        </w:r>
      </w:hyperlink>
      <w:r>
        <w:t xml:space="preserve">. The payload-or-bus flag has a coefficient of -0.3800 with p = 0.7268</w:t>
      </w:r>
      <w:r>
        <w:t xml:space="preserve"> </w:t>
      </w:r>
      <w:hyperlink w:anchor="ref-6">
        <w:r>
          <w:rPr>
            <w:rStyle w:val="Hyperlink"/>
          </w:rPr>
          <w:t xml:space="preserve">[6]</w:t>
        </w:r>
      </w:hyperlink>
      <w:r>
        <w:t xml:space="preserve">. The modular-or-service flag has a coefficient of -0.7365 with p = 0.4398</w:t>
      </w:r>
      <w:r>
        <w:t xml:space="preserve"> </w:t>
      </w:r>
      <w:hyperlink w:anchor="ref-6">
        <w:r>
          <w:rPr>
            <w:rStyle w:val="Hyperlink"/>
          </w:rPr>
          <w:t xml:space="preserve">[6]</w:t>
        </w:r>
      </w:hyperlink>
      <w:r>
        <w:t xml:space="preserve">. These three technical flags are small, negative, and imprecise, none approaching significance.</w:t>
      </w:r>
    </w:p>
    <w:p>
      <w:pPr>
        <w:pStyle w:val="BodyText"/>
        <w:spacing w:line="480" w:lineRule="auto"/>
        <w:ind w:firstLine="720"/>
      </w:pPr>
      <w:r>
        <w:t xml:space="preserve">Two coefficients stand out. They differ sharply from the rest. The space-domain-awareness data flag has a coefficient of -9.0286 with p = 0.0745</w:t>
      </w:r>
      <w:r>
        <w:t xml:space="preserve"> </w:t>
      </w:r>
      <w:hyperlink w:anchor="ref-6">
        <w:r>
          <w:rPr>
            <w:rStyle w:val="Hyperlink"/>
          </w:rPr>
          <w:t xml:space="preserve">[6]</w:t>
        </w:r>
      </w:hyperlink>
      <w:r>
        <w:t xml:space="preserve">. It is large and negative, and it approaches but does not cross the five percent threshold. The ACTA source-family flag has a coefficient of 6.7785 with p = 0.0139</w:t>
      </w:r>
      <w:r>
        <w:t xml:space="preserve"> </w:t>
      </w:r>
      <w:hyperlink w:anchor="ref-6">
        <w:r>
          <w:rPr>
            <w:rStyle w:val="Hyperlink"/>
          </w:rPr>
          <w:t xml:space="preserve">[6]</w:t>
        </w:r>
      </w:hyperlink>
      <w:r>
        <w:t xml:space="preserve">. It is the one predictor that is clearly significant. The reading that Chapter 5 prepared is now visible in the numbers: the stable signal in this model is source family, not any technical category. ACTA journal records, which carry citation metadata in the local index, attract more recorded citation attention than the mixed conference and seed records for which missing citation fields were coded as zero.</w:t>
      </w:r>
    </w:p>
    <w:bookmarkEnd w:id="114"/>
    <w:bookmarkStart w:id="115" w:name="interpreting-the-attention-model"/>
    <w:p>
      <w:pPr>
        <w:pStyle w:val="Heading2"/>
        <w:spacing w:line="480" w:lineRule="auto"/>
      </w:pPr>
      <w:r>
        <w:t xml:space="preserve">6.2 Interpreting the attention model</w:t>
      </w:r>
    </w:p>
    <w:p>
      <w:pPr>
        <w:pStyle w:val="FirstParagraph"/>
        <w:spacing w:line="480" w:lineRule="auto"/>
      </w:pPr>
      <w:r>
        <w:t xml:space="preserve">The temptation with a result like the ACTA coefficient is to read it as an interface-standardization premium, as if standardization work were rewarded with attention. The data do not support that reading, and the honest interpretation resists it. The ACTA flag marks a source family, not a standardization practice, and its significance is consistent with the mundane fact that a peer-reviewed journal corpus carries citation counts while conference and seed metadata often do not</w:t>
      </w:r>
      <w:r>
        <w:t xml:space="preserve"> </w:t>
      </w:r>
      <w:hyperlink w:anchor="ref-6">
        <w:r>
          <w:rPr>
            <w:rStyle w:val="Hyperlink"/>
          </w:rPr>
          <w:t xml:space="preserve">[6]</w:t>
        </w:r>
      </w:hyperlink>
      <w:r>
        <w:t xml:space="preserve">. The coefficient recovers the indexing structure of the sources before it recovers anything about the economics of standardization. That is why Chapter 5 disclosed the zero-coding of missing citation fields in such detail: it is the measurement decision that gives this coefficient its size and its significance.</w:t>
      </w:r>
    </w:p>
    <w:p>
      <w:pPr>
        <w:pStyle w:val="BodyText"/>
        <w:spacing w:line="480" w:lineRule="auto"/>
        <w:ind w:firstLine="720"/>
      </w:pPr>
      <w:r>
        <w:t xml:space="preserve">The imprecision of the technical flags is not a disappointment but a discipline. If interface, payload-bus, and modular flags had loaded strongly on citation attention, the dissertation would face the temptation to treat academic visibility as a stand-in for economic value, exactly the shortcut Chapter 4 foreclosed. Their small, insignificant coefficients prevent that error. They say that being about interfaces does not, by itself, make a paper more cited, once source family and age are accounted for, and therefore that citation attention cannot substitute for a cost-growth estimate. The large negative data-flag coefficient, at p = 0.0745, is suggestive rather than conclusive and should not be over-read on a sample of eighty where a handful of high-citation records can move a coefficient of this magnitude</w:t>
      </w:r>
      <w:r>
        <w:t xml:space="preserve"> </w:t>
      </w:r>
      <w:hyperlink w:anchor="ref-6">
        <w:r>
          <w:rPr>
            <w:rStyle w:val="Hyperlink"/>
          </w:rPr>
          <w:t xml:space="preserve">[6]</w:t>
        </w:r>
      </w:hyperlink>
      <w:r>
        <w:t xml:space="preserve">.</w:t>
      </w:r>
    </w:p>
    <w:p>
      <w:pPr>
        <w:pStyle w:val="BodyText"/>
        <w:spacing w:line="480" w:lineRule="auto"/>
        <w:ind w:firstLine="720"/>
      </w:pPr>
      <w:r>
        <w:t xml:space="preserve">The construct-validity conclusion survives all of this intact. The six flags partition the eighty records into coherent categories that can be coded mechanically and modeled jointly, which is what the first auxiliary prediction of Chapter 3 required. The categories are real and separable even though they do not drive attention. That is precisely the finding the primary design needs: a treatment that can be coded from the public record, and a warning against confusing its academic footprint with its economic effect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5"/>
    <w:bookmarkStart w:id="116" w:name="the-evidence-accumulation-learning-curve"/>
    <w:p>
      <w:pPr>
        <w:pStyle w:val="Heading2"/>
        <w:spacing w:line="480" w:lineRule="auto"/>
      </w:pPr>
      <w:r>
        <w:t xml:space="preserve">6.3 The evidence-accumulation learning curve</w:t>
      </w:r>
    </w:p>
    <w:p>
      <w:pPr>
        <w:pStyle w:val="FirstParagraph"/>
        <w:spacing w:line="480" w:lineRule="auto"/>
      </w:pPr>
      <w:r>
        <w:t xml:space="preserve">The second layer fits a log-log learning curve to the cumulative evidence stock across the nineteen annual observations from 2007 through 2025. The dependent variable is the logarithm of one plus cumulative evidence records, and the predictor is the logarithm of one plus years since the first retained record. The model reports N = 19 and R-squared = 0.9247</w:t>
      </w:r>
      <w:r>
        <w:t xml:space="preserve"> </w:t>
      </w:r>
      <w:hyperlink w:anchor="ref-6">
        <w:r>
          <w:rPr>
            <w:rStyle w:val="Hyperlink"/>
          </w:rPr>
          <w:t xml:space="preserve">[6]</w:t>
        </w:r>
      </w:hyperlink>
      <w:r>
        <w:t xml:space="preserve">. The fit is strong for an annual panel this small, and it stands in deliberate contrast to the moderate fit of the attention model, because a cumulative stock is a far smoother object than a cross-section of citation counts.</w:t>
      </w:r>
    </w:p>
    <w:p>
      <w:pPr>
        <w:pStyle w:val="BodyText"/>
        <w:spacing w:line="480" w:lineRule="auto"/>
        <w:ind w:firstLine="720"/>
      </w:pPr>
      <w:r>
        <w:t xml:space="preserve">The estimated elasticity is b = 1.2433, with a corresponding progress ratio of 2 raised to the power b equal to 2.3674</w:t>
      </w:r>
      <w:r>
        <w:t xml:space="preserve"> </w:t>
      </w:r>
      <w:hyperlink w:anchor="ref-6">
        <w:r>
          <w:rPr>
            <w:rStyle w:val="Hyperlink"/>
          </w:rPr>
          <w:t xml:space="preserve">[6]</w:t>
        </w:r>
      </w:hyperlink>
      <w:r>
        <w:t xml:space="preserve">. The intercept is 0.3430 with p = 0.3280, not distinguishable from zero, which is unremarkable for a learning-curve intercept</w:t>
      </w:r>
      <w:r>
        <w:t xml:space="preserve"> </w:t>
      </w:r>
      <w:hyperlink w:anchor="ref-6">
        <w:r>
          <w:rPr>
            <w:rStyle w:val="Hyperlink"/>
          </w:rPr>
          <w:t xml:space="preserve">[6]</w:t>
        </w:r>
      </w:hyperlink>
      <w:r>
        <w:t xml:space="preserve">. The log-time coefficient, which is the elasticity itself, is 1.2433 with a standard error of 0.1489 and a p-value of 6.81e-17, and its ninety-five percent confidence interval runs from 0.9515 to 1.5351</w:t>
      </w:r>
      <w:r>
        <w:t xml:space="preserve"> </w:t>
      </w:r>
      <w:hyperlink w:anchor="ref-6">
        <w:r>
          <w:rPr>
            <w:rStyle w:val="Hyperlink"/>
          </w:rPr>
          <w:t xml:space="preserve">[6]</w:t>
        </w:r>
      </w:hyperlink>
      <w:r>
        <w:t xml:space="preserve">. The coefficient is estimated with high precision, and the confidence interval sits almost entirely above one.</w:t>
      </w:r>
    </w:p>
    <w:bookmarkEnd w:id="116"/>
    <w:bookmarkStart w:id="117" w:name="interpreting-the-learning-curve"/>
    <w:p>
      <w:pPr>
        <w:pStyle w:val="Heading2"/>
        <w:spacing w:line="480" w:lineRule="auto"/>
      </w:pPr>
      <w:r>
        <w:t xml:space="preserve">6.4 Interpreting the learning curve</w:t>
      </w:r>
    </w:p>
    <w:p>
      <w:pPr>
        <w:pStyle w:val="FirstParagraph"/>
        <w:spacing w:line="480" w:lineRule="auto"/>
      </w:pPr>
      <w:r>
        <w:t xml:space="preserve">Read the elasticity plainly. A value above one means cumulative evidence grows more than proportionally with the time index over the retained window. In plain terms, the interface-standardization literature has not merely persisted since 2007; it has thickened, with later years contributing far more records than earlier ones, so that the cumulative stock accelerates against elapsed time</w:t>
      </w:r>
      <w:r>
        <w:t xml:space="preserve"> </w:t>
      </w:r>
      <w:hyperlink w:anchor="ref-6">
        <w:r>
          <w:rPr>
            <w:rStyle w:val="Hyperlink"/>
          </w:rPr>
          <w:t xml:space="preserve">[6]</w:t>
        </w:r>
      </w:hyperlink>
      <w:r>
        <w:t xml:space="preserve">. The progress ratio of 2.3674 expresses the same fact in doubling terms: as the time index doubles, the cumulative evidence stock rises by a factor of roughly 2.37 over this window. The rising annual densities documented in Chapter 5, from a sparse early period to twelve records in 2024 and fourteen in 2025, are what drive this result</w:t>
      </w:r>
      <w:r>
        <w:t xml:space="preserve"> </w:t>
      </w:r>
      <w:hyperlink w:anchor="ref-6">
        <w:r>
          <w:rPr>
            <w:rStyle w:val="Hyperlink"/>
          </w:rPr>
          <w:t xml:space="preserve">[6]</w:t>
        </w:r>
      </w:hyperlink>
      <w:r>
        <w:t xml:space="preserve">.</w:t>
      </w:r>
    </w:p>
    <w:p>
      <w:pPr>
        <w:pStyle w:val="BodyText"/>
        <w:spacing w:line="480" w:lineRule="auto"/>
        <w:ind w:firstLine="720"/>
      </w:pPr>
      <w:r>
        <w:t xml:space="preserve">The interpretation must be bounded in two directions, and the chapter is explicit about both. First, this is a learning curve for evidence accumulation, not for cost savings. A growing literature indicates that interface coordination is a recurring, maturing problem across space situational awareness, payload integration, CubeSat bus design, nanosatellite robustness, sustainability rating, and the emerging LEO economy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It does not indicate that adopting a standard lowers a project’s cost, and the confidence interval on the elasticity, however tight, says nothing about dollars. Second, the model is descriptive of the retained window and must not be extrapolated as a forecast; a nineteen-point panel constrains what can honestly be projected beyond its edges</w:t>
      </w:r>
      <w:r>
        <w:t xml:space="preserve"> </w:t>
      </w:r>
      <w:hyperlink w:anchor="ref-6">
        <w:r>
          <w:rPr>
            <w:rStyle w:val="Hyperlink"/>
          </w:rPr>
          <w:t xml:space="preserve">[6]</w:t>
        </w:r>
      </w:hyperlink>
      <w:r>
        <w:t xml:space="preserve">.</w:t>
      </w:r>
    </w:p>
    <w:p>
      <w:pPr>
        <w:pStyle w:val="BodyText"/>
        <w:spacing w:line="480" w:lineRule="auto"/>
        <w:ind w:firstLine="720"/>
      </w:pPr>
      <w:r>
        <w:t xml:space="preserve">What the learning curve does deliver is the second auxiliary prediction of Chapter 3, confirmed. The evidence base matures, which is the empirical signature of a practice responding to a persistent problem, and a maturing practice is one whose adoption can be defined and coded across a population of projects and years</w:t>
      </w:r>
      <w:r>
        <w:t xml:space="preserve"> </w:t>
      </w:r>
      <w:hyperlink w:anchor="ref-6">
        <w:r>
          <w:rPr>
            <w:rStyle w:val="Hyperlink"/>
          </w:rPr>
          <w:t xml:space="preserve">[6]</w:t>
        </w:r>
      </w:hyperlink>
      <w:r>
        <w:t xml:space="preserve">. The temporal premise of the primary design is thereby met.</w:t>
      </w:r>
    </w:p>
    <w:bookmarkEnd w:id="117"/>
    <w:bookmarkStart w:id="118" w:name="X88fdfed7036705969b52a37fc7eee3b8a8a75c8"/>
    <w:p>
      <w:pPr>
        <w:pStyle w:val="Heading2"/>
        <w:spacing w:line="480" w:lineRule="auto"/>
      </w:pPr>
      <w:r>
        <w:t xml:space="preserve">6.5 The two results together, and the boundary they mark</w:t>
      </w:r>
    </w:p>
    <w:p>
      <w:pPr>
        <w:pStyle w:val="FirstParagraph"/>
        <w:spacing w:line="480" w:lineRule="auto"/>
      </w:pPr>
      <w:r>
        <w:t xml:space="preserve">Set them side by side. The two layers do complementary work and jointly draw a clear boundary. The attention model shows that the interface-standardization construct is separable in the public record while warning that its academic visibility is governed by source family rather than by any economic premium</w:t>
      </w:r>
      <w:r>
        <w:t xml:space="preserve"> </w:t>
      </w:r>
      <w:hyperlink w:anchor="ref-6">
        <w:r>
          <w:rPr>
            <w:rStyle w:val="Hyperlink"/>
          </w:rPr>
          <w:t xml:space="preserve">[6]</w:t>
        </w:r>
      </w:hyperlink>
      <w:r>
        <w:t xml:space="preserve">. The learning curve shows that the construct’s evidence base has accumulated in a measurable, more-than-proportional pattern, warranting the treatment of standardization as a maturing coordination practice</w:t>
      </w:r>
      <w:r>
        <w:t xml:space="preserve"> </w:t>
      </w:r>
      <w:hyperlink w:anchor="ref-6">
        <w:r>
          <w:rPr>
            <w:rStyle w:val="Hyperlink"/>
          </w:rPr>
          <w:t xml:space="preserve">[6]</w:t>
        </w:r>
      </w:hyperlink>
      <w:r>
        <w:t xml:space="preserve">. Construct validity and temporal maturity are the two preconditions Chapter 4 identified for the cost-growth test, and both are now satisfied on real, source-traced data.</w:t>
      </w:r>
    </w:p>
    <w:bookmarkEnd w:id="118"/>
    <w:bookmarkStart w:id="119" w:name="X647eb385463ea79ce00845c654b6b4ff432dd4f"/>
    <w:p>
      <w:pPr>
        <w:pStyle w:val="Heading2"/>
        <w:spacing w:line="480" w:lineRule="auto"/>
      </w:pPr>
      <w:r>
        <w:t xml:space="preserve">6.5a Reading the joint significance carefully</w:t>
      </w:r>
    </w:p>
    <w:p>
      <w:pPr>
        <w:pStyle w:val="FirstParagraph"/>
        <w:spacing w:line="480" w:lineRule="auto"/>
      </w:pPr>
      <w:r>
        <w:t xml:space="preserve">The F statistic of 2.2451 with an F p-value of 0.0482 warrants a careful reading, because joint significance is easy to over-interpret</w:t>
      </w:r>
      <w:r>
        <w:t xml:space="preserve"> </w:t>
      </w:r>
      <w:hyperlink w:anchor="ref-6">
        <w:r>
          <w:rPr>
            <w:rStyle w:val="Hyperlink"/>
          </w:rPr>
          <w:t xml:space="preserve">[6]</w:t>
        </w:r>
      </w:hyperlink>
      <w:r>
        <w:t xml:space="preserve">. What it says is that the six predictors together explain more of the variation in citation counts than chance would produce, at just under the five percent threshold. What it does not say is that each predictor matters, and the coefficient-level results make clear that most do not. The joint significance is carried almost entirely by the ACTA source-family flag, whose individual p-value of 0.0139 is the only one comfortably below the threshold</w:t>
      </w:r>
      <w:r>
        <w:t xml:space="preserve"> </w:t>
      </w:r>
      <w:hyperlink w:anchor="ref-6">
        <w:r>
          <w:rPr>
            <w:rStyle w:val="Hyperlink"/>
          </w:rPr>
          <w:t xml:space="preserve">[6]</w:t>
        </w:r>
      </w:hyperlink>
      <w:r>
        <w:t xml:space="preserve">. A model that is jointly significant on the strength of a single predictor is a model whose story is about that predictor, and the honest summary is that source family, not the technical categories, is what the F test is detecting.</w:t>
      </w:r>
    </w:p>
    <w:p>
      <w:pPr>
        <w:pStyle w:val="BodyText"/>
        <w:spacing w:line="480" w:lineRule="auto"/>
        <w:ind w:firstLine="720"/>
      </w:pPr>
      <w:r>
        <w:t xml:space="preserve">This is why the adjusted R-squared of 0.3034 sits well below the raw R-squared of 0.3563</w:t>
      </w:r>
      <w:r>
        <w:t xml:space="preserve"> </w:t>
      </w:r>
      <w:hyperlink w:anchor="ref-6">
        <w:r>
          <w:rPr>
            <w:rStyle w:val="Hyperlink"/>
          </w:rPr>
          <w:t xml:space="preserve">[6]</w:t>
        </w:r>
      </w:hyperlink>
      <w:r>
        <w:t xml:space="preserve">. The adjustment penalizes predictors that add little, and the gap of roughly five percentage points between the two statistics is the visible cost of carrying five weak predictors alongside one strong one. Reported together, the F test, the two R-squared values, and the coefficient p-values converge on a single reading: the model detects a real source-family effect and little else, and its modest overall fit is exactly what a model of noisy citation counts with one strong metadata predictor should produce.</w:t>
      </w:r>
    </w:p>
    <w:bookmarkEnd w:id="119"/>
    <w:bookmarkStart w:id="120" w:name="X72516158d4afb77cb65d52f72cfc8bc39355f41"/>
    <w:p>
      <w:pPr>
        <w:pStyle w:val="Heading2"/>
        <w:spacing w:line="480" w:lineRule="auto"/>
      </w:pPr>
      <w:r>
        <w:t xml:space="preserve">6.6 The magnitude of the coefficients in context</w:t>
      </w:r>
    </w:p>
    <w:p>
      <w:pPr>
        <w:pStyle w:val="FirstParagraph"/>
        <w:spacing w:line="480" w:lineRule="auto"/>
      </w:pPr>
      <w:r>
        <w:t xml:space="preserve">Reporting coefficients is not the same as understanding them, so it is worth translating the numbers into plainer terms. In the attention model, the ACTA coefficient of 6.7785 means that, holding age and the technical flags fixed, an ACTA-family record is associated with roughly seven more recorded citations than a non-ACTA record</w:t>
      </w:r>
      <w:r>
        <w:t xml:space="preserve"> </w:t>
      </w:r>
      <w:hyperlink w:anchor="ref-6">
        <w:r>
          <w:rPr>
            <w:rStyle w:val="Hyperlink"/>
          </w:rPr>
          <w:t xml:space="preserve">[6]</w:t>
        </w:r>
      </w:hyperlink>
      <w:r>
        <w:t xml:space="preserve">. Against the distribution of citation counts in the data, where many records carry zero and the ACTA records carry values ranging from low single digits to the high fifties, a shift of about seven is substantial, and its significance at p = 0.0139 is unsurprising once one recalls that the zero-coding of non-ACTA records manufactures much of this gap by construction</w:t>
      </w:r>
      <w:r>
        <w:t xml:space="preserve"> </w:t>
      </w:r>
      <w:hyperlink w:anchor="ref-6">
        <w:r>
          <w:rPr>
            <w:rStyle w:val="Hyperlink"/>
          </w:rPr>
          <w:t xml:space="preserve">[6]</w:t>
        </w:r>
      </w:hyperlink>
      <w:r>
        <w:t xml:space="preserve">. The coefficient is large because the measurement makes it large, and the interpretation holds that fact in view.</w:t>
      </w:r>
    </w:p>
    <w:p>
      <w:pPr>
        <w:pStyle w:val="BodyText"/>
        <w:spacing w:line="480" w:lineRule="auto"/>
        <w:ind w:firstLine="720"/>
      </w:pPr>
      <w:r>
        <w:t xml:space="preserve">The technical flags tell the opposite story and are worth reading together. Interface terminology at -0.8448, payload-or-bus at -0.3800, and modular-or-service at -0.7365 are all small in magnitude relative to the ACTA effect, all negative, and all far from significance, with p-values of 0.4466, 0.7268, and 0.4398 respectively</w:t>
      </w:r>
      <w:r>
        <w:t xml:space="preserve"> </w:t>
      </w:r>
      <w:hyperlink w:anchor="ref-6">
        <w:r>
          <w:rPr>
            <w:rStyle w:val="Hyperlink"/>
          </w:rPr>
          <w:t xml:space="preserve">[6]</w:t>
        </w:r>
      </w:hyperlink>
      <w:r>
        <w:t xml:space="preserve">. A coefficient near zero with a large p-value is not evidence of no relationship; on a sample of eighty it is evidence that the data cannot distinguish these flags from zero. The correct reading is agnostic: the technical categories neither raise nor lower citation attention in a way this sample can detect, which is exactly the agnosticism the construct-validity argument requires, since it means academic attention is not tracking technical content.</w:t>
      </w:r>
    </w:p>
    <w:p>
      <w:pPr>
        <w:pStyle w:val="BodyText"/>
        <w:spacing w:line="480" w:lineRule="auto"/>
        <w:ind w:firstLine="720"/>
      </w:pPr>
      <w:r>
        <w:t xml:space="preserve">The data-flag coefficient of -9.0286 at p = 0.0745 is the one technical result large enough to notice, and it is treated with corresponding caution</w:t>
      </w:r>
      <w:r>
        <w:t xml:space="preserve"> </w:t>
      </w:r>
      <w:hyperlink w:anchor="ref-6">
        <w:r>
          <w:rPr>
            <w:rStyle w:val="Hyperlink"/>
          </w:rPr>
          <w:t xml:space="preserve">[6]</w:t>
        </w:r>
      </w:hyperlink>
      <w:r>
        <w:t xml:space="preserve">. Its magnitude exceeds even the ACTA effect, but its p-value sits above the conventional threshold, and on this sample a coefficient of that size can be produced by a small number of low-citation data-heavy conference records. It is reported because suppressing a near-threshold coefficient would be selective, and it is interpreted as suggestive at most, never as a finding. Reading it as a real negative premium on data-exchange work would violate the same discipline that governs the rest of the chapter.</w:t>
      </w:r>
    </w:p>
    <w:bookmarkEnd w:id="120"/>
    <w:bookmarkStart w:id="121" w:name="X6cb331eade903fa69b3dc33762e57d0ab7c39a9"/>
    <w:p>
      <w:pPr>
        <w:pStyle w:val="Heading2"/>
        <w:spacing w:line="480" w:lineRule="auto"/>
      </w:pPr>
      <w:r>
        <w:t xml:space="preserve">6.7 Why the fit statistics differ across the two layers</w:t>
      </w:r>
    </w:p>
    <w:p>
      <w:pPr>
        <w:pStyle w:val="FirstParagraph"/>
        <w:spacing w:line="480" w:lineRule="auto"/>
      </w:pPr>
      <w:r>
        <w:t xml:space="preserve">A reader may wonder why the attention model reports an adjusted R-squared of 0.3034 while the learning curve reports an R-squared of 0.9247, and the contrast is instructive rather than embarrassing</w:t>
      </w:r>
      <w:r>
        <w:t xml:space="preserve"> </w:t>
      </w:r>
      <w:hyperlink w:anchor="ref-6">
        <w:r>
          <w:rPr>
            <w:rStyle w:val="Hyperlink"/>
          </w:rPr>
          <w:t xml:space="preserve">[6]</w:t>
        </w:r>
      </w:hyperlink>
      <w:r>
        <w:t xml:space="preserve">. The two models fit different kinds of objects. Citation counts are a noisy cross-section: many idiosyncratic factors, author networks, topical fashion, venue prominence, drive how often a given paper is cited, and six flags cannot hope to capture most of that variation, so a moderate fit is what an honest model of citation attention should produce. A cumulative stock is a fundamentally smoother object. Cumulative counts change monotonically and slowly, and a log-log time trend captures most of their variation almost by construction, so a high fit is expected and is not evidence of a stronger or more important result.</w:t>
      </w:r>
    </w:p>
    <w:p>
      <w:pPr>
        <w:pStyle w:val="BodyText"/>
        <w:spacing w:line="480" w:lineRule="auto"/>
        <w:ind w:firstLine="720"/>
      </w:pPr>
      <w:r>
        <w:t xml:space="preserve">The lesson is that fit statistics are not comparable across the two layers and should not be ranked against each other. A high R-squared on the learning curve does not make the maturity finding more secure than the separability finding; it reflects the nature of the dependent variable, not the strength of the underlying claim</w:t>
      </w:r>
      <w:r>
        <w:t xml:space="preserve"> </w:t>
      </w:r>
      <w:hyperlink w:anchor="ref-6">
        <w:r>
          <w:rPr>
            <w:rStyle w:val="Hyperlink"/>
          </w:rPr>
          <w:t xml:space="preserve">[6]</w:t>
        </w:r>
      </w:hyperlink>
      <w:r>
        <w:t xml:space="preserve">. Both results are used for exactly what they show, construct separability and temporal maturity, and neither is inflated by its fit statistic. This is the same discipline the chapter applies to the coefficients: read each number for what it can support, and refuse the comparisons that would flatter one result at the expense of another.</w:t>
      </w:r>
    </w:p>
    <w:bookmarkEnd w:id="121"/>
    <w:bookmarkStart w:id="122" w:name="consistency-with-the-theorys-predictions"/>
    <w:p>
      <w:pPr>
        <w:pStyle w:val="Heading2"/>
        <w:spacing w:line="480" w:lineRule="auto"/>
      </w:pPr>
      <w:r>
        <w:t xml:space="preserve">6.8 Consistency with the theory’s predictions</w:t>
      </w:r>
    </w:p>
    <w:p>
      <w:pPr>
        <w:pStyle w:val="FirstParagraph"/>
        <w:spacing w:line="480" w:lineRule="auto"/>
      </w:pPr>
      <w:r>
        <w:t xml:space="preserve">Set against the auxiliary predictions of Chapter 3, the two results land where the theory said they should, and the correspondence is worth making explicit. The theory predicted that interface-standardization evidence would be separable in the public record, and the attention model confirms it: the six flags partition eighty records into coherent categories that can be coded and modeled jointly</w:t>
      </w:r>
      <w:r>
        <w:t xml:space="preserve"> </w:t>
      </w:r>
      <w:hyperlink w:anchor="ref-6">
        <w:r>
          <w:rPr>
            <w:rStyle w:val="Hyperlink"/>
          </w:rPr>
          <w:t xml:space="preserve">[6]</w:t>
        </w:r>
      </w:hyperlink>
      <w:r>
        <w:t xml:space="preserve">. The theory also predicted, through its insistence that technical visibility not be confused with economic value, that the technical flags should not simply load on attention, and the model confirms that too, with source family rather than technical content emerging as the stable predictor</w:t>
      </w:r>
      <w:r>
        <w:t xml:space="preserve"> </w:t>
      </w:r>
      <w:hyperlink w:anchor="ref-6">
        <w:r>
          <w:rPr>
            <w:rStyle w:val="Hyperlink"/>
          </w:rPr>
          <w:t xml:space="preserve">[6]</w:t>
        </w:r>
      </w:hyperlink>
      <w:r>
        <w:t xml:space="preserve">. The theory predicted that a maturing coordination practice would show an accumulating evidence base, and the learning curve confirms it with an elasticity of 1.2433 above one and a tightly estimated log-time coefficient</w:t>
      </w:r>
      <w:r>
        <w:t xml:space="preserve"> </w:t>
      </w:r>
      <w:hyperlink w:anchor="ref-6">
        <w:r>
          <w:rPr>
            <w:rStyle w:val="Hyperlink"/>
          </w:rPr>
          <w:t xml:space="preserve">[6]</w:t>
        </w:r>
      </w:hyperlink>
      <w:r>
        <w:t xml:space="preserve">.</w:t>
      </w:r>
    </w:p>
    <w:p>
      <w:pPr>
        <w:pStyle w:val="BodyText"/>
        <w:spacing w:line="480" w:lineRule="auto"/>
        <w:ind w:firstLine="720"/>
      </w:pPr>
      <w:r>
        <w:t xml:space="preserve">What the theory did not predict, and what these results cannot deliver, is the sign of the primary cost effect. The auxiliary predictions concern the construct and its maturity, and both are borne out; the primary prediction concerns cost growth, and it is untouched by either layer. The consistency here is therefore consistency at the level of feasibility, not at the level of the economic conclusion. The results confirm that the practice is real and codable and matured, which is the theory’s precondition, while leaving the theory’s central economic claim standing exactly where Chapter 3 left it: predicted, plausible, and unmeasured.</w:t>
      </w:r>
    </w:p>
    <w:p>
      <w:pPr>
        <w:pStyle w:val="BodyText"/>
        <w:spacing w:line="480" w:lineRule="auto"/>
        <w:ind w:firstLine="720"/>
      </w:pPr>
      <w:r>
        <w:t xml:space="preserve">The boundary is equally clear and is stated without hedging. Neither result estimates the effect of interface-standard adoption on percentage life-cycle cost growth, because neither dataset contains project costs, baselines, or adoption dates tied to cost outcomes. The F p-value of 0.0482 in the attention model and the p-value of 6.81e-17 on the learning-curve elasticity are statements about citation attention and evidence accumulation respectively, not about money</w:t>
      </w:r>
      <w:r>
        <w:t xml:space="preserve"> </w:t>
      </w:r>
      <w:hyperlink w:anchor="ref-6">
        <w:r>
          <w:rPr>
            <w:rStyle w:val="Hyperlink"/>
          </w:rPr>
          <w:t xml:space="preserve">[6]</w:t>
        </w:r>
      </w:hyperlink>
      <w:r>
        <w:t xml:space="preserve">. The primary hypothesis of Chapter 3, that pre-baseline adoption reduces cost growth, remains untested here, awaiting the machine-readable cost table the prospectus specifies. The results in hand do not confirm that hypothesis, and they do not contradict it either. They establish that the hypothesis is coherent, coded from a real construct, and feasible to test. The next chapter takes up what these findings mean, what threats to their validity remain, and what the data in hand cannot show.</w:t>
      </w:r>
    </w:p>
    <w:bookmarkEnd w:id="122"/>
    <w:bookmarkEnd w:id="123"/>
    <w:bookmarkStart w:id="134"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are modest by design, and their meaning is easy to overstate in either direction. One could inflate them into a claim that standardization is a proven, maturing, valuable practice; one could deflate them into a claim that a dissertation without cost numbers has shown nothing. Both readings are wrong. This chapter argues for the correct one: the empirical layers establish that the cost-growth test is coherent and feasible, they discipline the field’s optimism about what bibliometric evidence can prove, and they leave the central economic question honestly open rather than evasively closed. It then sets out the threats to validity that survive and the questions the data in hand cannot answer.</w:t>
      </w:r>
    </w:p>
    <w:bookmarkStart w:id="124" w:name="X4711e5f1321a3249c4f7b49285f20eb51b4be1f"/>
    <w:p>
      <w:pPr>
        <w:pStyle w:val="Heading2"/>
        <w:spacing w:line="480" w:lineRule="auto"/>
      </w:pPr>
      <w:r>
        <w:t xml:space="preserve">7.0 Reading the results at the right altitude</w:t>
      </w:r>
    </w:p>
    <w:p>
      <w:pPr>
        <w:pStyle w:val="FirstParagraph"/>
        <w:spacing w:line="480" w:lineRule="auto"/>
      </w:pPr>
      <w:r>
        <w:t xml:space="preserve">The temptation in a discussion chapter is to read results either too high or too low. Read too high, the two empirical layers become a claim that standardization is proven and valuable; read too low, they become a confession that a dissertation without cost numbers is empty. The correct altitude is between: the layers establish feasibility and discipline the field’s optimism, and they leave the economic question honestly open</w:t>
      </w:r>
      <w:r>
        <w:t xml:space="preserve"> </w:t>
      </w:r>
      <w:hyperlink w:anchor="ref-6">
        <w:r>
          <w:rPr>
            <w:rStyle w:val="Hyperlink"/>
          </w:rPr>
          <w:t xml:space="preserve">[6]</w:t>
        </w:r>
      </w:hyperlink>
      <w:r>
        <w:t xml:space="preserve">. This chapter holds that altitude throughout, meaning it neither borrows economic significance the data lack nor dismisses the real construct and maturity work the data contain.</w:t>
      </w:r>
    </w:p>
    <w:bookmarkEnd w:id="124"/>
    <w:bookmarkStart w:id="125" w:name="what-the-findings-mean"/>
    <w:p>
      <w:pPr>
        <w:pStyle w:val="Heading2"/>
        <w:spacing w:line="480" w:lineRule="auto"/>
      </w:pPr>
      <w:r>
        <w:t xml:space="preserve">7.1 What the findings mean</w:t>
      </w:r>
    </w:p>
    <w:p>
      <w:pPr>
        <w:pStyle w:val="FirstParagraph"/>
        <w:spacing w:line="480" w:lineRule="auto"/>
      </w:pPr>
      <w:r>
        <w:t xml:space="preserve">Begin with the first meaning. It is a validated construct. The categories hold. The attention model shows that interface, payload-bus, data-exchange, and modular-integration records are separable in the public metadata, which means the treatment variable at the heart of the primary design can be coded from a real, coherent category rather than an arbitrary one</w:t>
      </w:r>
      <w:r>
        <w:t xml:space="preserve"> </w:t>
      </w:r>
      <w:hyperlink w:anchor="ref-6">
        <w:r>
          <w:rPr>
            <w:rStyle w:val="Hyperlink"/>
          </w:rPr>
          <w:t xml:space="preserve">[6]</w:t>
        </w:r>
      </w:hyperlink>
      <w:r>
        <w:t xml:space="preserve">. This is not a trivial result. A cost-growth test whose treatment could not be reliably distinguished from noise would be worthless regardless of how carefully its outcome was measured. The construct-validity finding removes that objection before it can be raised.</w:t>
      </w:r>
    </w:p>
    <w:p>
      <w:pPr>
        <w:pStyle w:val="BodyText"/>
        <w:spacing w:line="480" w:lineRule="auto"/>
        <w:ind w:firstLine="720"/>
      </w:pPr>
      <w:r>
        <w:t xml:space="preserve">The second meaning is a disciplined negative. The same model shows that the technical flags do not drive citation attention, and that the one stable predictor is source family, an artifact of which corpora carry citation metadata</w:t>
      </w:r>
      <w:r>
        <w:t xml:space="preserve"> </w:t>
      </w:r>
      <w:hyperlink w:anchor="ref-6">
        <w:r>
          <w:rPr>
            <w:rStyle w:val="Hyperlink"/>
          </w:rPr>
          <w:t xml:space="preserve">[6]</w:t>
        </w:r>
      </w:hyperlink>
      <w:r>
        <w:t xml:space="preserve">. This finding does real intellectual work. It forecloses a seductive shortcut in which citation counts, being easy to obtain, are treated as a proxy for economic value. The negative result says that being about interfaces does not make a paper more visible, and by extension that academic visibility cannot stand in for cost performance. A dissertation that had found the opposite would be tempted to declare victory on cheap evidence. This one cannot, and is better for it.</w:t>
      </w:r>
    </w:p>
    <w:p>
      <w:pPr>
        <w:pStyle w:val="BodyText"/>
        <w:spacing w:line="480" w:lineRule="auto"/>
        <w:ind w:firstLine="720"/>
      </w:pPr>
      <w:r>
        <w:t xml:space="preserve">The third meaning is temporal warrant. The learning curve shows that the evidence base has accumulated more than proportionally over nineteen years, with an elasticity of 1.2433 and a strong fit</w:t>
      </w:r>
      <w:r>
        <w:t xml:space="preserve"> </w:t>
      </w:r>
      <w:hyperlink w:anchor="ref-6">
        <w:r>
          <w:rPr>
            <w:rStyle w:val="Hyperlink"/>
          </w:rPr>
          <w:t xml:space="preserve">[6]</w:t>
        </w:r>
      </w:hyperlink>
      <w:r>
        <w:t xml:space="preserve">. This licenses the treatment of standardization as a maturing coordination practice, which is the premise behind coding adoption across projects and years. The debris-economics and value-assessment literatures frame why this matters: practices whose benefits are diffuse and long-dated only become testable once they mature into recurring, documented behavior, and the learning curve is the evidence that this maturation has occurred</w:t>
      </w:r>
      <w:r>
        <w:t xml:space="preserve"> </w:t>
      </w:r>
      <w:hyperlink w:anchor="ref-10">
        <w:r>
          <w:rPr>
            <w:rStyle w:val="Hyperlink"/>
          </w:rPr>
          <w:t xml:space="preserve">[10]</w:t>
        </w:r>
      </w:hyperlink>
      <w:r>
        <w:t xml:space="preserve"> </w:t>
      </w:r>
      <w:hyperlink w:anchor="ref-8">
        <w:r>
          <w:rPr>
            <w:rStyle w:val="Hyperlink"/>
          </w:rPr>
          <w:t xml:space="preserve">[8]</w:t>
        </w:r>
      </w:hyperlink>
      <w:r>
        <w:t xml:space="preserve">. The sustainability-rating work offers the closest methodological parallel, since it too concerns making a diffuse-benefit practice legible enough to measure and to incentivize</w:t>
      </w:r>
      <w:r>
        <w:t xml:space="preserve"> </w:t>
      </w:r>
      <w:hyperlink w:anchor="ref-7">
        <w:r>
          <w:rPr>
            <w:rStyle w:val="Hyperlink"/>
          </w:rPr>
          <w:t xml:space="preserve">[7]</w:t>
        </w:r>
      </w:hyperlink>
      <w:r>
        <w:t xml:space="preserve"> </w:t>
      </w:r>
      <w:hyperlink w:anchor="ref-21">
        <w:r>
          <w:rPr>
            <w:rStyle w:val="Hyperlink"/>
          </w:rPr>
          <w:t xml:space="preserve">[21]</w:t>
        </w:r>
      </w:hyperlink>
      <w:r>
        <w:t xml:space="preserve">.</w:t>
      </w:r>
    </w:p>
    <w:bookmarkEnd w:id="125"/>
    <w:bookmarkStart w:id="126" w:name="what-the-data-cannot-show"/>
    <w:p>
      <w:pPr>
        <w:pStyle w:val="Heading2"/>
        <w:spacing w:line="480" w:lineRule="auto"/>
      </w:pPr>
      <w:r>
        <w:t xml:space="preserve">7.2 What the data cannot show</w:t>
      </w:r>
    </w:p>
    <w:p>
      <w:pPr>
        <w:pStyle w:val="FirstParagraph"/>
        <w:spacing w:line="480" w:lineRule="auto"/>
      </w:pPr>
      <w:r>
        <w:t xml:space="preserve">Here is the refusal. It sits at the honest center of this chapter. The data in hand cannot show that interface-standard adoption reduces life-cycle cost growth, and no amount of careful reading of the attention model or the learning curve can extract that conclusion. There are no project costs in the dataset, no baseline estimates, and no adoption dates linked to cost outcomes. The primary hypothesis of Chapter 3 is therefore untested, not confirmed and not refuted. This is a limitation of the present build, tied to the absence of a machine-readable cost table, and it is stated plainly because the alternative, implying that the bibliometric results somehow bear on cost, would be a misrepresentation.</w:t>
      </w:r>
    </w:p>
    <w:p>
      <w:pPr>
        <w:pStyle w:val="BodyText"/>
        <w:spacing w:line="480" w:lineRule="auto"/>
        <w:ind w:firstLine="720"/>
      </w:pPr>
      <w:r>
        <w:t xml:space="preserve">Nor can the data speak to the mechanism directly. Chapter 3 proposed that standardization lowers cost by moving the discovery of interface mismatches earlier, substituting cheap early conformance for expensive late rework. Nothing in the attention model or the learning curve observes rework, integration effort, or the timing of mismatch discovery. The mechanism remains a theory consistent with the engineering literature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not an empirically demonstrated pathway. The empirical layers establish that the practice the mechanism concerns is real and maturing; they do not open the black box of how, or whether, it saves money.</w:t>
      </w:r>
    </w:p>
    <w:bookmarkEnd w:id="126"/>
    <w:bookmarkStart w:id="127" w:name="threats-to-validity-that-survive"/>
    <w:p>
      <w:pPr>
        <w:pStyle w:val="Heading2"/>
        <w:spacing w:line="480" w:lineRule="auto"/>
      </w:pPr>
      <w:r>
        <w:t xml:space="preserve">7.3 Threats to validity that survive</w:t>
      </w:r>
    </w:p>
    <w:p>
      <w:pPr>
        <w:pStyle w:val="FirstParagraph"/>
        <w:spacing w:line="480" w:lineRule="auto"/>
      </w:pPr>
      <w:r>
        <w:t xml:space="preserve">Several threats named in earlier chapters persist, and integrity requires naming them again here in the specific form they take against the results actually obtained.</w:t>
      </w:r>
    </w:p>
    <w:p>
      <w:pPr>
        <w:pStyle w:val="BodyText"/>
        <w:spacing w:line="480" w:lineRule="auto"/>
        <w:ind w:firstLine="720"/>
      </w:pPr>
      <w:r>
        <w:t xml:space="preserve">Selection into standardization remains the deepest threat to the eventual cost-growth test. More capable programs may adopt standards and also control costs better for unrelated reasons, and the governance literature makes clear that standardization is something coordinated organizations do</w:t>
      </w:r>
      <w:r>
        <w:t xml:space="preserve"> </w:t>
      </w:r>
      <w:hyperlink w:anchor="ref-2">
        <w:r>
          <w:rPr>
            <w:rStyle w:val="Hyperlink"/>
          </w:rPr>
          <w:t xml:space="preserve">[2]</w:t>
        </w:r>
      </w:hyperlink>
      <w:r>
        <w:t xml:space="preserve"> </w:t>
      </w:r>
      <w:hyperlink w:anchor="ref-15">
        <w:r>
          <w:rPr>
            <w:rStyle w:val="Hyperlink"/>
          </w:rPr>
          <w:t xml:space="preserve">[15]</w:t>
        </w:r>
      </w:hyperlink>
      <w:r>
        <w:t xml:space="preserve">. Matching and maturity controls bound this on observables, but selection on unobservables cannot be ruled out by design alone, and the primary estimate, when produced, will inherit this limit. The present results do not confront this threat because they do not estimate a treatment effect; they merely validate the construct on which the eventually threatened estimate will rest.</w:t>
      </w:r>
    </w:p>
    <w:p>
      <w:pPr>
        <w:pStyle w:val="BodyText"/>
        <w:spacing w:line="480" w:lineRule="auto"/>
        <w:ind w:firstLine="720"/>
      </w:pPr>
      <w:r>
        <w:t xml:space="preserve">Measurement error takes a concrete form in the results obtained. The zero-coding of missing citation fields is the reason source family emerges as the stable predictor, and a different coding, dropping rather than zeroing missing fields, would produce a different attention model</w:t>
      </w:r>
      <w:r>
        <w:t xml:space="preserve"> </w:t>
      </w:r>
      <w:hyperlink w:anchor="ref-6">
        <w:r>
          <w:rPr>
            <w:rStyle w:val="Hyperlink"/>
          </w:rPr>
          <w:t xml:space="preserve">[6]</w:t>
        </w:r>
      </w:hyperlink>
      <w:r>
        <w:t xml:space="preserve">. This is disclosed rather than hidden, but it is a genuine dependence of the result on a measurement convention. For the eventual treatment coding, the topical flags used here are proxies, and the prospectus rightly demands dated documentary evidence for the primary design, a stricter standard that the metadata flags do not meet.</w:t>
      </w:r>
    </w:p>
    <w:p>
      <w:pPr>
        <w:pStyle w:val="BodyText"/>
        <w:spacing w:line="480" w:lineRule="auto"/>
        <w:ind w:firstLine="720"/>
      </w:pPr>
      <w:r>
        <w:t xml:space="preserve">Small samples threaten both layers and will threaten the primary test. Eighty records is enough to model attention but small enough that a handful of high-citation ACTA papers shape the coefficients, which is why the large negative data-flag coefficient at p = 0.0745 is read as suggestive rather than real</w:t>
      </w:r>
      <w:r>
        <w:t xml:space="preserve"> </w:t>
      </w:r>
      <w:hyperlink w:anchor="ref-6">
        <w:r>
          <w:rPr>
            <w:rStyle w:val="Hyperlink"/>
          </w:rPr>
          <w:t xml:space="preserve">[6]</w:t>
        </w:r>
      </w:hyperlink>
      <w:r>
        <w:t xml:space="preserve">. Nineteen annual observations produce a precise elasticity but describe only the retained window</w:t>
      </w:r>
      <w:r>
        <w:t xml:space="preserve"> </w:t>
      </w:r>
      <w:hyperlink w:anchor="ref-6">
        <w:r>
          <w:rPr>
            <w:rStyle w:val="Hyperlink"/>
          </w:rPr>
          <w:t xml:space="preserve">[6]</w:t>
        </w:r>
      </w:hyperlink>
      <w:r>
        <w:t xml:space="preserve">. NASA major projects are few, so the primary design deliberately avoids overfit models it cannot support. Precision on a small sample is not the same as generalizability, and the results are interpreted with that distinction held firmly.</w:t>
      </w:r>
    </w:p>
    <w:p>
      <w:pPr>
        <w:pStyle w:val="BodyText"/>
        <w:spacing w:line="480" w:lineRule="auto"/>
        <w:ind w:firstLine="720"/>
      </w:pPr>
      <w:r>
        <w:t xml:space="preserve">External validity is bounded by construction. The claim, when the cost test is complete, will speak to publicly assessed NASA major-project economics and not to commercial smallsat constellations or international missions outside the accountability record. The metadata sample compounds this: it is a defensible slice of the interface-standardization literature shaped by the search terms used, not a census, so even the construct-validity and maturity findings generalize to the retained corpus rather than to all interface work everywhere</w:t>
      </w:r>
      <w:r>
        <w:t xml:space="preserve"> </w:t>
      </w:r>
      <w:hyperlink w:anchor="ref-6">
        <w:r>
          <w:rPr>
            <w:rStyle w:val="Hyperlink"/>
          </w:rPr>
          <w:t xml:space="preserve">[6]</w:t>
        </w:r>
      </w:hyperlink>
      <w:r>
        <w:t xml:space="preserve">.</w:t>
      </w:r>
    </w:p>
    <w:bookmarkEnd w:id="127"/>
    <w:bookmarkStart w:id="128" w:name="X3e1203fc96387ba40e17a50e6dabd340bcbfc80"/>
    <w:p>
      <w:pPr>
        <w:pStyle w:val="Heading2"/>
        <w:spacing w:line="480" w:lineRule="auto"/>
      </w:pPr>
      <w:r>
        <w:t xml:space="preserve">7.4 Alternative explanations and how they are handled</w:t>
      </w:r>
    </w:p>
    <w:p>
      <w:pPr>
        <w:pStyle w:val="FirstParagraph"/>
        <w:spacing w:line="480" w:lineRule="auto"/>
      </w:pPr>
      <w:r>
        <w:t xml:space="preserve">Doubt the conclusions. A rigorous discussion must entertain explanations that would undercut its own. Consider three.</w:t>
      </w:r>
    </w:p>
    <w:p>
      <w:pPr>
        <w:pStyle w:val="BodyText"/>
        <w:spacing w:line="480" w:lineRule="auto"/>
        <w:ind w:firstLine="720"/>
      </w:pPr>
      <w:r>
        <w:t xml:space="preserve">First, the maturity finding could reflect growth in the source corpora themselves rather than growth in the standardization literature specifically. If ACTA and AMOS simply published more across the window, a rising count of interface records might be a byproduct. This is partly true and is why the learning curve is framed as descriptive of the retained evidence base rather than as a claim about the field’s absolute size; the result supports feasibility of coding, which holds regardless of whether growth is field-specific or corpus-wide</w:t>
      </w:r>
      <w:r>
        <w:t xml:space="preserve"> </w:t>
      </w:r>
      <w:hyperlink w:anchor="ref-6">
        <w:r>
          <w:rPr>
            <w:rStyle w:val="Hyperlink"/>
          </w:rPr>
          <w:t xml:space="preserve">[6]</w:t>
        </w:r>
      </w:hyperlink>
      <w:r>
        <w:t xml:space="preserve">.</w:t>
      </w:r>
    </w:p>
    <w:p>
      <w:pPr>
        <w:pStyle w:val="BodyText"/>
        <w:spacing w:line="480" w:lineRule="auto"/>
        <w:ind w:firstLine="720"/>
      </w:pPr>
      <w:r>
        <w:t xml:space="preserve">Second, the source-family coefficient could be dismissed as a pure metadata artifact with no substantive content. That is close to the correct reading, and the dissertation adopts it: the coefficient is treated as evidence about indexing structure, not about standardization value, which is exactly why it is not offered as support for the economic hypothesis</w:t>
      </w:r>
      <w:r>
        <w:t xml:space="preserve"> </w:t>
      </w:r>
      <w:hyperlink w:anchor="ref-6">
        <w:r>
          <w:rPr>
            <w:rStyle w:val="Hyperlink"/>
          </w:rPr>
          <w:t xml:space="preserve">[6]</w:t>
        </w:r>
      </w:hyperlink>
      <w:r>
        <w:t xml:space="preserve">. Naming it an artifact is not a weakness of the analysis; it is the analysis correctly refusing to over-claim.</w:t>
      </w:r>
    </w:p>
    <w:p>
      <w:pPr>
        <w:pStyle w:val="BodyText"/>
        <w:spacing w:line="480" w:lineRule="auto"/>
        <w:ind w:firstLine="720"/>
      </w:pPr>
      <w:r>
        <w:t xml:space="preserve">Third, one might argue that the construct-validity exercise is circular, since the flags were defined by the same terms used to search. There is force in this, and the response is bounded: the flags demonstrate that records matching interface vocabulary can be partitioned into coherent technical subcategories, which is a weaker but real claim than that the search itself was unbiased. The primary design’s stricter, dated documentary coding is the safeguard against carrying this circularity into the treatment variable.</w:t>
      </w:r>
    </w:p>
    <w:bookmarkEnd w:id="128"/>
    <w:bookmarkStart w:id="129" w:name="the-standing-of-the-contribution"/>
    <w:p>
      <w:pPr>
        <w:pStyle w:val="Heading2"/>
        <w:spacing w:line="480" w:lineRule="auto"/>
      </w:pPr>
      <w:r>
        <w:t xml:space="preserve">7.5 The standing of the contribution</w:t>
      </w:r>
    </w:p>
    <w:p>
      <w:pPr>
        <w:pStyle w:val="FirstParagraph"/>
        <w:spacing w:line="480" w:lineRule="auto"/>
      </w:pPr>
      <w:r>
        <w:t xml:space="preserve">Where does this leave the single falsifiable contribution? It leaves it specified, feasible, and unexecuted. The dissertation has not delivered the cost-growth estimate; it has delivered the two conditions under which that estimate can be credibly produced, on real data, with full provenance, and with a disciplined account of what such evidence can and cannot bear</w:t>
      </w:r>
      <w:r>
        <w:t xml:space="preserve"> </w:t>
      </w:r>
      <w:hyperlink w:anchor="ref-6">
        <w:r>
          <w:rPr>
            <w:rStyle w:val="Hyperlink"/>
          </w:rPr>
          <w:t xml:space="preserve">[6]</w:t>
        </w:r>
      </w:hyperlink>
      <w:r>
        <w:t xml:space="preserve">. This is a smaller thing than a completed causal test and a larger thing than an assertion. It converts a widely believed but unmeasured claim into a testable design with validated construct and established temporal warrant, and it does so while refusing the shortcuts that would have made the work look more finished than it is.</w:t>
      </w:r>
    </w:p>
    <w:bookmarkEnd w:id="129"/>
    <w:bookmarkStart w:id="130" w:name="Xf4b295da8d010ac778a6fdba17885f9f9c4f843"/>
    <w:p>
      <w:pPr>
        <w:pStyle w:val="Heading2"/>
        <w:spacing w:line="480" w:lineRule="auto"/>
      </w:pPr>
      <w:r>
        <w:t xml:space="preserve">7.5a The bibliometric result as a cautionary case</w:t>
      </w:r>
    </w:p>
    <w:p>
      <w:pPr>
        <w:pStyle w:val="FirstParagraph"/>
        <w:spacing w:line="480" w:lineRule="auto"/>
      </w:pPr>
      <w:r>
        <w:t xml:space="preserve">The source-family finding deserves one more turn of interpretation, because it is the dissertation’s most transferable warning. Citation attention is the cheapest and most available proxy for the importance of a body of work, and it is precisely the proxy an analyst would reach for if asked, quickly, whether interface standardization matters. The result shows that reaching for it would mislead. Attention tracks which corpus indexes citations, not whether the underlying work concerns interfaces or standards, so a standardization-heavy but conference-indexed literature would look unimportant and a lightly standardized but journal-indexed one would look important</w:t>
      </w:r>
      <w:r>
        <w:t xml:space="preserve"> </w:t>
      </w:r>
      <w:hyperlink w:anchor="ref-6">
        <w:r>
          <w:rPr>
            <w:rStyle w:val="Hyperlink"/>
          </w:rPr>
          <w:t xml:space="preserve">[6]</w:t>
        </w:r>
      </w:hyperlink>
      <w:r>
        <w:t xml:space="preserve">. The proxy measures the indexing structure and reports it as significance.</w:t>
      </w:r>
    </w:p>
    <w:p>
      <w:pPr>
        <w:pStyle w:val="BodyText"/>
        <w:spacing w:line="480" w:lineRule="auto"/>
        <w:ind w:firstLine="720"/>
      </w:pPr>
      <w:r>
        <w:t xml:space="preserve">This is a concrete instance of a general hazard in the economics of diffuse-benefit practices, and its concreteness is its value. Analysts frequently justify or dismiss such practices by pointing at visible signals, publication counts, patent counts, conference activity, that are correlated with attention rather than with the outcome that matters. The debris-removal argument for acting before costs compound is, in part, an argument against letting a visible near-term signal substitute for the diffuse outcome</w:t>
      </w:r>
      <w:r>
        <w:t xml:space="preserve"> </w:t>
      </w:r>
      <w:hyperlink w:anchor="ref-10">
        <w:r>
          <w:rPr>
            <w:rStyle w:val="Hyperlink"/>
          </w:rPr>
          <w:t xml:space="preserve">[10]</w:t>
        </w:r>
      </w:hyperlink>
      <w:r>
        <w:t xml:space="preserve">. The dissertation’s attention model gives that abstract caution an empirical face: here is a case where the obvious proxy was tested and found to measure the wrong thing. A field that internalizes this case is less likely to make the same error elsewhere.</w:t>
      </w:r>
    </w:p>
    <w:bookmarkEnd w:id="130"/>
    <w:bookmarkStart w:id="131" w:name="Xfa7a0ae7cde546e688efc860b68a10fdd649008"/>
    <w:p>
      <w:pPr>
        <w:pStyle w:val="Heading2"/>
        <w:spacing w:line="480" w:lineRule="auto"/>
      </w:pPr>
      <w:r>
        <w:t xml:space="preserve">7.6 What a completed test could and could not settle</w:t>
      </w:r>
    </w:p>
    <w:p>
      <w:pPr>
        <w:pStyle w:val="FirstParagraph"/>
        <w:spacing w:line="480" w:lineRule="auto"/>
      </w:pPr>
      <w:r>
        <w:t xml:space="preserve">It is worth looking ahead to the completed cost-growth test and asking, honestly, what even a clean result would and would not settle, because this bounds the ambition of the whole program. Suppose the matched design, once the cost table is available, returned a significant negative adjusted effect that survived the event-study and robustness checks. That would be strong evidence that pre-baseline interface standardization is associated with lower cost growth in comparable NASA major projects, and it would justify treating early interface discipline as a cost-control practice for that population. It would not establish that standardization causes the saving in any project outside that population, nor would it identify which interfaces drive the effect unless the subgroup analysis had power, nor would it observe the rework mechanism directly. A causal estimate on a bounded population is a real and useful thing, and it is also a limited thing, and conflating it with a universal law would repeat, at the level of interpretation, the overreach the dissertation has worked to avoid.</w:t>
      </w:r>
    </w:p>
    <w:p>
      <w:pPr>
        <w:pStyle w:val="BodyText"/>
        <w:spacing w:line="480" w:lineRule="auto"/>
        <w:ind w:firstLine="720"/>
      </w:pPr>
      <w:r>
        <w:t xml:space="preserve">Suppose instead the completed test returned a null or positive effect. That would not vindicate the skeptics who deny standardization any value. It would show that standardization does not reduce cost growth at the scale and in the population measured, which is compatible with standardization being valuable for reliability, interoperability, or mission enablement, the categorical benefits the servicing and collaboration literatures document</w:t>
      </w:r>
      <w:r>
        <w:t xml:space="preserve"> </w:t>
      </w:r>
      <w:hyperlink w:anchor="ref-19">
        <w:r>
          <w:rPr>
            <w:rStyle w:val="Hyperlink"/>
          </w:rPr>
          <w:t xml:space="preserve">[19]</w:t>
        </w:r>
      </w:hyperlink>
      <w:r>
        <w:t xml:space="preserve"> </w:t>
      </w:r>
      <w:hyperlink w:anchor="ref-2">
        <w:r>
          <w:rPr>
            <w:rStyle w:val="Hyperlink"/>
          </w:rPr>
          <w:t xml:space="preserve">[2]</w:t>
        </w:r>
      </w:hyperlink>
      <w:r>
        <w:t xml:space="preserve">. A null cost result would redirect the justification for standardization rather than destroy it, and it would be, in its own way, as informative as a negative effect. The design is built so that both outcomes are credible and both are useful, which is the mark of a test worth running.</w:t>
      </w:r>
    </w:p>
    <w:bookmarkEnd w:id="131"/>
    <w:bookmarkStart w:id="132" w:name="the-discipline-as-a-transferable-method"/>
    <w:p>
      <w:pPr>
        <w:pStyle w:val="Heading2"/>
        <w:spacing w:line="480" w:lineRule="auto"/>
      </w:pPr>
      <w:r>
        <w:t xml:space="preserve">7.7 The discipline as a transferable method</w:t>
      </w:r>
    </w:p>
    <w:p>
      <w:pPr>
        <w:pStyle w:val="FirstParagraph"/>
        <w:spacing w:line="480" w:lineRule="auto"/>
      </w:pPr>
      <w:r>
        <w:t xml:space="preserve">The methodological posture of this dissertation generalizes beyond interface standards, and naming that generalization is part of stating the contribution honestly. Any infrastructure-like investment in space systems shares the structure that makes the standardization question hard: early, visible, certain costs set against late, diffuse, uncertain benefits, with a tempting visible proxy standing in for the hard outcome. Active debris removal has exactly this shape, which is why its literature argues in terms of paying now against paying more later</w:t>
      </w:r>
      <w:r>
        <w:t xml:space="preserve"> </w:t>
      </w:r>
      <w:hyperlink w:anchor="ref-10">
        <w:r>
          <w:rPr>
            <w:rStyle w:val="Hyperlink"/>
          </w:rPr>
          <w:t xml:space="preserve">[10]</w:t>
        </w:r>
      </w:hyperlink>
      <w:r>
        <w:t xml:space="preserve">. Sustainability practices have it, which is why a composite rating had to be deliberately engineered to make diffuse benefits legible and to incentivize behavior</w:t>
      </w:r>
      <w:r>
        <w:t xml:space="preserve"> </w:t>
      </w:r>
      <w:hyperlink w:anchor="ref-7">
        <w:r>
          <w:rPr>
            <w:rStyle w:val="Hyperlink"/>
          </w:rPr>
          <w:t xml:space="preserve">[7]</w:t>
        </w:r>
      </w:hyperlink>
      <w:r>
        <w:t xml:space="preserve"> </w:t>
      </w:r>
      <w:hyperlink w:anchor="ref-21">
        <w:r>
          <w:rPr>
            <w:rStyle w:val="Hyperlink"/>
          </w:rPr>
          <w:t xml:space="preserve">[21]</w:t>
        </w:r>
      </w:hyperlink>
      <w:r>
        <w:t xml:space="preserve">. Commercial station investment has it, which is why value assessment had to distinguish realized user value from technical capability</w:t>
      </w:r>
      <w:r>
        <w:t xml:space="preserve"> </w:t>
      </w:r>
      <w:hyperlink w:anchor="ref-8">
        <w:r>
          <w:rPr>
            <w:rStyle w:val="Hyperlink"/>
          </w:rPr>
          <w:t xml:space="preserve">[8]</w:t>
        </w:r>
      </w:hyperlink>
      <w:r>
        <w:t xml:space="preserve">.</w:t>
      </w:r>
    </w:p>
    <w:p>
      <w:pPr>
        <w:pStyle w:val="BodyText"/>
        <w:spacing w:line="480" w:lineRule="auto"/>
        <w:ind w:firstLine="720"/>
      </w:pPr>
      <w:r>
        <w:t xml:space="preserve">For all of these, the transferable discipline is the same: keep the map of the evidence base rigorously separate from the treatment effect, refuse to substitute a visible proxy for the hard outcome, code the treatment from dated records to guard against post-hoc attribution, and confront selection rather than assume it away. The present work applies that discipline to interface standards and, in doing so, demonstrates the method on a case where the tempting proxy, citation attention, is shown concretely to be the wrong measure</w:t>
      </w:r>
      <w:r>
        <w:t xml:space="preserve"> </w:t>
      </w:r>
      <w:hyperlink w:anchor="ref-6">
        <w:r>
          <w:rPr>
            <w:rStyle w:val="Hyperlink"/>
          </w:rPr>
          <w:t xml:space="preserve">[6]</w:t>
        </w:r>
      </w:hyperlink>
      <w:r>
        <w:t xml:space="preserve">. A reader working on debris removal, sustainability, or station economics can carry the same posture into those questions, and the demonstration that the proxy fails here is a warning that transfers directly.</w:t>
      </w:r>
    </w:p>
    <w:bookmarkEnd w:id="132"/>
    <w:bookmarkStart w:id="133" w:name="situating-the-limitations-honestly"/>
    <w:p>
      <w:pPr>
        <w:pStyle w:val="Heading2"/>
        <w:spacing w:line="480" w:lineRule="auto"/>
      </w:pPr>
      <w:r>
        <w:t xml:space="preserve">7.8 Situating the limitations honestly</w:t>
      </w:r>
    </w:p>
    <w:p>
      <w:pPr>
        <w:pStyle w:val="FirstParagraph"/>
        <w:spacing w:line="480" w:lineRule="auto"/>
      </w:pPr>
      <w:r>
        <w:t xml:space="preserve">A discussion chapter can list limitations so as to quietly minimize them, or so as to take them seriously, and this one aims at the latter. The most serious limitation is not any single threat but the aggregate distance between what was built and what the question demands. The dissertation set out to measure an economic effect and has, in this build, measured the construct and its maturity instead. That is a real shortfall, produced by the unavailability of a machine-readable cost table, and it means the headline economic question stands unanswered. No amount of rigor in the empirical layers changes that, and the honest summary is that the dissertation delivers a validated, feasible design rather than a completed result</w:t>
      </w:r>
      <w:r>
        <w:t xml:space="preserve"> </w:t>
      </w:r>
      <w:hyperlink w:anchor="ref-6">
        <w:r>
          <w:rPr>
            <w:rStyle w:val="Hyperlink"/>
          </w:rPr>
          <w:t xml:space="preserve">[6]</w:t>
        </w:r>
      </w:hyperlink>
      <w:r>
        <w:t xml:space="preserve">.</w:t>
      </w:r>
    </w:p>
    <w:p>
      <w:pPr>
        <w:pStyle w:val="BodyText"/>
        <w:spacing w:line="480" w:lineRule="auto"/>
        <w:ind w:firstLine="720"/>
      </w:pPr>
      <w:r>
        <w:t xml:space="preserve">The value of what was built should be neither inflated nor dismissed. It is inflated if the construct-validity and maturity findings are dressed up as bearing on cost; the source tracing forbids that reading, and the chapter has enforced it throughout</w:t>
      </w:r>
      <w:r>
        <w:t xml:space="preserve"> </w:t>
      </w:r>
      <w:hyperlink w:anchor="ref-6">
        <w:r>
          <w:rPr>
            <w:rStyle w:val="Hyperlink"/>
          </w:rPr>
          <w:t xml:space="preserve">[6]</w:t>
        </w:r>
      </w:hyperlink>
      <w:r>
        <w:t xml:space="preserve">. It is dismissed if one concludes that a design without its final number has shown nothing; that ignores the real work of converting an unmeasured intuition into a testable design with a validated construct, an established temporal warrant, and a demonstrated warning against the proxy that would otherwise corrupt the test. The correct assessment sits between these, and stating it precisely is the last obligation of the discussion.</w:t>
      </w:r>
    </w:p>
    <w:p>
      <w:pPr>
        <w:pStyle w:val="BodyText"/>
        <w:spacing w:line="480" w:lineRule="auto"/>
        <w:ind w:firstLine="720"/>
      </w:pPr>
      <w:r>
        <w:t xml:space="preserve">The value of the dissertation’s central refusal should not be underestimated. Much of the difficulty in evaluating infrastructure-like investments comes from the ease of substituting visible proxies for the hard outcome, and the discipline of keeping the map of the evidence base separate from the cost effect is itself a methodological contribution the field can use</w:t>
      </w:r>
      <w:r>
        <w:t xml:space="preserve"> </w:t>
      </w:r>
      <w:hyperlink w:anchor="ref-8">
        <w:r>
          <w:rPr>
            <w:rStyle w:val="Hyperlink"/>
          </w:rPr>
          <w:t xml:space="preserve">[8]</w:t>
        </w:r>
      </w:hyperlink>
      <w:r>
        <w:t xml:space="preserve"> </w:t>
      </w:r>
      <w:hyperlink w:anchor="ref-7">
        <w:r>
          <w:rPr>
            <w:rStyle w:val="Hyperlink"/>
          </w:rPr>
          <w:t xml:space="preserve">[7]</w:t>
        </w:r>
      </w:hyperlink>
      <w:r>
        <w:t xml:space="preserve">. The final chapter draws these threads into a statement of the contribution, its relevance to governance and program practice, and the future work that would carry the design across the line into a completed test.</w:t>
      </w:r>
    </w:p>
    <w:bookmarkEnd w:id="133"/>
    <w:bookmarkEnd w:id="134"/>
    <w:bookmarkStart w:id="180" w:name="chapter-8.-conclusions-and-implications"/>
    <w:p>
      <w:pPr>
        <w:pStyle w:val="Heading1"/>
        <w:spacing w:line="480" w:lineRule="auto"/>
      </w:pPr>
      <w:r>
        <w:t xml:space="preserve">Chapter 8. Conclusions and Implications</w:t>
      </w:r>
    </w:p>
    <w:p>
      <w:pPr>
        <w:pStyle w:val="FirstParagraph"/>
        <w:spacing w:line="480" w:lineRule="auto"/>
      </w:pPr>
      <w:r>
        <w:t xml:space="preserve">The question that opened this dissertation was whether standardization pays. The honest answer is narrow. The question has been made answerable, not yet answered. That is a smaller claim than a completed causal verdict and a considerably larger one than the field’s current position, which holds the economic benefit of interface standardization as an article of engineering faith unsupported by a project-level test. This final chapter states the contribution precisely, draws out its relevance for governance and program practice, and specifies the future work that would carry the design across the line.</w:t>
      </w:r>
    </w:p>
    <w:bookmarkStart w:id="135" w:name="the-contribution-stated-precisely"/>
    <w:p>
      <w:pPr>
        <w:pStyle w:val="Heading2"/>
        <w:spacing w:line="480" w:lineRule="auto"/>
      </w:pPr>
      <w:r>
        <w:t xml:space="preserve">8.1 The contribution, stated precisely</w:t>
      </w:r>
    </w:p>
    <w:p>
      <w:pPr>
        <w:pStyle w:val="FirstParagraph"/>
        <w:spacing w:line="480" w:lineRule="auto"/>
      </w:pPr>
      <w:r>
        <w:t xml:space="preserve">The contribution is a falsifiable design for a real economic question, equipped with two empirical anchors that establish its feasibility. The design defines a treatment, pre-baseline interface-standard adoption coded from dated technical records, and an outcome, percentage life-cycle cost growth from public accountability data, and it specifies a matched panel difference-in-differences with an event-study diagnostic to estimate the adjusted effect of the former on the latter. The null and alternative hypotheses are directional and can be wrong. This much is design, and it would be inert without evidence that the design is built on something real.</w:t>
      </w:r>
    </w:p>
    <w:p>
      <w:pPr>
        <w:pStyle w:val="BodyText"/>
        <w:spacing w:line="480" w:lineRule="auto"/>
        <w:ind w:firstLine="720"/>
      </w:pPr>
      <w:r>
        <w:t xml:space="preserve">Two anchors carry the weight. The empirical layers supply that evidence. The first, a robust regression on eighty source-traced records, establishes that the interface-standardization construct is separable in the public record, reporting a jointly significant model with the one stable coefficient being source family rather than any technical flag, F p equal to 0.0482 and the ACTA source-family coefficient of 6.7785 at p equal to 0.0139</w:t>
      </w:r>
      <w:r>
        <w:t xml:space="preserve"> </w:t>
      </w:r>
      <w:hyperlink w:anchor="ref-6">
        <w:r>
          <w:rPr>
            <w:rStyle w:val="Hyperlink"/>
          </w:rPr>
          <w:t xml:space="preserve">[6]</w:t>
        </w:r>
      </w:hyperlink>
      <w:r>
        <w:t xml:space="preserve">. The second, a log-log learning curve on nineteen annual observations, establishes that the evidence base has accumulated more than proportionally over time, reporting an elasticity of 1.2433 with a strong fit and a log-time coefficient at p equal to 6.81e-17</w:t>
      </w:r>
      <w:r>
        <w:t xml:space="preserve"> </w:t>
      </w:r>
      <w:hyperlink w:anchor="ref-6">
        <w:r>
          <w:rPr>
            <w:rStyle w:val="Hyperlink"/>
          </w:rPr>
          <w:t xml:space="preserve">[6]</w:t>
        </w:r>
      </w:hyperlink>
      <w:r>
        <w:t xml:space="preserve">. Construct validity and temporal maturity, the two preconditions for the cost test, are met on real data with full provenance. What is not delivered, and what the dissertation is careful never to imply is delivered, is the cost-growth estimate itself.</w:t>
      </w:r>
    </w:p>
    <w:p>
      <w:pPr>
        <w:pStyle w:val="BodyText"/>
        <w:spacing w:line="480" w:lineRule="auto"/>
        <w:ind w:firstLine="720"/>
      </w:pPr>
      <w:r>
        <w:t xml:space="preserve">The intellectual character of the contribution is worth naming. It is disciplined rather than triumphant. Its most useful finding may be a negative one: that citation attention tracks source family and not interface content, and therefore that bibliometric visibility cannot be substituted for economic performance</w:t>
      </w:r>
      <w:r>
        <w:t xml:space="preserve"> </w:t>
      </w:r>
      <w:hyperlink w:anchor="ref-6">
        <w:r>
          <w:rPr>
            <w:rStyle w:val="Hyperlink"/>
          </w:rPr>
          <w:t xml:space="preserve">[6]</w:t>
        </w:r>
      </w:hyperlink>
      <w:r>
        <w:t xml:space="preserve">. In a field prone to justifying diffuse-benefit investments by pointing at their visible footprint, a demonstration that the visible footprint is the wrong measure is a genuine correction.</w:t>
      </w:r>
    </w:p>
    <w:bookmarkEnd w:id="135"/>
    <w:bookmarkStart w:id="136" w:name="a-what-is-new-here"/>
    <w:p>
      <w:pPr>
        <w:pStyle w:val="Heading2"/>
        <w:spacing w:line="480" w:lineRule="auto"/>
      </w:pPr>
      <w:r>
        <w:t xml:space="preserve">8.1a What is new here</w:t>
      </w:r>
    </w:p>
    <w:p>
      <w:pPr>
        <w:pStyle w:val="FirstParagraph"/>
        <w:spacing w:line="480" w:lineRule="auto"/>
      </w:pPr>
      <w:r>
        <w:t xml:space="preserve">It is fair to ask what precisely is new in this dissertation, and the answer comes in three parts, each independent of the others and each defensible on its own. The first is the joining of two literatures that have remained apart: the technical interface-engineering record that documents adoption and the public accountability record that measures cost growth. Prior work sits wholly in one or the other, describing mechanisms without pricing them or measuring costs without attributing them to practices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 The design specified here is, to the author’s knowledge, the first to propose coding standardization adoption from dated technical records and linking it to public cost outcomes in a matched, falsifiable form. That join is the dissertation’s structural contribution, independent of whether the final estimate has been produced.</w:t>
      </w:r>
    </w:p>
    <w:p>
      <w:pPr>
        <w:pStyle w:val="BodyText"/>
        <w:spacing w:line="480" w:lineRule="auto"/>
        <w:ind w:firstLine="720"/>
      </w:pPr>
      <w:r>
        <w:t xml:space="preserve">The second novelty is the disciplined-negative bibliometric result. Showing that citation attention tracks source family rather than interface content is a small empirical finding with an outsized methodological payoff, because it closes off a shortcut the field would otherwise be tempted to take</w:t>
      </w:r>
      <w:r>
        <w:t xml:space="preserve"> </w:t>
      </w:r>
      <w:hyperlink w:anchor="ref-6">
        <w:r>
          <w:rPr>
            <w:rStyle w:val="Hyperlink"/>
          </w:rPr>
          <w:t xml:space="preserve">[6]</w:t>
        </w:r>
      </w:hyperlink>
      <w:r>
        <w:t xml:space="preserve">. The third is the construction of an auditable, source-traced evidence base for interface standardization across eighty records and nineteen years, built so that every count decomposes to a real record</w:t>
      </w:r>
      <w:r>
        <w:t xml:space="preserve"> </w:t>
      </w:r>
      <w:hyperlink w:anchor="ref-6">
        <w:r>
          <w:rPr>
            <w:rStyle w:val="Hyperlink"/>
          </w:rPr>
          <w:t xml:space="preserve">[6]</w:t>
        </w:r>
      </w:hyperlink>
      <w:r>
        <w:t xml:space="preserve">. None of these is the cost estimate the title promises, and yet each is a genuine addition to what was known before, and together they convert a believed intuition into a testable design resting on demonstrated foundations.</w:t>
      </w:r>
    </w:p>
    <w:bookmarkEnd w:id="136"/>
    <w:bookmarkStart w:id="137" w:name="X4b9d973cf9699e899b93fe422d7e087a38f6bd9"/>
    <w:p>
      <w:pPr>
        <w:pStyle w:val="Heading2"/>
        <w:spacing w:line="480" w:lineRule="auto"/>
      </w:pPr>
      <w:r>
        <w:t xml:space="preserve">8.2 Relevance to governance and program practice</w:t>
      </w:r>
    </w:p>
    <w:p>
      <w:pPr>
        <w:pStyle w:val="FirstParagraph"/>
        <w:spacing w:line="480" w:lineRule="auto"/>
      </w:pPr>
      <w:r>
        <w:t xml:space="preserve">The relevance to practice does not wait on the completed cost test, because the design and its anchors already reshape how the standardization question should be argued. Program managers and governance bodies currently justify or resist interface-standardization mandates on intuition, precedent, or advocacy. The contribution offers them a better frame: standardization is an infrastructure-like investment whose economic case must be tested against realized cost outcomes, not assumed from engineering elegance, and the tools to run that test now exist in specified form</w:t>
      </w:r>
      <w:r>
        <w:t xml:space="preserve"> </w:t>
      </w:r>
      <w:hyperlink w:anchor="ref-10">
        <w:r>
          <w:rPr>
            <w:rStyle w:val="Hyperlink"/>
          </w:rPr>
          <w:t xml:space="preserve">[10]</w:t>
        </w:r>
      </w:hyperlink>
      <w:r>
        <w:t xml:space="preserve"> </w:t>
      </w:r>
      <w:hyperlink w:anchor="ref-8">
        <w:r>
          <w:rPr>
            <w:rStyle w:val="Hyperlink"/>
          </w:rPr>
          <w:t xml:space="preserve">[8]</w:t>
        </w:r>
      </w:hyperlink>
      <w:r>
        <w:t xml:space="preserve">.</w:t>
      </w:r>
    </w:p>
    <w:p>
      <w:pPr>
        <w:pStyle w:val="BodyText"/>
        <w:spacing w:line="480" w:lineRule="auto"/>
        <w:ind w:firstLine="720"/>
      </w:pPr>
      <w:r>
        <w:t xml:space="preserve">For governance specifically, the finding that standardization is a maturing coordination practice matters. Space-domain-awareness collaboration, data-fabric and marketplace approaches to interoperability, and the emerging governance of AI-based space systems all depend on shared interfaces whose value is coordinative rather than local</w:t>
      </w:r>
      <w:r>
        <w:t xml:space="preserve"> </w:t>
      </w:r>
      <w:hyperlink w:anchor="ref-2">
        <w:r>
          <w:rPr>
            <w:rStyle w:val="Hyperlink"/>
          </w:rPr>
          <w:t xml:space="preserve">[2]</w:t>
        </w:r>
      </w:hyperlink>
      <w:r>
        <w:t xml:space="preserve"> </w:t>
      </w:r>
      <w:hyperlink w:anchor="ref-11">
        <w:r>
          <w:rPr>
            <w:rStyle w:val="Hyperlink"/>
          </w:rPr>
          <w:t xml:space="preserve">[11]</w:t>
        </w:r>
      </w:hyperlink>
      <w:r>
        <w:t xml:space="preserve"> </w:t>
      </w:r>
      <w:hyperlink w:anchor="ref-23">
        <w:r>
          <w:rPr>
            <w:rStyle w:val="Hyperlink"/>
          </w:rPr>
          <w:t xml:space="preserve">[23]</w:t>
        </w:r>
      </w:hyperlink>
      <w:r>
        <w:t xml:space="preserve">. The learning-curve result tells governance bodies that this is a settled, accumulating practice they can reasonably expect projects to document, which strengthens the case for requiring dated interface-adoption records as a matter of program discipline, independent of whether the cost benefit is ultimately confirmed. Even a null cost result would leave interoperability and oversight rationales intact, and the sustainability-rating precedent shows how a measurement regime can incentivize a practice whose benefits are diffuse</w:t>
      </w:r>
      <w:r>
        <w:t xml:space="preserve"> </w:t>
      </w:r>
      <w:hyperlink w:anchor="ref-7">
        <w:r>
          <w:rPr>
            <w:rStyle w:val="Hyperlink"/>
          </w:rPr>
          <w:t xml:space="preserve">[7]</w:t>
        </w:r>
      </w:hyperlink>
      <w:r>
        <w:t xml:space="preserve"> </w:t>
      </w:r>
      <w:hyperlink w:anchor="ref-21">
        <w:r>
          <w:rPr>
            <w:rStyle w:val="Hyperlink"/>
          </w:rPr>
          <w:t xml:space="preserve">[21]</w:t>
        </w:r>
      </w:hyperlink>
      <w:r>
        <w:t xml:space="preserve">.</w:t>
      </w:r>
    </w:p>
    <w:p>
      <w:pPr>
        <w:pStyle w:val="BodyText"/>
        <w:spacing w:line="480" w:lineRule="auto"/>
        <w:ind w:firstLine="720"/>
      </w:pPr>
      <w:r>
        <w:t xml:space="preserve">For program practice, the disciplined-negative finding carries a direct warning. A program should not point to the prominence of standardization in the literature as evidence that adopting it will save money. The two are not connected in the data, and treating academic attention as an economic signal is precisely the error the attention model exposes</w:t>
      </w:r>
      <w:r>
        <w:t xml:space="preserve"> </w:t>
      </w:r>
      <w:hyperlink w:anchor="ref-6">
        <w:r>
          <w:rPr>
            <w:rStyle w:val="Hyperlink"/>
          </w:rPr>
          <w:t xml:space="preserve">[6]</w:t>
        </w:r>
      </w:hyperlink>
      <w:r>
        <w:t xml:space="preserve">. The correct posture is to adopt standards for the reasons the mechanism proposes, early information at the seams, and to demand the cost test before claiming the economic payoff.</w:t>
      </w:r>
    </w:p>
    <w:bookmarkEnd w:id="137"/>
    <w:bookmarkStart w:id="138" w:name="X58ab65b7334a7f3f75be99c656553e981d30916"/>
    <w:p>
      <w:pPr>
        <w:pStyle w:val="Heading2"/>
        <w:spacing w:line="480" w:lineRule="auto"/>
      </w:pPr>
      <w:r>
        <w:t xml:space="preserve">8.2a A note on what the sponsor community should take away</w:t>
      </w:r>
    </w:p>
    <w:p>
      <w:pPr>
        <w:pStyle w:val="FirstParagraph"/>
        <w:spacing w:line="480" w:lineRule="auto"/>
      </w:pPr>
      <w:r>
        <w:t xml:space="preserve">For the program and governance community that would use this work, the practical takeaway is a change in what to ask for rather than a finished answer. The community should begin requiring dated interface-adoption records as a routine element of program documentation, not because the cost benefit is proven but because those records are the precondition for ever proving or disproving it, and because they cost little to keep</w:t>
      </w:r>
      <w:r>
        <w:t xml:space="preserve"> </w:t>
      </w:r>
      <w:hyperlink w:anchor="ref-3">
        <w:r>
          <w:rPr>
            <w:rStyle w:val="Hyperlink"/>
          </w:rPr>
          <w:t xml:space="preserve">[3]</w:t>
        </w:r>
      </w:hyperlink>
      <w:r>
        <w:t xml:space="preserve"> </w:t>
      </w:r>
      <w:hyperlink w:anchor="ref-4">
        <w:r>
          <w:rPr>
            <w:rStyle w:val="Hyperlink"/>
          </w:rPr>
          <w:t xml:space="preserve">[4]</w:t>
        </w:r>
      </w:hyperlink>
      <w:r>
        <w:t xml:space="preserve">. A program that documents when and how it fixed its interfaces is a program that can, later, be part of the evidence base that settles the standardization question for everyone. The absence of such records is the reason the cost table is hard to assemble today, and closing that gap is within the community’s direct control.</w:t>
      </w:r>
    </w:p>
    <w:p>
      <w:pPr>
        <w:pStyle w:val="BodyText"/>
        <w:spacing w:line="480" w:lineRule="auto"/>
        <w:ind w:firstLine="720"/>
      </w:pPr>
      <w:r>
        <w:t xml:space="preserve">The community should also stop accepting the prominence of the standardization literature as an argument for its economic value, since the attention model shows that prominence tracks indexing structure rather than content</w:t>
      </w:r>
      <w:r>
        <w:t xml:space="preserve"> </w:t>
      </w:r>
      <w:hyperlink w:anchor="ref-6">
        <w:r>
          <w:rPr>
            <w:rStyle w:val="Hyperlink"/>
          </w:rPr>
          <w:t xml:space="preserve">[6]</w:t>
        </w:r>
      </w:hyperlink>
      <w:r>
        <w:t xml:space="preserve">. When an advocate points to a large body of interface work as evidence that standardization pays, the disciplined response is to ask for cost outcomes, not citation counts. This is a small shift in the terms of debate with a large effect on its quality, and it follows directly from the dissertation’s most portable finding.</w:t>
      </w:r>
    </w:p>
    <w:bookmarkEnd w:id="138"/>
    <w:bookmarkStart w:id="139" w:name="future-work"/>
    <w:p>
      <w:pPr>
        <w:pStyle w:val="Heading2"/>
        <w:spacing w:line="480" w:lineRule="auto"/>
      </w:pPr>
      <w:r>
        <w:t xml:space="preserve">8.3 Future work</w:t>
      </w:r>
    </w:p>
    <w:p>
      <w:pPr>
        <w:pStyle w:val="FirstParagraph"/>
        <w:spacing w:line="480" w:lineRule="auto"/>
      </w:pPr>
      <w:r>
        <w:t xml:space="preserve">The future work is defined sharply because the design defines it. The single missing input is the machine-readable project-level cost table, and acquiring it is the first and largest task. Annual accountability assessments would supply baseline and current life-cycle cost estimates, launch-readiness dates, project phase, and risk descriptors, from which percentage cost growth is computed. Budget justifications would reconcile program naming and account structures across fiscal years, and mission press kits would corroborate destinations and payload counts against values traceable to the accountability record. With that table in hand, the treatment coding moves from topical flags to the stricter standard the prospectus demands: dated documentary evidence of formal interface-control documents, named interface standards, reusable bus or payload interfaces, and standardized data-exchange interfaces, drawn from primary technical records and dated before baseline commitment.</w:t>
      </w:r>
    </w:p>
    <w:p>
      <w:pPr>
        <w:pStyle w:val="BodyText"/>
        <w:spacing w:line="480" w:lineRule="auto"/>
        <w:ind w:firstLine="720"/>
      </w:pPr>
      <w:r>
        <w:t xml:space="preserve">The second task is executing the matched design and subjecting its identifying assumption to the diagnostics specified in Chapter 4. Matching on mission class, center, launch cohort, destination, instrument count, phase, and maturity would build the comparison group; event-study coefficients before adoption and pre-treatment cost-trend plots would test conditional parallel trends; and sensitivity checks removing novel-architecture and national-priority outliers would probe robustness. The small population of NASA major projects will constrain power, so the analysis would favor transparent coding and effect-size interpretation over flexible models the sample cannot support, and it would report bounds honestly rather than manufacture false precision.</w:t>
      </w:r>
    </w:p>
    <w:p>
      <w:pPr>
        <w:pStyle w:val="BodyText"/>
        <w:spacing w:line="480" w:lineRule="auto"/>
        <w:ind w:firstLine="720"/>
      </w:pPr>
      <w:r>
        <w:t xml:space="preserve">A third line of work would extend the construct itself. The attention model pooled interface, payload-bus, data-exchange, and modular flags; a richer coding could estimate subgroup effects, testing whether standardization at the bus level, the payload level, or the data level carries different economic weight, since the engineering literature suggests these seams differ in cost structure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8">
        <w:r>
          <w:rPr>
            <w:rStyle w:val="Hyperlink"/>
          </w:rPr>
          <w:t xml:space="preserve">[18]</w:t>
        </w:r>
      </w:hyperlink>
      <w:r>
        <w:t xml:space="preserve">. Full-text coding of interface-control documents, replacing the topical proxies used here, would sharpen the treatment and reduce the measurement error that the metadata flags introduce. Each extension is bounded and specified, none is speculative, and all follow from gaps the present work names rather than hides.</w:t>
      </w:r>
    </w:p>
    <w:bookmarkEnd w:id="139"/>
    <w:bookmarkStart w:id="140" w:name="closing"/>
    <w:p>
      <w:pPr>
        <w:pStyle w:val="Heading2"/>
        <w:spacing w:line="480" w:lineRule="auto"/>
      </w:pPr>
      <w:r>
        <w:t xml:space="preserve">8.4 Closing</w:t>
      </w:r>
    </w:p>
    <w:p>
      <w:pPr>
        <w:pStyle w:val="FirstParagraph"/>
        <w:spacing w:line="480" w:lineRule="auto"/>
      </w:pPr>
      <w:r>
        <w:t xml:space="preserve">A dissertation is judged partly by the honesty of its self-account, and this one has tried to be exact about the distance between what it set out to prove and what it has shown. It set out to estimate whether interface-standard adoption reduces NASA project cost growth. It has instead delivered a precisely specified, falsifiable design for that estimate, and two empirical anchors on real, source-traced data that show the design rests on a validated construct and a matured practice rather than on a plausible-sounding phantom</w:t>
      </w:r>
      <w:r>
        <w:t xml:space="preserve"> </w:t>
      </w:r>
      <w:hyperlink w:anchor="ref-6">
        <w:r>
          <w:rPr>
            <w:rStyle w:val="Hyperlink"/>
          </w:rPr>
          <w:t xml:space="preserve">[6]</w:t>
        </w:r>
      </w:hyperlink>
      <w:r>
        <w:t xml:space="preserve">. It has, along the way, produced a correction the field can use immediately: the evidence for standardization’s prominence is not evidence for its economic value, and the two must be kept apart.</w:t>
      </w:r>
    </w:p>
    <w:bookmarkEnd w:id="140"/>
    <w:bookmarkStart w:id="141" w:name="implications-for-how-the-field-argues"/>
    <w:p>
      <w:pPr>
        <w:pStyle w:val="Heading2"/>
        <w:spacing w:line="480" w:lineRule="auto"/>
      </w:pPr>
      <w:r>
        <w:t xml:space="preserve">8.5 Implications for how the field argues</w:t>
      </w:r>
    </w:p>
    <w:p>
      <w:pPr>
        <w:pStyle w:val="FirstParagraph"/>
        <w:spacing w:line="480" w:lineRule="auto"/>
      </w:pPr>
      <w:r>
        <w:t xml:space="preserve">Beyond the specific design, the dissertation carries an implication for the terms in which standardization is debated. The debate at present oscillates between engineering enthusiasm, which treats standardization as self-evidently good, and budget skepticism, which treats it as overhead. Neither position is grounded in a project-level economic estimate, and both would be improved by the reframing the contribution offers: standardization is an infrastructure-like investment whose cost effect is an empirical quantity, unknown until measured, and plausibly heterogeneous across interface types</w:t>
      </w:r>
      <w:r>
        <w:t xml:space="preserve"> </w:t>
      </w:r>
      <w:hyperlink w:anchor="ref-3">
        <w:r>
          <w:rPr>
            <w:rStyle w:val="Hyperlink"/>
          </w:rPr>
          <w:t xml:space="preserve">[3]</w:t>
        </w:r>
      </w:hyperlink>
      <w:r>
        <w:t xml:space="preserve"> </w:t>
      </w:r>
      <w:hyperlink w:anchor="ref-4">
        <w:r>
          <w:rPr>
            <w:rStyle w:val="Hyperlink"/>
          </w:rPr>
          <w:t xml:space="preserve">[4]</w:t>
        </w:r>
      </w:hyperlink>
      <w:r>
        <w:t xml:space="preserve">. Adopting that frame would move the argument from competing intuitions toward a shared question with a definite answer, which is the precondition for the field learning anything durable.</w:t>
      </w:r>
    </w:p>
    <w:p>
      <w:pPr>
        <w:pStyle w:val="BodyText"/>
        <w:spacing w:line="480" w:lineRule="auto"/>
        <w:ind w:firstLine="720"/>
      </w:pPr>
      <w:r>
        <w:t xml:space="preserve">The reframing has a second implication for how evidence is marshaled in that debate. The demonstration that citation attention tracks source family rather than technical content is a concrete warning that the prominence of the standardization literature is not evidence of its economic value</w:t>
      </w:r>
      <w:r>
        <w:t xml:space="preserve"> </w:t>
      </w:r>
      <w:hyperlink w:anchor="ref-6">
        <w:r>
          <w:rPr>
            <w:rStyle w:val="Hyperlink"/>
          </w:rPr>
          <w:t xml:space="preserve">[6]</w:t>
        </w:r>
      </w:hyperlink>
      <w:r>
        <w:t xml:space="preserve">. Advocates who point to a large and growing body of interface-standardization work as proof that the practice pays are committing a measurable error, and the dissertation gives the field the means to name it. A more disciplined debate would demand cost outcomes, not publication counts, and would treat the maturity of the literature as a reason the cost test is now feasible rather than as a substitute for running it.</w:t>
      </w:r>
    </w:p>
    <w:bookmarkEnd w:id="141"/>
    <w:bookmarkStart w:id="142" w:name="the-place-of-the-two-empirical-anchors"/>
    <w:p>
      <w:pPr>
        <w:pStyle w:val="Heading2"/>
        <w:spacing w:line="480" w:lineRule="auto"/>
      </w:pPr>
      <w:r>
        <w:t xml:space="preserve">8.6 The place of the two empirical anchors</w:t>
      </w:r>
    </w:p>
    <w:p>
      <w:pPr>
        <w:pStyle w:val="FirstParagraph"/>
        <w:spacing w:line="480" w:lineRule="auto"/>
      </w:pPr>
      <w:r>
        <w:t xml:space="preserve">It would be easy, in a concluding chapter, to let the two empirical layers fade behind the design they support, but they deserve a settled place in the account of the contribution. The regression layer is the dissertation’s evidence that the treatment is real: interface, payload-bus, data, and modular records are separable in the public metadata, so adoption can be coded from a coherent category, and the stable role of source family warns against reading academic footprint as economic value</w:t>
      </w:r>
      <w:r>
        <w:t xml:space="preserve"> </w:t>
      </w:r>
      <w:hyperlink w:anchor="ref-6">
        <w:r>
          <w:rPr>
            <w:rStyle w:val="Hyperlink"/>
          </w:rPr>
          <w:t xml:space="preserve">[6]</w:t>
        </w:r>
      </w:hyperlink>
      <w:r>
        <w:t xml:space="preserve">. The learning-curve layer is the dissertation’s evidence that the practice has matured: cumulative evidence has grown more than proportionally across nineteen years, so treating standardization as a definable, documentable practice across projects and years is warranted rather than arbitrary</w:t>
      </w:r>
      <w:r>
        <w:t xml:space="preserve"> </w:t>
      </w:r>
      <w:hyperlink w:anchor="ref-6">
        <w:r>
          <w:rPr>
            <w:rStyle w:val="Hyperlink"/>
          </w:rPr>
          <w:t xml:space="preserve">[6]</w:t>
        </w:r>
      </w:hyperlink>
      <w:r>
        <w:t xml:space="preserve">.</w:t>
      </w:r>
    </w:p>
    <w:p>
      <w:pPr>
        <w:pStyle w:val="BodyText"/>
        <w:spacing w:line="480" w:lineRule="auto"/>
        <w:ind w:firstLine="720"/>
      </w:pPr>
      <w:r>
        <w:t xml:space="preserve">These anchors are modest in isolation and substantial in combination. Individually, a citation model and an accumulation curve are unremarkable descriptive exercises. Together, and in service of a specified cost-growth design, they discharge exactly the two feasibility conditions that separate a testable dissertation from an untestable one. Their modesty is a feature, not a defect. A dissertation that overclaimed from them would forfeit the credibility that their careful construction earns, and the restraint with which they are interpreted is inseparable from the contribution they make</w:t>
      </w:r>
      <w:r>
        <w:t xml:space="preserve"> </w:t>
      </w:r>
      <w:hyperlink w:anchor="ref-6">
        <w:r>
          <w:rPr>
            <w:rStyle w:val="Hyperlink"/>
          </w:rPr>
          <w:t xml:space="preserve">[6]</w:t>
        </w:r>
      </w:hyperlink>
      <w:r>
        <w:t xml:space="preserve">.</w:t>
      </w:r>
    </w:p>
    <w:bookmarkEnd w:id="142"/>
    <w:bookmarkStart w:id="143" w:name="a-a-realistic-assessment-of-feasibility"/>
    <w:p>
      <w:pPr>
        <w:pStyle w:val="Heading2"/>
        <w:spacing w:line="480" w:lineRule="auto"/>
      </w:pPr>
      <w:r>
        <w:t xml:space="preserve">8.6a A realistic assessment of feasibility</w:t>
      </w:r>
    </w:p>
    <w:p>
      <w:pPr>
        <w:pStyle w:val="FirstParagraph"/>
        <w:spacing w:line="480" w:lineRule="auto"/>
      </w:pPr>
      <w:r>
        <w:t xml:space="preserve">Future work is only worth specifying if it is realistically achievable, so it is worth stating why the completed test is within reach rather than a distant aspiration. The two hard problems in most observational economic studies are defining a credible treatment and finding a measurable outcome, and both are already solved in principle here. The treatment is defined and shown to be codable from a coherent, matured construct, which the two empirical layers establish on real data</w:t>
      </w:r>
      <w:r>
        <w:t xml:space="preserve"> </w:t>
      </w:r>
      <w:hyperlink w:anchor="ref-6">
        <w:r>
          <w:rPr>
            <w:rStyle w:val="Hyperlink"/>
          </w:rPr>
          <w:t xml:space="preserve">[6]</w:t>
        </w:r>
      </w:hyperlink>
      <w:r>
        <w:t xml:space="preserve">. The outcome, percentage life-cycle cost growth, is a standard, public quantity that the accountability record reports annually in a comparable form for the target population. What remains is assembling that record into a machine-readable table and applying the coding and estimation the design specifies.</w:t>
      </w:r>
    </w:p>
    <w:p>
      <w:pPr>
        <w:pStyle w:val="BodyText"/>
        <w:spacing w:line="480" w:lineRule="auto"/>
        <w:ind w:firstLine="720"/>
      </w:pPr>
      <w:r>
        <w:t xml:space="preserve">This is engineering and archival labor rather than conceptual invention, and that is exactly why the feasibility claim is credible. The design does not await a methodological breakthrough or a new data source that may never materialize; it awaits the compilation of records that already exist in the public domain. The small population of major projects will constrain statistical power, and the analysis must be honest about the bounds that imposes, but a bounded, transparent estimate on a real population is a realistic and valuable target rather than a speculative one. The dissertation has done the harder, more uncertain work of showing the construct is real and the practice matured; the remaining work is more laborious but far less uncertain.</w:t>
      </w:r>
    </w:p>
    <w:bookmarkEnd w:id="143"/>
    <w:bookmarkStart w:id="144" w:name="closing-1"/>
    <w:p>
      <w:pPr>
        <w:pStyle w:val="Heading2"/>
        <w:spacing w:line="480" w:lineRule="auto"/>
      </w:pPr>
      <w:r>
        <w:t xml:space="preserve">8.7 Closing</w:t>
      </w:r>
    </w:p>
    <w:p>
      <w:pPr>
        <w:pStyle w:val="FirstParagraph"/>
        <w:spacing w:line="480" w:lineRule="auto"/>
      </w:pPr>
      <w:r>
        <w:t xml:space="preserve">Gather the threads. One picture remains. The dissertation began with an intuition that has guided real spending, the belief that fixing interfaces early saves money later, and it end with that intuition converted from an article of faith into a testable proposition. Between the two lies the actual work: a mechanism specified with its assumptions and falsification conditions, a matched design that confronts selection rather than assuming it away, an auditable evidence base of eighty records across nineteen years, and a bibliometric result that names the proxy the field must not trust</w:t>
      </w:r>
      <w:r>
        <w:t xml:space="preserve"> </w:t>
      </w:r>
      <w:hyperlink w:anchor="ref-6">
        <w:r>
          <w:rPr>
            <w:rStyle w:val="Hyperlink"/>
          </w:rPr>
          <w:t xml:space="preserve">[6]</w:t>
        </w:r>
      </w:hyperlink>
      <w:r>
        <w:t xml:space="preserve">. What the dissertation does not deliver, and never pretends to, is the cost-growth number itself, which awaits a public table not yet in machine-readable form.</w:t>
      </w:r>
    </w:p>
    <w:p>
      <w:pPr>
        <w:pStyle w:val="BodyText"/>
        <w:spacing w:line="480" w:lineRule="auto"/>
        <w:ind w:firstLine="720"/>
      </w:pPr>
      <w:r>
        <w:t xml:space="preserve">The claim that standardization pays remains, for now, unproven. That is not a failure of the work but a boundary the work draws with care, and drawing it correctly is itself a result. The next hand to take up this design needs only the cost table and the discipline to let the answer, whatever its sign, stand. If the effect is negative, the field gains a measured reason to invest early at the seams. If it is null or positive, the field gains an equally valuable reason to defend standardization on reliability and interoperability grounds rather than on economics it cannot deliver</w:t>
      </w:r>
      <w:r>
        <w:t xml:space="preserve"> </w:t>
      </w:r>
      <w:hyperlink w:anchor="ref-5">
        <w:r>
          <w:rPr>
            <w:rStyle w:val="Hyperlink"/>
          </w:rPr>
          <w:t xml:space="preserve">[5]</w:t>
        </w:r>
      </w:hyperlink>
      <w:r>
        <w:t xml:space="preserve"> </w:t>
      </w:r>
      <w:hyperlink w:anchor="ref-2">
        <w:r>
          <w:rPr>
            <w:rStyle w:val="Hyperlink"/>
          </w:rPr>
          <w:t xml:space="preserve">[2]</w:t>
        </w:r>
      </w:hyperlink>
      <w:r>
        <w:t xml:space="preserve">. Either way, an intuition that has guided billions in space-system spending will finally have been tested rather than believed, and this dissertation has built the instrument by which that test can be run.</w:t>
      </w:r>
    </w:p>
    <w:bookmarkEnd w:id="144"/>
    <w:bookmarkStart w:id="179" w:name="references"/>
    <w:p>
      <w:pPr>
        <w:pStyle w:val="Heading2"/>
        <w:spacing w:line="480" w:lineRule="auto"/>
      </w:pPr>
      <w:r>
        <w:t xml:space="preserve">References</w:t>
      </w:r>
    </w:p>
    <w:p>
      <w:pPr>
        <w:pStyle w:val="FirstParagraph"/>
        <w:spacing w:line="480" w:lineRule="auto"/>
      </w:pPr>
      <w:bookmarkStart w:id="145" w:name="ref-1"/>
      <w:bookmarkEnd w:id="145"/>
      <w:r>
        <w:t xml:space="preserve">1. J. Eilers, “Observer Interface Analysis for Standardization to a Cloud Based Real-Time Space Situational Awareness (SSA),” AMOS, 2013.</w:t>
      </w:r>
    </w:p>
    <w:p>
      <w:pPr>
        <w:pStyle w:val="BodyText"/>
        <w:spacing w:line="480" w:lineRule="auto"/>
        <w:ind w:firstLine="720"/>
      </w:pPr>
      <w:bookmarkStart w:id="146" w:name="ref-2"/>
      <w:bookmarkEnd w:id="146"/>
      <w:r>
        <w:t xml:space="preserve">2. S. Law, J. Stallings, S. Thilker, C. Cox, and L. Weston, “International Collaboration Framework for Space Domain Awareness,” AMOS, 2020.</w:t>
      </w:r>
    </w:p>
    <w:p>
      <w:pPr>
        <w:pStyle w:val="BodyText"/>
        <w:spacing w:line="480" w:lineRule="auto"/>
        <w:ind w:firstLine="720"/>
      </w:pPr>
      <w:bookmarkStart w:id="147" w:name="ref-3"/>
      <w:bookmarkEnd w:id="147"/>
      <w:r>
        <w:t xml:space="preserve">3. T. Tumenjargal, S. Kim, H. Masui, and M. Cho, “CubeSat bus interface with Complex Programmable Logic Device,”</w:t>
      </w:r>
      <w:r>
        <w:t xml:space="preserve"> </w:t>
      </w:r>
      <w:r>
        <w:rPr>
          <w:i/>
          <w:iCs/>
        </w:rPr>
        <w:t xml:space="preserve">Acta Astronautica</w:t>
      </w:r>
      <w:r>
        <w:t xml:space="preserve">, 2019, doi:</w:t>
      </w:r>
      <w:r>
        <w:t xml:space="preserve"> </w:t>
      </w:r>
      <w:hyperlink r:id="rId148">
        <w:r>
          <w:rPr>
            <w:rStyle w:val="Hyperlink"/>
          </w:rPr>
          <w:t xml:space="preserve">10.1016/j.actaastro.2019.04.047</w:t>
        </w:r>
      </w:hyperlink>
    </w:p>
    <w:p>
      <w:pPr>
        <w:pStyle w:val="BodyText"/>
        <w:spacing w:line="480" w:lineRule="auto"/>
        <w:ind w:firstLine="720"/>
      </w:pPr>
      <w:bookmarkStart w:id="149" w:name="ref-4"/>
      <w:bookmarkEnd w:id="149"/>
      <w:r>
        <w:t xml:space="preserve">4. M. Ortiz del Castillo et al., “The SpIRIT Payload Management System: A paradigm for smallsats multi payload integration,”</w:t>
      </w:r>
      <w:r>
        <w:t xml:space="preserve"> </w:t>
      </w:r>
      <w:r>
        <w:rPr>
          <w:i/>
          <w:iCs/>
        </w:rPr>
        <w:t xml:space="preserve">Acta Astronautica</w:t>
      </w:r>
      <w:r>
        <w:t xml:space="preserve">, 2025, doi:</w:t>
      </w:r>
      <w:r>
        <w:t xml:space="preserve"> </w:t>
      </w:r>
      <w:hyperlink r:id="rId150">
        <w:r>
          <w:rPr>
            <w:rStyle w:val="Hyperlink"/>
          </w:rPr>
          <w:t xml:space="preserve">10.1016/j.actaastro.2025.06.050</w:t>
        </w:r>
      </w:hyperlink>
    </w:p>
    <w:p>
      <w:pPr>
        <w:pStyle w:val="BodyText"/>
        <w:spacing w:line="480" w:lineRule="auto"/>
        <w:ind w:firstLine="720"/>
      </w:pPr>
      <w:bookmarkStart w:id="151" w:name="ref-5"/>
      <w:bookmarkEnd w:id="151"/>
      <w:r>
        <w:t xml:space="preserve">5. C. L. G. Batista, A. C. Weller, E. Martins, and F. Mattiello-Francisco, “Towards increasing nanosatellite subsystem robustness,”</w:t>
      </w:r>
      <w:r>
        <w:t xml:space="preserve"> </w:t>
      </w:r>
      <w:r>
        <w:rPr>
          <w:i/>
          <w:iCs/>
        </w:rPr>
        <w:t xml:space="preserve">Acta Astronautica</w:t>
      </w:r>
      <w:r>
        <w:t xml:space="preserve">, 2018, doi:</w:t>
      </w:r>
      <w:r>
        <w:t xml:space="preserve"> </w:t>
      </w:r>
      <w:hyperlink r:id="rId152">
        <w:r>
          <w:rPr>
            <w:rStyle w:val="Hyperlink"/>
          </w:rPr>
          <w:t xml:space="preserve">10.1016/j.actaastro.2018.11.011</w:t>
        </w:r>
      </w:hyperlink>
    </w:p>
    <w:p>
      <w:pPr>
        <w:pStyle w:val="BodyText"/>
        <w:spacing w:line="480" w:lineRule="auto"/>
        <w:ind w:firstLine="720"/>
      </w:pPr>
      <w:bookmarkStart w:id="153" w:name="ref-6"/>
      <w:bookmarkEnd w:id="153"/>
      <w:r>
        <w:t xml:space="preserve">6. SPACE_ECON_13 combined local metadata table, ACTA, AMOS, Space Economy, and prospectus seed sources, exported 2026-06-28.</w:t>
      </w:r>
    </w:p>
    <w:p>
      <w:pPr>
        <w:pStyle w:val="BodyText"/>
        <w:spacing w:line="480" w:lineRule="auto"/>
        <w:ind w:firstLine="720"/>
      </w:pPr>
      <w:bookmarkStart w:id="154" w:name="ref-7"/>
      <w:bookmarkEnd w:id="154"/>
      <w:r>
        <w:t xml:space="preserve">7. M. Rathnasabapathy et al. Space sustainability rating: Designing a composite indicator to incentivize satellite operators to pursue long-term sustainability of the space environment. Acta Astronautica, 2025. doi:</w:t>
      </w:r>
      <w:r>
        <w:t xml:space="preserve"> </w:t>
      </w:r>
      <w:hyperlink r:id="rId155">
        <w:r>
          <w:rPr>
            <w:rStyle w:val="Hyperlink"/>
          </w:rPr>
          <w:t xml:space="preserve">10.1016/j.actaastro.2025.03.034</w:t>
        </w:r>
      </w:hyperlink>
    </w:p>
    <w:p>
      <w:pPr>
        <w:pStyle w:val="BodyText"/>
        <w:spacing w:line="480" w:lineRule="auto"/>
        <w:ind w:firstLine="720"/>
      </w:pPr>
      <w:bookmarkStart w:id="156" w:name="ref-8"/>
      <w:bookmarkEnd w:id="156"/>
      <w:r>
        <w:t xml:space="preserve">8. M. Paravano, B. Rosseau, G. Locatelli, M. Weinzierl, and P. Trucco. Toward the LEO economy: A value assessment of commercial space stations for space and non-space users. Acta Astronautica, 2024. doi:</w:t>
      </w:r>
      <w:r>
        <w:t xml:space="preserve"> </w:t>
      </w:r>
      <w:hyperlink r:id="rId157">
        <w:r>
          <w:rPr>
            <w:rStyle w:val="Hyperlink"/>
          </w:rPr>
          <w:t xml:space="preserve">10.1016/j.actaastro.2024.11.060</w:t>
        </w:r>
      </w:hyperlink>
    </w:p>
    <w:p>
      <w:pPr>
        <w:pStyle w:val="BodyText"/>
        <w:spacing w:line="480" w:lineRule="auto"/>
        <w:ind w:firstLine="720"/>
      </w:pPr>
      <w:bookmarkStart w:id="158" w:name="ref-9"/>
      <w:bookmarkEnd w:id="158"/>
      <w:r>
        <w:t xml:space="preserve">9.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159">
        <w:r>
          <w:rPr>
            <w:rStyle w:val="Hyperlink"/>
          </w:rPr>
          <w:t xml:space="preserve">10.64861/HAWR6096</w:t>
        </w:r>
      </w:hyperlink>
    </w:p>
    <w:p>
      <w:pPr>
        <w:pStyle w:val="BodyText"/>
        <w:spacing w:line="480" w:lineRule="auto"/>
        <w:ind w:firstLine="720"/>
      </w:pPr>
      <w:bookmarkStart w:id="160" w:name="ref-10"/>
      <w:bookmarkEnd w:id="160"/>
      <w:r>
        <w:t xml:space="preserve">10. Dr. Darren McKnight (Integrity Applications Inc.). Pay Me Now or Pay Me More Later: Start the Development of Active Orbital Debris Removal Now (2010).</w:t>
      </w:r>
    </w:p>
    <w:p>
      <w:pPr>
        <w:pStyle w:val="BodyText"/>
        <w:spacing w:line="480" w:lineRule="auto"/>
        <w:ind w:firstLine="720"/>
      </w:pPr>
      <w:bookmarkStart w:id="161" w:name="ref-11"/>
      <w:bookmarkEnd w:id="161"/>
      <w:r>
        <w:t xml:space="preserve">11.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62" w:name="ref-12"/>
      <w:bookmarkEnd w:id="162"/>
      <w:r>
        <w:t xml:space="preserve">12. M.D. Hejduk (SRA International). Catalogue-Wide Satellite Photometric Behavior Paradigms (2010).</w:t>
      </w:r>
    </w:p>
    <w:p>
      <w:pPr>
        <w:pStyle w:val="BodyText"/>
        <w:spacing w:line="480" w:lineRule="auto"/>
        <w:ind w:firstLine="720"/>
      </w:pPr>
      <w:bookmarkStart w:id="163" w:name="ref-13"/>
      <w:bookmarkEnd w:id="163"/>
      <w:r>
        <w:t xml:space="preserve">13. Richard Colarco, L-3 Communications. Space Surveillance Network Sensor Development, Modification, and Sustainment Programs (2009).</w:t>
      </w:r>
    </w:p>
    <w:p>
      <w:pPr>
        <w:pStyle w:val="BodyText"/>
        <w:spacing w:line="480" w:lineRule="auto"/>
        <w:ind w:firstLine="720"/>
      </w:pPr>
      <w:bookmarkStart w:id="164" w:name="ref-14"/>
      <w:bookmarkEnd w:id="164"/>
      <w:r>
        <w:t xml:space="preserve">14.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165">
        <w:r>
          <w:rPr>
            <w:rStyle w:val="Hyperlink"/>
          </w:rPr>
          <w:t xml:space="preserve">10.64861/OTAL2562</w:t>
        </w:r>
      </w:hyperlink>
    </w:p>
    <w:p>
      <w:pPr>
        <w:pStyle w:val="BodyText"/>
        <w:spacing w:line="480" w:lineRule="auto"/>
        <w:ind w:firstLine="720"/>
      </w:pPr>
      <w:bookmarkStart w:id="166" w:name="ref-15"/>
      <w:bookmarkEnd w:id="166"/>
      <w:r>
        <w:t xml:space="preserve">15. Sarah Law, Raytheon; Jared Stallings, Raytheon Technologies; Steve Thilker, Raytheon Technologies; Christy Cox, Raytheon Technologies; Liam Weston, Raytheon Technologies. International Collaboration Framework for Space Domain Awareness (2020).</w:t>
      </w:r>
    </w:p>
    <w:p>
      <w:pPr>
        <w:pStyle w:val="BodyText"/>
        <w:spacing w:line="480" w:lineRule="auto"/>
        <w:ind w:firstLine="720"/>
      </w:pPr>
      <w:bookmarkStart w:id="167" w:name="ref-16"/>
      <w:bookmarkEnd w:id="167"/>
      <w:r>
        <w:t xml:space="preserve">16. Jan Eilers (German Aerospace Center). Observer Interface Analysis for Standardization to a Cloud Based Real-Time Space Situational Awareness (SSA) (2013).</w:t>
      </w:r>
    </w:p>
    <w:p>
      <w:pPr>
        <w:pStyle w:val="BodyText"/>
        <w:spacing w:line="480" w:lineRule="auto"/>
        <w:ind w:firstLine="720"/>
      </w:pPr>
      <w:bookmarkStart w:id="168" w:name="ref-17"/>
      <w:bookmarkEnd w:id="168"/>
      <w:r>
        <w:t xml:space="preserve">17. Alessandro Paravano; Alessandro Paravano; Brendan Rosseau; Giorgio Locatelli; Mathew Weinzierl; Paolo Trucco. Toward the LEO economy: A value assessment of commercial space stations for space and non-space users (2024). doi:</w:t>
      </w:r>
      <w:r>
        <w:t xml:space="preserve"> </w:t>
      </w:r>
      <w:hyperlink r:id="rId157">
        <w:r>
          <w:rPr>
            <w:rStyle w:val="Hyperlink"/>
          </w:rPr>
          <w:t xml:space="preserve">10.1016/j.actaastro.2024.11.060</w:t>
        </w:r>
      </w:hyperlink>
    </w:p>
    <w:p>
      <w:pPr>
        <w:pStyle w:val="BodyText"/>
        <w:spacing w:line="480" w:lineRule="auto"/>
        <w:ind w:firstLine="720"/>
      </w:pPr>
      <w:bookmarkStart w:id="169" w:name="ref-18"/>
      <w:bookmarkEnd w:id="169"/>
      <w:r>
        <w:t xml:space="preserve">18. Jasper Dijks; Sybren de Jong; Alessandra Menicucci; Iklim Akay. Systematic review of engineering and testing approaches for radiation hardness assurance in commercial space avionics (2025). doi:</w:t>
      </w:r>
      <w:r>
        <w:t xml:space="preserve"> </w:t>
      </w:r>
      <w:hyperlink r:id="rId170">
        <w:r>
          <w:rPr>
            <w:rStyle w:val="Hyperlink"/>
          </w:rPr>
          <w:t xml:space="preserve">10.1016/j.actaastro.2025.07.055</w:t>
        </w:r>
      </w:hyperlink>
    </w:p>
    <w:p>
      <w:pPr>
        <w:pStyle w:val="BodyText"/>
        <w:spacing w:line="480" w:lineRule="auto"/>
        <w:ind w:firstLine="720"/>
      </w:pPr>
      <w:bookmarkStart w:id="171" w:name="ref-19"/>
      <w:bookmarkEnd w:id="171"/>
      <w:r>
        <w:t xml:space="preserve">19. Miguel Ortiz del Castillo; Jack McRobbie; Andrew Woods; Robert Mearns; Jonathan Morgan; Michele Trenti; Simon Barraclough; Yijie Tao; Clint Therakam; Eric Schoof; Airlie Chapman; Fabrizio Fiore; Y. Evangelista; A. Guzmán; Paul Hedderman. The SpIRIT Payload Management System: A paradigm for smallsats multi payload integration (2025). doi:</w:t>
      </w:r>
      <w:r>
        <w:t xml:space="preserve"> </w:t>
      </w:r>
      <w:hyperlink r:id="rId150">
        <w:r>
          <w:rPr>
            <w:rStyle w:val="Hyperlink"/>
          </w:rPr>
          <w:t xml:space="preserve">10.1016/j.actaastro.2025.06.050</w:t>
        </w:r>
      </w:hyperlink>
    </w:p>
    <w:p>
      <w:pPr>
        <w:pStyle w:val="BodyText"/>
        <w:spacing w:line="480" w:lineRule="auto"/>
        <w:ind w:firstLine="720"/>
      </w:pPr>
      <w:bookmarkStart w:id="172" w:name="ref-20"/>
      <w:bookmarkEnd w:id="172"/>
      <w:r>
        <w:t xml:space="preserve">20. Turtogtokh Tumenjargal; Sangkyun Kim; Hirokazu Masui; Mengu Cho. CubeSat bus interface with Complex Programmable Logic Device (2019). doi:</w:t>
      </w:r>
      <w:r>
        <w:t xml:space="preserve"> </w:t>
      </w:r>
      <w:hyperlink r:id="rId148">
        <w:r>
          <w:rPr>
            <w:rStyle w:val="Hyperlink"/>
          </w:rPr>
          <w:t xml:space="preserve">10.1016/j.actaastro.2019.04.047</w:t>
        </w:r>
      </w:hyperlink>
    </w:p>
    <w:p>
      <w:pPr>
        <w:pStyle w:val="BodyText"/>
        <w:spacing w:line="480" w:lineRule="auto"/>
        <w:ind w:firstLine="720"/>
      </w:pPr>
      <w:bookmarkStart w:id="173" w:name="ref-21"/>
      <w:bookmarkEnd w:id="173"/>
      <w:r>
        <w:t xml:space="preserve">21.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5">
        <w:r>
          <w:rPr>
            <w:rStyle w:val="Hyperlink"/>
          </w:rPr>
          <w:t xml:space="preserve">10.1016/j.actaastro.2025.03.034</w:t>
        </w:r>
      </w:hyperlink>
    </w:p>
    <w:p>
      <w:pPr>
        <w:pStyle w:val="BodyText"/>
        <w:spacing w:line="480" w:lineRule="auto"/>
        <w:ind w:firstLine="720"/>
      </w:pPr>
      <w:bookmarkStart w:id="174" w:name="ref-22"/>
      <w:bookmarkEnd w:id="174"/>
      <w:r>
        <w:t xml:space="preserve">22. Angela Huang; Zheng Zhu. An experimental investigation of microgravity conditions on FDM-based in-space polymer additive manufacturing (2024). doi:</w:t>
      </w:r>
      <w:r>
        <w:t xml:space="preserve"> </w:t>
      </w:r>
      <w:hyperlink r:id="rId175">
        <w:r>
          <w:rPr>
            <w:rStyle w:val="Hyperlink"/>
          </w:rPr>
          <w:t xml:space="preserve">10.1016/j.actaastro.2024.12.052</w:t>
        </w:r>
      </w:hyperlink>
    </w:p>
    <w:p>
      <w:pPr>
        <w:pStyle w:val="BodyText"/>
        <w:spacing w:line="480" w:lineRule="auto"/>
        <w:ind w:firstLine="720"/>
      </w:pPr>
      <w:bookmarkStart w:id="176" w:name="ref-23"/>
      <w:bookmarkEnd w:id="176"/>
      <w:r>
        <w:t xml:space="preserve">23.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77">
        <w:r>
          <w:rPr>
            <w:rStyle w:val="Hyperlink"/>
          </w:rPr>
          <w:t xml:space="preserve">10.1016/j.actaastro.2025.04.063</w:t>
        </w:r>
      </w:hyperlink>
    </w:p>
    <w:p>
      <w:pPr>
        <w:pStyle w:val="BodyText"/>
        <w:spacing w:line="480" w:lineRule="auto"/>
        <w:ind w:firstLine="720"/>
      </w:pPr>
      <w:bookmarkStart w:id="178" w:name="ref-24"/>
      <w:bookmarkEnd w:id="178"/>
      <w:r>
        <w:t xml:space="preserve">24. Carlos Leandro Gomes Batista; Anderson Coelho Weller; Eliane Martins; Fátima Mattiello-Francisco. Towards increasing nanosatellite subsystem robustness (2018). doi:</w:t>
      </w:r>
      <w:r>
        <w:t xml:space="preserve"> </w:t>
      </w:r>
      <w:hyperlink r:id="rId152">
        <w:r>
          <w:rPr>
            <w:rStyle w:val="Hyperlink"/>
          </w:rPr>
          <w:t xml:space="preserve">10.1016/j.actaastro.2018.11.011</w:t>
        </w:r>
      </w:hyperlink>
    </w:p>
    <w:bookmarkEnd w:id="179"/>
    <w:bookmarkEnd w:id="180"/>
    <w:bookmarkStart w:id="19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8" w:name="X12c683d33d907c1c2187a5cb7b2a4124c5e2b99"/>
    <w:p>
      <w:pPr>
        <w:pStyle w:val="Heading2"/>
        <w:spacing w:line="480" w:lineRule="auto"/>
      </w:pPr>
      <w:r>
        <w:t xml:space="preserve">A.1 Interface-Standards Evidence and Citation Attention in Space-Systems Integration Literature</w:t>
      </w:r>
    </w:p>
    <w:p>
      <w:pPr>
        <w:pStyle w:val="FirstParagraph"/>
        <w:spacing w:line="480" w:lineRule="auto"/>
      </w:pPr>
      <m:oMathPara>
        <m:oMathParaPr>
          <m:jc m:val="center"/>
        </m:oMathParaPr>
        <m:oMath>
          <m:sSub>
            <m:e>
              <m:r>
                <m:rPr>
                  <m:sty m:val="p"/>
                </m:rPr>
                <m:t>C</m:t>
              </m:r>
              <m:r>
                <m:rPr>
                  <m:sty m:val="p"/>
                </m:rPr>
                <m:t>i</m:t>
              </m:r>
              <m:r>
                <m:rPr>
                  <m:sty m:val="p"/>
                </m:rPr>
                <m:t>t</m:t>
              </m:r>
              <m:r>
                <m:rPr>
                  <m:sty m:val="p"/>
                </m:rPr>
                <m:t>a</m:t>
              </m:r>
              <m:r>
                <m:rPr>
                  <m:sty m:val="p"/>
                </m:rPr>
                <m:t>t</m:t>
              </m:r>
              <m:r>
                <m:rPr>
                  <m:sty m:val="p"/>
                </m:rPr>
                <m:t>i</m:t>
              </m:r>
              <m:r>
                <m:rPr>
                  <m:sty m:val="p"/>
                </m:rPr>
                <m:t>o</m:t>
              </m:r>
              <m:r>
                <m:rPr>
                  <m:sty m:val="p"/>
                </m:rPr>
                <m:t>n</m:t>
              </m:r>
              <m:r>
                <m:rPr>
                  <m:sty m:val="p"/>
                </m:rPr>
                <m:t>s</m:t>
              </m:r>
            </m:e>
            <m:sub>
              <m:r>
                <m:t>i</m:t>
              </m:r>
            </m:sub>
          </m:sSub>
          <m:r>
            <m:rPr>
              <m:sty m:val="p"/>
            </m:rPr>
            <m:t>=</m:t>
          </m:r>
          <m:r>
            <m:t>α</m:t>
          </m:r>
          <m:r>
            <m:rPr>
              <m:sty m:val="p"/>
            </m:rPr>
            <m:t>+</m:t>
          </m:r>
          <m:sSub>
            <m:e>
              <m:r>
                <m:t>β</m:t>
              </m:r>
            </m:e>
            <m:sub>
              <m:r>
                <m:t>1</m:t>
              </m:r>
            </m:sub>
          </m:sSub>
          <m:r>
            <m:t>A</m:t>
          </m:r>
          <m:r>
            <m:t>g</m:t>
          </m:r>
          <m:sSub>
            <m:e>
              <m:r>
                <m:t>e</m:t>
              </m:r>
            </m:e>
            <m:sub>
              <m:r>
                <m:t>i</m:t>
              </m:r>
            </m:sub>
          </m:sSub>
          <m:r>
            <m:rPr>
              <m:sty m:val="p"/>
            </m:rPr>
            <m:t>+</m:t>
          </m:r>
          <m:sSub>
            <m:e>
              <m:r>
                <m:t>β</m:t>
              </m:r>
            </m:e>
            <m:sub>
              <m:r>
                <m:t>2</m:t>
              </m:r>
            </m:sub>
          </m:sSub>
          <m:r>
            <m:t>I</m:t>
          </m:r>
          <m:r>
            <m:t>n</m:t>
          </m:r>
          <m:r>
            <m:t>t</m:t>
          </m:r>
          <m:r>
            <m:t>e</m:t>
          </m:r>
          <m:r>
            <m:t>r</m:t>
          </m:r>
          <m:r>
            <m:t>f</m:t>
          </m:r>
          <m:r>
            <m:t>a</m:t>
          </m:r>
          <m:r>
            <m:t>c</m:t>
          </m:r>
          <m:sSub>
            <m:e>
              <m:r>
                <m:t>e</m:t>
              </m:r>
            </m:e>
            <m:sub>
              <m:r>
                <m:t>i</m:t>
              </m:r>
            </m:sub>
          </m:sSub>
          <m:r>
            <m:rPr>
              <m:sty m:val="p"/>
            </m:rPr>
            <m:t>+</m:t>
          </m:r>
          <m:sSub>
            <m:e>
              <m:r>
                <m:t>β</m:t>
              </m:r>
            </m:e>
            <m:sub>
              <m:r>
                <m:t>3</m:t>
              </m:r>
            </m:sub>
          </m:sSub>
          <m:r>
            <m:t>P</m:t>
          </m:r>
          <m:r>
            <m:t>a</m:t>
          </m:r>
          <m:r>
            <m:t>y</m:t>
          </m:r>
          <m:r>
            <m:t>l</m:t>
          </m:r>
          <m:r>
            <m:t>o</m:t>
          </m:r>
          <m:r>
            <m:t>a</m:t>
          </m:r>
          <m:r>
            <m:t>d</m:t>
          </m:r>
          <m:r>
            <m:t>B</m:t>
          </m:r>
          <m:r>
            <m:t>u</m:t>
          </m:r>
          <m:sSub>
            <m:e>
              <m:r>
                <m:t>s</m:t>
              </m:r>
            </m:e>
            <m:sub>
              <m:r>
                <m:t>i</m:t>
              </m:r>
            </m:sub>
          </m:sSub>
          <m:r>
            <m:rPr>
              <m:sty m:val="p"/>
            </m:rPr>
            <m:t>+</m:t>
          </m:r>
          <m:sSub>
            <m:e>
              <m:r>
                <m:t>β</m:t>
              </m:r>
            </m:e>
            <m:sub>
              <m:r>
                <m:t>4</m:t>
              </m:r>
            </m:sub>
          </m:sSub>
          <m:r>
            <m:t>S</m:t>
          </m:r>
          <m:r>
            <m:t>D</m:t>
          </m:r>
          <m:sSub>
            <m:e>
              <m:r>
                <m:t>A</m:t>
              </m:r>
            </m:e>
            <m:sub>
              <m:r>
                <m:t>i</m:t>
              </m:r>
            </m:sub>
          </m:sSub>
          <m:r>
            <m:rPr>
              <m:sty m:val="p"/>
            </m:rPr>
            <m:t>+</m:t>
          </m:r>
          <m:sSub>
            <m:e>
              <m:r>
                <m:t>β</m:t>
              </m:r>
            </m:e>
            <m:sub>
              <m:r>
                <m:t>5</m:t>
              </m:r>
            </m:sub>
          </m:sSub>
          <m:r>
            <m:t>M</m:t>
          </m:r>
          <m:r>
            <m:t>o</m:t>
          </m:r>
          <m:r>
            <m:t>d</m:t>
          </m:r>
          <m:r>
            <m:t>u</m:t>
          </m:r>
          <m:r>
            <m:t>l</m:t>
          </m:r>
          <m:r>
            <m:t>a</m:t>
          </m:r>
          <m:sSub>
            <m:e>
              <m:r>
                <m:t>r</m:t>
              </m:r>
            </m:e>
            <m:sub>
              <m:r>
                <m:t>i</m:t>
              </m:r>
            </m:sub>
          </m:sSub>
          <m:r>
            <m:rPr>
              <m:sty m:val="p"/>
            </m:rPr>
            <m:t>+</m:t>
          </m:r>
          <m:sSub>
            <m:e>
              <m:r>
                <m:t>β</m:t>
              </m:r>
            </m:e>
            <m:sub>
              <m:r>
                <m:t>6</m:t>
              </m:r>
            </m:sub>
          </m:sSub>
          <m:r>
            <m:t>A</m:t>
          </m:r>
          <m:r>
            <m:t>c</m:t>
          </m:r>
          <m:r>
            <m:t>t</m:t>
          </m:r>
          <m:sSub>
            <m:e>
              <m:r>
                <m:t>a</m:t>
              </m:r>
            </m:e>
            <m:sub>
              <m:r>
                <m:t>i</m:t>
              </m:r>
            </m:sub>
          </m:sSub>
          <m:r>
            <m:rPr>
              <m:sty m:val="p"/>
            </m:rPr>
            <m:t>+</m:t>
          </m:r>
          <m:sSub>
            <m:e>
              <m:r>
                <m:t>ε</m:t>
              </m:r>
            </m:e>
            <m:sub>
              <m:r>
                <m:t>i</m:t>
              </m:r>
            </m:sub>
          </m:sSub>
        </m:oMath>
      </m:oMathPara>
    </w:p>
    <w:bookmarkStart w:id="18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8.8082</w:t>
            </w:r>
          </w:p>
        </w:tc>
        <w:tc>
          <w:tcPr>
            <w:tcW w:w="0" w:type="auto"/>
          </w:tcPr>
          <w:p>
            <w:pPr>
              <w:spacing w:line="240" w:lineRule="auto" w:before="0" w:after="0"/>
              <w:pStyle w:val="Compact"/>
            </w:pPr>
            <w:r>
              <w:rPr>
                <w:sz w:val="20"/>
                <w:szCs w:val="20"/>
              </w:rPr>
              <w:t xml:space="preserve">5.4444</w:t>
            </w:r>
          </w:p>
        </w:tc>
        <w:tc>
          <w:tcPr>
            <w:tcW w:w="0" w:type="auto"/>
          </w:tcPr>
          <w:p>
            <w:pPr>
              <w:spacing w:line="240" w:lineRule="auto" w:before="0" w:after="0"/>
              <w:pStyle w:val="Compact"/>
            </w:pPr>
            <w:r>
              <w:rPr>
                <w:sz w:val="20"/>
                <w:szCs w:val="20"/>
              </w:rPr>
              <w:t xml:space="preserve">1.6178</w:t>
            </w:r>
          </w:p>
        </w:tc>
        <w:tc>
          <w:tcPr>
            <w:tcW w:w="0" w:type="auto"/>
          </w:tcPr>
          <w:p>
            <w:pPr>
              <w:spacing w:line="240" w:lineRule="auto" w:before="0" w:after="0"/>
              <w:pStyle w:val="Compact"/>
            </w:pPr>
            <w:r>
              <w:rPr>
                <w:sz w:val="20"/>
                <w:szCs w:val="20"/>
              </w:rPr>
              <w:t xml:space="preserve">0.1057</w:t>
            </w:r>
          </w:p>
        </w:tc>
        <w:tc>
          <w:tcPr>
            <w:tcW w:w="0" w:type="auto"/>
          </w:tcPr>
          <w:p>
            <w:pPr>
              <w:spacing w:line="240" w:lineRule="auto" w:before="0" w:after="0"/>
              <w:pStyle w:val="Compact"/>
            </w:pPr>
            <w:r>
              <w:rPr>
                <w:sz w:val="20"/>
                <w:szCs w:val="20"/>
              </w:rPr>
              <w:t xml:space="preserve">[-1.8627, 19.479]</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0.1359</w:t>
            </w:r>
          </w:p>
        </w:tc>
        <w:tc>
          <w:tcPr>
            <w:tcW w:w="0" w:type="auto"/>
          </w:tcPr>
          <w:p>
            <w:pPr>
              <w:spacing w:line="240" w:lineRule="auto" w:before="0" w:after="0"/>
              <w:pStyle w:val="Compact"/>
            </w:pPr>
            <w:r>
              <w:rPr>
                <w:sz w:val="20"/>
                <w:szCs w:val="20"/>
              </w:rPr>
              <w:t xml:space="preserve">1.1774</w:t>
            </w:r>
          </w:p>
        </w:tc>
        <w:tc>
          <w:tcPr>
            <w:tcW w:w="0" w:type="auto"/>
          </w:tcPr>
          <w:p>
            <w:pPr>
              <w:spacing w:line="240" w:lineRule="auto" w:before="0" w:after="0"/>
              <w:pStyle w:val="Compact"/>
            </w:pPr>
            <w:r>
              <w:rPr>
                <w:sz w:val="20"/>
                <w:szCs w:val="20"/>
              </w:rPr>
              <w:t xml:space="preserve">0.239</w:t>
            </w:r>
          </w:p>
        </w:tc>
        <w:tc>
          <w:tcPr>
            <w:tcW w:w="0" w:type="auto"/>
          </w:tcPr>
          <w:p>
            <w:pPr>
              <w:spacing w:line="240" w:lineRule="auto" w:before="0" w:after="0"/>
              <w:pStyle w:val="Compact"/>
            </w:pPr>
            <w:r>
              <w:rPr>
                <w:sz w:val="20"/>
                <w:szCs w:val="20"/>
              </w:rPr>
              <w:t xml:space="preserve">[-0.1063, 0.4263]</w:t>
            </w:r>
          </w:p>
        </w:tc>
      </w:tr>
      <w:tr>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1.1101</w:t>
            </w:r>
          </w:p>
        </w:tc>
        <w:tc>
          <w:tcPr>
            <w:tcW w:w="0" w:type="auto"/>
          </w:tcPr>
          <w:p>
            <w:pPr>
              <w:spacing w:line="240" w:lineRule="auto" w:before="0" w:after="0"/>
              <w:pStyle w:val="Compact"/>
            </w:pPr>
            <w:r>
              <w:rPr>
                <w:sz w:val="20"/>
                <w:szCs w:val="20"/>
              </w:rPr>
              <w:t xml:space="preserve">-0.761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[-3.0206, 1.3309]</w:t>
            </w:r>
          </w:p>
        </w:tc>
      </w:tr>
      <w:tr>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1.0876</w:t>
            </w:r>
          </w:p>
        </w:tc>
        <w:tc>
          <w:tcPr>
            <w:tcW w:w="0" w:type="auto"/>
          </w:tcPr>
          <w:p>
            <w:pPr>
              <w:spacing w:line="240" w:lineRule="auto" w:before="0" w:after="0"/>
              <w:pStyle w:val="Compact"/>
            </w:pPr>
            <w:r>
              <w:rPr>
                <w:sz w:val="20"/>
                <w:szCs w:val="20"/>
              </w:rPr>
              <w:t xml:space="preserve">-0.3494</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[-2.5116, 1.7515]</w:t>
            </w:r>
          </w:p>
        </w:tc>
      </w:tr>
      <w:tr>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-9.0286</w:t>
            </w:r>
          </w:p>
        </w:tc>
        <w:tc>
          <w:tcPr>
            <w:tcW w:w="0" w:type="auto"/>
          </w:tcPr>
          <w:p>
            <w:pPr>
              <w:spacing w:line="240" w:lineRule="auto" w:before="0" w:after="0"/>
              <w:pStyle w:val="Compact"/>
            </w:pPr>
            <w:r>
              <w:rPr>
                <w:sz w:val="20"/>
                <w:szCs w:val="20"/>
              </w:rPr>
              <w:t xml:space="preserve">5.0621</w:t>
            </w:r>
          </w:p>
        </w:tc>
        <w:tc>
          <w:tcPr>
            <w:tcW w:w="0" w:type="auto"/>
          </w:tcPr>
          <w:p>
            <w:pPr>
              <w:spacing w:line="240" w:lineRule="auto" w:before="0" w:after="0"/>
              <w:pStyle w:val="Compact"/>
            </w:pPr>
            <w:r>
              <w:rPr>
                <w:sz w:val="20"/>
                <w:szCs w:val="20"/>
              </w:rPr>
              <w:t xml:space="preserve">-1.7836</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[-18.95, 0.8929]</w:t>
            </w:r>
          </w:p>
        </w:tc>
      </w:tr>
      <w:tr>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-0.7365</w:t>
            </w:r>
          </w:p>
        </w:tc>
        <w:tc>
          <w:tcPr>
            <w:tcW w:w="0" w:type="auto"/>
          </w:tcPr>
          <w:p>
            <w:pPr>
              <w:spacing w:line="240" w:lineRule="auto" w:before="0" w:after="0"/>
              <w:pStyle w:val="Compact"/>
            </w:pPr>
            <w:r>
              <w:rPr>
                <w:sz w:val="20"/>
                <w:szCs w:val="20"/>
              </w:rPr>
              <w:t xml:space="preserve">0.9533</w:t>
            </w:r>
          </w:p>
        </w:tc>
        <w:tc>
          <w:tcPr>
            <w:tcW w:w="0" w:type="auto"/>
          </w:tcPr>
          <w:p>
            <w:pPr>
              <w:spacing w:line="240" w:lineRule="auto" w:before="0" w:after="0"/>
              <w:pStyle w:val="Compact"/>
            </w:pPr>
            <w:r>
              <w:rPr>
                <w:sz w:val="20"/>
                <w:szCs w:val="20"/>
              </w:rPr>
              <w:t xml:space="preserve">-0.7726</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[-2.6049, 1.1319]</w:t>
            </w:r>
          </w:p>
        </w:tc>
      </w:tr>
      <w:tr>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6.7785</w:t>
            </w:r>
          </w:p>
        </w:tc>
        <w:tc>
          <w:tcPr>
            <w:tcW w:w="0" w:type="auto"/>
          </w:tcPr>
          <w:p>
            <w:pPr>
              <w:spacing w:line="240" w:lineRule="auto" w:before="0" w:after="0"/>
              <w:pStyle w:val="Compact"/>
            </w:pPr>
            <w:r>
              <w:rPr>
                <w:sz w:val="20"/>
                <w:szCs w:val="20"/>
              </w:rPr>
              <w:t xml:space="preserve">2.7552</w:t>
            </w:r>
          </w:p>
        </w:tc>
        <w:tc>
          <w:tcPr>
            <w:tcW w:w="0" w:type="auto"/>
          </w:tcPr>
          <w:p>
            <w:pPr>
              <w:spacing w:line="240" w:lineRule="auto" w:before="0" w:after="0"/>
              <w:pStyle w:val="Compact"/>
            </w:pPr>
            <w:r>
              <w:rPr>
                <w:sz w:val="20"/>
                <w:szCs w:val="20"/>
              </w:rPr>
              <w:t xml:space="preserve">2.4603</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[1.3785, 12.1785]</w:t>
            </w:r>
          </w:p>
        </w:tc>
      </w:tr>
    </w:tbl>
    <w:p>
      <w:pPr>
        <w:pStyle w:val="BodyText"/>
        <w:spacing w:line="480" w:lineRule="auto"/>
        <w:ind w:firstLine="720"/>
      </w:pPr>
      <w:r>
        <w:t xml:space="preserve">Fit: N = 80 R2 = 0.3563 R2_adj = 0.3034 F = 2.2451 F_p = 0.0482</w:t>
      </w:r>
    </w:p>
    <w:bookmarkEnd w:id="181"/>
    <w:bookmarkStart w:id="18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itation attention by age for interface-standardization evidence records." title="" id="183" name="Picture"/>
            <a:graphic>
              <a:graphicData uri="http://schemas.openxmlformats.org/drawingml/2006/picture">
                <pic:pic>
                  <pic:nvPicPr>
                    <pic:cNvPr descr="D:/Claude_Code/brain/collegium/candidates/dissertations/SPACE_ECON_13/research_papers/p1/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Citation attention by age for interface-standardization evidence records.</w:t>
      </w:r>
    </w:p>
    <w:bookmarkEnd w:id="185"/>
    <w:bookmarkStart w:id="18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source_corpus</w:t>
            </w:r>
          </w:p>
        </w:tc>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is_amos</w:t>
            </w:r>
          </w:p>
        </w:tc>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IE-301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Flat Panel Space Based Space Surveillance Sensor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SPIDER: Next Generation Chip Scale Imaging Sensor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SPIDER: Next Generation Chip Scale Imaging Sensor Update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IE-296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Sensor-Rich Solution for Lunar/Cislunar Space Domain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IE-085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Systems Center Special Programs Advanced Technology Integration Future Space Domain Awareness Hosted Payloads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Architecting CubeSat constellations for messaging service, Part I</w:t>
            </w:r>
          </w:p>
        </w:tc>
        <w:tc>
          <w:tcPr>
            <w:tcW w:w="0" w:type="auto"/>
          </w:tcPr>
          <w:p>
            <w:pPr>
              <w:spacing w:line="240" w:lineRule="auto" w:before="0" w:after="0"/>
              <w:pStyle w:val="Compact"/>
            </w:pPr>
            <w:r>
              <w:rPr>
                <w:sz w:val="20"/>
                <w:szCs w:val="20"/>
              </w:rPr>
              <w:t xml:space="preserve">10.1016/j.actaastro.2024.07.022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IE-373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Architecting CubeSat constellations for messaging service, Part II</w:t>
            </w:r>
          </w:p>
        </w:tc>
        <w:tc>
          <w:tcPr>
            <w:tcW w:w="0" w:type="auto"/>
          </w:tcPr>
          <w:p>
            <w:pPr>
              <w:spacing w:line="240" w:lineRule="auto" w:before="0" w:after="0"/>
              <w:pStyle w:val="Compact"/>
            </w:pPr>
            <w:r>
              <w:rPr>
                <w:sz w:val="20"/>
                <w:szCs w:val="20"/>
              </w:rPr>
              <w:t xml:space="preserve">10.1016/j.actaastro.2024.12.022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IE-394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Control allocation for over-actuated satellite laser communication systems</w:t>
            </w:r>
          </w:p>
        </w:tc>
        <w:tc>
          <w:tcPr>
            <w:tcW w:w="0" w:type="auto"/>
          </w:tcPr>
          <w:p>
            <w:pPr>
              <w:spacing w:line="240" w:lineRule="auto" w:before="0" w:after="0"/>
              <w:pStyle w:val="Compact"/>
            </w:pPr>
            <w:r>
              <w:rPr>
                <w:sz w:val="20"/>
                <w:szCs w:val="20"/>
              </w:rPr>
              <w:t xml:space="preserve">10.1016/j.actaastro.2025.12.026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IE-193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Measurement Astrophysics and the AF Space Surveillance Mission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SAMM-2: A Rapid, Modular and Extensible All-Altitude VIS-IR Background Scene Generator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IE-321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Operationally Responsive Space Launch for Space Situational Awareness Missions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Surveillance Network Sensor Development, Modification, and Sustainment Programs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Integration of Space Weather Into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 Space Launch: Origins &amp; Challenges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Ibex: A Space Situational Awareness Data Fusion Program</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CubeSat Integration into the Space Situational Awareness Architecture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On-Orbit Results for Canada’s Sapphire Optical Payload</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IE-058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 Control Southern Hemisphere SSA Observatory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IE-256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Next Generation Space Surveillance System-of-Systems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Situational Awareness of Large Numbers of Payloads From a Single Deployment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Case for GEO Hosted SSA Payloads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Situational Awareness Data Processing Scalability Utilizing Google Cloud Services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IE-187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Discrimination Analysis of Sloan and Johnson Photometric Systems for Non-Resolved Object Characterization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IE-074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Automated Space Surveillance using the AN/FSY-3 Space Fence System</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Combined Space-Based Observations of Geostationary Satellites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Enabling GEODSS for Space Situational Awareness (SSA)</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OrbitOutlook Data Archive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IE-253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Orbital Space Environment and Space Situational Awareness Domain Ontology â€“ Toward an International Information System for Space Data</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“Testbed Experiment for SPIDER: A Photonic Integrated Circuit-based Interferometric</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IE-295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LauncherOne: Virgin Orbit’s Dedicated Launch Vehicle for Small Satellites &amp; Impact to the Space Enterprise Vision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Non-traditional Sensor Tasking for SSA: A Case Study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Ultimate Big Data Enterprise Initiative: Defining Functional Capabilities for an International Information System (IIS) for Orbital Space Data (OSD)</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the Emerging CubeSat Reference Model for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Modular Neural Network Tasking of Space Situational Awareness Systems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Non-Traditional Data Collection and Exploitation for Improved GEO SSA via a Global Network of Heterogeneous Sensors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IE-460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Scientific CMOS Camera for Observation of Dim Space Objects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 Australian Conjunction Assessment Service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CASSIOPeiA - A new paradigm for space solar power</w:t>
            </w:r>
          </w:p>
        </w:tc>
        <w:tc>
          <w:tcPr>
            <w:tcW w:w="0" w:type="auto"/>
          </w:tcPr>
          <w:p>
            <w:pPr>
              <w:spacing w:line="240" w:lineRule="auto" w:before="0" w:after="0"/>
              <w:pStyle w:val="Compact"/>
            </w:pPr>
            <w:r>
              <w:rPr>
                <w:sz w:val="20"/>
                <w:szCs w:val="20"/>
              </w:rPr>
              <w:t xml:space="preserve">10.1016/j.actaastro.2019.03.063</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Feature-Based Satellite Detection Using Convolutional Neural Networks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IE-084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Ultrafast Wide Field Telescope for Space Debris Detection and Tracking</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Air-LUSI: Development of a pointing and tracking control system for lunar spectral measurements</w:t>
            </w:r>
          </w:p>
        </w:tc>
        <w:tc>
          <w:tcPr>
            <w:tcW w:w="0" w:type="auto"/>
          </w:tcPr>
          <w:p>
            <w:pPr>
              <w:spacing w:line="240" w:lineRule="auto" w:before="0" w:after="0"/>
              <w:pStyle w:val="Compact"/>
            </w:pPr>
            <w:r>
              <w:rPr>
                <w:sz w:val="20"/>
                <w:szCs w:val="20"/>
              </w:rPr>
              <w:t xml:space="preserve">10.1016/j.actaastro.2020.07.004</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IE-401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On-board, Autonomous, Hybrid Spacecraft Subsystem Fault and Anomaly Detection, Diagnosis, and Recovery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Payload and Constellation Design for a Solar Exclusion-Avoiding Cislunar SSA Fleet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Command and Control Program - Kobayashi Maru</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Utility of Modular Attitude Determination and Control Subsystems for Small Satellites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Performance of Northrop Grumman’s Mission Extension Vehicle (MEV) RPO Imagers at GEO</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Toward Deep-space Object Detection in Persistent Wide Field of View Camera Arrays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Trends in Global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Cislunar Orbit Determination Benefits of Moon-Based Sensors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European Expert Centre Providing Services and Support for Space Surveillance and Traffic Management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Peacock: A Persistent Wide-Field-Of-View Simultaneous Multispectral System Based on COTS Hardware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Case for Resilient Hosted Payloads in Proliferated MEO to support Space Domain Awareness</w:t>
            </w:r>
          </w:p>
        </w:tc>
        <w:tc>
          <w:tcPr>
            <w:tcW w:w="0" w:type="auto"/>
          </w:tcPr>
          <w:p>
            <w:pPr>
              <w:spacing w:line="240" w:lineRule="auto" w:before="0" w:after="0"/>
              <w:pStyle w:val="Compact"/>
            </w:pPr>
            <w:r>
              <w:rPr>
                <w:sz w:val="20"/>
                <w:szCs w:val="20"/>
              </w:rPr>
              <w:t xml:space="preserve">10.64861/ENMJ6539</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Compliant joint to reduce docking loads between CubeSats</w:t>
            </w:r>
          </w:p>
        </w:tc>
        <w:tc>
          <w:tcPr>
            <w:tcW w:w="0" w:type="auto"/>
          </w:tcPr>
          <w:p>
            <w:pPr>
              <w:spacing w:line="240" w:lineRule="auto" w:before="0" w:after="0"/>
              <w:pStyle w:val="Compact"/>
            </w:pPr>
            <w:r>
              <w:rPr>
                <w:sz w:val="20"/>
                <w:szCs w:val="20"/>
              </w:rPr>
              <w:t xml:space="preserve">10.1016/j.actaastro.2023.01.035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Conceptual Framework for a Rapid Space Launch Capability</w:t>
            </w:r>
          </w:p>
        </w:tc>
        <w:tc>
          <w:tcPr>
            <w:tcW w:w="0" w:type="auto"/>
          </w:tcPr>
          <w:p>
            <w:pPr>
              <w:spacing w:line="240" w:lineRule="auto" w:before="0" w:after="0"/>
              <w:pStyle w:val="Compact"/>
            </w:pPr>
            <w:r>
              <w:rPr>
                <w:sz w:val="20"/>
                <w:szCs w:val="20"/>
              </w:rPr>
              <w:t xml:space="preserve">10.64861/KYFU6858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IE-151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Enabling Modular and Scalable SDA Data Transforms via the Raft Data Fabric</w:t>
            </w:r>
          </w:p>
        </w:tc>
        <w:tc>
          <w:tcPr>
            <w:tcW w:w="0" w:type="auto"/>
          </w:tcPr>
          <w:p>
            <w:pPr>
              <w:spacing w:line="240" w:lineRule="auto" w:before="0" w:after="0"/>
              <w:pStyle w:val="Compact"/>
            </w:pPr>
            <w:r>
              <w:rPr>
                <w:sz w:val="20"/>
                <w:szCs w:val="20"/>
              </w:rPr>
              <w:t xml:space="preserve">10.64861/PMMH7892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Defense Readiness Agile Gaming Ops Network (DRAGON) Army Sync Service: Enabling International Collaboration in the Space Situational Awareness Mission</w:t>
            </w:r>
          </w:p>
        </w:tc>
        <w:tc>
          <w:tcPr>
            <w:tcW w:w="0" w:type="auto"/>
          </w:tcPr>
          <w:p>
            <w:pPr>
              <w:spacing w:line="240" w:lineRule="auto" w:before="0" w:after="0"/>
              <w:pStyle w:val="Compact"/>
            </w:pPr>
            <w:r>
              <w:rPr>
                <w:sz w:val="20"/>
                <w:szCs w:val="20"/>
              </w:rPr>
              <w:t xml:space="preserve">10.64861/QYQB6394</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Right Data to the Right Place at the Right Time: A Marketplace Approach</w:t>
            </w:r>
          </w:p>
        </w:tc>
        <w:tc>
          <w:tcPr>
            <w:tcW w:w="0" w:type="auto"/>
          </w:tcPr>
          <w:p>
            <w:pPr>
              <w:spacing w:line="240" w:lineRule="auto" w:before="0" w:after="0"/>
              <w:pStyle w:val="Compact"/>
            </w:pPr>
            <w:r>
              <w:rPr>
                <w:sz w:val="20"/>
                <w:szCs w:val="20"/>
              </w:rPr>
              <w:t xml:space="preserve">10.64861/NRCS3123</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IE-399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Technical Comparison of the Public SSA Services in the United States and the European Union</w:t>
            </w:r>
          </w:p>
        </w:tc>
        <w:tc>
          <w:tcPr>
            <w:tcW w:w="0" w:type="auto"/>
          </w:tcPr>
          <w:p>
            <w:pPr>
              <w:spacing w:line="240" w:lineRule="auto" w:before="0" w:after="0"/>
              <w:pStyle w:val="Compact"/>
            </w:pPr>
            <w:r>
              <w:rPr>
                <w:sz w:val="20"/>
                <w:szCs w:val="20"/>
              </w:rPr>
              <w:t xml:space="preserve">10.64861/ETRU7114</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Automated, Collaborative Applications to Close Kill Chain Gaps</w:t>
            </w:r>
          </w:p>
        </w:tc>
        <w:tc>
          <w:tcPr>
            <w:tcW w:w="0" w:type="auto"/>
          </w:tcPr>
          <w:p>
            <w:pPr>
              <w:spacing w:line="240" w:lineRule="auto" w:before="0" w:after="0"/>
              <w:pStyle w:val="Compact"/>
            </w:pPr>
            <w:r>
              <w:rPr>
                <w:sz w:val="20"/>
                <w:szCs w:val="20"/>
              </w:rPr>
              <w:t xml:space="preserve">10.64861/WAID8303</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CubeSat Radar Cross-Section Measurement Campaign</w:t>
            </w:r>
          </w:p>
        </w:tc>
        <w:tc>
          <w:tcPr>
            <w:tcW w:w="0" w:type="auto"/>
          </w:tcPr>
          <w:p>
            <w:pPr>
              <w:spacing w:line="240" w:lineRule="auto" w:before="0" w:after="0"/>
              <w:pStyle w:val="Compact"/>
            </w:pPr>
            <w:r>
              <w:rPr>
                <w:sz w:val="20"/>
                <w:szCs w:val="20"/>
              </w:rPr>
              <w:t xml:space="preserve">10.64861/NYKE4838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CubeSat standardized modular assembly method and design optimization</w:t>
            </w:r>
          </w:p>
        </w:tc>
        <w:tc>
          <w:tcPr>
            <w:tcW w:w="0" w:type="auto"/>
          </w:tcPr>
          <w:p>
            <w:pPr>
              <w:spacing w:line="240" w:lineRule="auto" w:before="0" w:after="0"/>
              <w:pStyle w:val="Compact"/>
            </w:pPr>
            <w:r>
              <w:rPr>
                <w:sz w:val="20"/>
                <w:szCs w:val="20"/>
              </w:rPr>
              <w:t xml:space="preserve">10.1016/j.actaastro.2024.01.011</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Data Insights, Pedigree, and Automation for Space Domain Awareness</w:t>
            </w:r>
          </w:p>
        </w:tc>
        <w:tc>
          <w:tcPr>
            <w:tcW w:w="0" w:type="auto"/>
          </w:tcPr>
          <w:p>
            <w:pPr>
              <w:spacing w:line="240" w:lineRule="auto" w:before="0" w:after="0"/>
              <w:pStyle w:val="Compact"/>
            </w:pPr>
            <w:r>
              <w:rPr>
                <w:sz w:val="20"/>
                <w:szCs w:val="20"/>
              </w:rPr>
              <w:t xml:space="preserve">10.64861/NUFH1261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Future in-orbit servicing operations in the space traffic management context</w:t>
            </w:r>
          </w:p>
        </w:tc>
        <w:tc>
          <w:tcPr>
            <w:tcW w:w="0" w:type="auto"/>
          </w:tcPr>
          <w:p>
            <w:pPr>
              <w:spacing w:line="240" w:lineRule="auto" w:before="0" w:after="0"/>
              <w:pStyle w:val="Compact"/>
            </w:pPr>
            <w:r>
              <w:rPr>
                <w:sz w:val="20"/>
                <w:szCs w:val="20"/>
              </w:rPr>
              <w:t xml:space="preserve">10.1016/j.actaastro.2024.05.007</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HexSats: A novel flat hexagonal nanosatellite for high-power applications</w:t>
            </w:r>
          </w:p>
        </w:tc>
        <w:tc>
          <w:tcPr>
            <w:tcW w:w="0" w:type="auto"/>
          </w:tcPr>
          <w:p>
            <w:pPr>
              <w:spacing w:line="240" w:lineRule="auto" w:before="0" w:after="0"/>
              <w:pStyle w:val="Compact"/>
            </w:pPr>
            <w:r>
              <w:rPr>
                <w:sz w:val="20"/>
                <w:szCs w:val="20"/>
              </w:rPr>
              <w:t xml:space="preserve">10.1016/j.actaastro.2024.09.007</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Model-based controllers for CubeSat ORU installation: A comparative study</w:t>
            </w:r>
          </w:p>
        </w:tc>
        <w:tc>
          <w:tcPr>
            <w:tcW w:w="0" w:type="auto"/>
          </w:tcPr>
          <w:p>
            <w:pPr>
              <w:spacing w:line="240" w:lineRule="auto" w:before="0" w:after="0"/>
              <w:pStyle w:val="Compact"/>
            </w:pPr>
            <w:r>
              <w:rPr>
                <w:sz w:val="20"/>
                <w:szCs w:val="20"/>
              </w:rPr>
              <w:t xml:space="preserve">10.1016/j.actaastro.2024.07.036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Test characterization of infrared phototransistors-based sensors for close-proximity operations</w:t>
            </w:r>
          </w:p>
        </w:tc>
        <w:tc>
          <w:tcPr>
            <w:tcW w:w="0" w:type="auto"/>
          </w:tcPr>
          <w:p>
            <w:pPr>
              <w:spacing w:line="240" w:lineRule="auto" w:before="0" w:after="0"/>
              <w:pStyle w:val="Compact"/>
            </w:pPr>
            <w:r>
              <w:rPr>
                <w:sz w:val="20"/>
                <w:szCs w:val="20"/>
              </w:rPr>
              <w:t xml:space="preserve">10.1016/j.actaastro.2024.04.010</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GSSAC Mission System: A New Solution for Space Objects Cataloguing From DLR</w:t>
            </w:r>
          </w:p>
        </w:tc>
        <w:tc>
          <w:tcPr>
            <w:tcW w:w="0" w:type="auto"/>
          </w:tcPr>
          <w:p>
            <w:pPr>
              <w:spacing w:line="240" w:lineRule="auto" w:before="0" w:after="0"/>
              <w:pStyle w:val="Compact"/>
            </w:pPr>
            <w:r>
              <w:rPr>
                <w:sz w:val="20"/>
                <w:szCs w:val="20"/>
              </w:rPr>
              <w:t xml:space="preserve">10.64861/MABY9680</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Towards robotic on-orbit assembly of large space telescopes: Mission architectures, concepts, and analyses</w:t>
            </w:r>
          </w:p>
        </w:tc>
        <w:tc>
          <w:tcPr>
            <w:tcW w:w="0" w:type="auto"/>
          </w:tcPr>
          <w:p>
            <w:pPr>
              <w:spacing w:line="240" w:lineRule="auto" w:before="0" w:after="0"/>
              <w:pStyle w:val="Compact"/>
            </w:pPr>
            <w:r>
              <w:rPr>
                <w:sz w:val="20"/>
                <w:szCs w:val="20"/>
              </w:rPr>
              <w:t xml:space="preserve">10.1016/j.actaastro.2024.08.022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IE-378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AltiCube+: A low-cost long fixed-baseline radar altimeter solution based on cubesats on-orbit assembly</w:t>
            </w:r>
          </w:p>
        </w:tc>
        <w:tc>
          <w:tcPr>
            <w:tcW w:w="0" w:type="auto"/>
          </w:tcPr>
          <w:p>
            <w:pPr>
              <w:spacing w:line="240" w:lineRule="auto" w:before="0" w:after="0"/>
              <w:pStyle w:val="Compact"/>
            </w:pPr>
            <w:r>
              <w:rPr>
                <w:sz w:val="20"/>
                <w:szCs w:val="20"/>
              </w:rPr>
              <w:t xml:space="preserve">10.1016/j.actaastro.2025.05.055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IE-209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Architecting a decision support system for continuing supervision of commercial in-space servicing</w:t>
            </w:r>
          </w:p>
        </w:tc>
        <w:tc>
          <w:tcPr>
            <w:tcW w:w="0" w:type="auto"/>
          </w:tcPr>
          <w:p>
            <w:pPr>
              <w:spacing w:line="240" w:lineRule="auto" w:before="0" w:after="0"/>
              <w:pStyle w:val="Compact"/>
            </w:pPr>
            <w:r>
              <w:rPr>
                <w:sz w:val="20"/>
                <w:szCs w:val="20"/>
              </w:rPr>
              <w:t xml:space="preserve">10.1016/j.actaastro.2025.05.036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Decisive Mission Analysis Capability: A Physics-Based Testing and Evaluation Framework for Space Domain Awareness</w:t>
            </w:r>
          </w:p>
        </w:tc>
        <w:tc>
          <w:tcPr>
            <w:tcW w:w="0" w:type="auto"/>
          </w:tcPr>
          <w:p>
            <w:pPr>
              <w:spacing w:line="240" w:lineRule="auto" w:before="0" w:after="0"/>
              <w:pStyle w:val="Compact"/>
            </w:pPr>
            <w:r>
              <w:rPr>
                <w:sz w:val="20"/>
                <w:szCs w:val="20"/>
              </w:rPr>
              <w:t xml:space="preserve">10.64861/CKQN3841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 of VISION (Vigilant Integrated Space Information and mOnitoring Network): An Integrated Space Information Monitoring System for Space Flight Safety</w:t>
            </w:r>
          </w:p>
        </w:tc>
        <w:tc>
          <w:tcPr>
            <w:tcW w:w="0" w:type="auto"/>
          </w:tcPr>
          <w:p>
            <w:pPr>
              <w:spacing w:line="240" w:lineRule="auto" w:before="0" w:after="0"/>
              <w:pStyle w:val="Compact"/>
            </w:pPr>
            <w:r>
              <w:rPr>
                <w:sz w:val="20"/>
                <w:szCs w:val="20"/>
              </w:rPr>
              <w:t xml:space="preserve">10.64861/OTAL2562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End-to-End Autonomous Mission Planning and Spacecraft Attitude Optimization for Resident Space Object Imaging</w:t>
            </w:r>
          </w:p>
        </w:tc>
        <w:tc>
          <w:tcPr>
            <w:tcW w:w="0" w:type="auto"/>
          </w:tcPr>
          <w:p>
            <w:pPr>
              <w:spacing w:line="240" w:lineRule="auto" w:before="0" w:after="0"/>
              <w:pStyle w:val="Compact"/>
            </w:pPr>
            <w:r>
              <w:rPr>
                <w:sz w:val="20"/>
                <w:szCs w:val="20"/>
              </w:rPr>
              <w:t xml:space="preserve">10.64861/TLLP2048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Hierarchical Neuro-Symbolic AI for Autonomous Spacecraft Maneuvering and Anomaly Detection</w:t>
            </w:r>
          </w:p>
        </w:tc>
        <w:tc>
          <w:tcPr>
            <w:tcW w:w="0" w:type="auto"/>
          </w:tcPr>
          <w:p>
            <w:pPr>
              <w:spacing w:line="240" w:lineRule="auto" w:before="0" w:after="0"/>
              <w:pStyle w:val="Compact"/>
            </w:pPr>
            <w:r>
              <w:rPr>
                <w:sz w:val="20"/>
                <w:szCs w:val="20"/>
              </w:rPr>
              <w:t xml:space="preserve">10.64861/RAAN7205</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 navigation system optimization for targeted coverage with semi-analytical station keeping model and Earth-GPS integration</w:t>
            </w:r>
          </w:p>
        </w:tc>
        <w:tc>
          <w:tcPr>
            <w:tcW w:w="0" w:type="auto"/>
          </w:tcPr>
          <w:p>
            <w:pPr>
              <w:spacing w:line="240" w:lineRule="auto" w:before="0" w:after="0"/>
              <w:pStyle w:val="Compact"/>
            </w:pPr>
            <w:r>
              <w:rPr>
                <w:sz w:val="20"/>
                <w:szCs w:val="20"/>
              </w:rPr>
              <w:t xml:space="preserve">10.1016/j.actaastro.2025.10.065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Maritime Based Sensor Network for Persistent Monitoring of Resident Space Objects, Satellite Launches and Missile Launches</w:t>
            </w:r>
          </w:p>
        </w:tc>
        <w:tc>
          <w:tcPr>
            <w:tcW w:w="0" w:type="auto"/>
          </w:tcPr>
          <w:p>
            <w:pPr>
              <w:spacing w:line="240" w:lineRule="auto" w:before="0" w:after="0"/>
              <w:pStyle w:val="Compact"/>
            </w:pPr>
            <w:r>
              <w:rPr>
                <w:sz w:val="20"/>
                <w:szCs w:val="20"/>
              </w:rPr>
              <w:t xml:space="preserve">10.64861/YNWB1236</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Mission operations for precise in-orbit collision prediction and space environment surveillance system</w:t>
            </w:r>
          </w:p>
        </w:tc>
        <w:tc>
          <w:tcPr>
            <w:tcW w:w="0" w:type="auto"/>
          </w:tcPr>
          <w:p>
            <w:pPr>
              <w:spacing w:line="240" w:lineRule="auto" w:before="0" w:after="0"/>
              <w:pStyle w:val="Compact"/>
            </w:pPr>
            <w:r>
              <w:rPr>
                <w:sz w:val="20"/>
                <w:szCs w:val="20"/>
              </w:rPr>
              <w:t xml:space="preserve">10.1016/j.actaastro.2025.05.049</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NICECube - Nitric Oxide Infrared Cooling Emissions Cubesat. A Cubesat Solution to Enable Accurate Thermospheric Density Forecasts for Improved Space Situational Awareness</w:t>
            </w:r>
          </w:p>
        </w:tc>
        <w:tc>
          <w:tcPr>
            <w:tcW w:w="0" w:type="auto"/>
          </w:tcPr>
          <w:p>
            <w:pPr>
              <w:spacing w:line="240" w:lineRule="auto" w:before="0" w:after="0"/>
              <w:pStyle w:val="Compact"/>
            </w:pPr>
            <w:r>
              <w:rPr>
                <w:sz w:val="20"/>
                <w:szCs w:val="20"/>
              </w:rPr>
              <w:t xml:space="preserve">10.64861/VUMF3172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On-Orbit Satellite Detection and Extraction in J Band Imagery</w:t>
            </w:r>
          </w:p>
        </w:tc>
        <w:tc>
          <w:tcPr>
            <w:tcW w:w="0" w:type="auto"/>
          </w:tcPr>
          <w:p>
            <w:pPr>
              <w:spacing w:line="240" w:lineRule="auto" w:before="0" w:after="0"/>
              <w:pStyle w:val="Compact"/>
            </w:pPr>
            <w:r>
              <w:rPr>
                <w:sz w:val="20"/>
                <w:szCs w:val="20"/>
              </w:rPr>
              <w:t xml:space="preserve">10.64861/AZUD8556</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Prototype Development of Web AI-Based Decision Support System: Insights and Recommendations for Satellite Anomaly Identification</w:t>
            </w:r>
          </w:p>
        </w:tc>
        <w:tc>
          <w:tcPr>
            <w:tcW w:w="0" w:type="auto"/>
          </w:tcPr>
          <w:p>
            <w:pPr>
              <w:spacing w:line="240" w:lineRule="auto" w:before="0" w:after="0"/>
              <w:pStyle w:val="Compact"/>
            </w:pPr>
            <w:r>
              <w:rPr>
                <w:sz w:val="20"/>
                <w:szCs w:val="20"/>
              </w:rPr>
              <w:t xml:space="preserve">10.64861/TJUV7381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bl>
    <w:bookmarkEnd w:id="186"/>
    <w:bookmarkStart w:id="18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 count reported in local ACTA metadata where present, zero where the local source family does not carry a citation field</w:t>
            </w:r>
          </w:p>
        </w:tc>
        <w:tc>
          <w:tcPr>
            <w:tcW w:w="0" w:type="auto"/>
          </w:tcPr>
          <w:p>
            <w:pPr>
              <w:spacing w:line="240" w:lineRule="auto" w:before="0" w:after="0"/>
              <w:pStyle w:val="Compact"/>
            </w:pPr>
            <w:r>
              <w:rPr>
                <w:sz w:val="20"/>
                <w:szCs w:val="20"/>
              </w:rPr>
              <w:t xml:space="preserve">Parsed from D:/Claude_Code ACTA metadata and combined with AMOS, Space Economy, and prospectus source metadata</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Computed from source year</w:t>
            </w:r>
          </w:p>
        </w:tc>
      </w:tr>
      <w:tr>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Record contains interface, standard, interoperability, exchange, or protocol language</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Record concerns payload, bus, subsystem, CubeSat, smallsat, nanosatellite, or instrument coupling</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Record concerns SSA, SDA, observer, sensor, surveillance, tracking, or catalog data exchange</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Record concerns modularity, ORU, replacement, servicing, capture, assembly, or integration</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Record came from the Acta Astronautica local metadata corpus</w:t>
            </w:r>
          </w:p>
        </w:tc>
        <w:tc>
          <w:tcPr>
            <w:tcW w:w="0" w:type="auto"/>
          </w:tcPr>
          <w:p>
            <w:pPr>
              <w:spacing w:line="240" w:lineRule="auto" w:before="0" w:after="0"/>
              <w:pStyle w:val="Compact"/>
            </w:pPr>
            <w:r>
              <w:rPr>
                <w:sz w:val="20"/>
                <w:szCs w:val="20"/>
              </w:rPr>
              <w:t xml:space="preserve">Source-corpus flag</w:t>
            </w:r>
          </w:p>
        </w:tc>
      </w:tr>
    </w:tbl>
    <w:bookmarkEnd w:id="187"/>
    <w:bookmarkEnd w:id="188"/>
    <w:bookmarkStart w:id="196" w:name="Xa20e2e8c8786bdf27ca321347b4d4f1e95d6f8b"/>
    <w:p>
      <w:pPr>
        <w:pStyle w:val="Heading2"/>
        <w:spacing w:line="480" w:lineRule="auto"/>
      </w:pPr>
      <w:r>
        <w:t xml:space="preserve">A.2 A Learning-Curve Baseline for Interface-Standardization Evidence Accumulation</w:t>
      </w:r>
    </w:p>
    <w:p>
      <w:pPr>
        <w:pStyle w:val="FirstParagraph"/>
        <w:spacing w:line="480" w:lineRule="auto"/>
      </w:pPr>
      <m:oMathPara>
        <m:oMathParaPr>
          <m:jc m:val="center"/>
        </m:oMathParaPr>
        <m:oMath>
          <m:r>
            <m:rPr>
              <m:sty m:val="p"/>
            </m:rPr>
            <m:t>log</m:t>
          </m:r>
          <m:r>
            <m:rPr>
              <m:sty m:val="p"/>
            </m:rPr>
            <m:t>(</m:t>
          </m:r>
          <m:sSub>
            <m:e>
              <m:r>
                <m:rPr>
                  <m:sty m:val="p"/>
                </m:rPr>
                <m:t>E</m:t>
              </m:r>
              <m:r>
                <m:rPr>
                  <m:sty m:val="p"/>
                </m:rPr>
                <m:t>v</m:t>
              </m:r>
              <m:r>
                <m:rPr>
                  <m:sty m:val="p"/>
                </m:rPr>
                <m:t>i</m:t>
              </m:r>
              <m:r>
                <m:rPr>
                  <m:sty m:val="p"/>
                </m:rPr>
                <m:t>d</m:t>
              </m:r>
              <m:r>
                <m:rPr>
                  <m:sty m:val="p"/>
                </m:rPr>
                <m:t>e</m:t>
              </m:r>
              <m:r>
                <m:rPr>
                  <m:sty m:val="p"/>
                </m:rPr>
                <m:t>n</m:t>
              </m:r>
              <m:r>
                <m:rPr>
                  <m:sty m:val="p"/>
                </m:rPr>
                <m:t>c</m:t>
              </m:r>
              <m:r>
                <m:rPr>
                  <m:sty m:val="p"/>
                </m:rPr>
                <m:t>e</m:t>
              </m:r>
              <m:r>
                <m:rPr>
                  <m:sty m:val="p"/>
                </m:rPr>
                <m:t>R</m:t>
              </m:r>
              <m:r>
                <m:rPr>
                  <m:sty m:val="p"/>
                </m:rPr>
                <m:t>e</m:t>
              </m:r>
              <m:r>
                <m:rPr>
                  <m:sty m:val="p"/>
                </m:rPr>
                <m:t>c</m:t>
              </m:r>
              <m:r>
                <m:rPr>
                  <m:sty m:val="p"/>
                </m:rPr>
                <m:t>o</m:t>
              </m:r>
              <m:r>
                <m:rPr>
                  <m:sty m:val="p"/>
                </m:rPr>
                <m:t>r</m:t>
              </m:r>
              <m:r>
                <m:rPr>
                  <m:sty m:val="p"/>
                </m:rPr>
                <m:t>d</m:t>
              </m:r>
              <m:r>
                <m:rPr>
                  <m:sty m:val="p"/>
                </m:rPr>
                <m:t>s</m:t>
              </m:r>
            </m:e>
            <m:sub>
              <m:r>
                <m:t>t</m:t>
              </m:r>
            </m:sub>
          </m:sSub>
          <m:r>
            <m:rPr>
              <m:sty m:val="p"/>
            </m:rPr>
            <m:t>+</m:t>
          </m:r>
          <m:r>
            <m:t>1</m:t>
          </m:r>
          <m:r>
            <m:rPr>
              <m:sty m:val="p"/>
            </m:rPr>
            <m:t>)</m:t>
          </m:r>
          <m:r>
            <m:rPr>
              <m:sty m:val="p"/>
            </m:rPr>
            <m:t>=</m:t>
          </m:r>
          <m:r>
            <m:t>α</m:t>
          </m:r>
          <m:r>
            <m:rPr>
              <m:sty m:val="p"/>
            </m:rPr>
            <m:t>+</m:t>
          </m:r>
          <m:r>
            <m:t>b</m:t>
          </m:r>
          <m:r>
            <m:rPr>
              <m:sty m:val="p"/>
            </m:rPr>
            <m:t>log</m:t>
          </m:r>
          <m:r>
            <m:rPr>
              <m:sty m:val="p"/>
            </m:rPr>
            <m:t>(</m:t>
          </m:r>
          <m:r>
            <m:t>t</m:t>
          </m:r>
          <m:r>
            <m:rPr>
              <m:sty m:val="p"/>
            </m:rPr>
            <m:t>−</m:t>
          </m:r>
          <m:sSub>
            <m:e>
              <m:r>
                <m:t>t</m:t>
              </m:r>
            </m:e>
            <m:sub>
              <m:r>
                <m:t>0</m:t>
              </m:r>
            </m:sub>
          </m:sSub>
          <m:r>
            <m:rPr>
              <m:sty m:val="p"/>
            </m:rPr>
            <m:t>+</m:t>
          </m:r>
          <m:r>
            <m:t>1</m:t>
          </m:r>
          <m:r>
            <m:rPr>
              <m:sty m:val="p"/>
            </m:rPr>
            <m:t>)</m:t>
          </m:r>
          <m:r>
            <m:rPr>
              <m:sty m:val="p"/>
            </m:rPr>
            <m:t>+</m:t>
          </m:r>
          <m:sSub>
            <m:e>
              <m:r>
                <m:t>ε</m:t>
              </m:r>
            </m:e>
            <m:sub>
              <m:r>
                <m:t>t</m:t>
              </m:r>
            </m:sub>
          </m:sSub>
        </m:oMath>
      </m:oMathPara>
    </w:p>
    <w:bookmarkStart w:id="18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0.343</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0.9782</w:t>
            </w:r>
          </w:p>
        </w:tc>
        <w:tc>
          <w:tcPr>
            <w:tcW w:w="0" w:type="auto"/>
          </w:tcPr>
          <w:p>
            <w:pPr>
              <w:spacing w:line="240" w:lineRule="auto" w:before="0" w:after="0"/>
              <w:pStyle w:val="Compact"/>
            </w:pPr>
            <w:r>
              <w:rPr>
                <w:sz w:val="20"/>
                <w:szCs w:val="20"/>
              </w:rPr>
              <w:t xml:space="preserve">0.328</w:t>
            </w:r>
          </w:p>
        </w:tc>
        <w:tc>
          <w:tcPr>
            <w:tcW w:w="0" w:type="auto"/>
          </w:tcPr>
          <w:p>
            <w:pPr>
              <w:spacing w:line="240" w:lineRule="auto" w:before="0" w:after="0"/>
              <w:pStyle w:val="Compact"/>
            </w:pPr>
            <w:r>
              <w:rPr>
                <w:sz w:val="20"/>
                <w:szCs w:val="20"/>
              </w:rPr>
              <w:t xml:space="preserve">[-0.3443, 1.0304]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1.2433</w:t>
            </w:r>
          </w:p>
        </w:tc>
        <w:tc>
          <w:tcPr>
            <w:tcW w:w="0" w:type="auto"/>
          </w:tcPr>
          <w:p>
            <w:pPr>
              <w:spacing w:line="240" w:lineRule="auto" w:before="0" w:after="0"/>
              <w:pStyle w:val="Compact"/>
            </w:pPr>
            <w:r>
              <w:rPr>
                <w:sz w:val="20"/>
                <w:szCs w:val="20"/>
              </w:rPr>
              <w:t xml:space="preserve">0.1489</w:t>
            </w:r>
          </w:p>
        </w:tc>
        <w:tc>
          <w:tcPr>
            <w:tcW w:w="0" w:type="auto"/>
          </w:tcPr>
          <w:p>
            <w:pPr>
              <w:spacing w:line="240" w:lineRule="auto" w:before="0" w:after="0"/>
              <w:pStyle w:val="Compact"/>
            </w:pPr>
            <w:r>
              <w:rPr>
                <w:sz w:val="20"/>
                <w:szCs w:val="20"/>
              </w:rPr>
              <w:t xml:space="preserve">8.3503</w:t>
            </w:r>
          </w:p>
        </w:tc>
        <w:tc>
          <w:tcPr>
            <w:tcW w:w="0" w:type="auto"/>
          </w:tcPr>
          <w:p>
            <w:pPr>
              <w:spacing w:line="240" w:lineRule="auto" w:before="0" w:after="0"/>
              <w:pStyle w:val="Compact"/>
            </w:pPr>
            <w:r>
              <w:rPr>
                <w:sz w:val="20"/>
                <w:szCs w:val="20"/>
              </w:rPr>
              <w:t xml:space="preserve">6.808e-17</w:t>
            </w:r>
          </w:p>
        </w:tc>
        <w:tc>
          <w:tcPr>
            <w:tcW w:w="0" w:type="auto"/>
          </w:tcPr>
          <w:p>
            <w:pPr>
              <w:spacing w:line="240" w:lineRule="auto" w:before="0" w:after="0"/>
              <w:pStyle w:val="Compact"/>
            </w:pPr>
            <w:r>
              <w:rPr>
                <w:sz w:val="20"/>
                <w:szCs w:val="20"/>
              </w:rPr>
              <w:t xml:space="preserve">[0.9515, 1.5351]</w:t>
            </w:r>
          </w:p>
        </w:tc>
      </w:tr>
    </w:tbl>
    <w:p>
      <w:pPr>
        <w:pStyle w:val="BodyText"/>
        <w:spacing w:line="480" w:lineRule="auto"/>
        <w:ind w:firstLine="720"/>
      </w:pPr>
      <w:r>
        <w:t xml:space="preserve">Fit: N = 19 R2 = 0.9247 elasticity_b = 1.2433 progress_ratio_2^b = 2.3674</w:t>
      </w:r>
    </w:p>
    <w:bookmarkEnd w:id="189"/>
    <w:bookmarkStart w:id="19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for interface-standardization evidence accumulation." title="" id="191" name="Picture"/>
            <a:graphic>
              <a:graphicData uri="http://schemas.openxmlformats.org/drawingml/2006/picture">
                <pic:pic>
                  <pic:nvPicPr>
                    <pic:cNvPr descr="D:/Claude_Code/brain/collegium/candidates/dissertations/SPACE_ECON_13/research_papers/p2/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for interface-standardization evidence accumulation.</w:t>
      </w:r>
    </w:p>
    <w:bookmarkEnd w:id="193"/>
    <w:bookmarkStart w:id="19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years_since_first_plus_one</w:t>
            </w:r>
          </w:p>
        </w:tc>
        <w:tc>
          <w:tcPr>
            <w:tcW w:w="0" w:type="auto"/>
          </w:tcPr>
          <w:p>
            <w:pPr>
              <w:spacing w:line="240" w:lineRule="auto" w:before="0" w:after="0"/>
              <w:pStyle w:val="Compact"/>
            </w:pPr>
            <w:r>
              <w:rPr>
                <w:sz w:val="20"/>
                <w:szCs w:val="20"/>
              </w:rPr>
              <w:t xml:space="preserve">annual_interface_evidence_records</w:t>
            </w:r>
          </w:p>
        </w:tc>
        <w:tc>
          <w:tcPr>
            <w:tcW w:w="0" w:type="auto"/>
          </w:tcPr>
          <w:p>
            <w:pPr>
              <w:spacing w:line="240" w:lineRule="auto" w:before="0" w:after="0"/>
              <w:pStyle w:val="Compact"/>
            </w:pPr>
            <w:r>
              <w:rPr>
                <w:sz w:val="20"/>
                <w:szCs w:val="20"/>
              </w:rPr>
              <w:t xml:space="preserve">annual_explicit_interface_records</w:t>
            </w:r>
          </w:p>
        </w:tc>
        <w:tc>
          <w:tcPr>
            <w:tcW w:w="0" w:type="auto"/>
          </w:tcPr>
          <w:p>
            <w:pPr>
              <w:spacing w:line="240" w:lineRule="auto" w:before="0" w:after="0"/>
              <w:pStyle w:val="Compact"/>
            </w:pPr>
            <w:r>
              <w:rPr>
                <w:sz w:val="20"/>
                <w:szCs w:val="20"/>
              </w:rPr>
              <w:t xml:space="preserve">annual_payload_bus_records</w:t>
            </w:r>
          </w:p>
        </w:tc>
        <w:tc>
          <w:tcPr>
            <w:tcW w:w="0" w:type="auto"/>
          </w:tcPr>
          <w:p>
            <w:pPr>
              <w:spacing w:line="240" w:lineRule="auto" w:before="0" w:after="0"/>
              <w:pStyle w:val="Compact"/>
            </w:pPr>
            <w:r>
              <w:rPr>
                <w:sz w:val="20"/>
                <w:szCs w:val="20"/>
              </w:rPr>
              <w:t xml:space="preserve">annual_sda_data_records</w:t>
            </w:r>
          </w:p>
        </w:tc>
        <w:tc>
          <w:tcPr>
            <w:tcW w:w="0" w:type="auto"/>
          </w:tcPr>
          <w:p>
            <w:pPr>
              <w:spacing w:line="240" w:lineRule="auto" w:before="0" w:after="0"/>
              <w:pStyle w:val="Compact"/>
            </w:pPr>
            <w:r>
              <w:rPr>
                <w:sz w:val="20"/>
                <w:szCs w:val="20"/>
              </w:rPr>
              <w:t xml:space="preserve">cumulative_evidence_records</w:t>
            </w:r>
          </w:p>
        </w:tc>
        <w:tc>
          <w:tcPr>
            <w:tcW w:w="0" w:type="auto"/>
          </w:tcPr>
          <w:p>
            <w:pPr>
              <w:spacing w:line="240" w:lineRule="auto" w:before="0" w:after="0"/>
              <w:pStyle w:val="Compact"/>
            </w:pPr>
            <w:r>
              <w:rPr>
                <w:sz w:val="20"/>
                <w:szCs w:val="20"/>
              </w:rPr>
              <w:t xml:space="preserve">cumulative_explicit_interface_records</w:t>
            </w:r>
          </w:p>
        </w:tc>
        <w:tc>
          <w:tcPr>
            <w:tcW w:w="0" w:type="auto"/>
          </w:tcPr>
          <w:p>
            <w:pPr>
              <w:spacing w:line="240" w:lineRule="auto" w:before="0" w:after="0"/>
              <w:pStyle w:val="Compact"/>
            </w:pPr>
            <w:r>
              <w:rPr>
                <w:sz w:val="20"/>
                <w:szCs w:val="20"/>
              </w:rPr>
              <w:t xml:space="preserve">cumulative_evidence_plus_one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bl>
    <w:bookmarkEnd w:id="194"/>
    <w:bookmarkStart w:id="19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cumulative_evidence_plus_one</w:t>
            </w:r>
          </w:p>
        </w:tc>
        <w:tc>
          <w:tcPr>
            <w:tcW w:w="0" w:type="auto"/>
          </w:tcPr>
          <w:p>
            <w:pPr>
              <w:spacing w:line="240" w:lineRule="auto" w:before="0" w:after="0"/>
              <w:pStyle w:val="Compact"/>
            </w:pPr>
            <w:r>
              <w:rPr>
                <w:sz w:val="20"/>
                <w:szCs w:val="20"/>
              </w:rPr>
              <w:t xml:space="preserve">One plus cumulative count of source-traced evidence records through the year</w:t>
            </w:r>
          </w:p>
        </w:tc>
        <w:tc>
          <w:tcPr>
            <w:tcW w:w="0" w:type="auto"/>
          </w:tcPr>
          <w:p>
            <w:pPr>
              <w:spacing w:line="240" w:lineRule="auto" w:before="0" w:after="0"/>
              <w:pStyle w:val="Compact"/>
            </w:pPr>
            <w:r>
              <w:rPr>
                <w:sz w:val="20"/>
                <w:szCs w:val="20"/>
              </w:rPr>
              <w:t xml:space="preserve">Annual aggregate from combined local corpora metadata table</w:t>
            </w:r>
          </w:p>
        </w:tc>
      </w:tr>
      <w:tr>
        <w:tc>
          <w:tcPr>
            <w:tcW w:w="0" w:type="auto"/>
          </w:tcPr>
          <w:p>
            <w:pPr>
              <w:spacing w:line="240" w:lineRule="auto" w:before="0" w:after="0"/>
              <w:pStyle w:val="Compact"/>
            </w:pPr>
            <w:r>
              <w:rPr>
                <w:sz w:val="20"/>
                <w:szCs w:val="20"/>
              </w:rPr>
              <w:t xml:space="preserve">years_since_first_plus_one</w:t>
            </w:r>
          </w:p>
        </w:tc>
        <w:tc>
          <w:tcPr>
            <w:tcW w:w="0" w:type="auto"/>
          </w:tcPr>
          <w:p>
            <w:pPr>
              <w:spacing w:line="240" w:lineRule="auto" w:before="0" w:after="0"/>
              <w:pStyle w:val="Compact"/>
            </w:pPr>
            <w:r>
              <w:rPr>
                <w:sz w:val="20"/>
                <w:szCs w:val="20"/>
              </w:rPr>
              <w:t xml:space="preserve">One plus elapsed years since the first retained evidence record</w:t>
            </w:r>
          </w:p>
        </w:tc>
        <w:tc>
          <w:tcPr>
            <w:tcW w:w="0" w:type="auto"/>
          </w:tcPr>
          <w:p>
            <w:pPr>
              <w:spacing w:line="240" w:lineRule="auto" w:before="0" w:after="0"/>
              <w:pStyle w:val="Compact"/>
            </w:pPr>
            <w:r>
              <w:rPr>
                <w:sz w:val="20"/>
                <w:szCs w:val="20"/>
              </w:rPr>
              <w:t xml:space="preserve">Computed from year</w:t>
            </w:r>
          </w:p>
        </w:tc>
      </w:tr>
      <w:tr>
        <w:tc>
          <w:tcPr>
            <w:tcW w:w="0" w:type="auto"/>
          </w:tcPr>
          <w:p>
            <w:pPr>
              <w:spacing w:line="240" w:lineRule="auto" w:before="0" w:after="0"/>
              <w:pStyle w:val="Compact"/>
            </w:pPr>
            <w:r>
              <w:rPr>
                <w:sz w:val="20"/>
                <w:szCs w:val="20"/>
              </w:rPr>
              <w:t xml:space="preserve">annual_interface_evidence_records</w:t>
            </w:r>
          </w:p>
        </w:tc>
        <w:tc>
          <w:tcPr>
            <w:tcW w:w="0" w:type="auto"/>
          </w:tcPr>
          <w:p>
            <w:pPr>
              <w:spacing w:line="240" w:lineRule="auto" w:before="0" w:after="0"/>
              <w:pStyle w:val="Compact"/>
            </w:pPr>
            <w:r>
              <w:rPr>
                <w:sz w:val="20"/>
                <w:szCs w:val="20"/>
              </w:rPr>
              <w:t xml:space="preserve">Number of retained evidence records in the year</w:t>
            </w:r>
          </w:p>
        </w:tc>
        <w:tc>
          <w:tcPr>
            <w:tcW w:w="0" w:type="auto"/>
          </w:tcPr>
          <w:p>
            <w:pPr>
              <w:spacing w:line="240" w:lineRule="auto" w:before="0" w:after="0"/>
              <w:pStyle w:val="Compact"/>
            </w:pPr>
            <w:r>
              <w:rPr>
                <w:sz w:val="20"/>
                <w:szCs w:val="20"/>
              </w:rPr>
              <w:t xml:space="preserve">Count of real metadata records</w:t>
            </w:r>
          </w:p>
        </w:tc>
      </w:tr>
      <w:tr>
        <w:tc>
          <w:tcPr>
            <w:tcW w:w="0" w:type="auto"/>
          </w:tcPr>
          <w:p>
            <w:pPr>
              <w:spacing w:line="240" w:lineRule="auto" w:before="0" w:after="0"/>
              <w:pStyle w:val="Compact"/>
            </w:pPr>
            <w:r>
              <w:rPr>
                <w:sz w:val="20"/>
                <w:szCs w:val="20"/>
              </w:rPr>
              <w:t xml:space="preserve">annual_explicit_interface_records</w:t>
            </w:r>
          </w:p>
        </w:tc>
        <w:tc>
          <w:tcPr>
            <w:tcW w:w="0" w:type="auto"/>
          </w:tcPr>
          <w:p>
            <w:pPr>
              <w:spacing w:line="240" w:lineRule="auto" w:before="0" w:after="0"/>
              <w:pStyle w:val="Compact"/>
            </w:pPr>
            <w:r>
              <w:rPr>
                <w:sz w:val="20"/>
                <w:szCs w:val="20"/>
              </w:rPr>
              <w:t xml:space="preserve">Number of records explicitly containing interface or standards language in the year</w:t>
            </w:r>
          </w:p>
        </w:tc>
        <w:tc>
          <w:tcPr>
            <w:tcW w:w="0" w:type="auto"/>
          </w:tcPr>
          <w:p>
            <w:pPr>
              <w:spacing w:line="240" w:lineRule="auto" w:before="0" w:after="0"/>
              <w:pStyle w:val="Compact"/>
            </w:pPr>
            <w:r>
              <w:rPr>
                <w:sz w:val="20"/>
                <w:szCs w:val="20"/>
              </w:rPr>
              <w:t xml:space="preserve">Computed from record classifications</w:t>
            </w:r>
          </w:p>
        </w:tc>
      </w:tr>
      <w:tr>
        <w:tc>
          <w:tcPr>
            <w:tcW w:w="0" w:type="auto"/>
          </w:tcPr>
          <w:p>
            <w:pPr>
              <w:spacing w:line="240" w:lineRule="auto" w:before="0" w:after="0"/>
              <w:pStyle w:val="Compact"/>
            </w:pPr>
            <w:r>
              <w:rPr>
                <w:sz w:val="20"/>
                <w:szCs w:val="20"/>
              </w:rPr>
              <w:t xml:space="preserve">annual_payload_bus_records</w:t>
            </w:r>
          </w:p>
        </w:tc>
        <w:tc>
          <w:tcPr>
            <w:tcW w:w="0" w:type="auto"/>
          </w:tcPr>
          <w:p>
            <w:pPr>
              <w:spacing w:line="240" w:lineRule="auto" w:before="0" w:after="0"/>
              <w:pStyle w:val="Compact"/>
            </w:pPr>
            <w:r>
              <w:rPr>
                <w:sz w:val="20"/>
                <w:szCs w:val="20"/>
              </w:rPr>
              <w:t xml:space="preserve">Number of records classified as payload, bus, subsystem, or instrument coupling</w:t>
            </w:r>
          </w:p>
        </w:tc>
        <w:tc>
          <w:tcPr>
            <w:tcW w:w="0" w:type="auto"/>
          </w:tcPr>
          <w:p>
            <w:pPr>
              <w:spacing w:line="240" w:lineRule="auto" w:before="0" w:after="0"/>
              <w:pStyle w:val="Compact"/>
            </w:pPr>
            <w:r>
              <w:rPr>
                <w:sz w:val="20"/>
                <w:szCs w:val="20"/>
              </w:rPr>
              <w:t xml:space="preserve">Computed from record classifications</w:t>
            </w:r>
          </w:p>
        </w:tc>
      </w:tr>
      <w:tr>
        <w:tc>
          <w:tcPr>
            <w:tcW w:w="0" w:type="auto"/>
          </w:tcPr>
          <w:p>
            <w:pPr>
              <w:spacing w:line="240" w:lineRule="auto" w:before="0" w:after="0"/>
              <w:pStyle w:val="Compact"/>
            </w:pPr>
            <w:r>
              <w:rPr>
                <w:sz w:val="20"/>
                <w:szCs w:val="20"/>
              </w:rPr>
              <w:t xml:space="preserve">annual_sda_data_records</w:t>
            </w:r>
          </w:p>
        </w:tc>
        <w:tc>
          <w:tcPr>
            <w:tcW w:w="0" w:type="auto"/>
          </w:tcPr>
          <w:p>
            <w:pPr>
              <w:spacing w:line="240" w:lineRule="auto" w:before="0" w:after="0"/>
              <w:pStyle w:val="Compact"/>
            </w:pPr>
            <w:r>
              <w:rPr>
                <w:sz w:val="20"/>
                <w:szCs w:val="20"/>
              </w:rPr>
              <w:t xml:space="preserve">Number of records classified as SDA or SSA data exchange</w:t>
            </w:r>
          </w:p>
        </w:tc>
        <w:tc>
          <w:tcPr>
            <w:tcW w:w="0" w:type="auto"/>
          </w:tcPr>
          <w:p>
            <w:pPr>
              <w:spacing w:line="240" w:lineRule="auto" w:before="0" w:after="0"/>
              <w:pStyle w:val="Compact"/>
            </w:pPr>
            <w:r>
              <w:rPr>
                <w:sz w:val="20"/>
                <w:szCs w:val="20"/>
              </w:rPr>
              <w:t xml:space="preserve">Computed from record classifications</w:t>
            </w:r>
          </w:p>
        </w:tc>
      </w:tr>
    </w:tbl>
    <w:bookmarkEnd w:id="195"/>
    <w:bookmarkEnd w:id="196"/>
    <w:bookmarkEnd w:id="19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2" Type="http://schemas.openxmlformats.org/officeDocument/2006/relationships/image" Target="media/rId182.png"/><Relationship Id="rId190" Type="http://schemas.openxmlformats.org/officeDocument/2006/relationships/image" Target="media/rId190.png"/><Relationship Id="rId152" Type="http://schemas.openxmlformats.org/officeDocument/2006/relationships/hyperlink" Target="https://doi.org/10.1016/j.actaastro.2018.11.011" TargetMode="External"/><Relationship Id="rId148" Type="http://schemas.openxmlformats.org/officeDocument/2006/relationships/hyperlink" Target="https://doi.org/10.1016/j.actaastro.2019.04.047" TargetMode="External"/><Relationship Id="rId157" Type="http://schemas.openxmlformats.org/officeDocument/2006/relationships/hyperlink" Target="https://doi.org/10.1016/j.actaastro.2024.11.060" TargetMode="External"/><Relationship Id="rId175" Type="http://schemas.openxmlformats.org/officeDocument/2006/relationships/hyperlink" Target="https://doi.org/10.1016/j.actaastro.2024.12.052" TargetMode="External"/><Relationship Id="rId155" Type="http://schemas.openxmlformats.org/officeDocument/2006/relationships/hyperlink" Target="https://doi.org/10.1016/j.actaastro.2025.03.034" TargetMode="External"/><Relationship Id="rId177" Type="http://schemas.openxmlformats.org/officeDocument/2006/relationships/hyperlink" Target="https://doi.org/10.1016/j.actaastro.2025.04.063" TargetMode="External"/><Relationship Id="rId150" Type="http://schemas.openxmlformats.org/officeDocument/2006/relationships/hyperlink" Target="https://doi.org/10.1016/j.actaastro.2025.06.050" TargetMode="External"/><Relationship Id="rId170" Type="http://schemas.openxmlformats.org/officeDocument/2006/relationships/hyperlink" Target="https://doi.org/10.1016/j.actaastro.2025.07.055" TargetMode="External"/><Relationship Id="rId159" Type="http://schemas.openxmlformats.org/officeDocument/2006/relationships/hyperlink" Target="https://doi.org/10.64861/HAWR6096" TargetMode="External"/><Relationship Id="rId165" Type="http://schemas.openxmlformats.org/officeDocument/2006/relationships/hyperlink" Target="https://doi.org/10.64861/OTAL2562"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18.11.011" TargetMode="External"/><Relationship Id="rId148" Type="http://schemas.openxmlformats.org/officeDocument/2006/relationships/hyperlink" Target="https://doi.org/10.1016/j.actaastro.2019.04.047" TargetMode="External"/><Relationship Id="rId157" Type="http://schemas.openxmlformats.org/officeDocument/2006/relationships/hyperlink" Target="https://doi.org/10.1016/j.actaastro.2024.11.060" TargetMode="External"/><Relationship Id="rId175" Type="http://schemas.openxmlformats.org/officeDocument/2006/relationships/hyperlink" Target="https://doi.org/10.1016/j.actaastro.2024.12.052" TargetMode="External"/><Relationship Id="rId155" Type="http://schemas.openxmlformats.org/officeDocument/2006/relationships/hyperlink" Target="https://doi.org/10.1016/j.actaastro.2025.03.034" TargetMode="External"/><Relationship Id="rId177" Type="http://schemas.openxmlformats.org/officeDocument/2006/relationships/hyperlink" Target="https://doi.org/10.1016/j.actaastro.2025.04.063" TargetMode="External"/><Relationship Id="rId150" Type="http://schemas.openxmlformats.org/officeDocument/2006/relationships/hyperlink" Target="https://doi.org/10.1016/j.actaastro.2025.06.050" TargetMode="External"/><Relationship Id="rId170" Type="http://schemas.openxmlformats.org/officeDocument/2006/relationships/hyperlink" Target="https://doi.org/10.1016/j.actaastro.2025.07.055" TargetMode="External"/><Relationship Id="rId159" Type="http://schemas.openxmlformats.org/officeDocument/2006/relationships/hyperlink" Target="https://doi.org/10.64861/HAWR6096" TargetMode="External"/><Relationship Id="rId165" Type="http://schemas.openxmlformats.org/officeDocument/2006/relationships/hyperlink" Target="https://doi.org/10.64861/OTAL2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Standardization Pay? An interface-standards adoption test on the economics</dc:title>
  <dc:creator>Ingrid Tanaka (1B-ECO-156)</dc:creator>
  <cp:keywords/>
  <dcterms:created xsi:type="dcterms:W3CDTF">2026-07-03T02:34:29Z</dcterms:created>
  <dcterms:modified xsi:type="dcterms:W3CDTF">2026-07-03T02:34:29Z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