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c667712e2cc8591c494cb978ab215b4de0df5e9"/>
    <w:p>
      <w:pPr>
        <w:pStyle w:val="Heading1"/>
      </w:pPr>
      <w:r>
        <w:t xml:space="preserve">Signal Intensity in Costing the Long-Duration Habitat a bottom-up business case for commercial LEO: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Adrian Marsh (1B-ECO-200) and the dissertation project</w:t>
      </w:r>
      <w:r>
        <w:t xml:space="preserve"> </w:t>
      </w:r>
      <w:r>
        <w:rPr>
          <w:i/>
          <w:iCs/>
        </w:rPr>
        <w:t xml:space="preserve">Costing the Long-Duration Habitat: a bottom-up business case for commercial LEO</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R2=0.006369723626758805, R2_adj=-0.10827992364707684, F=0.07140314028309792, F_p=0.9747381329896906. The exact term summary is: const coef=3.0854974413075613 p=0.06439735818727614; recency_index coef=0.004496395019195168 p=0.964369851499303; cites_num coef=-0.002987139725416973 p=0.941664258269009; venue_score coef=-0.19088155511596205 p=0.6552493469248162.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Robert Zitz (Leidos). Emerging Technologies: Small Satellite and Associated TPED (2014). [AMOS]</w:t>
      </w:r>
      <w:r>
        <w:t xml:space="preserve"> </w:t>
      </w:r>
      <w:bookmarkStart w:id="68" w:name="ref-2"/>
      <w:bookmarkEnd w:id="68"/>
      <w:r>
        <w:t xml:space="preserve">2. Col. Russell F. Teehan, Air Force Research Laboratory, Col. John S. Anttonen, AF Space &amp; Missile Systems Center, Joy M. Stein, Air Force Research Laboratory, Jaime A. Stearns, Air Force Research Laboratory. Space Warfighting Construct: Prototyping (2017).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Dick Stottler, Stottler Henke Associates, Inc.. Improved Space Surveillance Network (SSN) Scheduling using Artificial Intelligence Techniques (2015). [AMOS]</w:t>
      </w:r>
      <w:r>
        <w:t xml:space="preserve"> </w:t>
      </w:r>
      <w:bookmarkStart w:id="71" w:name="ref-5"/>
      <w:bookmarkEnd w:id="71"/>
      <w:r>
        <w:t xml:space="preserve">5. Dick Stottler, Stottler Henke Associates, Inc.H, Kyle Mahan, Stottler Henke Associates, Inc.. Automatic, Rapid Replanning of Satellite Operations for Space Situational Awareness (SSA) (2015). [AMOS]</w:t>
      </w:r>
      <w:r>
        <w:t xml:space="preserve"> </w:t>
      </w:r>
      <w:bookmarkStart w:id="72" w:name="ref-6"/>
      <w:bookmarkEnd w:id="72"/>
      <w:r>
        <w:t xml:space="preserve">6. Nathan Toner, Cloudstone Innovations; Dominic Manzano, Cloudstone Innovations; David Moore, Cloudstone Innovations; Alexander Vlasse, Cloudstone Innovations; C. Channing Chow II, Cloudstone Innovations. Panopticon: A Low-SWaPC Wide Field of View Sensor for Enhanced Space Domain Awareness (2025). doi:</w:t>
      </w:r>
      <w:r>
        <w:t xml:space="preserve"> </w:t>
      </w:r>
      <w:hyperlink r:id="rId73">
        <w:r>
          <w:rPr>
            <w:rStyle w:val="Hyperlink"/>
          </w:rPr>
          <w:t xml:space="preserve">10.64861/PTIC5794</w:t>
        </w:r>
      </w:hyperlink>
      <w:r>
        <w:t xml:space="preserve"> </w:t>
      </w:r>
      <w:bookmarkStart w:id="74" w:name="ref-7"/>
      <w:bookmarkEnd w:id="74"/>
      <w:r>
        <w:t xml:space="preserve">7.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 [AMOS]</w:t>
      </w:r>
      <w:r>
        <w:t xml:space="preserve"> </w:t>
      </w:r>
      <w:bookmarkStart w:id="75" w:name="ref-8"/>
      <w:bookmarkEnd w:id="75"/>
      <w:r>
        <w:t xml:space="preserve">8. Pol Mesalles-Ripoll, SpaceNav; Edward Herrick-Reynolds, SpaceNav; Matt Duncan, SpaceNav. Optimal Risk Mitigation Strategies for Low-Thrust Space Systems (2023). doi:</w:t>
      </w:r>
      <w:r>
        <w:t xml:space="preserve"> </w:t>
      </w:r>
      <w:hyperlink r:id="rId76">
        <w:r>
          <w:rPr>
            <w:rStyle w:val="Hyperlink"/>
          </w:rPr>
          <w:t xml:space="preserve">10.64861/XBHL5283</w:t>
        </w:r>
      </w:hyperlink>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3.0855</w:t>
            </w:r>
          </w:p>
        </w:tc>
        <w:tc>
          <w:tcPr>
            <w:tcW w:w="0" w:type="auto"/>
          </w:tcPr>
          <w:p>
            <w:pPr>
              <w:spacing w:line="240" w:lineRule="auto" w:before="0" w:after="0"/>
              <w:pStyle w:val="Compact"/>
            </w:pPr>
            <w:r>
              <w:rPr>
                <w:sz w:val="20"/>
                <w:szCs w:val="20"/>
              </w:rPr>
              <w:t xml:space="preserve">1.6684</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[-0.1844, 6.3554]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0.9644</w:t>
            </w:r>
          </w:p>
        </w:tc>
        <w:tc>
          <w:tcPr>
            <w:tcW w:w="0" w:type="auto"/>
          </w:tcPr>
          <w:p>
            <w:pPr>
              <w:spacing w:line="240" w:lineRule="auto" w:before="0" w:after="0"/>
              <w:pStyle w:val="Compact"/>
            </w:pPr>
            <w:r>
              <w:rPr>
                <w:sz w:val="20"/>
                <w:szCs w:val="20"/>
              </w:rPr>
              <w:t xml:space="preserve">[-0.1928, 0.2018]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0.9417</w:t>
            </w:r>
          </w:p>
        </w:tc>
        <w:tc>
          <w:tcPr>
            <w:tcW w:w="0" w:type="auto"/>
          </w:tcPr>
          <w:p>
            <w:pPr>
              <w:spacing w:line="240" w:lineRule="auto" w:before="0" w:after="0"/>
              <w:pStyle w:val="Compact"/>
            </w:pPr>
            <w:r>
              <w:rPr>
                <w:sz w:val="20"/>
                <w:szCs w:val="20"/>
              </w:rPr>
              <w:t xml:space="preserve">[-0.083, 0.077]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-0.1909</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0.6552</w:t>
            </w:r>
          </w:p>
        </w:tc>
        <w:tc>
          <w:tcPr>
            <w:tcW w:w="0" w:type="auto"/>
          </w:tcPr>
          <w:p>
            <w:pPr>
              <w:spacing w:line="240" w:lineRule="auto" w:before="0" w:after="0"/>
              <w:pStyle w:val="Compact"/>
            </w:pPr>
            <w:r>
              <w:rPr>
                <w:sz w:val="20"/>
                <w:szCs w:val="20"/>
              </w:rPr>
              <w:t xml:space="preserve">[-1.0288, 0.647]</w:t>
            </w:r>
          </w:p>
        </w:tc>
      </w:tr>
    </w:tbl>
    <w:p>
      <w:pPr>
        <w:pStyle w:val="BodyText"/>
      </w:pPr>
      <w:r>
        <w:t xml:space="preserve">Fit: N = 30 R2 = 0.0064 R2_adj = -0.1083 F = 0.0714 F_p = 0.9747</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PACE_ECON_12\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https://amostech.space/year/2014/emerging-technologies-small-satellite-and-associated-tped/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https://amostech.space/year/2017/space-warfighting-construct-prototyping/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10.64861/PTIC5794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https://amostech.space/year/2006/pan-starrs-ps1-published-science-products-subsystem/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10.64861/XBHL5283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https://amostech.space/year/2020/optimizing-daylight-performance-of-small-visible-nir-optical-systems/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10.1016/j.actaastro.2018.06.035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10.1016/j.actaastro.2016.10.007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10.1016/j.actaastro.2021.06.051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Environment Management: Framing Objectives and Priorities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3.0855</w:t>
            </w:r>
          </w:p>
        </w:tc>
        <w:tc>
          <w:tcPr>
            <w:tcW w:w="0" w:type="auto"/>
          </w:tcPr>
          <w:p>
            <w:pPr>
              <w:spacing w:line="240" w:lineRule="auto" w:before="0" w:after="0"/>
              <w:pStyle w:val="Compact"/>
            </w:pPr>
            <w:r>
              <w:rPr>
                <w:sz w:val="20"/>
                <w:szCs w:val="20"/>
              </w:rPr>
              <w:t xml:space="preserve">1.6684</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[-0.1844, 6.3554]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0.9644</w:t>
            </w:r>
          </w:p>
        </w:tc>
        <w:tc>
          <w:tcPr>
            <w:tcW w:w="0" w:type="auto"/>
          </w:tcPr>
          <w:p>
            <w:pPr>
              <w:spacing w:line="240" w:lineRule="auto" w:before="0" w:after="0"/>
              <w:pStyle w:val="Compact"/>
            </w:pPr>
            <w:r>
              <w:rPr>
                <w:sz w:val="20"/>
                <w:szCs w:val="20"/>
              </w:rPr>
              <w:t xml:space="preserve">[-0.1928, 0.2018]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0.9417</w:t>
            </w:r>
          </w:p>
        </w:tc>
        <w:tc>
          <w:tcPr>
            <w:tcW w:w="0" w:type="auto"/>
          </w:tcPr>
          <w:p>
            <w:pPr>
              <w:spacing w:line="240" w:lineRule="auto" w:before="0" w:after="0"/>
              <w:pStyle w:val="Compact"/>
            </w:pPr>
            <w:r>
              <w:rPr>
                <w:sz w:val="20"/>
                <w:szCs w:val="20"/>
              </w:rPr>
              <w:t xml:space="preserve">[-0.083, 0.077]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-0.1909</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0.6552</w:t>
            </w:r>
          </w:p>
        </w:tc>
        <w:tc>
          <w:tcPr>
            <w:tcW w:w="0" w:type="auto"/>
          </w:tcPr>
          <w:p>
            <w:pPr>
              <w:spacing w:line="240" w:lineRule="auto" w:before="0" w:after="0"/>
              <w:pStyle w:val="Compact"/>
            </w:pPr>
            <w:r>
              <w:rPr>
                <w:sz w:val="20"/>
                <w:szCs w:val="20"/>
              </w:rPr>
              <w:t xml:space="preserve">[-1.0288, 0.647]</w:t>
            </w:r>
          </w:p>
        </w:tc>
      </w:tr>
    </w:tbl>
    <w:p>
      <w:pPr>
        <w:pStyle w:val="BodyText"/>
      </w:pPr>
      <w:r>
        <w:t xml:space="preserve">Fit: N = 30 R2 = 0.0064 R2_adj = -0.1083 F = 0.0714 F_p = 0.9747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TIC5794" TargetMode="External" /><Relationship Type="http://schemas.openxmlformats.org/officeDocument/2006/relationships/hyperlink" Id="rId76" Target="https://doi.org/10.64861/XBHL5283"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TIC5794" TargetMode="External" /><Relationship Type="http://schemas.openxmlformats.org/officeDocument/2006/relationships/hyperlink" Id="rId76" Target="https://doi.org/10.64861/XBHL528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2026-06-29T09:36:59Z</dcterms:created>
  <dcterms:modified xsi:type="dcterms:W3CDTF">2026-06-29T09:36:59Z</dcterms:modified>
</cp:coreProperties>
</file>

<file path=docProps/custom.xml><?xml version="1.0" encoding="utf-8"?>
<Properties xmlns="http://schemas.openxmlformats.org/officeDocument/2006/custom-properties" xmlns:vt="http://schemas.openxmlformats.org/officeDocument/2006/docPropsVTypes"/>
</file>