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COSTING THE LONG-DURATION HABITAT: A BOTTOM-UP BUSINESS CASE FOR COMMERCIAL LEO</w:t>
      </w:r>
    </w:p>
    <w:p>
      <w:pPr>
        <w:jc w:val="center"/>
      </w:pPr>
    </w:p>
    <w:p>
      <w:pPr>
        <w:jc w:val="center"/>
      </w:pPr>
      <w:r>
        <w:rPr>
          <w:rFonts w:ascii="Times New Roman" w:hAnsi="Times New Roman"/>
          <w:sz w:val="24"/>
        </w:rPr>
        <w:t>by</w:t>
      </w:r>
    </w:p>
    <w:p>
      <w:pPr>
        <w:jc w:val="center"/>
      </w:pPr>
      <w:r>
        <w:rPr>
          <w:rFonts w:ascii="Times New Roman" w:hAnsi="Times New Roman"/>
          <w:b/>
          <w:sz w:val="28"/>
        </w:rPr>
        <w:t>Adrian Marsh</w:t>
      </w:r>
    </w:p>
    <w:p>
      <w:pPr>
        <w:jc w:val="center"/>
      </w:pPr>
      <w:r>
        <w:rPr>
          <w:rFonts w:ascii="Times New Roman" w:hAnsi="Times New Roman"/>
          <w:sz w:val="24"/>
        </w:rPr>
        <w:t>1B-ECO-200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chapter-1.-introduction"/>
    <w:p>
      <w:pPr>
        <w:pStyle w:val="Heading1"/>
        <w:spacing w:line="480" w:lineRule="auto"/>
      </w:pPr>
      <w:r>
        <w:t xml:space="preserve">Chapter 1. Introduction</w:t>
      </w:r>
    </w:p>
    <w:p>
      <w:pPr>
        <w:pStyle w:val="FirstParagraph"/>
        <w:spacing w:line="480" w:lineRule="auto"/>
      </w:pPr>
      <w:r>
        <w:t xml:space="preserve">Commercial low Earth orbit is about to lose its anchor tenant. The International Space Station, the platform that taught two generations of engineers how humans live and work off the planet, is scheduled for deorbit near the end of this decade. What replaces it is not yet a station. It is a set of business cases, most of them still written in the conditional mood, each promising that a privately owned habitat can pay for itself once the government stops paying for the one that exists. This dissertation is about the distance between that promise and the evidence a careful reader can actually inspect.</w:t>
      </w:r>
    </w:p>
    <w:p>
      <w:pPr>
        <w:pStyle w:val="BodyText"/>
        <w:spacing w:line="480" w:lineRule="auto"/>
        <w:ind w:firstLine="720"/>
      </w:pPr>
      <w:r>
        <w:t xml:space="preserve">The problem is narrow and the problem is real. A long-duration crewed habitat in low Earth orbit is one of the most capital-intensive artifacts a private firm can attempt to finance, and the numbers that would justify the attempt are scattered across conference proceedings, journal feasibility studies, and policy white papers that were never written to be read together</w:t>
      </w:r>
      <w:r>
        <w:t xml:space="preserve"> </w:t>
      </w:r>
      <w:hyperlink w:anchor="ref-9">
        <w:r>
          <w:rPr>
            <w:rStyle w:val="Hyperlink"/>
          </w:rPr>
          <w:t xml:space="preserve">[9]</w:t>
        </w:r>
      </w:hyperlink>
      <w:r>
        <w:t xml:space="preserve"> </w:t>
      </w:r>
      <w:hyperlink w:anchor="ref-10">
        <w:r>
          <w:rPr>
            <w:rStyle w:val="Hyperlink"/>
          </w:rPr>
          <w:t xml:space="preserve">[10]</w:t>
        </w:r>
      </w:hyperlink>
      <w:r>
        <w:t xml:space="preserve">. Nobody disputes that the topic has grown louder. The harder question is whether that loudness is structured evidence or ambient enthusiasm. When a feasibility study for a commercial station appears in a major astronautics journal</w:t>
      </w:r>
      <w:r>
        <w:t xml:space="preserve"> </w:t>
      </w:r>
      <w:hyperlink w:anchor="ref-9">
        <w:r>
          <w:rPr>
            <w:rStyle w:val="Hyperlink"/>
          </w:rPr>
          <w:t xml:space="preserve">[9]</w:t>
        </w:r>
      </w:hyperlink>
      <w:r>
        <w:t xml:space="preserve">, and when a value assessment of commercial stations for space and non-space users follows it a season later</w:t>
      </w:r>
      <w:r>
        <w:t xml:space="preserve"> </w:t>
      </w:r>
      <w:hyperlink w:anchor="ref-10">
        <w:r>
          <w:rPr>
            <w:rStyle w:val="Hyperlink"/>
          </w:rPr>
          <w:t xml:space="preserve">[10]</w:t>
        </w:r>
      </w:hyperlink>
      <w:r>
        <w:t xml:space="preserve">, an analyst wants to know whether the surrounding literature is converging on shared cost parameters or merely accumulating citations around a fashionable theme.</w:t>
      </w:r>
    </w:p>
    <w:p>
      <w:pPr>
        <w:pStyle w:val="BodyText"/>
        <w:spacing w:line="480" w:lineRule="auto"/>
        <w:ind w:firstLine="720"/>
      </w:pPr>
      <w:r>
        <w:t xml:space="preserve">That distinction matters because a business case is only as good as the evidence chain beneath it. A firm proposing to spend billions on an orbital habitat will be asked, correctly, to show where each cost estimate came from. Launch is one line item, and the literature on smallsat launch-vehicle cost estimation gives us a disciplined template for how such estimates should be built and defended</w:t>
      </w:r>
      <w:r>
        <w:t xml:space="preserve"> </w:t>
      </w:r>
      <w:hyperlink w:anchor="ref-13">
        <w:r>
          <w:rPr>
            <w:rStyle w:val="Hyperlink"/>
          </w:rPr>
          <w:t xml:space="preserve">[13]</w:t>
        </w:r>
      </w:hyperlink>
      <w:r>
        <w:t xml:space="preserve">. Habitat energy provisioning is another, and analog studies of long-duration habitats have already produced forecasting methods for the power budget of a crewed station</w:t>
      </w:r>
      <w:r>
        <w:t xml:space="preserve"> </w:t>
      </w:r>
      <w:hyperlink w:anchor="ref-15">
        <w:r>
          <w:rPr>
            <w:rStyle w:val="Hyperlink"/>
          </w:rPr>
          <w:t xml:space="preserve">[15]</w:t>
        </w:r>
      </w:hyperlink>
      <w:r>
        <w:t xml:space="preserve">. Long-duration storage of consumables is a third, with its own dedicated concept literature</w:t>
      </w:r>
      <w:r>
        <w:t xml:space="preserve"> </w:t>
      </w:r>
      <w:hyperlink w:anchor="ref-16">
        <w:r>
          <w:rPr>
            <w:rStyle w:val="Hyperlink"/>
          </w:rPr>
          <w:t xml:space="preserve">[16]</w:t>
        </w:r>
      </w:hyperlink>
      <w:r>
        <w:t xml:space="preserve">. Each of these is a brick. None of them is the wall. The dissertation asks a prior question: before we assemble the bricks into a bottom-up cost model, can we characterize the corpus those bricks come from, and can we do it so that a skeptical committee could reproduce the whole thing line by line?</w:t>
      </w:r>
    </w:p>
    <w:bookmarkStart w:id="61" w:name="the-stakes"/>
    <w:p>
      <w:pPr>
        <w:pStyle w:val="Heading2"/>
        <w:spacing w:line="480" w:lineRule="auto"/>
      </w:pPr>
      <w:r>
        <w:t xml:space="preserve">1.1 The stakes</w:t>
      </w:r>
    </w:p>
    <w:p>
      <w:pPr>
        <w:pStyle w:val="FirstParagraph"/>
        <w:spacing w:line="480" w:lineRule="auto"/>
      </w:pPr>
      <w:r>
        <w:t xml:space="preserve">The stakes cut two ways, and both are expensive.</w:t>
      </w:r>
    </w:p>
    <w:p>
      <w:pPr>
        <w:pStyle w:val="BodyText"/>
        <w:spacing w:line="480" w:lineRule="auto"/>
        <w:ind w:firstLine="720"/>
      </w:pPr>
      <w:r>
        <w:t xml:space="preserve">Get this wrong in the optimistic direction and public money underwrites a market that was never going to close. Get it wrong in the pessimistic direction and a viable orbital economy stalls for want of an honest cost baseline. Neither error is cheap. The stakes are not abstract for the agencies deciding how much transition funding to commit and on what schedule, and they are not abstract for the firms whose capital-raising depends on a credible number. A cost figure that a program office cannot trace back to its sources is not a business case. It is a slide.</w:t>
      </w:r>
    </w:p>
    <w:p>
      <w:pPr>
        <w:pStyle w:val="BodyText"/>
        <w:spacing w:line="480" w:lineRule="auto"/>
        <w:ind w:firstLine="720"/>
      </w:pPr>
      <w:r>
        <w:t xml:space="preserve">There is a second stake, quieter and structural. Space governance problems tend to become visible in the technical and policy record before institutions agree on how to price or regulate them. Orbital crowding was described as a negative externality, a tragedy of the commons, well before any effective governance mechanism existed to manage it. That framing about market failures in orbit has aged well, and it bears directly on habitat costing, because a private station operator does not internalize the debris risk it adds to a shared orbital shell. Partial-gravity habitat concepts sharpen the same point: a rotating spacecraft changes both the engineering cost and the human-factors value of a station, and neither shows up cleanly on a single balance sheet</w:t>
      </w:r>
      <w:r>
        <w:t xml:space="preserve"> </w:t>
      </w:r>
      <w:hyperlink w:anchor="ref-12">
        <w:r>
          <w:rPr>
            <w:rStyle w:val="Hyperlink"/>
          </w:rPr>
          <w:t xml:space="preserve">[12]</w:t>
        </w:r>
      </w:hyperlink>
      <w:r>
        <w:t xml:space="preserve">. A cost dissertation that ignored the governance overhang around long-duration habitats would be measuring the engineering and missing the economics.</w:t>
      </w:r>
    </w:p>
    <w:bookmarkEnd w:id="61"/>
    <w:bookmarkStart w:id="62" w:name="the-one-falsifiable-contribution"/>
    <w:p>
      <w:pPr>
        <w:pStyle w:val="Heading2"/>
        <w:spacing w:line="480" w:lineRule="auto"/>
      </w:pPr>
      <w:r>
        <w:t xml:space="preserve">1.2 The one falsifiable contribution</w:t>
      </w:r>
    </w:p>
    <w:p>
      <w:pPr>
        <w:pStyle w:val="FirstParagraph"/>
        <w:spacing w:line="480" w:lineRule="auto"/>
      </w:pPr>
      <w:r>
        <w:t xml:space="preserve">One claim, and only one, carries the weight.</w:t>
      </w:r>
    </w:p>
    <w:p>
      <w:pPr>
        <w:pStyle w:val="BodyText"/>
        <w:spacing w:line="480" w:lineRule="auto"/>
        <w:ind w:firstLine="720"/>
      </w:pPr>
      <w:r>
        <w:t xml:space="preserve">This dissertation makes exactly one claim that can be proven wrong. Stated plainly: the topic signal for commercial LEO habitat costing is systematically related to publication recency, citation attention, and venue family within the retrieved source corpus. Its null is the flat denial, that the signal is unrelated to all three.</w:t>
      </w:r>
    </w:p>
    <w:p>
      <w:pPr>
        <w:pStyle w:val="BodyText"/>
        <w:spacing w:line="480" w:lineRule="auto"/>
        <w:ind w:firstLine="720"/>
      </w:pPr>
      <w:r>
        <w:t xml:space="preserve">I test that claim, and I report what the test says even when the answer is uncomfortable. Two empirical screens carry the weight. The first is an ordinary least squares model of a deterministic topic-signal score regressed on a recency index, a citation count, and an ordinal venue-family score</w:t>
      </w:r>
      <w:r>
        <w:t xml:space="preserve"> </w:t>
      </w:r>
      <w:hyperlink w:anchor="ref-8">
        <w:r>
          <w:rPr>
            <w:rStyle w:val="Hyperlink"/>
          </w:rPr>
          <w:t xml:space="preserve">[8]</w:t>
        </w:r>
      </w:hyperlink>
      <w:r>
        <w:t xml:space="preserve">. The second is a log-log learning-curve model of citation accumulation against article age. Both run on the same thirty-record source collection. Both produce coefficients, standard errors, and p-values that anyone with the workbook can regenerate. The contribution is not that the screens confirm a strong story. As Chapter 6 shows, they mostly do not. The contribution is that the evidentiary chain from source selection to estimator output to interpretation stays inspectable at every link, which is precisely what a bottom-up business case is supposed to guarantee and rarely does.</w:t>
      </w:r>
    </w:p>
    <w:bookmarkEnd w:id="62"/>
    <w:bookmarkStart w:id="63" w:name="X5eb34e954ef4651c4ad93fd673df897423ceb92"/>
    <w:p>
      <w:pPr>
        <w:pStyle w:val="Heading2"/>
        <w:spacing w:line="480" w:lineRule="auto"/>
      </w:pPr>
      <w:r>
        <w:t xml:space="preserve">1.3 Why a corpus screen comes before a cost model</w:t>
      </w:r>
    </w:p>
    <w:p>
      <w:pPr>
        <w:pStyle w:val="FirstParagraph"/>
        <w:spacing w:line="480" w:lineRule="auto"/>
      </w:pPr>
      <w:r>
        <w:t xml:space="preserve">A reader might reasonably ask why a dissertation about costing a habitat spends its empirical budget on bibliometrics rather than on a spreadsheet of dollar figures. The answer is disciplinary honesty. A bottom-up cost model inherits the credibility of its inputs. If the underlying literature is thin, faddish, or venue-siloed, a cost model built on it will inherit those pathologies while hiding them behind a confident total. Screening the corpus first is a way of stress-testing the foundation before pouring the concrete.</w:t>
      </w:r>
    </w:p>
    <w:p>
      <w:pPr>
        <w:pStyle w:val="BodyText"/>
        <w:spacing w:line="480" w:lineRule="auto"/>
        <w:ind w:firstLine="720"/>
      </w:pPr>
      <w:r>
        <w:t xml:space="preserve">Consider what a naive analyst would do. Faced with a rising volume of publications on commercial stations, the analyst would read recency as momentum and citation counts as consensus, then treat the most-cited feasibility study as settled fact. The screens in this dissertation are built to catch exactly that error. If recency, attention, and venue turn out to carry no measurable structure in relation to the topic signal, then the apparent momentum is not evidence of a maturing cost consensus. It is evidence that the literature remains a loose collection of point estimates, and that any single feasibility number should be read with corresponding caution</w:t>
      </w:r>
      <w:r>
        <w:t xml:space="preserve"> </w:t>
      </w:r>
      <w:hyperlink w:anchor="ref-8">
        <w:r>
          <w:rPr>
            <w:rStyle w:val="Hyperlink"/>
          </w:rPr>
          <w:t xml:space="preserve">[8]</w:t>
        </w:r>
      </w:hyperlink>
      <w:r>
        <w:t xml:space="preserve">. That is a finding a program office can act on, because it tells them how much weight the current record can bear before it cracks.</w:t>
      </w:r>
    </w:p>
    <w:p>
      <w:pPr>
        <w:pStyle w:val="BodyText"/>
        <w:spacing w:line="480" w:lineRule="auto"/>
        <w:ind w:firstLine="720"/>
      </w:pPr>
      <w:r>
        <w:t xml:space="preserve">The two screens are deliberately modest. Neither settles the policy question of whether a commercial station will pay for itself. What they do is discipline the evidence. They show which parts of the topic are already legible in source metadata and which parts still require the direct document coding that a full cost model would demand. That is a bridge, not a destination, and the dissertation is honest about which one it is building</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63"/>
    <w:bookmarkStart w:id="64" w:name="roadmap"/>
    <w:p>
      <w:pPr>
        <w:pStyle w:val="Heading2"/>
        <w:spacing w:line="480" w:lineRule="auto"/>
      </w:pPr>
      <w:r>
        <w:t xml:space="preserve">1.4 Roadmap</w:t>
      </w:r>
    </w:p>
    <w:p>
      <w:pPr>
        <w:pStyle w:val="FirstParagraph"/>
        <w:spacing w:line="480" w:lineRule="auto"/>
      </w:pPr>
      <w:r>
        <w:t xml:space="preserve">The chapters proceed in the order a doctoral committee would want to interrogate them. Chapter 2 situates the work against the prior literature on space-economy framing, commercial-station feasibility, and component-level cost estimation, drawing the reference pool into a coherent map. Chapter 3 states the mechanism and the testable predictions, making explicit why recency, attention, and venue are the right observable proxies for topic maturity. Chapter 4 develops the two estimators and argues why each identifies the structure it claims to identify, including the robust standard-error choices. Chapter 5 describes the dataset, the variable construction, the provenance discipline, and the exact sample size. Chapter 6 reports the real estimator output from both papers, coefficient by coefficient, and interprets the signs and magnitudes without inflating them. Chapter 7 confronts the limitations squarely, naming what the retained corpus cannot show and where the threats to validity bite hardest. Chapter 8 draws the contribution together, connects it to program and governance relevance, and lays out the document-coding work that a genuine bottom-up business case would require next.</w:t>
      </w:r>
    </w:p>
    <w:p>
      <w:pPr>
        <w:pStyle w:val="BodyText"/>
        <w:spacing w:line="480" w:lineRule="auto"/>
        <w:ind w:firstLine="720"/>
      </w:pPr>
      <w:r>
        <w:t xml:space="preserve">The argument that follows is not a triumphant one. It is a careful one. A dissertation that promised to prove commercial LEO habitats profitable would be writing fiction. A dissertation that shows exactly how far the current evidence reaches, and where it stops, does something a program office can actually use.</w:t>
      </w:r>
    </w:p>
    <w:bookmarkEnd w:id="64"/>
    <w:bookmarkStart w:id="65" w:name="X8c442a4c51b14f83906d3c8103298183a7f4fea"/>
    <w:p>
      <w:pPr>
        <w:pStyle w:val="Heading2"/>
        <w:spacing w:line="480" w:lineRule="auto"/>
      </w:pPr>
      <w:r>
        <w:t xml:space="preserve">1.5 What a bottom-up business case actually requires</w:t>
      </w:r>
    </w:p>
    <w:p>
      <w:pPr>
        <w:pStyle w:val="FirstParagraph"/>
        <w:spacing w:line="480" w:lineRule="auto"/>
      </w:pPr>
      <w:r>
        <w:t xml:space="preserve">It helps to be concrete about the object this dissertation is clearing the ground for. A bottom-up business case is not a single number but a stack of numbers, each one estimated from its own evidence and each one carrying its own uncertainty upward into the total. For a long-duration habitat the stack has a predictable shape. There is a launch line, driven by mass to orbit and launch cadence, and the launch-vehicle community has already worked out how to build a defensible cost-estimating relationship from a small sample of vehicles</w:t>
      </w:r>
      <w:r>
        <w:t xml:space="preserve"> </w:t>
      </w:r>
      <w:hyperlink w:anchor="ref-13">
        <w:r>
          <w:rPr>
            <w:rStyle w:val="Hyperlink"/>
          </w:rPr>
          <w:t xml:space="preserve">[13]</w:t>
        </w:r>
      </w:hyperlink>
      <w:r>
        <w:t xml:space="preserve">. There is a power line, driven by the crew’s energy demand across a mission, and analog habitats have produced forecasting methods precise enough to size and price it</w:t>
      </w:r>
      <w:r>
        <w:t xml:space="preserve"> </w:t>
      </w:r>
      <w:hyperlink w:anchor="ref-15">
        <w:r>
          <w:rPr>
            <w:rStyle w:val="Hyperlink"/>
          </w:rPr>
          <w:t xml:space="preserve">[15]</w:t>
        </w:r>
      </w:hyperlink>
      <w:r>
        <w:t xml:space="preserve">. There is a logistics line, driven by how long consumables and propellant must be stored before use, with its own dedicated concept literature</w:t>
      </w:r>
      <w:r>
        <w:t xml:space="preserve"> </w:t>
      </w:r>
      <w:hyperlink w:anchor="ref-16">
        <w:r>
          <w:rPr>
            <w:rStyle w:val="Hyperlink"/>
          </w:rPr>
          <w:t xml:space="preserve">[16]</w:t>
        </w:r>
      </w:hyperlink>
      <w:r>
        <w:t xml:space="preserve">. There is a communications line, which even in a modest station carries real cost, as the direct-to-orbit connectivity literature makes plain</w:t>
      </w:r>
      <w:r>
        <w:t xml:space="preserve"> </w:t>
      </w:r>
      <w:hyperlink w:anchor="ref-14">
        <w:r>
          <w:rPr>
            <w:rStyle w:val="Hyperlink"/>
          </w:rPr>
          <w:t xml:space="preserve">[14]</w:t>
        </w:r>
      </w:hyperlink>
      <w:r>
        <w:t xml:space="preserve">.</w:t>
      </w:r>
    </w:p>
    <w:p>
      <w:pPr>
        <w:pStyle w:val="BodyText"/>
        <w:spacing w:line="480" w:lineRule="auto"/>
        <w:ind w:firstLine="720"/>
      </w:pPr>
      <w:r>
        <w:t xml:space="preserve">Each of these lines is estimable. That is the encouraging news, and it is why the topic feels almost ready. The discouraging news is that a stack is only as trustworthy as the reconciliation between its lines, and reconciliation is where the current literature is silent. Two feasibility studies can adopt different launch cadences, different station lifetimes, and different crew sizes, then arrive at totals that differ by a factor no reader can decompose, because the driving assumptions are narrated rather than tabulated</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business case that a program office can defend has to make those assumptions commensurable, and commensurability is a property of the literature as a whole, not of any single study within it.</w:t>
      </w:r>
    </w:p>
    <w:bookmarkEnd w:id="65"/>
    <w:bookmarkStart w:id="66" w:name="X9b1188942ddc15a61ad078ae25ba6f762a4ee8c"/>
    <w:p>
      <w:pPr>
        <w:pStyle w:val="Heading2"/>
        <w:spacing w:line="480" w:lineRule="auto"/>
      </w:pPr>
      <w:r>
        <w:t xml:space="preserve">1.6 The reader this dissertation is written for</w:t>
      </w:r>
    </w:p>
    <w:p>
      <w:pPr>
        <w:pStyle w:val="FirstParagraph"/>
        <w:spacing w:line="480" w:lineRule="auto"/>
      </w:pPr>
      <w:r>
        <w:t xml:space="preserve">The intended reader is not a bibliometrician. It is the analyst inside an agency or a firm who has been handed a feasibility total and asked whether to believe it. That reader does not need another feasibility study. That reader needs a way to judge how much the surrounding literature can vouch for the number in front of them, and that is precisely what a corpus screen provides. If the screen finds structure, the reader can treat the field as a chorus and weight a single voice accordingly. If the screen finds none, the reader learns that the field is a set of soloists, and that any single total should be carried as provisional until direct parameter reconciliation is done</w:t>
      </w:r>
      <w:r>
        <w:t xml:space="preserve"> </w:t>
      </w:r>
      <w:hyperlink w:anchor="ref-8">
        <w:r>
          <w:rPr>
            <w:rStyle w:val="Hyperlink"/>
          </w:rPr>
          <w:t xml:space="preserve">[8]</w:t>
        </w:r>
      </w:hyperlink>
      <w:r>
        <w:t xml:space="preserve">.</w:t>
      </w:r>
    </w:p>
    <w:p>
      <w:pPr>
        <w:pStyle w:val="BodyText"/>
        <w:spacing w:line="480" w:lineRule="auto"/>
        <w:ind w:firstLine="720"/>
      </w:pPr>
      <w:r>
        <w:t xml:space="preserve">Framing the audience this way disciplines the whole dissertation. It rules out the temptation to inflate a bibliometric result into a policy verdict, because the analyst would see through the inflation immediately. It also rules out the opposite temptation, to hide behind method and refuse to say what the numbers mean for the decision at hand. The chapters that follow try to hold both lines: report the estimator output exactly, and translate it into the one thing the analyst actually asked for, which is a calibrated sense of how far to trust the evidence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66"/>
    <w:bookmarkStart w:id="67" w:name="why-now"/>
    <w:p>
      <w:pPr>
        <w:pStyle w:val="Heading2"/>
        <w:spacing w:line="480" w:lineRule="auto"/>
      </w:pPr>
      <w:r>
        <w:t xml:space="preserve">1.7 Why now</w:t>
      </w:r>
    </w:p>
    <w:p>
      <w:pPr>
        <w:pStyle w:val="FirstParagraph"/>
        <w:spacing w:line="480" w:lineRule="auto"/>
      </w:pPr>
      <w:r>
        <w:t xml:space="preserve">Timing is part of the argument. The window in which this question matters is open precisely because the station transition is imminent and irreversible. A decade ago, the commercial-habitat literature was too thin to screen and the decision was too distant to force. A decade from now, the market will have resolved one way or the other and the screen will be a historical curiosity. The present moment is the one in which a program office actually has to act on an evidence base that is large enough to look authoritative and immature enough to mislead</w:t>
      </w:r>
      <w:r>
        <w:t xml:space="preserve"> </w:t>
      </w:r>
      <w:hyperlink w:anchor="ref-9">
        <w:r>
          <w:rPr>
            <w:rStyle w:val="Hyperlink"/>
          </w:rPr>
          <w:t xml:space="preserve">[9]</w:t>
        </w:r>
      </w:hyperlink>
      <w:r>
        <w:t xml:space="preserve">. That coincidence, high stakes and unsettled evidence arriving together, is what makes a corpus screen worth building now rather than later.</w:t>
      </w:r>
    </w:p>
    <w:p>
      <w:pPr>
        <w:pStyle w:val="BodyText"/>
        <w:spacing w:line="480" w:lineRule="auto"/>
        <w:ind w:firstLine="720"/>
      </w:pPr>
      <w:r>
        <w:t xml:space="preserve">The urgency is not manufactured. Public commitments to commercial LEO destinations are being sized and scheduled against feasibility numbers that have never been reconciled across studies, and each commitment narrows the room for correction. A screen that arrives after the commitments are made informs nobody. A screen that arrives while the commitments are still being weighed can change how much confidence a decision-maker places in any single total, which is the only leverage a bibliometric result can honestly claim</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bookmarkEnd w:id="67"/>
    <w:bookmarkStart w:id="68" w:name="the-shape-of-the-claim-in-one-paragraph"/>
    <w:p>
      <w:pPr>
        <w:pStyle w:val="Heading2"/>
        <w:spacing w:line="480" w:lineRule="auto"/>
      </w:pPr>
      <w:r>
        <w:t xml:space="preserve">1.8 The shape of the claim in one paragraph</w:t>
      </w:r>
    </w:p>
    <w:p>
      <w:pPr>
        <w:pStyle w:val="FirstParagraph"/>
        <w:spacing w:line="480" w:lineRule="auto"/>
      </w:pPr>
      <w:r>
        <w:t xml:space="preserve">Stripped to its core, the dissertation argues this. A bottom-up business case for a commercial LEO habitat requires a literature legible enough to supply reconciled parameters, legibility should leave observable traces in publication recency, citation attention, and venue family, and those traces can be tested with two transparent estimators on an auditable corpus. If the traces are present, the field is closer to ready than a skeptic assumes. If they are absent, the field’s apparent momentum is not yet convergence, and any single cost total should be carried as provisional</w:t>
      </w:r>
      <w:r>
        <w:t xml:space="preserve"> </w:t>
      </w:r>
      <w:hyperlink w:anchor="ref-8">
        <w:r>
          <w:rPr>
            <w:rStyle w:val="Hyperlink"/>
          </w:rPr>
          <w:t xml:space="preserve">[8]</w:t>
        </w:r>
      </w:hyperlink>
      <w:r>
        <w:t xml:space="preserve">. Everything that follows is the disciplined working-out of that single claim, and Chapter 6 reports which way the evidence fell</w:t>
      </w:r>
      <w:r>
        <w:t xml:space="preserve"> </w:t>
      </w:r>
      <w:hyperlink w:anchor="ref-6">
        <w:r>
          <w:rPr>
            <w:rStyle w:val="Hyperlink"/>
          </w:rPr>
          <w:t xml:space="preserve">[6]</w:t>
        </w:r>
      </w:hyperlink>
      <w:r>
        <w:t xml:space="preserve">.</w:t>
      </w:r>
    </w:p>
    <w:bookmarkEnd w:id="68"/>
    <w:bookmarkStart w:id="69" w:name="X8cb62510cd40ce3fff9c74104d3b5f61168787b"/>
    <w:p>
      <w:pPr>
        <w:pStyle w:val="Heading2"/>
        <w:spacing w:line="480" w:lineRule="auto"/>
      </w:pPr>
      <w:r>
        <w:t xml:space="preserve">1.9 What this dissertation deliberately does not attempt</w:t>
      </w:r>
    </w:p>
    <w:p>
      <w:pPr>
        <w:pStyle w:val="FirstParagraph"/>
        <w:spacing w:line="480" w:lineRule="auto"/>
      </w:pPr>
      <w:r>
        <w:t xml:space="preserve">Scoping a project is partly a matter of naming what it declines to do, and three exclusions define the boundary of this one. It does not attempt a demand forecast for commercial stations, though the value-assessment literature shows such forecasts are possible and consequential</w:t>
      </w:r>
      <w:r>
        <w:t xml:space="preserve"> </w:t>
      </w:r>
      <w:hyperlink w:anchor="ref-10">
        <w:r>
          <w:rPr>
            <w:rStyle w:val="Hyperlink"/>
          </w:rPr>
          <w:t xml:space="preserve">[10]</w:t>
        </w:r>
      </w:hyperlink>
      <w:r>
        <w:t xml:space="preserve">; the demand side is a separate empirical undertaking with its own data and its own hazards. It does not attempt a full cost model, because the whole argument is that the literature is not yet legible enough to support one honestly. And it does not attempt to adjudicate between competing station concepts, since ranking concepts before the underlying cost evidence has converged would repeat the very error the screen is designed to catch</w:t>
      </w:r>
      <w:r>
        <w:t xml:space="preserve"> </w:t>
      </w:r>
      <w:hyperlink w:anchor="ref-9">
        <w:r>
          <w:rPr>
            <w:rStyle w:val="Hyperlink"/>
          </w:rPr>
          <w:t xml:space="preserve">[9]</w:t>
        </w:r>
      </w:hyperlink>
      <w:r>
        <w:t xml:space="preserve">.</w:t>
      </w:r>
    </w:p>
    <w:p>
      <w:pPr>
        <w:pStyle w:val="BodyText"/>
        <w:spacing w:line="480" w:lineRule="auto"/>
        <w:ind w:firstLine="720"/>
      </w:pPr>
      <w:r>
        <w:t xml:space="preserve">These exclusions are not evasions. Each names a real and valuable project that a mature evidence base would enable, and each is deferred precisely because the screen’s job is to establish whether that base yet exists. A dissertation that tried to do all of them at once, on a thirty-record corpus, would produce confident-looking outputs resting on evidence too thin to bear them, which is the pathology the entire project exists to expose rather than commit</w:t>
      </w:r>
      <w:r>
        <w:t xml:space="preserve"> </w:t>
      </w:r>
      <w:hyperlink w:anchor="ref-13">
        <w:r>
          <w:rPr>
            <w:rStyle w:val="Hyperlink"/>
          </w:rPr>
          <w:t xml:space="preserve">[13]</w:t>
        </w:r>
      </w:hyperlink>
      <w:r>
        <w:t xml:space="preserve">. Drawing the boundary this tightly is what lets the one claim inside it be defended to doctoral standard.</w:t>
      </w:r>
    </w:p>
    <w:bookmarkEnd w:id="69"/>
    <w:bookmarkStart w:id="70" w:name="how-to-read-the-chapters-that-follow"/>
    <w:p>
      <w:pPr>
        <w:pStyle w:val="Heading2"/>
        <w:spacing w:line="480" w:lineRule="auto"/>
      </w:pPr>
      <w:r>
        <w:t xml:space="preserve">1.10 How to read the chapters that follow</w:t>
      </w:r>
    </w:p>
    <w:p>
      <w:pPr>
        <w:pStyle w:val="FirstParagraph"/>
        <w:spacing w:line="480" w:lineRule="auto"/>
      </w:pPr>
      <w:r>
        <w:t xml:space="preserve">A reader pressed for time can navigate by role. The theory in Chapter 3 and the results in Chapter 6 are the load-bearing pair: one states what a mature field’s evidence would look like, the other reports what this field’s evidence actually looks like, and the gap between them is the finding. The methodology in Chapter 4 and the data in Chapter 5 exist to make that comparison trustworthy, and a skeptic should read them to satisfy themselves that the screen was fair. The literature in Chapter 2 supplies the map, and the discussion and conclusion in Chapters 7 and 8 translate the result into what a program office should do with it</w:t>
      </w:r>
      <w:r>
        <w:t xml:space="preserve"> </w:t>
      </w:r>
      <w:hyperlink w:anchor="ref-8">
        <w:r>
          <w:rPr>
            <w:rStyle w:val="Hyperlink"/>
          </w:rPr>
          <w:t xml:space="preserve">[8]</w:t>
        </w:r>
      </w:hyperlink>
      <w:r>
        <w:t xml:space="preserve">. Read in that order, the dissertation is an argument with a clear spine: here is the test, here is why it is fair, here is what it found, and here is what the finding is and is not allowed to mean</w:t>
      </w:r>
      <w:r>
        <w:t xml:space="preserve"> </w:t>
      </w:r>
      <w:hyperlink w:anchor="ref-6">
        <w:r>
          <w:rPr>
            <w:rStyle w:val="Hyperlink"/>
          </w:rPr>
          <w:t xml:space="preserve">[6]</w:t>
        </w:r>
      </w:hyperlink>
      <w:r>
        <w:t xml:space="preserve">.</w:t>
      </w:r>
    </w:p>
    <w:bookmarkEnd w:id="70"/>
    <w:bookmarkEnd w:id="71"/>
    <w:bookmarkStart w:id="83" w:name="chapter-2.-literature-review"/>
    <w:p>
      <w:pPr>
        <w:pStyle w:val="Heading1"/>
        <w:spacing w:line="480" w:lineRule="auto"/>
      </w:pPr>
      <w:r>
        <w:t xml:space="preserve">Chapter 2. Literature Review</w:t>
      </w:r>
    </w:p>
    <w:p>
      <w:pPr>
        <w:pStyle w:val="FirstParagraph"/>
        <w:spacing w:line="480" w:lineRule="auto"/>
      </w:pPr>
      <w:r>
        <w:t xml:space="preserve">The literature that a bottom-up habitat cost model must draw on does not sit in one place, and it does not agree with itself. It lives in three rooms that rarely share a hallway. The first room holds the economic framing of orbit as a market with failures built into it. The second holds the engineering feasibility studies that estimate what a commercial station would cost and earn. The third holds the component literatures, launch, power, storage, connectivity, that supply the individual line items any credible model must sum. This chapter walks through all three, and it argues that the seam between them is exactly where a costing dissertation earns its keep.</w:t>
      </w:r>
    </w:p>
    <w:bookmarkStart w:id="72" w:name="orbit-as-an-economy-with-failures"/>
    <w:p>
      <w:pPr>
        <w:pStyle w:val="Heading2"/>
        <w:spacing w:line="480" w:lineRule="auto"/>
      </w:pPr>
      <w:r>
        <w:t xml:space="preserve">2.1 Orbit as an economy with failures</w:t>
      </w:r>
    </w:p>
    <w:p>
      <w:pPr>
        <w:pStyle w:val="FirstParagraph"/>
        <w:spacing w:line="480" w:lineRule="auto"/>
      </w:pPr>
      <w:r>
        <w:t xml:space="preserve">Begin with the economics.</w:t>
      </w:r>
    </w:p>
    <w:p>
      <w:pPr>
        <w:pStyle w:val="BodyText"/>
        <w:spacing w:line="480" w:lineRule="auto"/>
        <w:ind w:firstLine="720"/>
      </w:pPr>
      <w:r>
        <w:t xml:space="preserve">Start with it because it sets the terms for everything downstream. The commercial-station literature increasingly treats low Earth orbit not as a destination but as a market to be established. The value assessment by Paravano and colleagues is the clearest recent example: it decomposes the demand for commercial stations across space and non-space users, and in doing so it converts a vague enthusiasm into a segmented account of who would actually pay</w:t>
      </w:r>
      <w:r>
        <w:t xml:space="preserve"> </w:t>
      </w:r>
      <w:hyperlink w:anchor="ref-10">
        <w:r>
          <w:rPr>
            <w:rStyle w:val="Hyperlink"/>
          </w:rPr>
          <w:t xml:space="preserve">[10]</w:t>
        </w:r>
      </w:hyperlink>
      <w:r>
        <w:t xml:space="preserve">. That segmentation matters for costing because a habitat’s revenue side is at least as uncertain as its cost side, and a model that nails the cost but hand-waves the demand has settled nothing.</w:t>
      </w:r>
    </w:p>
    <w:p>
      <w:pPr>
        <w:pStyle w:val="BodyText"/>
        <w:spacing w:line="480" w:lineRule="auto"/>
        <w:ind w:firstLine="720"/>
      </w:pPr>
      <w:r>
        <w:t xml:space="preserve">The demand side has a governance shadow. Orbit is a shared resource, and the classic framing of orbital crowding as a negative externality, a tragedy of the commons, tells us that a private operator will underprice the debris and congestion risk it imposes on everyone else. This is not a rhetorical flourish. It is a market failure with a name, and it means that a purely private cost model will systematically omit a real social cost. A honest business case for a commercial habitat has to sit inside that governance frame, not beside it. The whole-of-nation policy writing on space sustainability reinforces the point: commercial, civil, and military uses of orbit share a congestion problem that no single operator’s spreadsheet internalizes.</w:t>
      </w:r>
    </w:p>
    <w:bookmarkEnd w:id="72"/>
    <w:bookmarkStart w:id="73" w:name="feasibility-studies-and-their-limits"/>
    <w:p>
      <w:pPr>
        <w:pStyle w:val="Heading2"/>
        <w:spacing w:line="480" w:lineRule="auto"/>
      </w:pPr>
      <w:r>
        <w:t xml:space="preserve">2.2 Feasibility studies and their limits</w:t>
      </w:r>
    </w:p>
    <w:p>
      <w:pPr>
        <w:pStyle w:val="FirstParagraph"/>
        <w:spacing w:line="480" w:lineRule="auto"/>
      </w:pPr>
      <w:r>
        <w:t xml:space="preserve">The engineering feasibility literature is where the dollar figures first appear, and it is more disciplined than outsiders expect. The feasibility study for a commercial station in low Earth orbit lays out a structured concept of operations and works toward a cost envelope rather than a single number</w:t>
      </w:r>
      <w:r>
        <w:t xml:space="preserve"> </w:t>
      </w:r>
      <w:hyperlink w:anchor="ref-9">
        <w:r>
          <w:rPr>
            <w:rStyle w:val="Hyperlink"/>
          </w:rPr>
          <w:t xml:space="preserve">[9]</w:t>
        </w:r>
      </w:hyperlink>
      <w:r>
        <w:t xml:space="preserve">. This is the right instinct. A habitat is a system of systems, and a feasibility study that produces a range with named drivers is more useful to a program office than a point estimate that hides its assumptions.</w:t>
      </w:r>
    </w:p>
    <w:p>
      <w:pPr>
        <w:pStyle w:val="BodyText"/>
        <w:spacing w:line="480" w:lineRule="auto"/>
        <w:ind w:firstLine="720"/>
      </w:pPr>
      <w:r>
        <w:t xml:space="preserve">Yet feasibility studies share a weakness that this dissertation takes seriously. Each is a self-contained artifact, optimized to defend one concept, and they are rarely built to be compared with one another. Two studies can reach different totals not because the underlying physics differs but because they made different assumptions about launch cadence, station lifetime, or crew size, and those assumptions are buried in prose rather than surfaced as parameters. The value assessment work begins to correct this by making the demand decomposition explicit</w:t>
      </w:r>
      <w:r>
        <w:t xml:space="preserve"> </w:t>
      </w:r>
      <w:hyperlink w:anchor="ref-10">
        <w:r>
          <w:rPr>
            <w:rStyle w:val="Hyperlink"/>
          </w:rPr>
          <w:t xml:space="preserve">[10]</w:t>
        </w:r>
      </w:hyperlink>
      <w:r>
        <w:t xml:space="preserve">, but the field still lacks a shared parameter dictionary. That absence is precisely why a corpus-level screen has diagnostic value: if the feasibility literature were converging, we would expect to see structure in how attention and venue distribute across it.</w:t>
      </w:r>
    </w:p>
    <w:bookmarkEnd w:id="73"/>
    <w:bookmarkStart w:id="74" w:name="the-component-literatures"/>
    <w:p>
      <w:pPr>
        <w:pStyle w:val="Heading2"/>
        <w:spacing w:line="480" w:lineRule="auto"/>
      </w:pPr>
      <w:r>
        <w:t xml:space="preserve">2.3 The component literatures</w:t>
      </w:r>
    </w:p>
    <w:p>
      <w:pPr>
        <w:pStyle w:val="FirstParagraph"/>
        <w:spacing w:line="480" w:lineRule="auto"/>
      </w:pPr>
      <w:r>
        <w:t xml:space="preserve">Beneath the feasibility studies sit the component literatures, and these are the bricks of any bottom-up model. Launch cost is the most mature of them. Drenthe and colleagues provide a parametric cost-estimating method for commercial smallsat launch vehicles, and while a habitat is not a smallsat, the methodology, how to build a defensible cost-estimating relationship from a small sample of vehicles, transfers directly to the launch line of a habitat model</w:t>
      </w:r>
      <w:r>
        <w:t xml:space="preserve"> </w:t>
      </w:r>
      <w:hyperlink w:anchor="ref-13">
        <w:r>
          <w:rPr>
            <w:rStyle w:val="Hyperlink"/>
          </w:rPr>
          <w:t xml:space="preserve">[13]</w:t>
        </w:r>
      </w:hyperlink>
      <w:r>
        <w:t xml:space="preserve">. A costing dissertation that ignored this method would be reinventing a wheel that the launch-vehicle community already machined.</w:t>
      </w:r>
    </w:p>
    <w:p>
      <w:pPr>
        <w:pStyle w:val="BodyText"/>
        <w:spacing w:line="480" w:lineRule="auto"/>
        <w:ind w:firstLine="720"/>
      </w:pPr>
      <w:r>
        <w:t xml:space="preserve">Power is the second brick. A long-duration habitat lives or dies on its energy budget, and the analog literature has already done serious forecasting work here. The HI-SEAS habitat energy study derives requirements and forecasting methods for a crewed analog, giving a habitat cost model a grounded way to size and price the power subsystem rather than guessing at it</w:t>
      </w:r>
      <w:r>
        <w:t xml:space="preserve"> </w:t>
      </w:r>
      <w:hyperlink w:anchor="ref-15">
        <w:r>
          <w:rPr>
            <w:rStyle w:val="Hyperlink"/>
          </w:rPr>
          <w:t xml:space="preserve">[15]</w:t>
        </w:r>
      </w:hyperlink>
      <w:r>
        <w:t xml:space="preserve">. Storage is the third brick. Extremely long-duration storage of consumables and propellant is its own concept problem, and the dedicated storage-concept literature supplies the parameters a habitat model needs for the logistics line</w:t>
      </w:r>
      <w:r>
        <w:t xml:space="preserve"> </w:t>
      </w:r>
      <w:hyperlink w:anchor="ref-16">
        <w:r>
          <w:rPr>
            <w:rStyle w:val="Hyperlink"/>
          </w:rPr>
          <w:t xml:space="preserve">[16]</w:t>
        </w:r>
      </w:hyperlink>
      <w:r>
        <w:t xml:space="preserve">. Connectivity is a fourth, less obvious brick: the work on massive-scale, long-battery-life direct-to-orbit connectivity shows that even the communications subsystem of a modern station has a costed engineering literature behind it</w:t>
      </w:r>
      <w:r>
        <w:t xml:space="preserve"> </w:t>
      </w:r>
      <w:hyperlink w:anchor="ref-14">
        <w:r>
          <w:rPr>
            <w:rStyle w:val="Hyperlink"/>
          </w:rPr>
          <w:t xml:space="preserve">[14]</w:t>
        </w:r>
      </w:hyperlink>
      <w:r>
        <w:t xml:space="preserve">.</w:t>
      </w:r>
    </w:p>
    <w:p>
      <w:pPr>
        <w:pStyle w:val="BodyText"/>
        <w:spacing w:line="480" w:lineRule="auto"/>
        <w:ind w:firstLine="720"/>
      </w:pPr>
      <w:r>
        <w:t xml:space="preserve">These four literatures are strong individually and disconnected collectively. Nobody has assembled them into a single traceable cost stack for a commercial habitat, and that gap is the dissertation’s practical target.</w:t>
      </w:r>
    </w:p>
    <w:bookmarkEnd w:id="74"/>
    <w:bookmarkStart w:id="75" w:name="the-measurement-literature"/>
    <w:p>
      <w:pPr>
        <w:pStyle w:val="Heading2"/>
        <w:spacing w:line="480" w:lineRule="auto"/>
      </w:pPr>
      <w:r>
        <w:t xml:space="preserve">2.4 The measurement literature</w:t>
      </w:r>
    </w:p>
    <w:p>
      <w:pPr>
        <w:pStyle w:val="FirstParagraph"/>
        <w:spacing w:line="480" w:lineRule="auto"/>
      </w:pPr>
      <w:r>
        <w:t xml:space="preserve">The final strand is methodological rather than substantive. If the domain literatures supply the content, a costing dissertation still needs a disciplined way to characterize that content before trusting it. The risk-mitigation literature for space systems offers a model of how to reason under uncertainty with imprecise inputs, treating a weak signal as a bounded input rather than a settled fact</w:t>
      </w:r>
      <w:r>
        <w:t xml:space="preserve"> </w:t>
      </w:r>
      <w:hyperlink w:anchor="ref-8">
        <w:r>
          <w:rPr>
            <w:rStyle w:val="Hyperlink"/>
          </w:rPr>
          <w:t xml:space="preserve">[8]</w:t>
        </w:r>
      </w:hyperlink>
      <w:r>
        <w:t xml:space="preserve">. That posture, take the estimate, but carry its uncertainty forward rather than discarding it, is the methodological spine of this dissertation. It is why the empirical screens report imprecise coefficients as findings rather than hiding them.</w:t>
      </w:r>
    </w:p>
    <w:p>
      <w:pPr>
        <w:pStyle w:val="BodyText"/>
        <w:spacing w:line="480" w:lineRule="auto"/>
        <w:ind w:firstLine="720"/>
      </w:pPr>
      <w:r>
        <w:t xml:space="preserve">The measurement task here is deliberately bibliometric. Publication recency, citation attention, and venue family are observable features of every record in the corpus, and they can be coded consistently across sources drawn from AMOS proceedings</w:t>
      </w:r>
      <w:r>
        <w:t xml:space="preserve"> </w:t>
      </w:r>
      <w:hyperlink w:anchor="ref-1">
        <w:r>
          <w:rPr>
            <w:rStyle w:val="Hyperlink"/>
          </w:rPr>
          <w:t xml:space="preserve">[1]</w:t>
        </w:r>
      </w:hyperlink>
      <w:r>
        <w:t xml:space="preserve"> </w:t>
      </w:r>
      <w:hyperlink w:anchor="ref-4">
        <w:r>
          <w:rPr>
            <w:rStyle w:val="Hyperlink"/>
          </w:rPr>
          <w:t xml:space="preserve">[4]</w:t>
        </w:r>
      </w:hyperlink>
      <w:r>
        <w:t xml:space="preserve">, astronautics journals, and the space-economy policy literature. Treating those features as variables lets the dissertation ask whether the topic’s apparent momentum is structured or diffuse, which no amount of reading individual feasibility studies can answer.</w:t>
      </w:r>
    </w:p>
    <w:bookmarkEnd w:id="75"/>
    <w:bookmarkStart w:id="76" w:name="the-gap-this-dissertation-fills"/>
    <w:p>
      <w:pPr>
        <w:pStyle w:val="Heading2"/>
        <w:spacing w:line="480" w:lineRule="auto"/>
      </w:pPr>
      <w:r>
        <w:t xml:space="preserve">2.5 The gap this dissertation fills</w:t>
      </w:r>
    </w:p>
    <w:p>
      <w:pPr>
        <w:pStyle w:val="FirstParagraph"/>
        <w:spacing w:line="480" w:lineRule="auto"/>
      </w:pPr>
      <w:r>
        <w:t xml:space="preserve">Two gaps emerge from this survey. The first is a seam gap: the economic framing, the feasibility studies, and the component literatures each do their job well, but nobody has stitched them into a single auditable cost stack for a commercial habitat. The second is a maturity gap: the feasibility literature has grown loud, but whether that loudness reflects a converging cost consensus or a scattered set of point estimates is an open, testable question</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This dissertation addresses the second gap directly and clears the ground for the first. It does not yet build the full cost stack. It builds and runs the corpus screen that tells an analyst whether the underlying literature is structured enough to support such a stack, and it does so on records drawn from exactly the venues, technical proceedings, astronautics journals, and space-economy policy sources, that a habitat model would have to draw on</w:t>
      </w:r>
      <w:r>
        <w:t xml:space="preserve"> </w:t>
      </w:r>
      <w:hyperlink w:anchor="ref-3">
        <w:r>
          <w:rPr>
            <w:rStyle w:val="Hyperlink"/>
          </w:rPr>
          <w:t xml:space="preserve">[3]</w:t>
        </w:r>
      </w:hyperlink>
      <w:r>
        <w:t xml:space="preserve"> </w:t>
      </w:r>
      <w:hyperlink w:anchor="ref-6">
        <w:r>
          <w:rPr>
            <w:rStyle w:val="Hyperlink"/>
          </w:rPr>
          <w:t xml:space="preserve">[6]</w:t>
        </w:r>
      </w:hyperlink>
      <w:r>
        <w:t xml:space="preserve">. That is a modest contribution stated honestly, and it is the right first move for a field whose evidence base is still forming.</w:t>
      </w:r>
    </w:p>
    <w:bookmarkEnd w:id="76"/>
    <w:bookmarkStart w:id="77" w:name="X9388d2412c473d04ad48b118566419d760c606a"/>
    <w:p>
      <w:pPr>
        <w:pStyle w:val="Heading2"/>
        <w:spacing w:line="480" w:lineRule="auto"/>
      </w:pPr>
      <w:r>
        <w:t xml:space="preserve">2.6 Analog habitats and the human-factors cost</w:t>
      </w:r>
    </w:p>
    <w:p>
      <w:pPr>
        <w:pStyle w:val="FirstParagraph"/>
        <w:spacing w:line="480" w:lineRule="auto"/>
      </w:pPr>
      <w:r>
        <w:t xml:space="preserve">One literature deserves separate treatment because it sits between engineering and economics: the analog habitat work. Ground analogs and partial-gravity concepts do more than validate life-support hardware. They generate the human-factors parameters, crew size, mission duration, comfort thresholds, that drive some of the largest lines in a habitat cost model, and they do so with a rigor that armchair estimates cannot match. The HI-SEAS energy study is one instance, deriving a crewed habitat’s power requirements from observed analog operation rather than from a paper budget</w:t>
      </w:r>
      <w:r>
        <w:t xml:space="preserve"> </w:t>
      </w:r>
      <w:hyperlink w:anchor="ref-15">
        <w:r>
          <w:rPr>
            <w:rStyle w:val="Hyperlink"/>
          </w:rPr>
          <w:t xml:space="preserve">[15]</w:t>
        </w:r>
      </w:hyperlink>
      <w:r>
        <w:t xml:space="preserve">. The rotating partial-gravity spacecraft literature is another, and it complicates the cost picture in an instructive way: a spinning station changes both the structural mass a designer must launch and the physiological value the crew receives, so it moves the cost line and the benefit line at once</w:t>
      </w:r>
      <w:r>
        <w:t xml:space="preserve"> </w:t>
      </w:r>
      <w:hyperlink w:anchor="ref-12">
        <w:r>
          <w:rPr>
            <w:rStyle w:val="Hyperlink"/>
          </w:rPr>
          <w:t xml:space="preserve">[12]</w:t>
        </w:r>
      </w:hyperlink>
      <w:r>
        <w:t xml:space="preserve">.</w:t>
      </w:r>
    </w:p>
    <w:p>
      <w:pPr>
        <w:pStyle w:val="BodyText"/>
        <w:spacing w:line="480" w:lineRule="auto"/>
        <w:ind w:firstLine="720"/>
      </w:pPr>
      <w:r>
        <w:t xml:space="preserve">That coupling is exactly why analog work matters to a costing dissertation. A cost model that treats crew comfort as free will underprice the habitat by omitting the mass and power a livable station demands; a model that treats it as arbitrarily expensive will overprice the same station into infeasibility. The analog literature is the field’s best defense against both errors, because it grounds the human-factors parameters in measured operation. Whether the broader costing literature has absorbed those parameters into shared assumptions, or continues to reinvent them study by study, is an open question that a corpus screen is well positioned to probe</w:t>
      </w:r>
      <w:r>
        <w:t xml:space="preserve"> </w:t>
      </w:r>
      <w:hyperlink w:anchor="ref-16">
        <w:r>
          <w:rPr>
            <w:rStyle w:val="Hyperlink"/>
          </w:rPr>
          <w:t xml:space="preserve">[16]</w:t>
        </w:r>
      </w:hyperlink>
      <w:r>
        <w:t xml:space="preserve">.</w:t>
      </w:r>
    </w:p>
    <w:bookmarkEnd w:id="77"/>
    <w:bookmarkStart w:id="78" w:name="how-the-strands-are-meant-to-combine"/>
    <w:p>
      <w:pPr>
        <w:pStyle w:val="Heading2"/>
        <w:spacing w:line="480" w:lineRule="auto"/>
      </w:pPr>
      <w:r>
        <w:t xml:space="preserve">2.7 How the strands are meant to combine</w:t>
      </w:r>
    </w:p>
    <w:p>
      <w:pPr>
        <w:pStyle w:val="FirstParagraph"/>
        <w:spacing w:line="480" w:lineRule="auto"/>
      </w:pPr>
      <w:r>
        <w:t xml:space="preserve">The three rooms are not meant to stay separate. A mature costing literature would show the economic framing setting the boundary conditions, the feasibility studies supplying the integrated concepts, and the component literatures feeding calibrated line items upward into those concepts, all speaking a shared parameter language. The reference pool assembled for this dissertation contains a record from each room: market-failure economics, integrated feasibility</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and calibrated components for launch</w:t>
      </w:r>
      <w:r>
        <w:t xml:space="preserve"> </w:t>
      </w:r>
      <w:hyperlink w:anchor="ref-13">
        <w:r>
          <w:rPr>
            <w:rStyle w:val="Hyperlink"/>
          </w:rPr>
          <w:t xml:space="preserve">[13]</w:t>
        </w:r>
      </w:hyperlink>
      <w:r>
        <w:t xml:space="preserve">, power</w:t>
      </w:r>
      <w:r>
        <w:t xml:space="preserve"> </w:t>
      </w:r>
      <w:hyperlink w:anchor="ref-15">
        <w:r>
          <w:rPr>
            <w:rStyle w:val="Hyperlink"/>
          </w:rPr>
          <w:t xml:space="preserve">[15]</w:t>
        </w:r>
      </w:hyperlink>
      <w:r>
        <w:t xml:space="preserve">, storage</w:t>
      </w:r>
      <w:r>
        <w:t xml:space="preserve"> </w:t>
      </w:r>
      <w:hyperlink w:anchor="ref-16">
        <w:r>
          <w:rPr>
            <w:rStyle w:val="Hyperlink"/>
          </w:rPr>
          <w:t xml:space="preserve">[16]</w:t>
        </w:r>
      </w:hyperlink>
      <w:r>
        <w:t xml:space="preserve">, and connectivity</w:t>
      </w:r>
      <w:r>
        <w:t xml:space="preserve"> </w:t>
      </w:r>
      <w:hyperlink w:anchor="ref-14">
        <w:r>
          <w:rPr>
            <w:rStyle w:val="Hyperlink"/>
          </w:rPr>
          <w:t xml:space="preserve">[14]</w:t>
        </w:r>
      </w:hyperlink>
      <w:r>
        <w:t xml:space="preserve">. The material for a stitched cost stack exists.</w:t>
      </w:r>
    </w:p>
    <w:p>
      <w:pPr>
        <w:pStyle w:val="BodyText"/>
        <w:spacing w:line="480" w:lineRule="auto"/>
        <w:ind w:firstLine="720"/>
      </w:pPr>
      <w:r>
        <w:t xml:space="preserve">What is missing is the stitching, and the absence is diagnostic. If the strands had already combined, we would expect the combination to leave a bibliometric trace: newer work engaging the shared parameters more directly, attention concentrating on the load-bearing integrative studies, and venue family tracking the kind of contribution a record makes. The literature review cannot settle whether that trace exists, because reading individual studies tells you about each study, not about the field’s aggregate structure. That aggregate question is what the empirical chapters take up, and framing it as the payoff of this survey is the review’s final move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78"/>
    <w:bookmarkStart w:id="79" w:name="X8704bf2f440f5b834ae65444d9efadb634ee1f6"/>
    <w:p>
      <w:pPr>
        <w:pStyle w:val="Heading2"/>
        <w:spacing w:line="480" w:lineRule="auto"/>
      </w:pPr>
      <w:r>
        <w:t xml:space="preserve">2.8 Cost estimation as a discipline with standards</w:t>
      </w:r>
    </w:p>
    <w:p>
      <w:pPr>
        <w:pStyle w:val="FirstParagraph"/>
        <w:spacing w:line="480" w:lineRule="auto"/>
      </w:pPr>
      <w:r>
        <w:t xml:space="preserve">It bears emphasizing that cost estimation for space systems is a discipline with its own standards, not an improvised exercise, and the review would be incomplete without acknowledging what those standards demand. The parametric approach exemplified in the smallsat launch-vehicle work builds a cost-estimating relationship from a sample of comparable systems, tests its fit, and reports the uncertainty around its predictions rather than a bare point</w:t>
      </w:r>
      <w:r>
        <w:t xml:space="preserve"> </w:t>
      </w:r>
      <w:hyperlink w:anchor="ref-13">
        <w:r>
          <w:rPr>
            <w:rStyle w:val="Hyperlink"/>
          </w:rPr>
          <w:t xml:space="preserve">[13]</w:t>
        </w:r>
      </w:hyperlink>
      <w:r>
        <w:t xml:space="preserve">. That practice, estimate, validate, and carry uncertainty forward, is the template a habitat cost model should inherit for every one of its lines, and it sets a bar that much of the enthusiastic commercial-station commentary does not clear.</w:t>
      </w:r>
    </w:p>
    <w:p>
      <w:pPr>
        <w:pStyle w:val="BodyText"/>
        <w:spacing w:line="480" w:lineRule="auto"/>
        <w:ind w:firstLine="720"/>
      </w:pPr>
      <w:r>
        <w:t xml:space="preserve">The gap between disciplined estimation and enthusiastic commentary is itself part of the problem this dissertation confronts. A feasibility study written to the parametric standard and a promotional projection written to attract investment can occupy the same topical space and score similarly on surface metadata, yet only one contributes to a legible parameter base</w:t>
      </w:r>
      <w:r>
        <w:t xml:space="preserve"> </w:t>
      </w:r>
      <w:hyperlink w:anchor="ref-9">
        <w:r>
          <w:rPr>
            <w:rStyle w:val="Hyperlink"/>
          </w:rPr>
          <w:t xml:space="preserve">[9]</w:t>
        </w:r>
      </w:hyperlink>
      <w:r>
        <w:t xml:space="preserve">. The review therefore reads the costing literature not merely for its conclusions but for its methodological seriousness, because a field can look productive while producing work that a cost model cannot actually use. Distinguishing the two requires more than a citation count, which is precisely why the screen that follows treats surface metadata as a first cut rather than a final word</w:t>
      </w:r>
      <w:r>
        <w:t xml:space="preserve"> </w:t>
      </w:r>
      <w:hyperlink w:anchor="ref-8">
        <w:r>
          <w:rPr>
            <w:rStyle w:val="Hyperlink"/>
          </w:rPr>
          <w:t xml:space="preserve">[8]</w:t>
        </w:r>
      </w:hyperlink>
      <w:r>
        <w:t xml:space="preserve">.</w:t>
      </w:r>
    </w:p>
    <w:bookmarkEnd w:id="79"/>
    <w:bookmarkStart w:id="80" w:name="Xc5cd566ffb7ae444defdb9c45e1e199c51a0b59"/>
    <w:p>
      <w:pPr>
        <w:pStyle w:val="Heading2"/>
        <w:spacing w:line="480" w:lineRule="auto"/>
      </w:pPr>
      <w:r>
        <w:t xml:space="preserve">2.9 Positioning against the prior corpus screens</w:t>
      </w:r>
    </w:p>
    <w:p>
      <w:pPr>
        <w:pStyle w:val="FirstParagraph"/>
        <w:spacing w:line="480" w:lineRule="auto"/>
      </w:pPr>
      <w:r>
        <w:t xml:space="preserve">Bibliometric screening of an emerging technical field is not itself novel, and situating this dissertation against that tradition sharpens what it adds. Prior corpus work in the space-domain literature has mapped how attention distributes across sensing, tracking, and situational-awareness topics, establishing that publication and citation patterns carry real information about where a subfield’s energy concentrates</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This dissertation borrows that premise and narrows it to a costing question, asking not merely where attention concentrates but whether its distribution shows the convergence signature a cost model would need.</w:t>
      </w:r>
    </w:p>
    <w:p>
      <w:pPr>
        <w:pStyle w:val="BodyText"/>
        <w:spacing w:line="480" w:lineRule="auto"/>
        <w:ind w:firstLine="720"/>
      </w:pPr>
      <w:r>
        <w:t xml:space="preserve">The narrowing is the contribution. General bibliometric mapping tells you a field is active; a costing-specific screen asks whether that activity has organized into shared parameters, which is a stricter and more decision-relevant test</w:t>
      </w:r>
      <w:r>
        <w:t xml:space="preserve"> </w:t>
      </w:r>
      <w:hyperlink w:anchor="ref-10">
        <w:r>
          <w:rPr>
            <w:rStyle w:val="Hyperlink"/>
          </w:rPr>
          <w:t xml:space="preserve">[10]</w:t>
        </w:r>
      </w:hyperlink>
      <w:r>
        <w:t xml:space="preserve">. By tying the screen to a concrete downstream use, the readiness of a bottom-up habitat cost model, the dissertation turns a descriptive technique into a diagnostic one, and it does so on a corpus assembled from exactly the venues a habitat model would mine</w:t>
      </w:r>
      <w:r>
        <w:t xml:space="preserve"> </w:t>
      </w:r>
      <w:hyperlink w:anchor="ref-3">
        <w:r>
          <w:rPr>
            <w:rStyle w:val="Hyperlink"/>
          </w:rPr>
          <w:t xml:space="preserve">[3]</w:t>
        </w:r>
      </w:hyperlink>
      <w:r>
        <w:t xml:space="preserve">. That is the seam between the measurement tradition and the domain problem, and occupying it deliberately is what distinguishes this work from a generic literature map</w:t>
      </w:r>
      <w:r>
        <w:t xml:space="preserve"> </w:t>
      </w:r>
      <w:hyperlink w:anchor="ref-16">
        <w:r>
          <w:rPr>
            <w:rStyle w:val="Hyperlink"/>
          </w:rPr>
          <w:t xml:space="preserve">[16]</w:t>
        </w:r>
      </w:hyperlink>
      <w:r>
        <w:t xml:space="preserve">.</w:t>
      </w:r>
    </w:p>
    <w:bookmarkEnd w:id="80"/>
    <w:bookmarkStart w:id="81" w:name="X2eee3a1eea7070303ce09e607ac5c3a65568f84"/>
    <w:p>
      <w:pPr>
        <w:pStyle w:val="Heading2"/>
        <w:spacing w:line="480" w:lineRule="auto"/>
      </w:pPr>
      <w:r>
        <w:t xml:space="preserve">2.10 The risk-mitigation literature as a model of reasoning under uncertainty</w:t>
      </w:r>
    </w:p>
    <w:p>
      <w:pPr>
        <w:pStyle w:val="FirstParagraph"/>
        <w:spacing w:line="480" w:lineRule="auto"/>
      </w:pPr>
      <w:r>
        <w:t xml:space="preserve">One strand of the reference pool deserves elevation from footnote to method, because it supplies the intellectual posture the whole dissertation adopts. The optimal-risk-mitigation work for low-thrust space systems is not, on its surface, about habitat economics at all</w:t>
      </w:r>
      <w:r>
        <w:t xml:space="preserve"> </w:t>
      </w:r>
      <w:hyperlink w:anchor="ref-8">
        <w:r>
          <w:rPr>
            <w:rStyle w:val="Hyperlink"/>
          </w:rPr>
          <w:t xml:space="preserve">[8]</w:t>
        </w:r>
      </w:hyperlink>
      <w:r>
        <w:t xml:space="preserve">. What it models is how to make defensible decisions when the inputs are uncertain and the stakes are high, treating each imprecise input as a bounded quantity to be carried forward rather than a precise fact to be asserted or a nuisance to be discarded. That posture is exactly what a costing analyst needs when the underlying literature is diffuse.</w:t>
      </w:r>
    </w:p>
    <w:p>
      <w:pPr>
        <w:pStyle w:val="BodyText"/>
        <w:spacing w:line="480" w:lineRule="auto"/>
        <w:ind w:firstLine="720"/>
      </w:pPr>
      <w:r>
        <w:t xml:space="preserve">The lesson transfers cleanly to bibliometric screening. A weak coefficient is not a failure to be hidden or a fact to be overstated; it is a bounded input that tells you how much confidence the evidence can bear</w:t>
      </w:r>
      <w:r>
        <w:t xml:space="preserve"> </w:t>
      </w:r>
      <w:hyperlink w:anchor="ref-8">
        <w:r>
          <w:rPr>
            <w:rStyle w:val="Hyperlink"/>
          </w:rPr>
          <w:t xml:space="preserve">[8]</w:t>
        </w:r>
      </w:hyperlink>
      <w:r>
        <w:t xml:space="preserve">. Reading the risk-mitigation literature this way reframes the entire negative result the dissertation eventually reports: an imprecise screen is not an empty screen but a bounded one, and bounding the confidence a program office should place in a cost total is a genuine service. The habit of carrying uncertainty forward rather than collapsing it prematurely is the methodological inheritance this dissertation takes from the space-systems risk tradition</w:t>
      </w:r>
      <w:r>
        <w:t xml:space="preserve"> </w:t>
      </w:r>
      <w:hyperlink w:anchor="ref-16">
        <w:r>
          <w:rPr>
            <w:rStyle w:val="Hyperlink"/>
          </w:rPr>
          <w:t xml:space="preserve">[16]</w:t>
        </w:r>
      </w:hyperlink>
      <w:r>
        <w:t xml:space="preserve">.</w:t>
      </w:r>
    </w:p>
    <w:bookmarkEnd w:id="81"/>
    <w:bookmarkStart w:id="82" w:name="where-the-review-leaves-the-argument"/>
    <w:p>
      <w:pPr>
        <w:pStyle w:val="Heading2"/>
        <w:spacing w:line="480" w:lineRule="auto"/>
      </w:pPr>
      <w:r>
        <w:t xml:space="preserve">2.11 Where the review leaves the argument</w:t>
      </w:r>
    </w:p>
    <w:p>
      <w:pPr>
        <w:pStyle w:val="FirstParagraph"/>
        <w:spacing w:line="480" w:lineRule="auto"/>
      </w:pPr>
      <w:r>
        <w:t xml:space="preserve">The survey closes with a clear handoff. The economic framing establishes that orbit is a market with real failures that a private cost model will tend to omit. The feasibility literature establishes that costable concepts exist but are not reconciled across studies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component literatures establish that every subsystem line has a defensible estimation method</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And the measurement tradition establishes that a corpus can be screened for the structure a converged field would show</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What no strand establishes, and what the review therefore cannot resolve, is whether the commercial-habitat literature has actually converged. That question is aggregate, not per-study, and reading more studies would not answer it. It requires an estimator run against the corpus as a whole, interpreted against a mechanism that says what convergence would look like in the metadata. Building that mechanism is the task of the next chapter, and the review’s final contribution is to have shown precisely why the mechanism is necessary: the pieces of a cost model are on the table, but whether they add up to a trustworthy whole is an empirical question the literature poses and cannot itself settle</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One caution frames the transition. The reference pool assembled here is a curated set, not an exhaustive census, and the review’s conclusions about the field’s structure are conclusions about that pool</w:t>
      </w:r>
      <w:r>
        <w:t xml:space="preserve"> </w:t>
      </w:r>
      <w:hyperlink w:anchor="ref-1">
        <w:r>
          <w:rPr>
            <w:rStyle w:val="Hyperlink"/>
          </w:rPr>
          <w:t xml:space="preserve">[1]</w:t>
        </w:r>
      </w:hyperlink>
      <w:r>
        <w:t xml:space="preserve"> </w:t>
      </w:r>
      <w:hyperlink w:anchor="ref-6">
        <w:r>
          <w:rPr>
            <w:rStyle w:val="Hyperlink"/>
          </w:rPr>
          <w:t xml:space="preserve">[6]</w:t>
        </w:r>
      </w:hyperlink>
      <w:r>
        <w:t xml:space="preserve">. This is not a defect to apologize for; it is the honest scope of any dissertation-stage survey. But it does mean the aggregate question, whether the costing literature has converged, must be asked of the retained corpus explicitly rather than assumed to hold for the field at large. The mechanism developed next is built to respect that scope, and every result that follows is bounded by it</w:t>
      </w:r>
      <w:r>
        <w:t xml:space="preserve"> </w:t>
      </w:r>
      <w:hyperlink w:anchor="ref-10">
        <w:r>
          <w:rPr>
            <w:rStyle w:val="Hyperlink"/>
          </w:rPr>
          <w:t xml:space="preserve">[10]</w:t>
        </w:r>
      </w:hyperlink>
      <w:r>
        <w:t xml:space="preserve">.</w:t>
      </w:r>
    </w:p>
    <w:bookmarkEnd w:id="82"/>
    <w:bookmarkEnd w:id="83"/>
    <w:bookmarkStart w:id="96" w:name="chapter-3.-theory-and-hypotheses"/>
    <w:p>
      <w:pPr>
        <w:pStyle w:val="Heading1"/>
        <w:spacing w:line="480" w:lineRule="auto"/>
      </w:pPr>
      <w:r>
        <w:t xml:space="preserve">Chapter 3. Theory and Hypotheses</w:t>
      </w:r>
    </w:p>
    <w:p>
      <w:pPr>
        <w:pStyle w:val="FirstParagraph"/>
        <w:spacing w:line="480" w:lineRule="auto"/>
      </w:pPr>
      <w:r>
        <w:t xml:space="preserve">A theory of topic maturity has to explain something before it can predict anything. Here is the thing it must explain: why some space-sector topics feel ready to cost and others do not, even when both have generated a pile of publications. The commercial LEO habitat is a topic that feels almost ready. Feasibility studies exist</w:t>
      </w:r>
      <w:r>
        <w:t xml:space="preserve"> </w:t>
      </w:r>
      <w:hyperlink w:anchor="ref-9">
        <w:r>
          <w:rPr>
            <w:rStyle w:val="Hyperlink"/>
          </w:rPr>
          <w:t xml:space="preserve">[9]</w:t>
        </w:r>
      </w:hyperlink>
      <w:r>
        <w:t xml:space="preserve">, value assessments exist</w:t>
      </w:r>
      <w:r>
        <w:t xml:space="preserve"> </w:t>
      </w:r>
      <w:hyperlink w:anchor="ref-10">
        <w:r>
          <w:rPr>
            <w:rStyle w:val="Hyperlink"/>
          </w:rPr>
          <w:t xml:space="preserve">[10]</w:t>
        </w:r>
      </w:hyperlink>
      <w:r>
        <w:t xml:space="preserve">, component cost methods exist</w:t>
      </w:r>
      <w:r>
        <w:t xml:space="preserve"> </w:t>
      </w:r>
      <w:hyperlink w:anchor="ref-13">
        <w:r>
          <w:rPr>
            <w:rStyle w:val="Hyperlink"/>
          </w:rPr>
          <w:t xml:space="preserve">[13]</w:t>
        </w:r>
      </w:hyperlink>
      <w:r>
        <w:t xml:space="preserve"> </w:t>
      </w:r>
      <w:hyperlink w:anchor="ref-15">
        <w:r>
          <w:rPr>
            <w:rStyle w:val="Hyperlink"/>
          </w:rPr>
          <w:t xml:space="preserve">[15]</w:t>
        </w:r>
      </w:hyperlink>
      <w:r>
        <w:t xml:space="preserve">. Yet a program officer asked to trust a bottom-up total still hesitates, and the hesitation is not irrational. This chapter builds the mechanism that explains the hesitation, and it turns that mechanism into two hypotheses a workbook can test.</w:t>
      </w:r>
    </w:p>
    <w:bookmarkStart w:id="84" w:name="Xe1f3cb2b528134bc486349d57fc38dc8b37d550"/>
    <w:p>
      <w:pPr>
        <w:pStyle w:val="Heading2"/>
        <w:spacing w:line="480" w:lineRule="auto"/>
      </w:pPr>
      <w:r>
        <w:t xml:space="preserve">3.1 The mechanism: legibility precedes costing</w:t>
      </w:r>
    </w:p>
    <w:p>
      <w:pPr>
        <w:pStyle w:val="FirstParagraph"/>
        <w:spacing w:line="480" w:lineRule="auto"/>
      </w:pPr>
      <w:r>
        <w:t xml:space="preserve">The core idea is simple. A topic becomes costable in stages, and the stages leave observable traces in the literature. Call the property that accumulates across those stages legibility. A legible costing topic is one where the field has converged on shared parameters, shared assumptions, and shared venues, so that a new estimate can be checked against a common frame rather than argued from scratch each time. An illegible topic is one where every study is an island, defensible on its own terms but incommensurable with its neighbors.</w:t>
      </w:r>
    </w:p>
    <w:p>
      <w:pPr>
        <w:pStyle w:val="BodyText"/>
        <w:spacing w:line="480" w:lineRule="auto"/>
        <w:ind w:firstLine="720"/>
      </w:pPr>
      <w:r>
        <w:t xml:space="preserve">Legibility is not volume. A topic can generate many publications and remain illegible if those publications do not talk to one another. This is the trap that recency and raw citation counts set for the unwary analyst. Rising publication volume looks like momentum, and momentum looks like consensus, but the inference only holds if the new work is actually building on shared foundations rather than restating enthusiasm in fresh venues. The mechanism predicts that when a costing topic is genuinely maturing, its legibility will show up as structure in observable metadata: newer work will carry a stronger topic signal, attention will track substance, and venue family will correlate with the kind of claim being made.</w:t>
      </w:r>
    </w:p>
    <w:p>
      <w:pPr>
        <w:pStyle w:val="BodyText"/>
        <w:spacing w:line="480" w:lineRule="auto"/>
        <w:ind w:firstLine="720"/>
      </w:pPr>
      <w:r>
        <w:t xml:space="preserve">Why should those three features carry legibility? Recency, because a maturing field pulls its own frontier forward, so the most recent records should engage the topic more directly than the field’s older, more diffuse founding work</w:t>
      </w:r>
      <w:r>
        <w:t xml:space="preserve"> </w:t>
      </w:r>
      <w:hyperlink w:anchor="ref-11">
        <w:r>
          <w:rPr>
            <w:rStyle w:val="Hyperlink"/>
          </w:rPr>
          <w:t xml:space="preserve">[11]</w:t>
        </w:r>
      </w:hyperlink>
      <w:r>
        <w:t xml:space="preserve">. Attention, because in a converging field citations flow toward the estimates that others build on, making citation count a proxy for how load-bearing a record is</w:t>
      </w:r>
      <w:r>
        <w:t xml:space="preserve"> </w:t>
      </w:r>
      <w:hyperlink w:anchor="ref-10">
        <w:r>
          <w:rPr>
            <w:rStyle w:val="Hyperlink"/>
          </w:rPr>
          <w:t xml:space="preserve">[10]</w:t>
        </w:r>
      </w:hyperlink>
      <w:r>
        <w:t xml:space="preserve">. Venue, because the space literature is venue-stratified along informative lines: technical proceedings, peer-reviewed astronautics journals, and space-economy policy sources ask different questions and hold different standards of evidence</w:t>
      </w:r>
      <w:r>
        <w:t xml:space="preserve"> </w:t>
      </w:r>
      <w:hyperlink w:anchor="ref-3">
        <w:r>
          <w:rPr>
            <w:rStyle w:val="Hyperlink"/>
          </w:rPr>
          <w:t xml:space="preserve">[3]</w:t>
        </w:r>
      </w:hyperlink>
      <w:r>
        <w:t xml:space="preserve">. If legibility is accumulating, these three should not be noise. They should be signal.</w:t>
      </w:r>
    </w:p>
    <w:bookmarkEnd w:id="84"/>
    <w:bookmarkStart w:id="85" w:name="from-mechanism-to-observable-predictions"/>
    <w:p>
      <w:pPr>
        <w:pStyle w:val="Heading2"/>
        <w:spacing w:line="480" w:lineRule="auto"/>
      </w:pPr>
      <w:r>
        <w:t xml:space="preserve">3.2 From mechanism to observable predictions</w:t>
      </w:r>
    </w:p>
    <w:p>
      <w:pPr>
        <w:pStyle w:val="FirstParagraph"/>
        <w:spacing w:line="480" w:lineRule="auto"/>
      </w:pPr>
      <w:r>
        <w:t xml:space="preserve">The mechanism has a sharp implication that separates it from the naive momentum story. The naive story predicts only that volume rises over time, which tells us nothing about legibility. The legibility mechanism predicts something stronger and falsifiable: that within the retrieved corpus, the topic signal will be systematically related to recency, attention, and venue. If those relationships are absent, the field is generating volume without convergence, and any single feasibility number should be read as one island’s estimate rather than a field consensus</w:t>
      </w:r>
      <w:r>
        <w:t xml:space="preserve"> </w:t>
      </w:r>
      <w:hyperlink w:anchor="ref-8">
        <w:r>
          <w:rPr>
            <w:rStyle w:val="Hyperlink"/>
          </w:rPr>
          <w:t xml:space="preserve">[8]</w:t>
        </w:r>
      </w:hyperlink>
      <w:r>
        <w:t xml:space="preserve">.</w:t>
      </w:r>
    </w:p>
    <w:p>
      <w:pPr>
        <w:pStyle w:val="BodyText"/>
        <w:spacing w:line="480" w:lineRule="auto"/>
        <w:ind w:firstLine="720"/>
      </w:pPr>
      <w:r>
        <w:t xml:space="preserve">Here the theory earns its keep. A weaker theory would predict a positive relationship and treat any positive coefficient as confirmation, which lets it survive almost any data and therefore explains almost nothing, since a claim compatible with every outcome forecloses none. The legibility mechanism instead stakes a claim on structure being present and precise. Imprecision is not a null result to be explained away. It is direct evidence that the field has not yet converged, which is itself a finding a program office needs before it trusts a cost model built on that field.</w:t>
      </w:r>
    </w:p>
    <w:bookmarkEnd w:id="85"/>
    <w:bookmarkStart w:id="86" w:name="hypothesis-1-cross-sectional-structure"/>
    <w:p>
      <w:pPr>
        <w:pStyle w:val="Heading2"/>
        <w:spacing w:line="480" w:lineRule="auto"/>
      </w:pPr>
      <w:r>
        <w:t xml:space="preserve">3.3 Hypothesis 1: cross-sectional structure</w:t>
      </w:r>
    </w:p>
    <w:p>
      <w:pPr>
        <w:pStyle w:val="FirstParagraph"/>
        <w:spacing w:line="480" w:lineRule="auto"/>
      </w:pPr>
      <w:r>
        <w:t xml:space="preserve">The first hypothesis targets the cross-section. If legibility is accumulating, the topic-signal score of a record should move with its recency, its citation attention, and its venue family, holding the others fixed.</w:t>
      </w:r>
    </w:p>
    <w:p>
      <w:pPr>
        <w:pStyle w:val="BodyText"/>
        <w:spacing w:line="480" w:lineRule="auto"/>
        <w:ind w:firstLine="720"/>
      </w:pPr>
      <w:r>
        <w:t xml:space="preserve">H0 (cross-sectional): the topic-signal score is unrelated to publication recency, citation attention, and venue family in the retrieved corpus.</w:t>
      </w:r>
    </w:p>
    <w:p>
      <w:pPr>
        <w:pStyle w:val="BodyText"/>
        <w:spacing w:line="480" w:lineRule="auto"/>
        <w:ind w:firstLine="720"/>
      </w:pPr>
      <w:r>
        <w:t xml:space="preserve">H1 (cross-sectional): the topic-signal score is systematically related to at least one of recency, citation attention, and venue family, with recency and attention expected to enter positively.</w:t>
      </w:r>
    </w:p>
    <w:p>
      <w:pPr>
        <w:pStyle w:val="BodyText"/>
        <w:spacing w:line="480" w:lineRule="auto"/>
        <w:ind w:firstLine="720"/>
      </w:pPr>
      <w:r>
        <w:t xml:space="preserve">The directional expectation on recency and attention follows from the mechanism: newer and more-cited records should engage a maturing topic more directly</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expectation on venue is weaker and deliberately two-sided, because venue stratification could cut either way depending on whether the topic is being carried more by technical proceedings or by the economics literature</w:t>
      </w:r>
      <w:r>
        <w:t xml:space="preserve"> </w:t>
      </w:r>
      <w:hyperlink w:anchor="ref-3">
        <w:r>
          <w:rPr>
            <w:rStyle w:val="Hyperlink"/>
          </w:rPr>
          <w:t xml:space="preserve">[3]</w:t>
        </w:r>
      </w:hyperlink>
      <w:r>
        <w:t xml:space="preserve">. This is the claim Paper 1 estimates.</w:t>
      </w:r>
    </w:p>
    <w:bookmarkEnd w:id="86"/>
    <w:bookmarkStart w:id="87" w:name="hypothesis-2-temporal-accumulation"/>
    <w:p>
      <w:pPr>
        <w:pStyle w:val="Heading2"/>
        <w:spacing w:line="480" w:lineRule="auto"/>
      </w:pPr>
      <w:r>
        <w:t xml:space="preserve">3.4 Hypothesis 2: temporal accumulation</w:t>
      </w:r>
    </w:p>
    <w:p>
      <w:pPr>
        <w:pStyle w:val="FirstParagraph"/>
        <w:spacing w:line="480" w:lineRule="auto"/>
      </w:pPr>
      <w:r>
        <w:t xml:space="preserve">The second hypothesis targets time. Legibility, if it is real, should also show up in how attention accumulates as records age. A maturing field with load-bearing older work would show citations concentrating on those foundational records, producing a measurable age-based attention curve. A field without such foundations would show attention scattered with respect to age.</w:t>
      </w:r>
    </w:p>
    <w:p>
      <w:pPr>
        <w:pStyle w:val="BodyText"/>
        <w:spacing w:line="480" w:lineRule="auto"/>
        <w:ind w:firstLine="720"/>
      </w:pPr>
      <w:r>
        <w:t xml:space="preserve">H0 (temporal): citation accumulation is unrelated to article age in the retrieved topic literature.</w:t>
      </w:r>
    </w:p>
    <w:p>
      <w:pPr>
        <w:pStyle w:val="BodyText"/>
        <w:spacing w:line="480" w:lineRule="auto"/>
        <w:ind w:firstLine="720"/>
      </w:pPr>
      <w:r>
        <w:t xml:space="preserve">H1 (temporal): citation accumulation follows a measurable age-based curve, estimable as a log-log elasticity of citations on age.</w:t>
      </w:r>
    </w:p>
    <w:p>
      <w:pPr>
        <w:pStyle w:val="BodyText"/>
        <w:spacing w:line="480" w:lineRule="auto"/>
        <w:ind w:firstLine="720"/>
      </w:pPr>
      <w:r>
        <w:t xml:space="preserve">The learning-curve form is chosen because it is the natural functional shape for accumulation processes and because its slope has a clean interpretation as an elasticity. A precise negative elasticity would say newer records draw disproportionate attention, consistent with a fast-moving frontier. A precise positive elasticity would say older records dominate, consistent with load-bearing foundations. An imprecise elasticity would say age carries no information about attention, consistent with an illegible field</w:t>
      </w:r>
      <w:r>
        <w:t xml:space="preserve"> </w:t>
      </w:r>
      <w:hyperlink w:anchor="ref-16">
        <w:r>
          <w:rPr>
            <w:rStyle w:val="Hyperlink"/>
          </w:rPr>
          <w:t xml:space="preserve">[16]</w:t>
        </w:r>
      </w:hyperlink>
      <w:r>
        <w:t xml:space="preserve">. This is the claim Paper 2 estimates.</w:t>
      </w:r>
    </w:p>
    <w:bookmarkEnd w:id="87"/>
    <w:bookmarkStart w:id="88" w:name="X67627854a7ce707c14103530b67ef839b72471e"/>
    <w:p>
      <w:pPr>
        <w:pStyle w:val="Heading2"/>
        <w:spacing w:line="480" w:lineRule="auto"/>
      </w:pPr>
      <w:r>
        <w:t xml:space="preserve">3.5 Rival explanations the theory must survive</w:t>
      </w:r>
    </w:p>
    <w:p>
      <w:pPr>
        <w:pStyle w:val="FirstParagraph"/>
        <w:spacing w:line="480" w:lineRule="auto"/>
      </w:pPr>
      <w:r>
        <w:t xml:space="preserve">A responsible theory names the alternatives that could produce the same observations. Four rivals matter here. A venue-coverage rival holds that any structure we find reflects which venues the corpus happens to sample rather than genuine field maturity</w:t>
      </w:r>
      <w:r>
        <w:t xml:space="preserve"> </w:t>
      </w:r>
      <w:hyperlink w:anchor="ref-1">
        <w:r>
          <w:rPr>
            <w:rStyle w:val="Hyperlink"/>
          </w:rPr>
          <w:t xml:space="preserve">[1]</w:t>
        </w:r>
      </w:hyperlink>
      <w:r>
        <w:t xml:space="preserve"> </w:t>
      </w:r>
      <w:hyperlink w:anchor="ref-6">
        <w:r>
          <w:rPr>
            <w:rStyle w:val="Hyperlink"/>
          </w:rPr>
          <w:t xml:space="preserve">[6]</w:t>
        </w:r>
      </w:hyperlink>
      <w:r>
        <w:t xml:space="preserve">. A citation-age rival holds that citation counts favor older and more accessible records regardless of substance, contaminating attention as a legibility proxy. An omitted-driver rival holds that the real driver of the topic signal is some technical or market variable the metadata does not capture. A metadata-availability rival holds that the local index’s coverage, not the field’s true distribution, shapes what we observe.</w:t>
      </w:r>
    </w:p>
    <w:p>
      <w:pPr>
        <w:pStyle w:val="BodyText"/>
        <w:spacing w:line="480" w:lineRule="auto"/>
        <w:ind w:firstLine="720"/>
      </w:pPr>
      <w:r>
        <w:t xml:space="preserve">These rivals are not decorations. They are the reason the hypotheses are stated conditionally on the retrieved corpus rather than on the space economy at large, and they are why Chapter 7 treats every finding as bounded</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theory does not need to defeat these rivals to be useful. It needs to make predictions precise enough that, whether the coefficients come back sharp or diffuse, the result tells an analyst something true about how far the current evidence reaches. That is the standard this dissertation holds itself to, and the two hypotheses above are built to meet it.</w:t>
      </w:r>
    </w:p>
    <w:bookmarkEnd w:id="88"/>
    <w:bookmarkStart w:id="89" w:name="X2e4a5af3e63930c6e117cf2c87b50767228e3c3"/>
    <w:p>
      <w:pPr>
        <w:pStyle w:val="Heading2"/>
        <w:spacing w:line="480" w:lineRule="auto"/>
      </w:pPr>
      <w:r>
        <w:t xml:space="preserve">3.6 Why legibility is the right latent construct</w:t>
      </w:r>
    </w:p>
    <w:p>
      <w:pPr>
        <w:pStyle w:val="FirstParagraph"/>
        <w:spacing w:line="480" w:lineRule="auto"/>
      </w:pPr>
      <w:r>
        <w:t xml:space="preserve">A skeptic might ask why the dissertation reaches for a latent construct at all. Why not simply say the literature is growing and leave it there? The answer is that growth is observable directly and legibility is not, and it is legibility, not growth, that a cost model actually needs. A field can double its output every few years while its estimates diverge, and a field can hold its output flat while its estimates converge onto shared parameters. The two trajectories look identical on a publication-count chart and opposite on a legibility scale. A construct that cannot be read off raw counts is exactly the construct worth building a screen around, because it is the one a naive analyst will otherwise infer incorrectly from counts</w:t>
      </w:r>
      <w:r>
        <w:t xml:space="preserve"> </w:t>
      </w:r>
      <w:hyperlink w:anchor="ref-9">
        <w:r>
          <w:rPr>
            <w:rStyle w:val="Hyperlink"/>
          </w:rPr>
          <w:t xml:space="preserve">[9]</w:t>
        </w:r>
      </w:hyperlink>
      <w:r>
        <w:t xml:space="preserve">.</w:t>
      </w:r>
    </w:p>
    <w:p>
      <w:pPr>
        <w:pStyle w:val="BodyText"/>
        <w:spacing w:line="480" w:lineRule="auto"/>
        <w:ind w:firstLine="720"/>
      </w:pPr>
      <w:r>
        <w:t xml:space="preserve">Legibility also has the virtue of being falsifiable through its predicted traces rather than asserted directly. The dissertation never claims to measure legibility itself. It claims that if legibility is accumulating, three observable features should carry structure, and it tests those features. This keeps the construct honest: it earns its place only by generating predictions that could fail, and Chapter 6 reports whether they did</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w:t>
      </w:r>
    </w:p>
    <w:bookmarkEnd w:id="89"/>
    <w:bookmarkStart w:id="90" w:name="Xffa5adfea2be32b9cad83b75d09ff1327ea073a"/>
    <w:p>
      <w:pPr>
        <w:pStyle w:val="Heading2"/>
        <w:spacing w:line="480" w:lineRule="auto"/>
      </w:pPr>
      <w:r>
        <w:t xml:space="preserve">3.7 The asymmetry between confirmation and refutation</w:t>
      </w:r>
    </w:p>
    <w:p>
      <w:pPr>
        <w:pStyle w:val="FirstParagraph"/>
        <w:spacing w:line="480" w:lineRule="auto"/>
      </w:pPr>
      <w:r>
        <w:t xml:space="preserve">There is an asymmetry in the two hypotheses worth making explicit, because it governs how the results should be read. Precise structure would confirm legibility strongly, because it is hard to produce a clean relationship between the topic signal and recency, attention, and venue by accident in a field that has not converged. Diffuse coefficients, by contrast, refute surface legibility but do not refute legibility altogether, because convergence could be hiding in the substance of documents where metadata cannot see it</w:t>
      </w:r>
      <w:r>
        <w:t xml:space="preserve"> </w:t>
      </w:r>
      <w:hyperlink w:anchor="ref-16">
        <w:r>
          <w:rPr>
            <w:rStyle w:val="Hyperlink"/>
          </w:rPr>
          <w:t xml:space="preserve">[16]</w:t>
        </w:r>
      </w:hyperlink>
      <w:r>
        <w:t xml:space="preserve">. The mechanism is therefore easier to confirm than to fully refute, and the dissertation respects that asymmetry rather than pretending a null screen closes the question.</w:t>
      </w:r>
    </w:p>
    <w:p>
      <w:pPr>
        <w:pStyle w:val="BodyText"/>
        <w:spacing w:line="480" w:lineRule="auto"/>
        <w:ind w:firstLine="720"/>
      </w:pPr>
      <w:r>
        <w:t xml:space="preserve">This asymmetry is not a weakness of the design. It is a property of using cheap observable proxies to probe an expensive latent construct, and it is shared by every screening instrument in every empirical field. What the design owes the reader is honesty about which direction of result carries which strength of inference, and Chapter 7 pays that debt by treating a diffuse screen as a localized negative, structure is not on the surface, rather than a global one</w:t>
      </w:r>
      <w:r>
        <w:t xml:space="preserve"> </w:t>
      </w:r>
      <w:hyperlink w:anchor="ref-8">
        <w:r>
          <w:rPr>
            <w:rStyle w:val="Hyperlink"/>
          </w:rPr>
          <w:t xml:space="preserve">[8]</w:t>
        </w:r>
      </w:hyperlink>
      <w:r>
        <w:t xml:space="preserve">.</w:t>
      </w:r>
    </w:p>
    <w:bookmarkEnd w:id="90"/>
    <w:bookmarkStart w:id="91" w:name="X974fe577ccbfb58c98dfa61761772b41ea250af"/>
    <w:p>
      <w:pPr>
        <w:pStyle w:val="Heading2"/>
        <w:spacing w:line="480" w:lineRule="auto"/>
      </w:pPr>
      <w:r>
        <w:t xml:space="preserve">3.8 Predictions restated as an evidence ladder</w:t>
      </w:r>
    </w:p>
    <w:p>
      <w:pPr>
        <w:pStyle w:val="FirstParagraph"/>
        <w:spacing w:line="480" w:lineRule="auto"/>
      </w:pPr>
      <w:r>
        <w:t xml:space="preserve">The mechanism yields an evidence ladder that the empirical chapters climb explicitly. The bottom rung is a precise cross-sectional coefficient, which would establish that the topic signal has observable structure across records. The middle rung is a precise temporal elasticity, which would establish that attention accumulates in a patterned way with age. The top rung is agreement between the two screens, which would establish that the structure is robust to specification rather than an artifact of one model’s form</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Each rung failed to hold would be informative in its own right. No cross-sectional structure with a clear temporal curve would say the field’s maturity lives in its accumulation dynamics rather than its current cross-section. A cross-sectional signal with no temporal curve would say the reverse. Both diffuse would say the field’s convergence, if any, is invisible to metadata and must be sought in substance. The theory’s job was to make each of these outcomes interpretable in advance, so that whatever Chapter 6 reports, the reader already knows what it would mean</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91"/>
    <w:bookmarkStart w:id="92" w:name="Xb4f73567ea1ded624b922393cbd2d5813f048e0"/>
    <w:p>
      <w:pPr>
        <w:pStyle w:val="Heading2"/>
        <w:spacing w:line="480" w:lineRule="auto"/>
      </w:pPr>
      <w:r>
        <w:t xml:space="preserve">3.9 Microfoundations: why individual authors produce these traces</w:t>
      </w:r>
    </w:p>
    <w:p>
      <w:pPr>
        <w:pStyle w:val="FirstParagraph"/>
        <w:spacing w:line="480" w:lineRule="auto"/>
      </w:pPr>
      <w:r>
        <w:t xml:space="preserve">A mechanism is more convincing when it can be grounded in the behavior of the individual actors whose choices aggregate into the observable pattern. Here the actors are authors, and their choices about what to cite, where to publish, and how directly to engage a topic are what ultimately generate recency, attention, and venue structure. When a costing subfield matures, authors face a converged parameter base they can build on, so a new study cites the load-bearing prior estimates, engages the topic directly enough to register a strong signal, and lands in the venue whose standards match its contribution</w:t>
      </w:r>
      <w:r>
        <w:t xml:space="preserve"> </w:t>
      </w:r>
      <w:hyperlink w:anchor="ref-10">
        <w:r>
          <w:rPr>
            <w:rStyle w:val="Hyperlink"/>
          </w:rPr>
          <w:t xml:space="preserve">[10]</w:t>
        </w:r>
      </w:hyperlink>
      <w:r>
        <w:t xml:space="preserve">. Those individual decisions, repeated across many authors, aggregate into exactly the cross-sectional and temporal structure the hypotheses predict.</w:t>
      </w:r>
    </w:p>
    <w:p>
      <w:pPr>
        <w:pStyle w:val="BodyText"/>
        <w:spacing w:line="480" w:lineRule="auto"/>
        <w:ind w:firstLine="720"/>
      </w:pPr>
      <w:r>
        <w:t xml:space="preserve">When a subfield has not matured, the same authorial decisions produce a different aggregate. Lacking a converged base, each author reconstructs assumptions from scratch, cites idiosyncratically, and publishes wherever the concept fits, so no shared attention pattern forms and no clean recency gradient emerges</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The microfoundation matters because it explains why the traces are not arbitrary bibliometric artifacts but the predictable residue of how researchers actually work in fields at different stages of convergence. The screen, in this light, is reading the accumulated footprints of authorial choice.</w:t>
      </w:r>
    </w:p>
    <w:bookmarkEnd w:id="92"/>
    <w:bookmarkStart w:id="93" w:name="boundary-conditions-on-the-mechanism"/>
    <w:p>
      <w:pPr>
        <w:pStyle w:val="Heading2"/>
        <w:spacing w:line="480" w:lineRule="auto"/>
      </w:pPr>
      <w:r>
        <w:t xml:space="preserve">3.10 Boundary conditions on the mechanism</w:t>
      </w:r>
    </w:p>
    <w:p>
      <w:pPr>
        <w:pStyle w:val="FirstParagraph"/>
        <w:spacing w:line="480" w:lineRule="auto"/>
      </w:pPr>
      <w:r>
        <w:t xml:space="preserve">Every mechanism has boundary conditions, and stating them is part of taking the theory seriously rather than treating it as universal. The legibility mechanism assumes that the venues sampled actually stratify by contribution type, that citation practices in the field are mature enough for counts to carry information, and that the topic-term vocabulary is stable enough for a signal score to track engagement</w:t>
      </w:r>
      <w:r>
        <w:t xml:space="preserve"> </w:t>
      </w:r>
      <w:hyperlink w:anchor="ref-3">
        <w:r>
          <w:rPr>
            <w:rStyle w:val="Hyperlink"/>
          </w:rPr>
          <w:t xml:space="preserve">[3]</w:t>
        </w:r>
      </w:hyperlink>
      <w:r>
        <w:t xml:space="preserve"> </w:t>
      </w:r>
      <w:hyperlink w:anchor="ref-6">
        <w:r>
          <w:rPr>
            <w:rStyle w:val="Hyperlink"/>
          </w:rPr>
          <w:t xml:space="preserve">[6]</w:t>
        </w:r>
      </w:hyperlink>
      <w:r>
        <w:t xml:space="preserve">. Where those assumptions hold, the predicted traces should appear if legibility is accumulating. Where they fail, the absence of traces would be uninformative, because the instrument would be blind rather than the field diffuse.</w:t>
      </w:r>
    </w:p>
    <w:p>
      <w:pPr>
        <w:pStyle w:val="BodyText"/>
        <w:spacing w:line="480" w:lineRule="auto"/>
        <w:ind w:firstLine="720"/>
      </w:pPr>
      <w:r>
        <w:t xml:space="preserve">The space-economy literature partially violates the citation-practice assumption, since policy and framing work circulates outside the indexed citation economy, and Chapter 5 documents how that shows up as thin metadata in the highest-venue records. The mechanism therefore applies most cleanly to the peer-reviewed astronautics cluster and least cleanly to the policy cluster, a nuance that disciplines how strongly any single screen result can be read</w:t>
      </w:r>
      <w:r>
        <w:t xml:space="preserve"> </w:t>
      </w:r>
      <w:hyperlink w:anchor="ref-10">
        <w:r>
          <w:rPr>
            <w:rStyle w:val="Hyperlink"/>
          </w:rPr>
          <w:t xml:space="preserve">[10]</w:t>
        </w:r>
      </w:hyperlink>
      <w:r>
        <w:t xml:space="preserve"> </w:t>
      </w:r>
      <w:hyperlink w:anchor="ref-16">
        <w:r>
          <w:rPr>
            <w:rStyle w:val="Hyperlink"/>
          </w:rPr>
          <w:t xml:space="preserve">[16]</w:t>
        </w:r>
      </w:hyperlink>
      <w:r>
        <w:t xml:space="preserve">. Naming the boundary conditions in advance is what keeps the theory falsifiable rather than infinitely elastic: it commits the dissertation to where its mechanism should and should not be expected to bite, before the evidence is in</w:t>
      </w:r>
      <w:r>
        <w:t xml:space="preserve"> </w:t>
      </w:r>
      <w:hyperlink w:anchor="ref-8">
        <w:r>
          <w:rPr>
            <w:rStyle w:val="Hyperlink"/>
          </w:rPr>
          <w:t xml:space="preserve">[8]</w:t>
        </w:r>
      </w:hyperlink>
      <w:r>
        <w:t xml:space="preserve">.</w:t>
      </w:r>
    </w:p>
    <w:bookmarkEnd w:id="93"/>
    <w:bookmarkStart w:id="94" w:name="X7d928b322fddb9f892ca5104be8246d64b5abd4"/>
    <w:p>
      <w:pPr>
        <w:pStyle w:val="Heading2"/>
        <w:spacing w:line="480" w:lineRule="auto"/>
      </w:pPr>
      <w:r>
        <w:t xml:space="preserve">3.11 Connecting the mechanism to the cost-model payoff</w:t>
      </w:r>
    </w:p>
    <w:p>
      <w:pPr>
        <w:pStyle w:val="FirstParagraph"/>
        <w:spacing w:line="480" w:lineRule="auto"/>
      </w:pPr>
      <w:r>
        <w:t xml:space="preserve">The theory would be an academic exercise if it did not connect back to the practical question that motivates the dissertation, so the link deserves to be stated explicitly. A cost model needs reconciled parameters, and reconciliation is the substantive counterpart of the legibility the mechanism describes. When authors converge on shared launch-cost assumptions, shared station-lifetime figures, and shared crew-size baselines, the field becomes legible in exactly the sense the mechanism predicts will leave metadata traces</w:t>
      </w:r>
      <w:r>
        <w:t xml:space="preserve"> </w:t>
      </w:r>
      <w:hyperlink w:anchor="ref-13">
        <w:r>
          <w:rPr>
            <w:rStyle w:val="Hyperlink"/>
          </w:rPr>
          <w:t xml:space="preserve">[13]</w:t>
        </w:r>
      </w:hyperlink>
      <w:r>
        <w:t xml:space="preserve"> </w:t>
      </w:r>
      <w:hyperlink w:anchor="ref-15">
        <w:r>
          <w:rPr>
            <w:rStyle w:val="Hyperlink"/>
          </w:rPr>
          <w:t xml:space="preserve">[15]</w:t>
        </w:r>
      </w:hyperlink>
      <w:r>
        <w:t xml:space="preserve">. Legibility and reconciliation are two views of the same underlying maturity: one visible in the substance of the parameters, the other visible in the structure of the metadata.</w:t>
      </w:r>
    </w:p>
    <w:p>
      <w:pPr>
        <w:pStyle w:val="BodyText"/>
        <w:spacing w:line="480" w:lineRule="auto"/>
        <w:ind w:firstLine="720"/>
      </w:pPr>
      <w:r>
        <w:t xml:space="preserve">That correspondence is what makes a cheap bibliometric screen a legitimate proxy for an expensive substantive question. If the metadata traces are present, reconciliation is likely underway and a cost model is closer to defensible; if they are absent, the analyst has reason to suspect the parameters remain unreconciled and to demand direct verification before trusting any total</w:t>
      </w:r>
      <w:r>
        <w:t xml:space="preserve"> </w:t>
      </w:r>
      <w:hyperlink w:anchor="ref-10">
        <w:r>
          <w:rPr>
            <w:rStyle w:val="Hyperlink"/>
          </w:rPr>
          <w:t xml:space="preserve">[10]</w:t>
        </w:r>
      </w:hyperlink>
      <w:r>
        <w:t xml:space="preserve">. The mechanism thus earns its place not as bibliometrics for its own sake but as an early, inexpensive indicator of the substantive convergence a cost model actually requires. Chapter 8 returns to this correspondence when it specifies the document-coding study that would test reconciliation directly</w:t>
      </w:r>
      <w:r>
        <w:t xml:space="preserve"> </w:t>
      </w:r>
      <w:hyperlink w:anchor="ref-16">
        <w:r>
          <w:rPr>
            <w:rStyle w:val="Hyperlink"/>
          </w:rPr>
          <w:t xml:space="preserve">[16]</w:t>
        </w:r>
      </w:hyperlink>
      <w:r>
        <w:t xml:space="preserve"> </w:t>
      </w:r>
      <w:hyperlink w:anchor="ref-8">
        <w:r>
          <w:rPr>
            <w:rStyle w:val="Hyperlink"/>
          </w:rPr>
          <w:t xml:space="preserve">[8]</w:t>
        </w:r>
      </w:hyperlink>
      <w:r>
        <w:t xml:space="preserve">.</w:t>
      </w:r>
    </w:p>
    <w:bookmarkEnd w:id="94"/>
    <w:bookmarkStart w:id="95" w:name="summary-of-the-testable-structure"/>
    <w:p>
      <w:pPr>
        <w:pStyle w:val="Heading2"/>
        <w:spacing w:line="480" w:lineRule="auto"/>
      </w:pPr>
      <w:r>
        <w:t xml:space="preserve">3.12 Summary of the testable structure</w:t>
      </w:r>
    </w:p>
    <w:p>
      <w:pPr>
        <w:pStyle w:val="FirstParagraph"/>
        <w:spacing w:line="480" w:lineRule="auto"/>
      </w:pPr>
      <w:r>
        <w:t xml:space="preserve">To fix the logic before the empirical chapters, the theory reduces to a compact chain. Maturity in a costing field produces reconciled parameters; reconciled parameters produce legibility; legibility produces observable structure in recency, attention, and venue</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The two hypotheses test the last link directly, and by testing it they probe the whole chain, because a break at the observable end is evidence of a break somewhere along it. A precise result would support the chain’s integrity; a diffuse result would indicate a break, most plausibly at the reconciliation step, which is exactly where an immature field would fail</w:t>
      </w:r>
      <w:r>
        <w:t xml:space="preserve"> </w:t>
      </w:r>
      <w:hyperlink w:anchor="ref-10">
        <w:r>
          <w:rPr>
            <w:rStyle w:val="Hyperlink"/>
          </w:rPr>
          <w:t xml:space="preserve">[10]</w:t>
        </w:r>
      </w:hyperlink>
      <w:r>
        <w:t xml:space="preserve">.</w:t>
      </w:r>
    </w:p>
    <w:p>
      <w:pPr>
        <w:pStyle w:val="BodyText"/>
        <w:spacing w:line="480" w:lineRule="auto"/>
        <w:ind w:firstLine="720"/>
      </w:pPr>
      <w:r>
        <w:t xml:space="preserve">This is the structure Chapter 4 operationalizes into estimators and Chapter 6 confronts with data. Stating it as a chain, rather than as a pair of isolated hypotheses, makes clear why the screen’s result carries meaning beyond the metadata: it is a window onto a substantive maturity that the dissertation cannot yet observe directly but can probe through its observable shadow</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A final word on falsifiability closes the framework. The dissertation stakes its one contribution on a claim that could fail, and the two hypotheses are the form that stake takes</w:t>
      </w:r>
      <w:r>
        <w:t xml:space="preserve"> </w:t>
      </w:r>
      <w:hyperlink w:anchor="ref-9">
        <w:r>
          <w:rPr>
            <w:rStyle w:val="Hyperlink"/>
          </w:rPr>
          <w:t xml:space="preserve">[9]</w:t>
        </w:r>
      </w:hyperlink>
      <w:r>
        <w:t xml:space="preserve">. Had the mechanism been framed to accommodate any result, it would have explained everything and predicted nothing. Instead it commits, in advance, to what precise structure would confirm legibility and what diffuse coefficients would indicate about the chain’s integrity</w:t>
      </w:r>
      <w:r>
        <w:t xml:space="preserve"> </w:t>
      </w:r>
      <w:hyperlink w:anchor="ref-10">
        <w:r>
          <w:rPr>
            <w:rStyle w:val="Hyperlink"/>
          </w:rPr>
          <w:t xml:space="preserve">[10]</w:t>
        </w:r>
      </w:hyperlink>
      <w:r>
        <w:t xml:space="preserve">. That commitment is what makes the empirical chapters a test rather than an illustration, and it is the standard against which Chapter 6’s numbers should be judged</w:t>
      </w:r>
      <w:r>
        <w:t xml:space="preserve"> </w:t>
      </w:r>
      <w:hyperlink w:anchor="ref-8">
        <w:r>
          <w:rPr>
            <w:rStyle w:val="Hyperlink"/>
          </w:rPr>
          <w:t xml:space="preserve">[8]</w:t>
        </w:r>
      </w:hyperlink>
      <w:r>
        <w:t xml:space="preserve">.</w:t>
      </w:r>
    </w:p>
    <w:bookmarkEnd w:id="95"/>
    <w:bookmarkEnd w:id="96"/>
    <w:bookmarkStart w:id="109"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estimators do the empirical work of this dissertation. Neither is exotic. That is by design. The point of a corpus screen is to make its inferences checkable by anyone with the workbook, and checkability is served by transparent estimators with well-understood properties, not by machinery whose failure modes are opaque. This chapter states both models exactly, explains why each is the right tool for its hypothesis, and confronts the identification question head-on: what, precisely, does each estimator let us claim, and what does it not?</w:t>
      </w:r>
    </w:p>
    <w:bookmarkStart w:id="97" w:name="the-cross-sectional-estimator"/>
    <w:p>
      <w:pPr>
        <w:pStyle w:val="Heading2"/>
        <w:spacing w:line="480" w:lineRule="auto"/>
      </w:pPr>
      <w:r>
        <w:t xml:space="preserve">4.1 The cross-sectional estimator</w:t>
      </w:r>
    </w:p>
    <w:p>
      <w:pPr>
        <w:pStyle w:val="FirstParagraph"/>
        <w:spacing w:line="480" w:lineRule="auto"/>
      </w:pPr>
      <w:r>
        <w:t xml:space="preserve">Paper 1 tests the cross-sectional hypothesis with ordinary least squares. The specification recorded in the configuration file is</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r>
            <m:rPr>
              <m:sty m:val="p"/>
            </m:rPr>
            <m:t>.</m:t>
          </m:r>
        </m:oMath>
      </m:oMathPara>
    </w:p>
    <w:p>
      <w:pPr>
        <w:pStyle w:val="FirstParagraph"/>
        <w:spacing w:line="480" w:lineRule="auto"/>
      </w:pPr>
      <w:r>
        <w:t xml:space="preserve">The outcome is the deterministic topic-signal score of record</w:t>
      </w:r>
      <w:r>
        <w:t xml:space="preserve"> </w:t>
      </w:r>
      <m:oMath>
        <m:r>
          <m:t>i</m:t>
        </m:r>
      </m:oMath>
      <w:r>
        <w:t xml:space="preserve">. The three regressors are the recency index, the reported citation count, and the ordinal venue-family score. The coefficients</w:t>
      </w:r>
      <w:r>
        <w:t xml:space="preserve"> </w:t>
      </w:r>
      <m:oMath>
        <m:sSub>
          <m:e>
            <m:r>
              <m:t>β</m:t>
            </m:r>
          </m:e>
          <m:sub>
            <m:r>
              <m:t>1</m:t>
            </m:r>
          </m:sub>
        </m:sSub>
      </m:oMath>
      <w:r>
        <w:t xml:space="preserve">,</w:t>
      </w:r>
      <w:r>
        <w:t xml:space="preserve"> </w:t>
      </w:r>
      <m:oMath>
        <m:sSub>
          <m:e>
            <m:r>
              <m:t>β</m:t>
            </m:r>
          </m:e>
          <m:sub>
            <m:r>
              <m:t>2</m:t>
            </m:r>
          </m:sub>
        </m:sSub>
      </m:oMath>
      <w:r>
        <w:t xml:space="preserve">, and</w:t>
      </w:r>
      <w:r>
        <w:t xml:space="preserve"> </w:t>
      </w:r>
      <m:oMath>
        <m:sSub>
          <m:e>
            <m:r>
              <m:t>β</m:t>
            </m:r>
          </m:e>
          <m:sub>
            <m:r>
              <m:t>3</m:t>
            </m:r>
          </m:sub>
        </m:sSub>
      </m:oMath>
      <w:r>
        <w:t xml:space="preserve"> </w:t>
      </w:r>
      <w:r>
        <w:t xml:space="preserve">are the objects of interest, because each answers a direct question posed by the legibility mechanism: does a record’s topic signal move with how recent it is, how much attention it has drawn, and what kind of venue published it</w:t>
      </w:r>
      <w:r>
        <w:t xml:space="preserve"> </w:t>
      </w:r>
      <w:hyperlink w:anchor="ref-10">
        <w:r>
          <w:rPr>
            <w:rStyle w:val="Hyperlink"/>
          </w:rPr>
          <w:t xml:space="preserve">[10]</w:t>
        </w:r>
      </w:hyperlink>
      <w:r>
        <w:t xml:space="preserve">?</w:t>
      </w:r>
    </w:p>
    <w:p>
      <w:pPr>
        <w:pStyle w:val="BodyText"/>
        <w:spacing w:line="480" w:lineRule="auto"/>
        <w:ind w:firstLine="720"/>
      </w:pPr>
      <w:r>
        <w:t xml:space="preserve">Least squares is the right choice here, for a specific reason. The hypothesis is about linear association between an outcome and a small set of observable predictors, and it asks whether that association is precise enough to distinguish from zero. Least squares gives the minimum-variance linear unbiased estimate of exactly that association under standard assumptions, and its coefficients carry the plain interpretation the mechanism needs: a one-unit change in recency is associated with a</w:t>
      </w:r>
      <w:r>
        <w:t xml:space="preserve"> </w:t>
      </w:r>
      <m:oMath>
        <m:sSub>
          <m:e>
            <m:r>
              <m:t>β</m:t>
            </m:r>
          </m:e>
          <m:sub>
            <m:r>
              <m:t>1</m:t>
            </m:r>
          </m:sub>
        </m:sSub>
      </m:oMath>
      <w:r>
        <w:t xml:space="preserve"> </w:t>
      </w:r>
      <w:r>
        <w:t xml:space="preserve">change in the topic signal, holding attention and venue fixed. A more elaborate model would buy nothing, because the question is not about nonlinearity or interaction. It is about whether first-order structure exists at all</w:t>
      </w:r>
      <w:r>
        <w:t xml:space="preserve"> </w:t>
      </w:r>
      <w:hyperlink w:anchor="ref-8">
        <w:r>
          <w:rPr>
            <w:rStyle w:val="Hyperlink"/>
          </w:rPr>
          <w:t xml:space="preserve">[8]</w:t>
        </w:r>
      </w:hyperlink>
      <w:r>
        <w:t xml:space="preserve">.</w:t>
      </w:r>
    </w:p>
    <w:bookmarkEnd w:id="97"/>
    <w:bookmarkStart w:id="98" w:name="the-temporal-estimator"/>
    <w:p>
      <w:pPr>
        <w:pStyle w:val="Heading2"/>
        <w:spacing w:line="480" w:lineRule="auto"/>
      </w:pPr>
      <w:r>
        <w:t xml:space="preserve">4.2 The temporal estimator</w:t>
      </w:r>
    </w:p>
    <w:p>
      <w:pPr>
        <w:pStyle w:val="FirstParagraph"/>
        <w:spacing w:line="480" w:lineRule="auto"/>
      </w:pPr>
      <w:r>
        <w:t xml:space="preserve">Paper 2 tests the temporal hypothesis with a log-log learning-curve model. The specification is</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r>
            <m:rPr>
              <m:sty m:val="p"/>
            </m:rPr>
            <m:t>.</m:t>
          </m:r>
        </m:oMath>
      </m:oMathPara>
    </w:p>
    <w:p>
      <w:pPr>
        <w:pStyle w:val="FirstParagraph"/>
        <w:spacing w:line="480" w:lineRule="auto"/>
      </w:pPr>
      <w:r>
        <w:t xml:space="preserve">The outcome is the natural log of citation count plus one; the single regressor is the log of the document age index. The learning-curve form is standard for accumulation processes, and it is chosen here because its slope</w:t>
      </w:r>
      <w:r>
        <w:t xml:space="preserve"> </w:t>
      </w:r>
      <m:oMath>
        <m:sSub>
          <m:e>
            <m:r>
              <m:t>β</m:t>
            </m:r>
          </m:e>
          <m:sub>
            <m:r>
              <m:t>1</m:t>
            </m:r>
          </m:sub>
        </m:sSub>
      </m:oMath>
      <w:r>
        <w:t xml:space="preserve"> </w:t>
      </w:r>
      <w:r>
        <w:t xml:space="preserve">is an elasticity: the percentage change in citations associated with a one-percent change in article age. That elasticity maps cleanly onto the theory. A negative elasticity means younger records draw proportionally more attention; a positive one means older records dominate; an elasticity indistinguishable from zero means age carries no information about attention</w:t>
      </w:r>
      <w:r>
        <w:t xml:space="preserve"> </w:t>
      </w:r>
      <w:hyperlink w:anchor="ref-16">
        <w:r>
          <w:rPr>
            <w:rStyle w:val="Hyperlink"/>
          </w:rPr>
          <w:t xml:space="preserve">[16]</w:t>
        </w:r>
      </w:hyperlink>
      <w:r>
        <w:t xml:space="preserve">.</w:t>
      </w:r>
    </w:p>
    <w:p>
      <w:pPr>
        <w:pStyle w:val="BodyText"/>
        <w:spacing w:line="480" w:lineRule="auto"/>
        <w:ind w:firstLine="720"/>
      </w:pPr>
      <w:r>
        <w:t xml:space="preserve">The plus-one transformation is not cosmetic. The corpus contains records with zero reported citations, and the logarithm of zero is undefined. Adding one before taking logs keeps every record in the sample rather than silently dropping the uncited ones, which would bias the estimate toward the subset of records that happen to have accrued citations. Keeping the uncited records is essential precisely because their presence is part of what an illegible field looks like</w:t>
      </w:r>
      <w:r>
        <w:t xml:space="preserve"> </w:t>
      </w:r>
      <w:hyperlink w:anchor="ref-11">
        <w:r>
          <w:rPr>
            <w:rStyle w:val="Hyperlink"/>
          </w:rPr>
          <w:t xml:space="preserve">[11]</w:t>
        </w:r>
      </w:hyperlink>
      <w:r>
        <w:t xml:space="preserve">.</w:t>
      </w:r>
    </w:p>
    <w:bookmarkEnd w:id="98"/>
    <w:bookmarkStart w:id="99" w:name="standard-errors-and-inference"/>
    <w:p>
      <w:pPr>
        <w:pStyle w:val="Heading2"/>
        <w:spacing w:line="480" w:lineRule="auto"/>
      </w:pPr>
      <w:r>
        <w:t xml:space="preserve">4.3 Standard errors and inference</w:t>
      </w:r>
    </w:p>
    <w:p>
      <w:pPr>
        <w:pStyle w:val="FirstParagraph"/>
        <w:spacing w:line="480" w:lineRule="auto"/>
      </w:pPr>
      <w:r>
        <w:t xml:space="preserve">Both models use heteroskedasticity-consistent HC1 standard errors. The reason is straightforward. Neither the topic signal nor citation attention has any claim to constant error variance across records: a proceedings abstract and a heavily cited journal article differ in the scale and dispersion of their metadata, so the homoskedasticity assumption behind classical standard errors is untenable here. HC1 corrects the standard errors for that heteroskedasticity without changing the point estimates, which is exactly the conservative move a corpus screen should make. It protects against overstating precision, which is the error most likely to turn a diffuse field into a false consensus</w:t>
      </w:r>
      <w:r>
        <w:t xml:space="preserve"> </w:t>
      </w:r>
      <w:hyperlink w:anchor="ref-8">
        <w:r>
          <w:rPr>
            <w:rStyle w:val="Hyperlink"/>
          </w:rPr>
          <w:t xml:space="preserve">[8]</w:t>
        </w:r>
      </w:hyperlink>
      <w:r>
        <w:t xml:space="preserve">.</w:t>
      </w:r>
    </w:p>
    <w:p>
      <w:pPr>
        <w:pStyle w:val="BodyText"/>
        <w:spacing w:line="480" w:lineRule="auto"/>
        <w:ind w:firstLine="720"/>
      </w:pPr>
      <w:r>
        <w:t xml:space="preserve">The inference throughout is deliberately two-tailed and conventional. A coefficient is treated as precise when its p-value is small and as imprecise otherwise, and imprecision is reported as a substantive result rather than suppressed. This matters for identification: because the legibility mechanism predicts structure, the absence of precise structure is evidence against maturity, and the standard-error machinery is what lets the dissertation say so with a straight face.</w:t>
      </w:r>
    </w:p>
    <w:bookmarkEnd w:id="99"/>
    <w:bookmarkStart w:id="100" w:name="X7b983d49f3e4895d73dd89b6e2658d741726c58"/>
    <w:p>
      <w:pPr>
        <w:pStyle w:val="Heading2"/>
        <w:spacing w:line="480" w:lineRule="auto"/>
      </w:pPr>
      <w:r>
        <w:t xml:space="preserve">4.4 What the estimators identify, and what they do not</w:t>
      </w:r>
    </w:p>
    <w:p>
      <w:pPr>
        <w:pStyle w:val="FirstParagraph"/>
        <w:spacing w:line="480" w:lineRule="auto"/>
      </w:pPr>
      <w:r>
        <w:t xml:space="preserve">Identification is the question a committee will press hardest, so state it plainly. These estimators identify association within the retrieved corpus, conditional on the variables constructed from its metadata. They do not identify a causal effect of recency, attention, or venue on anything in the world, and they do not identify the true distribution of the topic across the space economy at large. The corpus is a sample of convenience assembled from the candidate’s retained records, not a random draw from a defined population, and no amount of clean estimation upgrades a convenience sample into a representative one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limit is not fatal, because the claim is scoped to match it. The dissertation asks whether the retained literature is structured, and OLS on that literature answers exactly that question. What the estimators cannot do is tell us whether a structure we fail to find is truly absent or merely invisible to metadata. A topic could be maturing in ways that recency, citation count, and venue do not capture, for instance through shared parameter values buried in the prose of feasibility studies that no bibliometric feature detects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estimators are silent on that possibility, and Chapter 7 treats it as the central threat to validity.</w:t>
      </w:r>
    </w:p>
    <w:bookmarkEnd w:id="100"/>
    <w:bookmarkStart w:id="101" w:name="why-two-estimators-rather-than-one"/>
    <w:p>
      <w:pPr>
        <w:pStyle w:val="Heading2"/>
        <w:spacing w:line="480" w:lineRule="auto"/>
      </w:pPr>
      <w:r>
        <w:t xml:space="preserve">4.5 Why two estimators rather than one</w:t>
      </w:r>
    </w:p>
    <w:p>
      <w:pPr>
        <w:pStyle w:val="FirstParagraph"/>
        <w:spacing w:line="480" w:lineRule="auto"/>
      </w:pPr>
      <w:r>
        <w:t xml:space="preserve">A final identification point concerns the pairing. The two models are not redundant, and neither subsumes the other. The cross-sectional model asks whether structure exists across records at a moment; the temporal model asks whether structure exists in how attention accrues over time. A field could show one without the other. It could have a clean cross-sectional signal and scattered temporal accumulation, or load-bearing older work with no cross-sectional signal in current records</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Running both is what lets the dissertation distinguish these cases rather than collapsing them into a single verdict.</w:t>
      </w:r>
    </w:p>
    <w:p>
      <w:pPr>
        <w:pStyle w:val="BodyText"/>
        <w:spacing w:line="480" w:lineRule="auto"/>
        <w:ind w:firstLine="720"/>
      </w:pPr>
      <w:r>
        <w:t xml:space="preserve">The pairing also provides an internal consistency check. If both screens return diffuse, imprecise coefficients, that convergence is itself informative: it is harder to explain away as an artifact of one model’s assumptions when two differently specified estimators agree that the metadata carries little structure. The identification value of the design lies as much in that agreement as in any single coefficient, and Chapter 6 reads the two results together for exactly that reason</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01"/>
    <w:bookmarkStart w:id="102" w:name="X923a8e7cfff75d5e241a374a6158896fc18dfce"/>
    <w:p>
      <w:pPr>
        <w:pStyle w:val="Heading2"/>
        <w:spacing w:line="480" w:lineRule="auto"/>
      </w:pPr>
      <w:r>
        <w:t xml:space="preserve">4.6 Diagnostics and the honest reading of fit</w:t>
      </w:r>
    </w:p>
    <w:p>
      <w:pPr>
        <w:pStyle w:val="FirstParagraph"/>
        <w:spacing w:line="480" w:lineRule="auto"/>
      </w:pPr>
      <w:r>
        <w:t xml:space="preserve">Estimating a model is only half the methodological obligation; reading its fit honestly is the other half. Two fit statistics do the work here, and each answers a distinct question. The coefficient of determination reports how much of the outcome’s variation the predictors account for, and it is the first number a reader should demand, because a model that explains almost none of the variation cannot support strong claims about any single coefficient within it. The joint F-test reports whether the predictors, taken together, do better than an intercept alone, which guards against the trap of reading one suggestive coefficient out of a model that is jointly empty</w:t>
      </w:r>
      <w:r>
        <w:t xml:space="preserve"> </w:t>
      </w:r>
      <w:hyperlink w:anchor="ref-8">
        <w:r>
          <w:rPr>
            <w:rStyle w:val="Hyperlink"/>
          </w:rPr>
          <w:t xml:space="preserve">[8]</w:t>
        </w:r>
      </w:hyperlink>
      <w:r>
        <w:t xml:space="preserve">.</w:t>
      </w:r>
    </w:p>
    <w:p>
      <w:pPr>
        <w:pStyle w:val="BodyText"/>
        <w:spacing w:line="480" w:lineRule="auto"/>
        <w:ind w:firstLine="720"/>
      </w:pPr>
      <w:r>
        <w:t xml:space="preserve">These diagnostics matter more, not less, for a screen designed to potentially return a null. It would be easy, in a diffuse model, to reach past the fit statistics and narrate the sign of the largest coefficient as though it were a finding. The methodology forbids that move in advance. A coefficient is only interpretable as evidence when the model that produced it clears the joint test, and when it does not, the honest report is that the sign is uninterpretable noise. Building that rule into the method rather than applying it selectively after seeing the numbers is what keeps the screen from becoming a machine for confirming whatever the analyst hoped to find</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102"/>
    <w:bookmarkStart w:id="103" w:name="X13e9bbd1f756ea08da9d0a3c64dd3a6dc3aed2b"/>
    <w:p>
      <w:pPr>
        <w:pStyle w:val="Heading2"/>
        <w:spacing w:line="480" w:lineRule="auto"/>
      </w:pPr>
      <w:r>
        <w:t xml:space="preserve">4.7 The adjusted coefficient of determination as a guard</w:t>
      </w:r>
    </w:p>
    <w:p>
      <w:pPr>
        <w:pStyle w:val="FirstParagraph"/>
        <w:spacing w:line="480" w:lineRule="auto"/>
      </w:pPr>
      <w:r>
        <w:t xml:space="preserve">One diagnostic deserves particular attention because it protects against a specific overreach. The adjusted coefficient of determination penalizes a model for each predictor it carries, and it can fall below zero. A negative adjusted value is not a defect to be hidden. It is a signal, and it says something sharp: the predictors explain so little that a bare intercept would have done better once the cost of estimating them is counted</w:t>
      </w:r>
      <w:r>
        <w:t xml:space="preserve"> </w:t>
      </w:r>
      <w:hyperlink w:anchor="ref-4">
        <w:r>
          <w:rPr>
            <w:rStyle w:val="Hyperlink"/>
          </w:rPr>
          <w:t xml:space="preserve">[4]</w:t>
        </w:r>
      </w:hyperlink>
      <w:r>
        <w:t xml:space="preserve">. For a screen probing whether recency, attention, and venue carry structure, a negative adjusted value is direct evidence against structure, and the methodology treats it exactly that way rather than reporting only the more flattering unadjusted figure.</w:t>
      </w:r>
    </w:p>
    <w:p>
      <w:pPr>
        <w:pStyle w:val="BodyText"/>
        <w:spacing w:line="480" w:lineRule="auto"/>
        <w:ind w:firstLine="720"/>
      </w:pPr>
      <w:r>
        <w:t xml:space="preserve">This is why the results chapter reports the adjusted value alongside the raw one. Reporting both is a small discipline with a large payoff: it prevents the reader, and the author, from mistaking a model that fits three predictors’ worth of noise for a model that has found something. The choice to foreground the penalized statistic is part of the identification argument, because identification is not only about what an estimator can detect but about refusing to claim detection where the diagnostics say none occurred</w:t>
      </w:r>
      <w:r>
        <w:t xml:space="preserve"> </w:t>
      </w:r>
      <w:hyperlink w:anchor="ref-5">
        <w:r>
          <w:rPr>
            <w:rStyle w:val="Hyperlink"/>
          </w:rPr>
          <w:t xml:space="preserve">[5]</w:t>
        </w:r>
      </w:hyperlink>
      <w:r>
        <w:t xml:space="preserve">.</w:t>
      </w:r>
    </w:p>
    <w:bookmarkEnd w:id="103"/>
    <w:bookmarkStart w:id="104" w:name="X9b8c5f9b189975acf3f102d59962be7442dcfae"/>
    <w:p>
      <w:pPr>
        <w:pStyle w:val="Heading2"/>
        <w:spacing w:line="480" w:lineRule="auto"/>
      </w:pPr>
      <w:r>
        <w:t xml:space="preserve">4.8 Reproducibility as a methodological commitment</w:t>
      </w:r>
    </w:p>
    <w:p>
      <w:pPr>
        <w:pStyle w:val="FirstParagraph"/>
        <w:spacing w:line="480" w:lineRule="auto"/>
      </w:pPr>
      <w:r>
        <w:t xml:space="preserve">A final methodological point is procedural rather than statistical. Every quantity reported in this dissertation is regenerable from the workbook that produced it, using the configuration files that fix the outcome, the predictors, the formula, and the standard-error choice. This is not a courtesy. It is the property that lets a committee test the analysis rather than trust it, and it is the same property a bottom-up cost model would need before any program office committed money against its total</w:t>
      </w:r>
      <w:r>
        <w:t xml:space="preserve"> </w:t>
      </w:r>
      <w:hyperlink w:anchor="ref-13">
        <w:r>
          <w:rPr>
            <w:rStyle w:val="Hyperlink"/>
          </w:rPr>
          <w:t xml:space="preserve">[13]</w:t>
        </w:r>
      </w:hyperlink>
      <w:r>
        <w:t xml:space="preserve">. A method that cannot be rerun is a claim, not a result. The two estimators here were chosen partly because their reproducibility is trivial to verify, which is the right foundation for a dissertation whose entire argument is about keeping an evidentiary chain inspectable</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04"/>
    <w:bookmarkStart w:id="105" w:name="X0ed8f70cc985fb2f8b8dd32f631ec4ed4b912de"/>
    <w:p>
      <w:pPr>
        <w:pStyle w:val="Heading2"/>
        <w:spacing w:line="480" w:lineRule="auto"/>
      </w:pPr>
      <w:r>
        <w:t xml:space="preserve">4.9 Functional form and the risk of misspecification</w:t>
      </w:r>
    </w:p>
    <w:p>
      <w:pPr>
        <w:pStyle w:val="FirstParagraph"/>
        <w:spacing w:line="480" w:lineRule="auto"/>
      </w:pPr>
      <w:r>
        <w:t xml:space="preserve">A committee will rightly ask whether the chosen functional forms could themselves manufacture or mask a result, so the misspecification question deserves a direct answer. The cross-sectional model is linear in its three predictors, which assumes that the topic signal responds to recency, attention, and venue additively and at a constant rate. That assumption could fail if, for instance, recency mattered only for the very newest records or if attention and venue interacted</w:t>
      </w:r>
      <w:r>
        <w:t xml:space="preserve"> </w:t>
      </w:r>
      <w:hyperlink w:anchor="ref-11">
        <w:r>
          <w:rPr>
            <w:rStyle w:val="Hyperlink"/>
          </w:rPr>
          <w:t xml:space="preserve">[11]</w:t>
        </w:r>
      </w:hyperlink>
      <w:r>
        <w:t xml:space="preserve">. The dissertation does not fit those richer forms, and the reason is principled rather than lazy: with thirty records, adding interactions or polynomial terms would spend degrees of freedom the sample cannot spare and would invite overfitting, fitting the noise of thirty points rather than any real curvature.</w:t>
      </w:r>
    </w:p>
    <w:p>
      <w:pPr>
        <w:pStyle w:val="BodyText"/>
        <w:spacing w:line="480" w:lineRule="auto"/>
        <w:ind w:firstLine="720"/>
      </w:pPr>
      <w:r>
        <w:t xml:space="preserve">The temporal model’s log-log form carries its own assumption, that the relationship between age and citations is a constant elasticity, a straight line in log-log space. This is the standard and defensible choice for accumulation processes, but it would miss a relationship that switched sign across the age range or saturated at high ages</w:t>
      </w:r>
      <w:r>
        <w:t xml:space="preserve"> </w:t>
      </w:r>
      <w:hyperlink w:anchor="ref-16">
        <w:r>
          <w:rPr>
            <w:rStyle w:val="Hyperlink"/>
          </w:rPr>
          <w:t xml:space="preserve">[16]</w:t>
        </w:r>
      </w:hyperlink>
      <w:r>
        <w:t xml:space="preserve">. The honest position is that both forms are first-order approximations chosen for their transparency and their frugality with degrees of freedom, and that a larger corpus would justify testing whether a richer form fits better. For a screen whose purpose is to detect obvious structure, the simple forms are appropriate, and their simplicity is a feature because it keeps the failure modes visible</w:t>
      </w:r>
      <w:r>
        <w:t xml:space="preserve"> </w:t>
      </w:r>
      <w:hyperlink w:anchor="ref-8">
        <w:r>
          <w:rPr>
            <w:rStyle w:val="Hyperlink"/>
          </w:rPr>
          <w:t xml:space="preserve">[8]</w:t>
        </w:r>
      </w:hyperlink>
      <w:r>
        <w:t xml:space="preserve">.</w:t>
      </w:r>
    </w:p>
    <w:bookmarkEnd w:id="105"/>
    <w:bookmarkStart w:id="106" w:name="X2d0d0099c615829be71b06d25317be76e5dbb9f"/>
    <w:p>
      <w:pPr>
        <w:pStyle w:val="Heading2"/>
        <w:spacing w:line="480" w:lineRule="auto"/>
      </w:pPr>
      <w:r>
        <w:t xml:space="preserve">4.10 Influence and the fragility of small samples</w:t>
      </w:r>
    </w:p>
    <w:p>
      <w:pPr>
        <w:pStyle w:val="FirstParagraph"/>
        <w:spacing w:line="480" w:lineRule="auto"/>
      </w:pPr>
      <w:r>
        <w:t xml:space="preserve">Small samples are vulnerable to individual influential observations, and a rigorous methodology has to acknowledge how that vulnerability bears on the identification claim. In a thirty-record regression, a single record with an extreme predictor value and an extreme outcome can pull a coefficient noticeably, so a result that looked precise could in principle rest on one unusual document</w:t>
      </w:r>
      <w:r>
        <w:t xml:space="preserve"> </w:t>
      </w:r>
      <w:hyperlink w:anchor="ref-4">
        <w:r>
          <w:rPr>
            <w:rStyle w:val="Hyperlink"/>
          </w:rPr>
          <w:t xml:space="preserve">[4]</w:t>
        </w:r>
      </w:hyperlink>
      <w:r>
        <w:t xml:space="preserve">. This cuts against overinterpreting any sharp coefficient, and it is one more reason the dissertation treats precision as necessary but not sufficient for a finding.</w:t>
      </w:r>
    </w:p>
    <w:p>
      <w:pPr>
        <w:pStyle w:val="BodyText"/>
        <w:spacing w:line="480" w:lineRule="auto"/>
        <w:ind w:firstLine="720"/>
      </w:pPr>
      <w:r>
        <w:t xml:space="preserve">The direction of this concern is worth stating carefully, because it interacts with the actual results. Influence is most dangerous when it manufactures a spurious effect; it is far less dangerous when the models return diffuse coefficients across the board, since a null is not easily produced by a single influential point pulling one way</w:t>
      </w:r>
      <w:r>
        <w:t xml:space="preserve"> </w:t>
      </w:r>
      <w:hyperlink w:anchor="ref-5">
        <w:r>
          <w:rPr>
            <w:rStyle w:val="Hyperlink"/>
          </w:rPr>
          <w:t xml:space="preserve">[5]</w:t>
        </w:r>
      </w:hyperlink>
      <w:r>
        <w:t xml:space="preserve">. A screen that came back with strong coefficients would owe the reader an influence diagnostic before any claim; a screen that comes back diffuse has already survived the harder test, because no single record was able to force structure out of the metadata. The identification argument is thus more robust in the null case than in the positive case, which is the case the dissertation in fact confronts</w:t>
      </w:r>
      <w:r>
        <w:t xml:space="preserve"> </w:t>
      </w:r>
      <w:hyperlink w:anchor="ref-6">
        <w:r>
          <w:rPr>
            <w:rStyle w:val="Hyperlink"/>
          </w:rPr>
          <w:t xml:space="preserve">[6]</w:t>
        </w:r>
      </w:hyperlink>
      <w:r>
        <w:t xml:space="preserve">.</w:t>
      </w:r>
    </w:p>
    <w:bookmarkEnd w:id="106"/>
    <w:bookmarkStart w:id="107" w:name="X8bf16ccaf74100e9b87c4980a6ada7651612546"/>
    <w:p>
      <w:pPr>
        <w:pStyle w:val="Heading2"/>
        <w:spacing w:line="480" w:lineRule="auto"/>
      </w:pPr>
      <w:r>
        <w:t xml:space="preserve">4.11 The choice not to pursue causal identification</w:t>
      </w:r>
    </w:p>
    <w:p>
      <w:pPr>
        <w:pStyle w:val="FirstParagraph"/>
        <w:spacing w:line="480" w:lineRule="auto"/>
      </w:pPr>
      <w:r>
        <w:t xml:space="preserve">A reader trained in modern applied economics might ask why the dissertation does not reach for a causal design, an instrument, a natural experiment, a discontinuity, that would license stronger claims. The answer is that the question does not admit one, and pretending otherwise would be methodological theater. There is no exogenous source of variation in a document’s recency, citation count, or venue that could be exploited to identify a causal effect on its topic signal, because these features are jointly determined by the same underlying process of how a field develops</w:t>
      </w:r>
      <w:r>
        <w:t xml:space="preserve"> </w:t>
      </w:r>
      <w:hyperlink w:anchor="ref-11">
        <w:r>
          <w:rPr>
            <w:rStyle w:val="Hyperlink"/>
          </w:rPr>
          <w:t xml:space="preserve">[11]</w:t>
        </w:r>
      </w:hyperlink>
      <w:r>
        <w:t xml:space="preserve">. Manufacturing an instrument here would produce a number with a causal label and no causal content.</w:t>
      </w:r>
    </w:p>
    <w:p>
      <w:pPr>
        <w:pStyle w:val="BodyText"/>
        <w:spacing w:line="480" w:lineRule="auto"/>
        <w:ind w:firstLine="720"/>
      </w:pPr>
      <w:r>
        <w:t xml:space="preserve">The honest alternative is to claim exactly what the design supports: descriptive association within a defined corpus, reported with correct uncertainty, interpreted against a pre-specified mechanism</w:t>
      </w:r>
      <w:r>
        <w:t xml:space="preserve"> </w:t>
      </w:r>
      <w:hyperlink w:anchor="ref-8">
        <w:r>
          <w:rPr>
            <w:rStyle w:val="Hyperlink"/>
          </w:rPr>
          <w:t xml:space="preserve">[8]</w:t>
        </w:r>
      </w:hyperlink>
      <w:r>
        <w:t xml:space="preserve">. That is a weaker claim than causation, and it is the right claim, because it matches the evidence the corpus can actually provide. A screen’s job is to describe the structure of a literature, not to identify what caused that structure, and confusing the two would import a rigor the data cannot support while abandoning the modest rigor it can. The methodological discipline here is knowing which questions the design can answer and declining, cleanly, to overreach into the ones it cannot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07"/>
    <w:bookmarkStart w:id="108" w:name="Xe1c66668ee629755868af10aff0abd8964d8bf9"/>
    <w:p>
      <w:pPr>
        <w:pStyle w:val="Heading2"/>
        <w:spacing w:line="480" w:lineRule="auto"/>
      </w:pPr>
      <w:r>
        <w:t xml:space="preserve">4.12 Why transparency beats sophistication for this task</w:t>
      </w:r>
    </w:p>
    <w:p>
      <w:pPr>
        <w:pStyle w:val="FirstParagraph"/>
        <w:spacing w:line="480" w:lineRule="auto"/>
      </w:pPr>
      <w:r>
        <w:t xml:space="preserve">There is a general principle underlying every methodological choice in this chapter, and stating it makes the choices cohere. For a screening instrument whose entire value is that a program office can trust and reproduce it, transparency dominates sophistication. A more elaborate estimator, a regularized model, a Bayesian hierarchy, a machine-learned predictor, might extract marginally more signal from thirty records, but it would do so at the cost of the one property the task most needs, which is that a skeptical reader can rerun it and see exactly how each number arose</w:t>
      </w:r>
      <w:r>
        <w:t xml:space="preserve"> </w:t>
      </w:r>
      <w:hyperlink w:anchor="ref-13">
        <w:r>
          <w:rPr>
            <w:rStyle w:val="Hyperlink"/>
          </w:rPr>
          <w:t xml:space="preserve">[13]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Ordinary least squares and a log-log learning curve are the right tools precisely because they are boring. Their assumptions are well understood, their failure modes are visible, and their outputs are checkable by anyone with the workbook and a statistics textbook. A dissertation arguing that cost models should be auditable line by line cannot in good conscience build its own evidence on an estimator that only its author fully understands. The methodology practices the auditability it preaches, and that consistency between what the dissertation demands of future cost models and what it demands of itself is not incidental. It is the point</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Taken together, the choices in this chapter form a coherent identification posture. Simple estimators, robust standard errors, honest fit diagnostics, a refusal to fabricate causal claims, and full reproducibility all pull in one direction: toward a screen that claims exactly what it can support and no more</w:t>
      </w:r>
      <w:r>
        <w:t xml:space="preserve"> </w:t>
      </w:r>
      <w:hyperlink w:anchor="ref-8">
        <w:r>
          <w:rPr>
            <w:rStyle w:val="Hyperlink"/>
          </w:rPr>
          <w:t xml:space="preserve">[8]</w:t>
        </w:r>
      </w:hyperlink>
      <w:r>
        <w:t xml:space="preserve">. That posture is what lets Chapter 6 report its numbers without hedging and Chapter 7 bound them without retreating. A method built this way cannot manufacture a finding, and it cannot hide one either, which is the property a screen designed to potentially return a null most needs</w:t>
      </w:r>
      <w:r>
        <w:t xml:space="preserve"> </w:t>
      </w:r>
      <w:hyperlink w:anchor="ref-5">
        <w:r>
          <w:rPr>
            <w:rStyle w:val="Hyperlink"/>
          </w:rPr>
          <w:t xml:space="preserve">[5]</w:t>
        </w:r>
      </w:hyperlink>
      <w:r>
        <w:t xml:space="preserve">.</w:t>
      </w:r>
    </w:p>
    <w:bookmarkEnd w:id="108"/>
    <w:bookmarkEnd w:id="109"/>
    <w:bookmarkStart w:id="122" w:name="chapter-5.-data-and-measurement"/>
    <w:p>
      <w:pPr>
        <w:pStyle w:val="Heading1"/>
        <w:spacing w:line="480" w:lineRule="auto"/>
      </w:pPr>
      <w:r>
        <w:t xml:space="preserve">Chapter 5. Data and Measurement</w:t>
      </w:r>
    </w:p>
    <w:p>
      <w:pPr>
        <w:pStyle w:val="FirstParagraph"/>
        <w:spacing w:line="480" w:lineRule="auto"/>
      </w:pPr>
      <w:r>
        <w:t xml:space="preserve">The dataset is small. It is deliberate, and it is fully traceable. It contains thirty source records, each drawn from the candidate’s local source collection and carried through to the two empirical workbooks without a break in provenance. Thirty is not many. That is the honest starting point of this chapter, and rather than apologize for it, the chapter explains what thirty auditable records can and cannot support, how each variable was constructed from observable fields, and why every row retains a source column that lets a reader walk from a coefficient back to the document that produced it.</w:t>
      </w:r>
    </w:p>
    <w:bookmarkStart w:id="110" w:name="the-corpus-and-its-sources"/>
    <w:p>
      <w:pPr>
        <w:pStyle w:val="Heading2"/>
        <w:spacing w:line="480" w:lineRule="auto"/>
      </w:pPr>
      <w:r>
        <w:t xml:space="preserve">5.1 The corpus and its sources</w:t>
      </w:r>
    </w:p>
    <w:p>
      <w:pPr>
        <w:pStyle w:val="FirstParagraph"/>
        <w:spacing w:line="480" w:lineRule="auto"/>
      </w:pPr>
      <w:r>
        <w:t xml:space="preserve">The thirty records span three venue families that together define the literature a habitat cost model would draw on. The first family is the AMOS technical proceedings, contributing operational and sensing work that frames the space-domain context in which a station operates</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The second family is peer-reviewed astronautics, contributing the feasibility studies, value assessments, and component cost literatures that a bottom-up model needs: the commercial-station feasibility study</w:t>
      </w:r>
      <w:r>
        <w:t xml:space="preserve"> </w:t>
      </w:r>
      <w:hyperlink w:anchor="ref-9">
        <w:r>
          <w:rPr>
            <w:rStyle w:val="Hyperlink"/>
          </w:rPr>
          <w:t xml:space="preserve">[9]</w:t>
        </w:r>
      </w:hyperlink>
      <w:r>
        <w:t xml:space="preserve">, the value assessment of stations for space and non-space users</w:t>
      </w:r>
      <w:r>
        <w:t xml:space="preserve"> </w:t>
      </w:r>
      <w:hyperlink w:anchor="ref-10">
        <w:r>
          <w:rPr>
            <w:rStyle w:val="Hyperlink"/>
          </w:rPr>
          <w:t xml:space="preserve">[10]</w:t>
        </w:r>
      </w:hyperlink>
      <w:r>
        <w:t xml:space="preserve">, the smallsat launch cost-estimating work</w:t>
      </w:r>
      <w:r>
        <w:t xml:space="preserve"> </w:t>
      </w:r>
      <w:hyperlink w:anchor="ref-13">
        <w:r>
          <w:rPr>
            <w:rStyle w:val="Hyperlink"/>
          </w:rPr>
          <w:t xml:space="preserve">[13]</w:t>
        </w:r>
      </w:hyperlink>
      <w:r>
        <w:t xml:space="preserve">, the habitat energy forecasting study</w:t>
      </w:r>
      <w:r>
        <w:t xml:space="preserve"> </w:t>
      </w:r>
      <w:hyperlink w:anchor="ref-15">
        <w:r>
          <w:rPr>
            <w:rStyle w:val="Hyperlink"/>
          </w:rPr>
          <w:t xml:space="preserve">[15]</w:t>
        </w:r>
      </w:hyperlink>
      <w:r>
        <w:t xml:space="preserve">, and the long-duration storage concept literature</w:t>
      </w:r>
      <w:r>
        <w:t xml:space="preserve"> </w:t>
      </w:r>
      <w:hyperlink w:anchor="ref-16">
        <w:r>
          <w:rPr>
            <w:rStyle w:val="Hyperlink"/>
          </w:rPr>
          <w:t xml:space="preserve">[16]</w:t>
        </w:r>
      </w:hyperlink>
      <w:r>
        <w:t xml:space="preserve">. The third family is the space-economy policy literature, contributing the market-failure framing and whole-of-nation sustainability arguments that supply the governance context.</w:t>
      </w:r>
    </w:p>
    <w:p>
      <w:pPr>
        <w:pStyle w:val="BodyText"/>
        <w:spacing w:line="480" w:lineRule="auto"/>
        <w:ind w:firstLine="720"/>
      </w:pPr>
      <w:r>
        <w:t xml:space="preserve">Each record enters the workbooks as a row, and each row keeps its source. For the AMOS and journal records the source is a URL or DOI; for the policy records it is a titled document reference. This is not bookkeeping for its own sake. It is the mechanism that makes the screen auditable: any coefficient in Chapter 6 can be traced to the rows that produced it, and any row can be traced to the document behind it</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10"/>
    <w:bookmarkStart w:id="111" w:name="the-outcome-variables"/>
    <w:p>
      <w:pPr>
        <w:pStyle w:val="Heading2"/>
        <w:spacing w:line="480" w:lineRule="auto"/>
      </w:pPr>
      <w:r>
        <w:t xml:space="preserve">5.2 The outcome variables</w:t>
      </w:r>
    </w:p>
    <w:p>
      <w:pPr>
        <w:pStyle w:val="FirstParagraph"/>
        <w:spacing w:line="480" w:lineRule="auto"/>
      </w:pPr>
      <w:r>
        <w:t xml:space="preserve">Paper 1 uses the topic-signal score as its outcome. The signal score is a deterministic count, not a judgment call. It is built by counting candidate-theme term hits across four fields of each record: the source title, the retrieved snippet, the keyword field, and the author metadata. Determinism is the point. Because the score is a reproducible count rather than a coded rating, two analysts running the same procedure on the same records get the same score, which removes inter-rater drift from the outcome entirely. The cost of that determinism is that the score measures surface topical presence rather than deep substantive engagement, a limitation Chapter 7 takes up directly.</w:t>
      </w:r>
    </w:p>
    <w:p>
      <w:pPr>
        <w:pStyle w:val="BodyText"/>
        <w:spacing w:line="480" w:lineRule="auto"/>
        <w:ind w:firstLine="720"/>
      </w:pPr>
      <w:r>
        <w:t xml:space="preserve">Paper 2 uses citation count plus one as its outcome. The plus-one is a measurement decision with a clear rationale: several records report zero citations, and the log transformation the learning-curve model requires is undefined at zero. Adding one before logging keeps the uncited records in the sample. Their retention is substantively important, because a field where many records sit uncited is exactly the kind of field the legibility mechanism predicts an immature topic would produce</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111"/>
    <w:bookmarkStart w:id="112" w:name="the-predictor-variables"/>
    <w:p>
      <w:pPr>
        <w:pStyle w:val="Heading2"/>
        <w:spacing w:line="480" w:lineRule="auto"/>
      </w:pPr>
      <w:r>
        <w:t xml:space="preserve">5.3 The predictor variables</w:t>
      </w:r>
    </w:p>
    <w:p>
      <w:pPr>
        <w:pStyle w:val="FirstParagraph"/>
        <w:spacing w:line="480" w:lineRule="auto"/>
      </w:pPr>
      <w:r>
        <w:t xml:space="preserve">Recency comes next. It is measured by a publication recency index, computed as a record’s publication year minus the minimum publication year in the sample, plus one. The construction gives the oldest record a value of one and increments upward for newer work, so a larger recency index means a more recent record. This linear coding is intentionally simple, because the hypothesis concerns whether recency carries any structure at all, not whether it does so with some particular curvature</w:t>
      </w:r>
      <w:r>
        <w:t xml:space="preserve"> </w:t>
      </w:r>
      <w:hyperlink w:anchor="ref-9">
        <w:r>
          <w:rPr>
            <w:rStyle w:val="Hyperlink"/>
          </w:rPr>
          <w:t xml:space="preserve">[9]</w:t>
        </w:r>
      </w:hyperlink>
      <w:r>
        <w:t xml:space="preserve">.</w:t>
      </w:r>
    </w:p>
    <w:p>
      <w:pPr>
        <w:pStyle w:val="BodyText"/>
        <w:spacing w:line="480" w:lineRule="auto"/>
        <w:ind w:firstLine="720"/>
      </w:pPr>
      <w:r>
        <w:t xml:space="preserve">Citation attention is measured by the reported citation count parsed from the local brain index. Where the index reported no count, the value is set to zero. This is a conservative choice: it treats an absent count as no recorded attention rather than as missing data to be imputed, which keeps the variable honest about what the index actually observed. The measurement carries a known limitation, that a local index count is not a universal citation count, and the reading of this variable in later chapters is bounded accordingly</w:t>
      </w:r>
      <w:r>
        <w:t xml:space="preserve"> </w:t>
      </w:r>
      <w:hyperlink w:anchor="ref-10">
        <w:r>
          <w:rPr>
            <w:rStyle w:val="Hyperlink"/>
          </w:rPr>
          <w:t xml:space="preserve">[10]</w:t>
        </w:r>
      </w:hyperlink>
      <w:r>
        <w:t xml:space="preserve">.</w:t>
      </w:r>
    </w:p>
    <w:p>
      <w:pPr>
        <w:pStyle w:val="BodyText"/>
        <w:spacing w:line="480" w:lineRule="auto"/>
        <w:ind w:firstLine="720"/>
      </w:pPr>
      <w:r>
        <w:t xml:space="preserve">Venue family is measured by an ordinal score: AMOS proceedings receive a one, Acta Astronautica journal records receive a two, and space-economy policy sources receive a three. The ordering encodes a rough progression from technical proceedings through peer-reviewed astronautics to economic and policy framing. It is ordinal, not cardinal, and nothing in the analysis treats the gap between one and two as equal to the gap between two and three</w:t>
      </w:r>
      <w:r>
        <w:t xml:space="preserve"> </w:t>
      </w:r>
      <w:hyperlink w:anchor="ref-3">
        <w:r>
          <w:rPr>
            <w:rStyle w:val="Hyperlink"/>
          </w:rPr>
          <w:t xml:space="preserve">[3]</w:t>
        </w:r>
      </w:hyperlink>
      <w:r>
        <w:t xml:space="preserve">. The venue score is best read as a coarse family indicator, and Chapter 7 flags the risk of overreading it.</w:t>
      </w:r>
    </w:p>
    <w:bookmarkEnd w:id="112"/>
    <w:bookmarkStart w:id="113" w:name="the-age-variable-for-the-temporal-screen"/>
    <w:p>
      <w:pPr>
        <w:pStyle w:val="Heading2"/>
        <w:spacing w:line="480" w:lineRule="auto"/>
      </w:pPr>
      <w:r>
        <w:t xml:space="preserve">5.4 The age variable for the temporal screen</w:t>
      </w:r>
    </w:p>
    <w:p>
      <w:pPr>
        <w:pStyle w:val="FirstParagraph"/>
        <w:spacing w:line="480" w:lineRule="auto"/>
      </w:pPr>
      <w:r>
        <w:t xml:space="preserve">The temporal screen needs an age variable distinct from the recency index. The document age index is computed as 2026 minus the publication year, plus one. This gives the newest records an age near one and older records progressively larger ages, which is the natural orientation for a learning-curve model of accumulation. Recency and age are related but not identical: recency indexes position within the sample’s span, while age indexes distance from a fixed present. Keeping them as separate constructs, one for each screen, avoids conflating cross-sectional position with temporal distance</w:t>
      </w:r>
      <w:r>
        <w:t xml:space="preserve"> </w:t>
      </w:r>
      <w:hyperlink w:anchor="ref-16">
        <w:r>
          <w:rPr>
            <w:rStyle w:val="Hyperlink"/>
          </w:rPr>
          <w:t xml:space="preserve">[16]</w:t>
        </w:r>
      </w:hyperlink>
      <w:r>
        <w:t xml:space="preserve">.</w:t>
      </w:r>
    </w:p>
    <w:bookmarkEnd w:id="113"/>
    <w:bookmarkStart w:id="114" w:name="sample-size-and-what-it-permits"/>
    <w:p>
      <w:pPr>
        <w:pStyle w:val="Heading2"/>
        <w:spacing w:line="480" w:lineRule="auto"/>
      </w:pPr>
      <w:r>
        <w:t xml:space="preserve">5.5 Sample size and what it permits</w:t>
      </w:r>
    </w:p>
    <w:p>
      <w:pPr>
        <w:pStyle w:val="FirstParagraph"/>
        <w:spacing w:line="480" w:lineRule="auto"/>
      </w:pPr>
      <w:r>
        <w:t xml:space="preserve">Thirty records is the sample. Honesty about its consequences is a measurement obligation, not an afterthought. A sample of thirty with three predictors in Paper 1 leaves enough residual degrees of freedom to estimate the model, but it leaves little slack for detecting small effects, and it makes the screen sensitive to the influence of individual records. This is a real constraint, and it shapes how Chapter 6 reads the results: with a sample this size, an imprecise coefficient is genuinely ambiguous between a true null and an effect too small for thirty records to resolve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response to that constraint is not to overclaim but to scope the inference to match the data. The dataset is strong on provenance and weak on power. It can show whether obvious structure is present, and it can rule out the naive story that the topic’s momentum straightforwardly implies a costing consensus. It cannot detect subtle structure, and it cannot speak for records outside the retained collection. Chapter 6 reports the exact estimator output against that backdrop, and Chapter 7 returns to the sample-size question as one of the central threats to validity</w:t>
      </w:r>
      <w:r>
        <w:t xml:space="preserve"> </w:t>
      </w:r>
      <w:hyperlink w:anchor="ref-8">
        <w:r>
          <w:rPr>
            <w:rStyle w:val="Hyperlink"/>
          </w:rPr>
          <w:t xml:space="preserve">[8]</w:t>
        </w:r>
      </w:hyperlink>
      <w:r>
        <w:t xml:space="preserve">. The measurement discipline established here, deterministic outcomes, conservative predictor coding, retained provenance, and candor about power, is what lets the results that follow be read for exactly what they are worth.</w:t>
      </w:r>
    </w:p>
    <w:bookmarkEnd w:id="114"/>
    <w:bookmarkStart w:id="115" w:name="the-composition-of-the-corpus-in-detail"/>
    <w:p>
      <w:pPr>
        <w:pStyle w:val="Heading2"/>
        <w:spacing w:line="480" w:lineRule="auto"/>
      </w:pPr>
      <w:r>
        <w:t xml:space="preserve">5.6 The composition of the corpus in detail</w:t>
      </w:r>
    </w:p>
    <w:p>
      <w:pPr>
        <w:pStyle w:val="FirstParagraph"/>
        <w:spacing w:line="480" w:lineRule="auto"/>
      </w:pPr>
      <w:r>
        <w:t xml:space="preserve">It is worth looking at what the thirty records actually contain, because the composition shapes what the screens can see. Roughly half the corpus comes from the AMOS technical proceedings, a body of work centered on sensing, space-domain awareness, and operational scheduling rather than habitat economics</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These records frame the operating environment a station lives in, and they carry the field’s technical vocabulary, but few of them engage the costing question directly. Their presence in the corpus is deliberate: a habitat does not operate in an economic vacuum, and the technical proceedings supply the context that a purely economic reading would miss.</w:t>
      </w:r>
    </w:p>
    <w:p>
      <w:pPr>
        <w:pStyle w:val="BodyText"/>
        <w:spacing w:line="480" w:lineRule="auto"/>
        <w:ind w:firstLine="720"/>
      </w:pPr>
      <w:r>
        <w:t xml:space="preserve">A second cluster comes from peer-reviewed astronautics, and this is where the costing substance concentrates. The feasibility study for a commercial station</w:t>
      </w:r>
      <w:r>
        <w:t xml:space="preserve"> </w:t>
      </w:r>
      <w:hyperlink w:anchor="ref-9">
        <w:r>
          <w:rPr>
            <w:rStyle w:val="Hyperlink"/>
          </w:rPr>
          <w:t xml:space="preserve">[9]</w:t>
        </w:r>
      </w:hyperlink>
      <w:r>
        <w:t xml:space="preserve">, the value assessment across space and non-space users</w:t>
      </w:r>
      <w:r>
        <w:t xml:space="preserve"> </w:t>
      </w:r>
      <w:hyperlink w:anchor="ref-10">
        <w:r>
          <w:rPr>
            <w:rStyle w:val="Hyperlink"/>
          </w:rPr>
          <w:t xml:space="preserve">[10]</w:t>
        </w:r>
      </w:hyperlink>
      <w:r>
        <w:t xml:space="preserve">, the launch cost-estimating work</w:t>
      </w:r>
      <w:r>
        <w:t xml:space="preserve"> </w:t>
      </w:r>
      <w:hyperlink w:anchor="ref-13">
        <w:r>
          <w:rPr>
            <w:rStyle w:val="Hyperlink"/>
          </w:rPr>
          <w:t xml:space="preserve">[13]</w:t>
        </w:r>
      </w:hyperlink>
      <w:r>
        <w:t xml:space="preserve">, the habitat energy study</w:t>
      </w:r>
      <w:r>
        <w:t xml:space="preserve"> </w:t>
      </w:r>
      <w:hyperlink w:anchor="ref-15">
        <w:r>
          <w:rPr>
            <w:rStyle w:val="Hyperlink"/>
          </w:rPr>
          <w:t xml:space="preserve">[15]</w:t>
        </w:r>
      </w:hyperlink>
      <w:r>
        <w:t xml:space="preserve">, the storage concepts</w:t>
      </w:r>
      <w:r>
        <w:t xml:space="preserve"> </w:t>
      </w:r>
      <w:hyperlink w:anchor="ref-16">
        <w:r>
          <w:rPr>
            <w:rStyle w:val="Hyperlink"/>
          </w:rPr>
          <w:t xml:space="preserve">[16]</w:t>
        </w:r>
      </w:hyperlink>
      <w:r>
        <w:t xml:space="preserve">, the connectivity work</w:t>
      </w:r>
      <w:r>
        <w:t xml:space="preserve"> </w:t>
      </w:r>
      <w:hyperlink w:anchor="ref-14">
        <w:r>
          <w:rPr>
            <w:rStyle w:val="Hyperlink"/>
          </w:rPr>
          <w:t xml:space="preserve">[14]</w:t>
        </w:r>
      </w:hyperlink>
      <w:r>
        <w:t xml:space="preserve">, and the partial-gravity analysis</w:t>
      </w:r>
      <w:r>
        <w:t xml:space="preserve"> </w:t>
      </w:r>
      <w:hyperlink w:anchor="ref-12">
        <w:r>
          <w:rPr>
            <w:rStyle w:val="Hyperlink"/>
          </w:rPr>
          <w:t xml:space="preserve">[12]</w:t>
        </w:r>
      </w:hyperlink>
      <w:r>
        <w:t xml:space="preserve"> </w:t>
      </w:r>
      <w:r>
        <w:t xml:space="preserve">all sit here. These are the records a bottom-up model would actually mine for parameters, and they are the reason the corpus is worth screening at all.</w:t>
      </w:r>
    </w:p>
    <w:p>
      <w:pPr>
        <w:pStyle w:val="BodyText"/>
        <w:spacing w:line="480" w:lineRule="auto"/>
        <w:ind w:firstLine="720"/>
      </w:pPr>
      <w:r>
        <w:t xml:space="preserve">A third, smaller cluster is the space-economy policy literature: the market-failure framing, the whole-of-nation sustainability arguments, and related governance writing. These records carry the highest venue score and the sparsest metadata, several report no citation count and only a short descriptive snippet, which itself tells a measurement story worth noting.</w:t>
      </w:r>
    </w:p>
    <w:bookmarkEnd w:id="115"/>
    <w:bookmarkStart w:id="116" w:name="what-the-metadata-sparsity-implies"/>
    <w:p>
      <w:pPr>
        <w:pStyle w:val="Heading2"/>
        <w:spacing w:line="480" w:lineRule="auto"/>
      </w:pPr>
      <w:r>
        <w:t xml:space="preserve">5.7 What the metadata sparsity implies</w:t>
      </w:r>
    </w:p>
    <w:p>
      <w:pPr>
        <w:pStyle w:val="FirstParagraph"/>
        <w:spacing w:line="480" w:lineRule="auto"/>
      </w:pPr>
      <w:r>
        <w:t xml:space="preserve">The thin metadata is not a bug. It is a faithful reflection of how that literature circulates. Policy framing papers are often read, cited, and acted upon outside the indexed citation economy that tracks journal articles, so a local index reasonably reports them as uncited even when they are influential in practice</w:t>
      </w:r>
      <w:r>
        <w:t xml:space="preserve"> </w:t>
      </w:r>
      <w:hyperlink w:anchor="ref-3">
        <w:r>
          <w:rPr>
            <w:rStyle w:val="Hyperlink"/>
          </w:rPr>
          <w:t xml:space="preserve">[3]</w:t>
        </w:r>
      </w:hyperlink>
      <w:r>
        <w:t xml:space="preserve">. This matters for interpreting the citation-attention variable, because it means a zero count in the policy cluster signals absence from a particular index rather than absence of influence.</w:t>
      </w:r>
    </w:p>
    <w:p>
      <w:pPr>
        <w:pStyle w:val="BodyText"/>
        <w:spacing w:line="480" w:lineRule="auto"/>
        <w:ind w:firstLine="720"/>
      </w:pPr>
      <w:r>
        <w:t xml:space="preserve">The consequence for the screens is subtle and important. If the most economically consequential framing sits in records that the citation metric cannot see, then the citation-attention predictor is systematically blind to part of the field’s real structure. This is not a reason to discard the variable. It is a reason to read any result on it as a lower bound, and it is one more instance of the general lesson that auditable proxies buy reproducibility at the cost of coverage</w:t>
      </w:r>
      <w:r>
        <w:t xml:space="preserve"> </w:t>
      </w:r>
      <w:hyperlink w:anchor="ref-10">
        <w:r>
          <w:rPr>
            <w:rStyle w:val="Hyperlink"/>
          </w:rPr>
          <w:t xml:space="preserve">[10]</w:t>
        </w:r>
      </w:hyperlink>
      <w:r>
        <w:t xml:space="preserve">. Chapter 7 develops this into a formal threat to validity; here it is enough to record that the dataset’s own composition warns against overreading the attention channel.</w:t>
      </w:r>
    </w:p>
    <w:bookmarkEnd w:id="116"/>
    <w:bookmarkStart w:id="117" w:name="Xcc3f25fbe5143f4e0cbb3c7d1b826392ef5df53"/>
    <w:p>
      <w:pPr>
        <w:pStyle w:val="Heading2"/>
        <w:spacing w:line="480" w:lineRule="auto"/>
      </w:pPr>
      <w:r>
        <w:t xml:space="preserve">5.8 Provenance as the dataset’s central virtue</w:t>
      </w:r>
    </w:p>
    <w:p>
      <w:pPr>
        <w:pStyle w:val="FirstParagraph"/>
        <w:spacing w:line="480" w:lineRule="auto"/>
      </w:pPr>
      <w:r>
        <w:t xml:space="preserve">If the dataset is weak on power and coarse on proxies, its central virtue is that nothing in it is hidden. Every row names its source. Every variable is defined by a construction rule stated in the configuration files. Every outcome is a deterministic function of observable fields rather than a coded judgment</w:t>
      </w:r>
      <w:r>
        <w:t xml:space="preserve"> </w:t>
      </w:r>
      <w:hyperlink w:anchor="ref-6">
        <w:r>
          <w:rPr>
            <w:rStyle w:val="Hyperlink"/>
          </w:rPr>
          <w:t xml:space="preserve">[6]</w:t>
        </w:r>
      </w:hyperlink>
      <w:r>
        <w:t xml:space="preserve">. A reader who doubts a coefficient can pull the rows that produced it, inspect the sources behind those rows, and recompute the variable from the documented rule. That auditability is the property the whole dissertation is arguing for, demonstrated first on the dataset before it is demanded of any future cost model</w:t>
      </w:r>
      <w:r>
        <w:t xml:space="preserve"> </w:t>
      </w:r>
      <w:hyperlink w:anchor="ref-8">
        <w:r>
          <w:rPr>
            <w:rStyle w:val="Hyperlink"/>
          </w:rPr>
          <w:t xml:space="preserve">[8]</w:t>
        </w:r>
      </w:hyperlink>
      <w:r>
        <w:t xml:space="preserve">.</w:t>
      </w:r>
    </w:p>
    <w:p>
      <w:pPr>
        <w:pStyle w:val="BodyText"/>
        <w:spacing w:line="480" w:lineRule="auto"/>
        <w:ind w:firstLine="720"/>
      </w:pPr>
      <w:r>
        <w:t xml:space="preserve">This is the measurement stance the results chapter inherits: modest about power, candid about proxies, and uncompromising about provenance. A dataset built this way cannot support grand claims, and it is not meant to. It is meant to support exactly the claims its construction permits, stated at exactly the strength its size and coding allow, which is the standard a doctoral committee should hold any empirical chapter to</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17"/>
    <w:bookmarkStart w:id="118" w:name="Xdfb7eec12ddccab349caec5f4574906361d2856"/>
    <w:p>
      <w:pPr>
        <w:pStyle w:val="Heading2"/>
        <w:spacing w:line="480" w:lineRule="auto"/>
      </w:pPr>
      <w:r>
        <w:t xml:space="preserve">5.9 Distributional features that shape the estimates</w:t>
      </w:r>
    </w:p>
    <w:p>
      <w:pPr>
        <w:pStyle w:val="FirstParagraph"/>
        <w:spacing w:line="480" w:lineRule="auto"/>
      </w:pPr>
      <w:r>
        <w:t xml:space="preserve">Before the estimator runs, it is worth looking at how the variables are distributed, because their shapes explain features of the results a reader would otherwise find puzzling. The citation count is heavily right-skewed: most records report zero or a handful of citations, while a small number of journal articles reach into the twenties</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That skew is the direct motivation for the log transformation in the temporal screen, since a linear model on raw counts would be dominated by the few high-citation records. The plus-one-then-log construction tames the skew while keeping the uncited majority in the sample.</w:t>
      </w:r>
    </w:p>
    <w:p>
      <w:pPr>
        <w:pStyle w:val="BodyText"/>
        <w:spacing w:line="480" w:lineRule="auto"/>
        <w:ind w:firstLine="720"/>
      </w:pPr>
      <w:r>
        <w:t xml:space="preserve">The topic-signal score is also concentrated near its low end, with many records scoring one or two theme hits and few scoring high</w:t>
      </w:r>
      <w:r>
        <w:t xml:space="preserve"> </w:t>
      </w:r>
      <w:hyperlink w:anchor="ref-9">
        <w:r>
          <w:rPr>
            <w:rStyle w:val="Hyperlink"/>
          </w:rPr>
          <w:t xml:space="preserve">[9]</w:t>
        </w:r>
      </w:hyperlink>
      <w:r>
        <w:t xml:space="preserve">. A concentrated outcome limits how much variation any predictor can explain, and it means the cross-sectional model is working with a narrow target from the start. The recency index, by contrast, is spread fairly evenly across the two-decade span, and the venue score takes only three values by construction. These shapes are not defects to correct; they are properties of a real, small, heterogeneous corpus, and reporting them lets the reader anticipate that a model built on a concentrated outcome and a coarse venue indicator has limited room to find structure even where some exists</w:t>
      </w:r>
      <w:r>
        <w:t xml:space="preserve"> </w:t>
      </w:r>
      <w:hyperlink w:anchor="ref-16">
        <w:r>
          <w:rPr>
            <w:rStyle w:val="Hyperlink"/>
          </w:rPr>
          <w:t xml:space="preserve">[16]</w:t>
        </w:r>
      </w:hyperlink>
      <w:r>
        <w:t xml:space="preserve">.</w:t>
      </w:r>
    </w:p>
    <w:bookmarkEnd w:id="118"/>
    <w:bookmarkStart w:id="119" w:name="the-audit-trail-from-claim-to-row"/>
    <w:p>
      <w:pPr>
        <w:pStyle w:val="Heading2"/>
        <w:spacing w:line="480" w:lineRule="auto"/>
      </w:pPr>
      <w:r>
        <w:t xml:space="preserve">5.10 The audit trail from claim to row</w:t>
      </w:r>
    </w:p>
    <w:p>
      <w:pPr>
        <w:pStyle w:val="FirstParagraph"/>
        <w:spacing w:line="480" w:lineRule="auto"/>
      </w:pPr>
      <w:r>
        <w:t xml:space="preserve">The dataset’s design supports a specific verification procedure that a committee can exercise, and describing it makes the provenance claim concrete rather than rhetorical. A reader who wishes to check the venue coefficient can open the paper’s data file, filter to the records in each venue family, confirm that AMOS records carry a venue score of one, astronautics records a two, and policy records a three, and trace each row’s source column to the document behind it</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Nothing in that chain requires trusting the author’s summary; every step is a direct inspection of a retained artifact.</w:t>
      </w:r>
    </w:p>
    <w:p>
      <w:pPr>
        <w:pStyle w:val="BodyText"/>
        <w:spacing w:line="480" w:lineRule="auto"/>
        <w:ind w:firstLine="720"/>
      </w:pPr>
      <w:r>
        <w:t xml:space="preserve">The same procedure applies to the outcome variables. A skeptic can take any record, apply the documented theme-term counting rule to its title, snippet, keyword field, and author metadata, and reproduce its topic-signal score independently. Because the rule is deterministic, the reproduction will match, and any mismatch would expose an error</w:t>
      </w:r>
      <w:r>
        <w:t xml:space="preserve"> </w:t>
      </w:r>
      <w:hyperlink w:anchor="ref-8">
        <w:r>
          <w:rPr>
            <w:rStyle w:val="Hyperlink"/>
          </w:rPr>
          <w:t xml:space="preserve">[8]</w:t>
        </w:r>
      </w:hyperlink>
      <w:r>
        <w:t xml:space="preserve">. This is the property the entire dissertation argues a cost model should eventually have and rarely does: not a total to be believed, but a total to be checked line by line. Building that auditability into the dataset first, before demanding it of any downstream model, is the measurement chapter’s quiet argument by example</w:t>
      </w:r>
      <w:r>
        <w:t xml:space="preserve"> </w:t>
      </w:r>
      <w:hyperlink w:anchor="ref-4">
        <w:r>
          <w:rPr>
            <w:rStyle w:val="Hyperlink"/>
          </w:rPr>
          <w:t xml:space="preserve">[4]</w:t>
        </w:r>
      </w:hyperlink>
      <w:r>
        <w:t xml:space="preserve">.</w:t>
      </w:r>
    </w:p>
    <w:bookmarkEnd w:id="119"/>
    <w:bookmarkStart w:id="120" w:name="comparability-of-the-two-paper-datasets"/>
    <w:p>
      <w:pPr>
        <w:pStyle w:val="Heading2"/>
        <w:spacing w:line="480" w:lineRule="auto"/>
      </w:pPr>
      <w:r>
        <w:t xml:space="preserve">5.11 Comparability of the two paper datasets</w:t>
      </w:r>
    </w:p>
    <w:p>
      <w:pPr>
        <w:pStyle w:val="FirstParagraph"/>
        <w:spacing w:line="480" w:lineRule="auto"/>
      </w:pPr>
      <w:r>
        <w:t xml:space="preserve">The two empirical papers draw on the same thirty records but construct their variables slightly differently, and a reader deserves to understand how the two datasets relate. Both share the source column, the publication year, the raw citation count, and the topic-signal score, so any record can be located in both files and cross-checked</w:t>
      </w:r>
      <w:r>
        <w:t xml:space="preserve"> </w:t>
      </w:r>
      <w:hyperlink w:anchor="ref-10">
        <w:r>
          <w:rPr>
            <w:rStyle w:val="Hyperlink"/>
          </w:rPr>
          <w:t xml:space="preserve">[10]</w:t>
        </w:r>
      </w:hyperlink>
      <w:r>
        <w:t xml:space="preserve">. What differs is the derived variables each paper needs: the cross-sectional dataset carries the recency index and the ordinal venue score, while the temporal dataset carries the document age index and the citation-plus-one transformation. These are not competing measurements of the same thing; they are purpose-built constructions, each tailored to the estimator it feeds.</w:t>
      </w:r>
    </w:p>
    <w:p>
      <w:pPr>
        <w:pStyle w:val="BodyText"/>
        <w:spacing w:line="480" w:lineRule="auto"/>
        <w:ind w:firstLine="720"/>
      </w:pPr>
      <w:r>
        <w:t xml:space="preserve">Keeping the two datasets aligned on their shared columns is what allows the results to be read together in Chapter 6. Because a record’s identity, source, and raw citation count are identical across the two files, the reader can confirm that the same corpus underlies both screens and that neither paper quietly dropped or added records</w:t>
      </w:r>
      <w:r>
        <w:t xml:space="preserve"> </w:t>
      </w:r>
      <w:hyperlink w:anchor="ref-3">
        <w:r>
          <w:rPr>
            <w:rStyle w:val="Hyperlink"/>
          </w:rPr>
          <w:t xml:space="preserve">[3]</w:t>
        </w:r>
      </w:hyperlink>
      <w:r>
        <w:t xml:space="preserve"> </w:t>
      </w:r>
      <w:hyperlink w:anchor="ref-6">
        <w:r>
          <w:rPr>
            <w:rStyle w:val="Hyperlink"/>
          </w:rPr>
          <w:t xml:space="preserve">[6]</w:t>
        </w:r>
      </w:hyperlink>
      <w:r>
        <w:t xml:space="preserve">. This alignment is a deliberate feature of the data design. A pair of screens whose datasets could not be reconciled would offer far weaker joint evidence, because a skeptic could always suspect the two results came from subtly different samples. Shared provenance across both files closes that gap and makes the two-screen agreement in Chapter 6 a genuine cross-specification check rather than a coincidence of two separate studies</w:t>
      </w:r>
      <w:r>
        <w:t xml:space="preserve"> </w:t>
      </w:r>
      <w:hyperlink w:anchor="ref-16">
        <w:r>
          <w:rPr>
            <w:rStyle w:val="Hyperlink"/>
          </w:rPr>
          <w:t xml:space="preserve">[16]</w:t>
        </w:r>
      </w:hyperlink>
      <w:r>
        <w:t xml:space="preserve">.</w:t>
      </w:r>
    </w:p>
    <w:bookmarkEnd w:id="120"/>
    <w:bookmarkStart w:id="121" w:name="X72a5e9528248249e55004dec184f681533bf525"/>
    <w:p>
      <w:pPr>
        <w:pStyle w:val="Heading2"/>
        <w:spacing w:line="480" w:lineRule="auto"/>
      </w:pPr>
      <w:r>
        <w:t xml:space="preserve">5.12 What the measurement design commits the dissertation to</w:t>
      </w:r>
    </w:p>
    <w:p>
      <w:pPr>
        <w:pStyle w:val="FirstParagraph"/>
        <w:spacing w:line="480" w:lineRule="auto"/>
      </w:pPr>
      <w:r>
        <w:t xml:space="preserve">The measurement choices made here are not neutral; they commit the dissertation to a particular kind of claim, and the chapter closes by making that commitment explicit. By choosing deterministic outcomes over coded judgments, the design commits to reproducibility over depth. By choosing conservative predictor coding over imputation, it commits to honesty about what the index observed over completeness. By retaining every source, it commits to auditability over convenience</w:t>
      </w:r>
      <w:r>
        <w:t xml:space="preserve"> </w:t>
      </w:r>
      <w:hyperlink w:anchor="ref-4">
        <w:r>
          <w:rPr>
            <w:rStyle w:val="Hyperlink"/>
          </w:rPr>
          <w:t xml:space="preserve">[4]</w:t>
        </w:r>
      </w:hyperlink>
      <w:r>
        <w:t xml:space="preserve"> </w:t>
      </w:r>
      <w:hyperlink w:anchor="ref-8">
        <w:r>
          <w:rPr>
            <w:rStyle w:val="Hyperlink"/>
          </w:rPr>
          <w:t xml:space="preserve">[8]</w:t>
        </w:r>
      </w:hyperlink>
      <w:r>
        <w:t xml:space="preserve">. Each choice trades a form of richness for a form of trustworthiness, and every trade runs in the same direction.</w:t>
      </w:r>
    </w:p>
    <w:p>
      <w:pPr>
        <w:pStyle w:val="BodyText"/>
        <w:spacing w:line="480" w:lineRule="auto"/>
        <w:ind w:firstLine="720"/>
      </w:pPr>
      <w:r>
        <w:t xml:space="preserve">That consistency is the measurement chapter’s real argument. A dataset built entirely for trustworthiness cannot support sweeping conclusions, and the dissertation does not ask it to. It asks only for conclusions that a trustworthy but modest dataset can bear, stated at the strength its construction permits</w:t>
      </w:r>
      <w:r>
        <w:t xml:space="preserve"> </w:t>
      </w:r>
      <w:hyperlink w:anchor="ref-5">
        <w:r>
          <w:rPr>
            <w:rStyle w:val="Hyperlink"/>
          </w:rPr>
          <w:t xml:space="preserve">[5]</w:t>
        </w:r>
      </w:hyperlink>
      <w:r>
        <w:t xml:space="preserve">. The results chapter that follows inherits this commitment intact: it will report exact estimator output, interpret it against the mechanism, and stop precisely where a thirty-record, proxy-based, convenience-assembled corpus requires it to stop. The discipline established in measurement is the discipline the entire remainder of the dissertation keeps</w:t>
      </w:r>
      <w:r>
        <w:t xml:space="preserve"> </w:t>
      </w:r>
      <w:hyperlink w:anchor="ref-6">
        <w:r>
          <w:rPr>
            <w:rStyle w:val="Hyperlink"/>
          </w:rPr>
          <w:t xml:space="preserve">[6]</w:t>
        </w:r>
      </w:hyperlink>
      <w:r>
        <w:t xml:space="preserve">.</w:t>
      </w:r>
    </w:p>
    <w:bookmarkEnd w:id="121"/>
    <w:bookmarkEnd w:id="122"/>
    <w:bookmarkStart w:id="134" w:name="chapter-6.-results"/>
    <w:p>
      <w:pPr>
        <w:pStyle w:val="Heading1"/>
        <w:spacing w:line="480" w:lineRule="auto"/>
      </w:pPr>
      <w:r>
        <w:t xml:space="preserve">Chapter 6. Results</w:t>
      </w:r>
    </w:p>
    <w:p>
      <w:pPr>
        <w:pStyle w:val="FirstParagraph"/>
        <w:spacing w:line="480" w:lineRule="auto"/>
      </w:pPr>
      <w:r>
        <w:t xml:space="preserve">The screens have run. The numbers are in. This chapter reports the exact estimator output from both empirical papers, coefficient by coefficient, and then interprets what those signs and magnitudes mean for the legibility mechanism, always in that order and never the reverse, because letting the workbook speak before the prose is the whole discipline the dissertation has committed itself to observing. The reporting comes first and the interpretation second, because the discipline of this dissertation is to let the workbook results stand before any prose is wrapped around them. Nothing here is rounded to flatter a story, and nothing is omitted because it disappoints.</w:t>
      </w:r>
    </w:p>
    <w:bookmarkStart w:id="123" w:name="paper-1-the-cross-sectional-screen"/>
    <w:p>
      <w:pPr>
        <w:pStyle w:val="Heading2"/>
        <w:spacing w:line="480" w:lineRule="auto"/>
      </w:pPr>
      <w:r>
        <w:t xml:space="preserve">6.1 Paper 1: the cross-sectional screen</w:t>
      </w:r>
    </w:p>
    <w:p>
      <w:pPr>
        <w:pStyle w:val="FirstParagraph"/>
        <w:spacing w:line="480" w:lineRule="auto"/>
      </w:pPr>
      <w:r>
        <w:t xml:space="preserve">Paper 1 estimates the ordinary least squares model of the topic-signal score on recency, citation attention, and venue family, with heteroskedasticity-consistent HC1 standard errors. The fit summary is as follows. The sample is N = 30. The coefficient of determination is R2 = 0.006369723626758805, and the adjusted coefficient of determination is R2_adj = -0.10827992364707684. The overall F-statistic is F = 0.07140314028309792, with F_p = 0.9747381329896906.</w:t>
      </w:r>
    </w:p>
    <w:p>
      <w:pPr>
        <w:pStyle w:val="BodyText"/>
        <w:spacing w:line="480" w:lineRule="auto"/>
        <w:ind w:firstLine="720"/>
      </w:pPr>
      <w:r>
        <w:t xml:space="preserve">The term-level estimates are these. The constant has coefficient 3.0854974413075613, with a standard error of 1.6684 and p = 0.06439735818727614. The recency index has coefficient 0.004496395019195168, with a standard error of 0.1007 and p = 0.964369851499303. The citation count has coefficient -0.002987139725416973, with a standard error of 0.0408 and p = 0.941664258269009. The venue score has coefficient -0.19088155511596205, with a standard error of 0.4275 and p = 0.6552493469248162.</w:t>
      </w:r>
    </w:p>
    <w:p>
      <w:pPr>
        <w:pStyle w:val="BodyText"/>
        <w:spacing w:line="480" w:lineRule="auto"/>
        <w:ind w:firstLine="720"/>
      </w:pPr>
      <w:r>
        <w:t xml:space="preserve">Read the fit first. The fit is almost nothing. An R-squared of 0.0064 means the three predictors together account for roughly six tenths of one percent of the variation in the topic-signal score, which is to say that recency, citation attention, and venue family, taken as a system, leave more than ninety-nine percent of the outcome’s spread completely unexplained. The adjusted R-squared is negative, which is the model’s way of reporting that once you penalize for the three predictors, they explain less than a bare intercept would. The F-statistic of 0.0714 with a p-value of 0.9747 says the same thing at the level of the whole model: we cannot reject the joint null that all three slope coefficients are zero. As a system, the predictors carry essentially no explanatory weight</w:t>
      </w:r>
      <w:r>
        <w:t xml:space="preserve"> </w:t>
      </w:r>
      <w:hyperlink w:anchor="ref-8">
        <w:r>
          <w:rPr>
            <w:rStyle w:val="Hyperlink"/>
          </w:rPr>
          <w:t xml:space="preserve">[8]</w:t>
        </w:r>
      </w:hyperlink>
      <w:r>
        <w:t xml:space="preserve">.</w:t>
      </w:r>
    </w:p>
    <w:p>
      <w:pPr>
        <w:pStyle w:val="BodyText"/>
        <w:spacing w:line="480" w:lineRule="auto"/>
        <w:ind w:firstLine="720"/>
      </w:pPr>
      <w:r>
        <w:t xml:space="preserve">The term-level estimates confirm the reading and add detail. The recency coefficient is positive but vanishingly small, 0.0045, with a p-value of 0.9644 that leaves it statistically indistinguishable from zero. The direction is the one the mechanism predicted, newer records carrying a marginally stronger signal, but the magnitude and imprecision together mean the sign should not be dignified as evidence</w:t>
      </w:r>
      <w:r>
        <w:t xml:space="preserve"> </w:t>
      </w:r>
      <w:hyperlink w:anchor="ref-9">
        <w:r>
          <w:rPr>
            <w:rStyle w:val="Hyperlink"/>
          </w:rPr>
          <w:t xml:space="preserve">[9]</w:t>
        </w:r>
      </w:hyperlink>
      <w:r>
        <w:t xml:space="preserve">. The citation coefficient is negative, -0.0030, and equally imprecise at p = 0.9417; if anything it points the opposite way from the mechanism’s prediction that attention tracks substance, but again the imprecision forbids any confident claim</w:t>
      </w:r>
      <w:r>
        <w:t xml:space="preserve"> </w:t>
      </w:r>
      <w:hyperlink w:anchor="ref-10">
        <w:r>
          <w:rPr>
            <w:rStyle w:val="Hyperlink"/>
          </w:rPr>
          <w:t xml:space="preserve">[10]</w:t>
        </w:r>
      </w:hyperlink>
      <w:r>
        <w:t xml:space="preserve">. The venue coefficient is the largest in absolute terms, -0.1909, and it is negative, suggesting that as one moves from technical proceedings toward the economics literature the raw topic-signal count falls; yet at p = 0.6552 it too fails to clear any conventional threshold</w:t>
      </w:r>
      <w:r>
        <w:t xml:space="preserve"> </w:t>
      </w:r>
      <w:hyperlink w:anchor="ref-3">
        <w:r>
          <w:rPr>
            <w:rStyle w:val="Hyperlink"/>
          </w:rPr>
          <w:t xml:space="preserve">[3]</w:t>
        </w:r>
      </w:hyperlink>
      <w:r>
        <w:t xml:space="preserve">.</w:t>
      </w:r>
    </w:p>
    <w:p>
      <w:pPr>
        <w:pStyle w:val="BodyText"/>
        <w:spacing w:line="480" w:lineRule="auto"/>
        <w:ind w:firstLine="720"/>
      </w:pPr>
      <w:r>
        <w:t xml:space="preserve">The one coefficient that comes closest to precision is the constant, at p = 0.0644. That is a statement about the average topic-signal level across records, not about any predictor, and it should not be misread as support for a relationship. The honest summary of Paper 1 is that the cross-sectional legibility hypothesis is not supported: within this corpus, the topic signal does not move in any precise way with recency, attention, or venue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23"/>
    <w:bookmarkStart w:id="124" w:name="paper-2-the-temporal-screen"/>
    <w:p>
      <w:pPr>
        <w:pStyle w:val="Heading2"/>
        <w:spacing w:line="480" w:lineRule="auto"/>
      </w:pPr>
      <w:r>
        <w:t xml:space="preserve">6.2 Paper 2: the temporal screen</w:t>
      </w:r>
    </w:p>
    <w:p>
      <w:pPr>
        <w:pStyle w:val="FirstParagraph"/>
        <w:spacing w:line="480" w:lineRule="auto"/>
      </w:pPr>
      <w:r>
        <w:t xml:space="preserve">Paper 2 estimates the log-log learning-curve model of citation accumulation on article age, again with HC1 standard errors. The fit summary is as follows. The sample is N = 30. The coefficient of determination is R2 = 0.005787633651631485. The estimated elasticity is elasticity_b = -0.1360021135092354, which corresponds to a progress ratio of progress_ratio_2^b = 0.910037490899599.</w:t>
      </w:r>
    </w:p>
    <w:p>
      <w:pPr>
        <w:pStyle w:val="BodyText"/>
        <w:spacing w:line="480" w:lineRule="auto"/>
        <w:ind w:firstLine="720"/>
      </w:pPr>
      <w:r>
        <w:t xml:space="preserve">The term-level estimates are these. The constant has coefficient 0.9808561461790881, with a standard error of 0.5565 and p = 0.07798036373040075. The log-age term has coefficient -0.1360021135092354, with a standard error of 0.2941 and p = 0.6437175553673509.</w:t>
      </w:r>
    </w:p>
    <w:p>
      <w:pPr>
        <w:pStyle w:val="BodyText"/>
        <w:spacing w:line="480" w:lineRule="auto"/>
        <w:ind w:firstLine="720"/>
      </w:pPr>
      <w:r>
        <w:t xml:space="preserve">The story here rhymes with Paper 1. An R-squared of 0.0058 means article age explains just over half of one percent of the variation in logged citations. The elasticity is negative, -0.1360, which in the language of the mechanism would say that older records draw proportionally slightly fewer citations, a fast-frontier reading. The progress ratio of 0.9100 restates the same slope: each doubling of article age is associated with citations at about ninety-one percent of their prior level. But the p-value on the log-age term is 0.6437, so the elasticity is not distinguishable from zero, and the negative sign is not a finding</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constant, at p = 0.0780, again comes closest to precision, and again it describes a baseline level of logged citations rather than any age relationship. Paper 2 therefore returns the same verdict as Paper 1 through a differently specified model: age carries no precise information about how attention accumulates in this corpus.</w:t>
      </w:r>
    </w:p>
    <w:bookmarkEnd w:id="124"/>
    <w:bookmarkStart w:id="125" w:name="reading-the-two-screens-together"/>
    <w:p>
      <w:pPr>
        <w:pStyle w:val="Heading2"/>
        <w:spacing w:line="480" w:lineRule="auto"/>
      </w:pPr>
      <w:r>
        <w:t xml:space="preserve">6.3 Reading the two screens together</w:t>
      </w:r>
    </w:p>
    <w:p>
      <w:pPr>
        <w:pStyle w:val="FirstParagraph"/>
        <w:spacing w:line="480" w:lineRule="auto"/>
      </w:pPr>
      <w:r>
        <w:t xml:space="preserve">Both screens are diffuse, and their agreement is the most informative thing about them. A single imprecise model could be dismissed as an artifact of one specification’s assumptions. Two models, one cross-sectional and one temporal, built on different outcome variables and different functional forms, both returning coefficients indistinguishable from zero, are much harder to wave away</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convergence is what the design was built to detect.</w:t>
      </w:r>
    </w:p>
    <w:p>
      <w:pPr>
        <w:pStyle w:val="BodyText"/>
        <w:spacing w:line="480" w:lineRule="auto"/>
        <w:ind w:firstLine="720"/>
      </w:pPr>
      <w:r>
        <w:t xml:space="preserve">What that convergence means is exactly what the legibility mechanism warned an analyst to check for. The topic’s rising publication volume does not, in this corpus, translate into observable structure across recency, attention, or venue, and its citation attention does not organize itself around article age. The naive inference, that a loud and growing literature implies a converging cost consensus, is not supported by the metadata. The field looks, through this window, like a collection of point estimates rather than a maturing parameter base</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That is a negative result, and it is a useful one. It does not say a commercial LEO habitat cannot be costed. It says that the current literature does not yet exhibit the bibliometric structure one would expect from a field ready to support a single authoritative bottom-up total, and it says so with numbers a committee can reproduce. The next chapter takes up what this result can and cannot bear, because a negative screen is only valuable if its limits are stated as carefully as its findings</w:t>
      </w:r>
      <w:r>
        <w:t xml:space="preserve"> </w:t>
      </w:r>
      <w:hyperlink w:anchor="ref-8">
        <w:r>
          <w:rPr>
            <w:rStyle w:val="Hyperlink"/>
          </w:rPr>
          <w:t xml:space="preserve">[8]</w:t>
        </w:r>
      </w:hyperlink>
      <w:r>
        <w:t xml:space="preserve">.</w:t>
      </w:r>
    </w:p>
    <w:bookmarkEnd w:id="125"/>
    <w:bookmarkStart w:id="126" w:name="magnitudes-in-context"/>
    <w:p>
      <w:pPr>
        <w:pStyle w:val="Heading2"/>
        <w:spacing w:line="480" w:lineRule="auto"/>
      </w:pPr>
      <w:r>
        <w:t xml:space="preserve">6.4 Magnitudes in context</w:t>
      </w:r>
    </w:p>
    <w:p>
      <w:pPr>
        <w:pStyle w:val="FirstParagraph"/>
        <w:spacing w:line="480" w:lineRule="auto"/>
      </w:pPr>
      <w:r>
        <w:t xml:space="preserve">A coefficient’s magnitude is only interpretable against the scale of the variables it connects, so it is worth situating the Paper 1 estimates on the units they actually inhabit. The topic-signal score in this corpus ranges from one to single digits, and the recency index spans roughly two decades of publication years. A recency coefficient of 0.004496395019195168 therefore implies that moving across the entire twenty-year span of the corpus would shift the predicted topic signal by less than a tenth of a point on a scale where records routinely differ by several points. The effect is not merely imprecise. Even taken at face value, it is negligible in size, which reinforces rather than softens the reading that recency carries no practical structure here</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venue coefficient tells a parallel story. At -0.19088155511596205 across a three-step ordinal scale, the implied swing from technical proceedings to the economics literature is roughly four tenths of a point, again small against the observed spread of the outcome and, at p = 0.6552493469248162, indistinguishable from zero. The citation coefficient of -0.002987139725416973 is smaller still relative to a citation range that reaches into the twenties. Reading magnitude and precision together, the Paper 1 result is doubly negative: the coefficients are both statistically indistinguishable from zero and, where signed, practically trivial</w:t>
      </w:r>
      <w:r>
        <w:t xml:space="preserve"> </w:t>
      </w:r>
      <w:hyperlink w:anchor="ref-10">
        <w:r>
          <w:rPr>
            <w:rStyle w:val="Hyperlink"/>
          </w:rPr>
          <w:t xml:space="preserve">[10]</w:t>
        </w:r>
      </w:hyperlink>
      <w:r>
        <w:t xml:space="preserve">.</w:t>
      </w:r>
    </w:p>
    <w:bookmarkEnd w:id="126"/>
    <w:bookmarkStart w:id="127" w:name="the-progress-ratio-and-its-meaning"/>
    <w:p>
      <w:pPr>
        <w:pStyle w:val="Heading2"/>
        <w:spacing w:line="480" w:lineRule="auto"/>
      </w:pPr>
      <w:r>
        <w:t xml:space="preserve">6.5 The progress ratio and its meaning</w:t>
      </w:r>
    </w:p>
    <w:p>
      <w:pPr>
        <w:pStyle w:val="FirstParagraph"/>
        <w:spacing w:line="480" w:lineRule="auto"/>
      </w:pPr>
      <w:r>
        <w:t xml:space="preserve">Paper 2’s progress ratio of 0.910037490899599 deserves a plain-language unpacking, because progress ratios are easy to misread. In a learning-curve framework, a progress ratio below one means the outcome declines with each doubling of the input; here it would mean citations fall to about ninety-one percent of their level with each doubling of article age. Framed that way, the number sounds like a mild but real fast-frontier effect, newer records drawing somewhat more attention. The p-value of 0.6437175553673509 on the underlying elasticity is what disciplines that reading. A progress ratio computed from an elasticity indistinguishable from zero is itself indistinguishable from one, and a progress ratio of one means age has no effect at all</w:t>
      </w:r>
      <w:r>
        <w:t xml:space="preserve"> </w:t>
      </w:r>
      <w:hyperlink w:anchor="ref-16">
        <w:r>
          <w:rPr>
            <w:rStyle w:val="Hyperlink"/>
          </w:rPr>
          <w:t xml:space="preserve">[16]</w:t>
        </w:r>
      </w:hyperlink>
      <w:r>
        <w:t xml:space="preserve">.</w:t>
      </w:r>
    </w:p>
    <w:p>
      <w:pPr>
        <w:pStyle w:val="BodyText"/>
        <w:spacing w:line="480" w:lineRule="auto"/>
        <w:ind w:firstLine="720"/>
      </w:pPr>
      <w:r>
        <w:t xml:space="preserve">This is a place where reporting the elasticity and its precision together, rather than the progress ratio alone, prevents a subtle overclaim. The point estimate of 0.910 invites a story about frontier dynamics; the standard error of 0.2941 forbids it. The honest statement is that the corpus provides no resolvable evidence that citation attention accumulates in any age-dependent pattern, and the tidy-looking progress ratio should not be allowed to smuggle a conclusion past that fact</w:t>
      </w:r>
      <w:r>
        <w:t xml:space="preserve"> </w:t>
      </w:r>
      <w:hyperlink w:anchor="ref-11">
        <w:r>
          <w:rPr>
            <w:rStyle w:val="Hyperlink"/>
          </w:rPr>
          <w:t xml:space="preserve">[11]</w:t>
        </w:r>
      </w:hyperlink>
      <w:r>
        <w:t xml:space="preserve">.</w:t>
      </w:r>
    </w:p>
    <w:bookmarkEnd w:id="127"/>
    <w:bookmarkStart w:id="128" w:name="Xd3f543935412b6ba11f18034d015ba6ee96301b"/>
    <w:p>
      <w:pPr>
        <w:pStyle w:val="Heading2"/>
        <w:spacing w:line="480" w:lineRule="auto"/>
      </w:pPr>
      <w:r>
        <w:t xml:space="preserve">6.6 Why the intercepts came closest to precision</w:t>
      </w:r>
    </w:p>
    <w:p>
      <w:pPr>
        <w:pStyle w:val="FirstParagraph"/>
        <w:spacing w:line="480" w:lineRule="auto"/>
      </w:pPr>
      <w:r>
        <w:t xml:space="preserve">Both models produced their most nearly precise estimate on the constant, at p = 0.06439735818727614 in Paper 1 and p = 0.07798036373040075 in Paper 2, and it is worth explaining why, so the reader does not mistake these for near-findings. A constant near conventional precision means the outcome has a stable nonzero average across records, a well-defined baseline topic-signal level and a well-defined baseline logged-citation level, once the predictors are accounted for</w:t>
      </w:r>
      <w:r>
        <w:t xml:space="preserve"> </w:t>
      </w:r>
      <w:hyperlink w:anchor="ref-4">
        <w:r>
          <w:rPr>
            <w:rStyle w:val="Hyperlink"/>
          </w:rPr>
          <w:t xml:space="preserve">[4]</w:t>
        </w:r>
      </w:hyperlink>
      <w:r>
        <w:t xml:space="preserve">. That is a statement about the center of the distribution, not about any relationship, and it is exactly what one expects even in a corpus where no predictor carries structure.</w:t>
      </w:r>
    </w:p>
    <w:p>
      <w:pPr>
        <w:pStyle w:val="BodyText"/>
        <w:spacing w:line="480" w:lineRule="auto"/>
        <w:ind w:firstLine="720"/>
      </w:pPr>
      <w:r>
        <w:t xml:space="preserve">The pattern is actually diagnostic of the negative result rather than a caveat to it. When the only estimate approaching precision is the intercept, and every slope is diffuse, the model is telling you that the outcome has a location but no observable dependence on the inputs. A field with legible structure would push precision out onto the slopes; this corpus keeps it on the intercepts. Reading the constants correctly, as baselines rather than effects, is the last piece of interpreting the two screens honestly</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28"/>
    <w:bookmarkStart w:id="129" w:name="robustness-of-the-joint-reading"/>
    <w:p>
      <w:pPr>
        <w:pStyle w:val="Heading2"/>
        <w:spacing w:line="480" w:lineRule="auto"/>
      </w:pPr>
      <w:r>
        <w:t xml:space="preserve">6.7 Robustness of the joint reading</w:t>
      </w:r>
    </w:p>
    <w:p>
      <w:pPr>
        <w:pStyle w:val="FirstParagraph"/>
        <w:spacing w:line="480" w:lineRule="auto"/>
      </w:pPr>
      <w:r>
        <w:t xml:space="preserve">Before turning to limitations, it is worth asking whether the negative reading could be an artifact of how the two models happen to be specified. The design’s answer is the pairing itself. The cross-sectional model and the temporal model share almost nothing beyond the corpus: different outcomes, one a term count and one a logged citation measure; different predictors, one a three-variable set and one a single logged age; different functional forms, linear and log-log</w:t>
      </w:r>
      <w:r>
        <w:t xml:space="preserve"> </w:t>
      </w:r>
      <w:hyperlink w:anchor="ref-1">
        <w:r>
          <w:rPr>
            <w:rStyle w:val="Hyperlink"/>
          </w:rPr>
          <w:t xml:space="preserve">[1]</w:t>
        </w:r>
      </w:hyperlink>
      <w:r>
        <w:t xml:space="preserve"> </w:t>
      </w:r>
      <w:hyperlink w:anchor="ref-6">
        <w:r>
          <w:rPr>
            <w:rStyle w:val="Hyperlink"/>
          </w:rPr>
          <w:t xml:space="preserve">[6]</w:t>
        </w:r>
      </w:hyperlink>
      <w:r>
        <w:t xml:space="preserve">. For both to return jointly insignificant fits, R2 = 0.006369723626758805 in the first and R2 = 0.005787633651631485 in the second, requires the metadata to be genuinely uninformative rather than merely mismatched to one estimator.</w:t>
      </w:r>
    </w:p>
    <w:p>
      <w:pPr>
        <w:pStyle w:val="BodyText"/>
        <w:spacing w:line="480" w:lineRule="auto"/>
        <w:ind w:firstLine="720"/>
      </w:pPr>
      <w:r>
        <w:t xml:space="preserve">That shared verdict across independent specifications is the strongest robustness claim a screen of this size can make. It does not immunize the finding against the deeper threats Chapter 7 raises, the small sample, the proxy variables, the convenience corpus, but it does close off the easiest objection, that a single unlucky model choice manufactured the null. Two models built to see different things both saw nothing, and that agreement is the empirical core the discussion chapter now interprets</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129"/>
    <w:bookmarkStart w:id="130" w:name="X157a3ecb9b20da0d0160a869d1698d07885df73"/>
    <w:p>
      <w:pPr>
        <w:pStyle w:val="Heading2"/>
        <w:spacing w:line="480" w:lineRule="auto"/>
      </w:pPr>
      <w:r>
        <w:t xml:space="preserve">6.8 What a positive result would have looked like</w:t>
      </w:r>
    </w:p>
    <w:p>
      <w:pPr>
        <w:pStyle w:val="FirstParagraph"/>
        <w:spacing w:line="480" w:lineRule="auto"/>
      </w:pPr>
      <w:r>
        <w:t xml:space="preserve">Interpreting a null is easier when the reader can picture the alternative it fell short of, so it is worth describing the result the legibility mechanism would have produced in a mature field. A converged costing literature would have driven the recency coefficient positive and precise, with a p-value well below conventional thresholds and a magnitude large enough to shift the topic signal by a meaningful fraction of its range across the corpus span</w:t>
      </w:r>
      <w:r>
        <w:t xml:space="preserve"> </w:t>
      </w:r>
      <w:hyperlink w:anchor="ref-11">
        <w:r>
          <w:rPr>
            <w:rStyle w:val="Hyperlink"/>
          </w:rPr>
          <w:t xml:space="preserve">[11]</w:t>
        </w:r>
      </w:hyperlink>
      <w:r>
        <w:t xml:space="preserve">. The joint F-test would have rejected the null of no relationship, and the adjusted coefficient of determination would have been comfortably positive rather than the -0.10827992364707684 the model actually returned. The temporal screen, in that world, would have shown an elasticity distinguishable from zero, with the progress ratio departing clearly from one in whichever direction the field’s attention dynamics ran</w:t>
      </w:r>
      <w:r>
        <w:t xml:space="preserve"> </w:t>
      </w:r>
      <w:hyperlink w:anchor="ref-16">
        <w:r>
          <w:rPr>
            <w:rStyle w:val="Hyperlink"/>
          </w:rPr>
          <w:t xml:space="preserve">[16]</w:t>
        </w:r>
      </w:hyperlink>
      <w:r>
        <w:t xml:space="preserve">.</w:t>
      </w:r>
    </w:p>
    <w:p>
      <w:pPr>
        <w:pStyle w:val="BodyText"/>
        <w:spacing w:line="480" w:lineRule="auto"/>
        <w:ind w:firstLine="720"/>
      </w:pPr>
      <w:r>
        <w:t xml:space="preserve">Against that picture, the observed estimates are unambiguous about which world we are in. A recency coefficient of 0.004496395019195168 at p = 0.964369851499303 is not a weak version of the mature-field result; it is the shape a diffuse field produces. The contrast is the point. The screen was not searching blindly for any pattern; it was testing for a specific, pre-described signature, and it found the signature’s absence rather than merely a failure to find something</w:t>
      </w:r>
      <w:r>
        <w:t xml:space="preserve"> </w:t>
      </w:r>
      <w:hyperlink w:anchor="ref-8">
        <w:r>
          <w:rPr>
            <w:rStyle w:val="Hyperlink"/>
          </w:rPr>
          <w:t xml:space="preserve">[8]</w:t>
        </w:r>
      </w:hyperlink>
      <w:r>
        <w:t xml:space="preserve">. Naming the expected positive result explicitly is what turns the null from an anticlimax into a genuine, interpretable finding</w:t>
      </w:r>
      <w:r>
        <w:t xml:space="preserve"> </w:t>
      </w:r>
      <w:hyperlink w:anchor="ref-9">
        <w:r>
          <w:rPr>
            <w:rStyle w:val="Hyperlink"/>
          </w:rPr>
          <w:t xml:space="preserve">[9]</w:t>
        </w:r>
      </w:hyperlink>
      <w:r>
        <w:t xml:space="preserve">.</w:t>
      </w:r>
    </w:p>
    <w:bookmarkEnd w:id="130"/>
    <w:bookmarkStart w:id="131" w:name="reconciling-the-signs-with-the-mechanism"/>
    <w:p>
      <w:pPr>
        <w:pStyle w:val="Heading2"/>
        <w:spacing w:line="480" w:lineRule="auto"/>
      </w:pPr>
      <w:r>
        <w:t xml:space="preserve">6.9 Reconciling the signs with the mechanism</w:t>
      </w:r>
    </w:p>
    <w:p>
      <w:pPr>
        <w:pStyle w:val="FirstParagraph"/>
        <w:spacing w:line="480" w:lineRule="auto"/>
      </w:pPr>
      <w:r>
        <w:t xml:space="preserve">Two of the observed slopes carry the sign the mechanism would not have predicted, and honesty requires addressing that rather than passing over it. The citation coefficient is negative, -0.002987139725416973, where the legibility story expected attention to track substance positively, and the temporal elasticity is negative, -0.1360021135092354, which the fast-frontier reading can accommodate but which the load-bearing-foundations reading cannot</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A reader tempted to build a story on these signs should be stopped by their p-values, 0.941664258269009 and 0.6437175553673509 respectively, which place both estimates squarely within the range attributable to noise.</w:t>
      </w:r>
    </w:p>
    <w:p>
      <w:pPr>
        <w:pStyle w:val="BodyText"/>
        <w:spacing w:line="480" w:lineRule="auto"/>
        <w:ind w:firstLine="720"/>
      </w:pPr>
      <w:r>
        <w:t xml:space="preserve">The correct reconciliation is therefore not to explain the negative signs but to decline to interpret them. In a field with no resolvable structure, the sign of an imprecise coefficient is a coin flip, and reading it would be exactly the error the diagnostics were installed to prevent</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mechanism predicted precise structure; the data returned imprecise coefficients of arbitrary sign; and the disciplined conclusion is that the predictors carry no usable information about the topic signal in this corpus, whatever direction their point estimates happen to point</w:t>
      </w:r>
      <w:r>
        <w:t xml:space="preserve"> </w:t>
      </w:r>
      <w:hyperlink w:anchor="ref-6">
        <w:r>
          <w:rPr>
            <w:rStyle w:val="Hyperlink"/>
          </w:rPr>
          <w:t xml:space="preserve">[6]</w:t>
        </w:r>
      </w:hyperlink>
      <w:r>
        <w:t xml:space="preserve">. That refusal to over-read is itself a result, because it is the behavior a program office would want from any analyst handed a diffuse model and a tempting sign</w:t>
      </w:r>
      <w:r>
        <w:t xml:space="preserve"> </w:t>
      </w:r>
      <w:hyperlink w:anchor="ref-8">
        <w:r>
          <w:rPr>
            <w:rStyle w:val="Hyperlink"/>
          </w:rPr>
          <w:t xml:space="preserve">[8]</w:t>
        </w:r>
      </w:hyperlink>
      <w:r>
        <w:t xml:space="preserve">.</w:t>
      </w:r>
    </w:p>
    <w:bookmarkEnd w:id="131"/>
    <w:bookmarkStart w:id="132" w:name="X386dc91cb01fe91163d370f316e4842d61c641d"/>
    <w:p>
      <w:pPr>
        <w:pStyle w:val="Heading2"/>
        <w:spacing w:line="480" w:lineRule="auto"/>
      </w:pPr>
      <w:r>
        <w:t xml:space="preserve">6.10 Placing the fit statistics on a common scale</w:t>
      </w:r>
    </w:p>
    <w:p>
      <w:pPr>
        <w:pStyle w:val="FirstParagraph"/>
        <w:spacing w:line="480" w:lineRule="auto"/>
      </w:pPr>
      <w:r>
        <w:t xml:space="preserve">The two models report coefficients of determination that are numerically close, R2 = 0.006369723626758805 for the cross-sectional screen and R2 = 0.005787633651631485 for the temporal screen, and it is worth pausing on how remarkable that closeness is given how different the two models are. One regresses a term count on three predictors in levels; the other regresses logged citations on a single logged predictor. They share only the corpus, yet both land near six thousandths of explained variation</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Two utterly different windows onto the same thirty records both show almost nothing, which is a stronger statement than either window could make alone.</w:t>
      </w:r>
    </w:p>
    <w:p>
      <w:pPr>
        <w:pStyle w:val="BodyText"/>
        <w:spacing w:line="480" w:lineRule="auto"/>
        <w:ind w:firstLine="720"/>
      </w:pPr>
      <w:r>
        <w:t xml:space="preserve">A useful benchmark helps calibrate how small these figures are. In applied bibliometric work, even a weak but real relationship typically accounts for a few percent of variation; these models account for roughly six tenths of one percent, an order of magnitude below the threshold where a relationship starts to look like signal rather than noise</w:t>
      </w:r>
      <w:r>
        <w:t xml:space="preserve"> </w:t>
      </w:r>
      <w:hyperlink w:anchor="ref-10">
        <w:r>
          <w:rPr>
            <w:rStyle w:val="Hyperlink"/>
          </w:rPr>
          <w:t xml:space="preserve">[10]</w:t>
        </w:r>
      </w:hyperlink>
      <w:r>
        <w:t xml:space="preserve">. The fit statistics are not merely non-significant. They are small on an absolute scale, and their smallness is consistent across two independent specifications, which is precisely the pattern a genuinely diffuse literature would produce and a merely underpowered detection of a real effect would not</w:t>
      </w:r>
      <w:r>
        <w:t xml:space="preserve"> </w:t>
      </w:r>
      <w:hyperlink w:anchor="ref-16">
        <w:r>
          <w:rPr>
            <w:rStyle w:val="Hyperlink"/>
          </w:rPr>
          <w:t xml:space="preserve">[16]</w:t>
        </w:r>
      </w:hyperlink>
      <w:r>
        <w:t xml:space="preserve">.</w:t>
      </w:r>
    </w:p>
    <w:bookmarkEnd w:id="132"/>
    <w:bookmarkStart w:id="133" w:name="X561d868a907ecf45d157625e2c989ab81172a16"/>
    <w:p>
      <w:pPr>
        <w:pStyle w:val="Heading2"/>
        <w:spacing w:line="480" w:lineRule="auto"/>
      </w:pPr>
      <w:r>
        <w:t xml:space="preserve">6.11 The results in the language of the decision</w:t>
      </w:r>
    </w:p>
    <w:p>
      <w:pPr>
        <w:pStyle w:val="FirstParagraph"/>
        <w:spacing w:line="480" w:lineRule="auto"/>
      </w:pPr>
      <w:r>
        <w:t xml:space="preserve">Translated into the terms of the analyst the dissertation was written for, the results say something specific and usable. Handed a feasibility total for a commercial habitat, that analyst wanted to know how much the surrounding literature could vouch for it. The screens answer that the literature, as captured in this corpus, shows no observable convergence structure to vouch with</w:t>
      </w:r>
      <w:r>
        <w:t xml:space="preserve"> </w:t>
      </w:r>
      <w:hyperlink w:anchor="ref-8">
        <w:r>
          <w:rPr>
            <w:rStyle w:val="Hyperlink"/>
          </w:rPr>
          <w:t xml:space="preserve">[8]</w:t>
        </w:r>
      </w:hyperlink>
      <w:r>
        <w:t xml:space="preserve"> </w:t>
      </w:r>
      <w:hyperlink w:anchor="ref-9">
        <w:r>
          <w:rPr>
            <w:rStyle w:val="Hyperlink"/>
          </w:rPr>
          <w:t xml:space="preserve">[9]</w:t>
        </w:r>
      </w:hyperlink>
      <w:r>
        <w:t xml:space="preserve">. The topic’s rising volume is real, but volume without structure does not underwrite a number, and the analyst should therefore treat any single total as one island’s estimate pending direct parameter reconciliation.</w:t>
      </w:r>
    </w:p>
    <w:p>
      <w:pPr>
        <w:pStyle w:val="BodyText"/>
        <w:spacing w:line="480" w:lineRule="auto"/>
        <w:ind w:firstLine="720"/>
      </w:pPr>
      <w:r>
        <w:t xml:space="preserve">That is not a counsel of despair; it is a calibration. It tells the analyst to weight a single feasibility figure lightly, to seek cross-study reconciliation before committing, and to press for the substantive parameter comparison that metadata alone cannot supply</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A screen that returned strong structure would have licensed more confidence; this one licenses less, and it says so with reproducible numbers rather than intuition. Converting the estimator output into that calibrated instruction is the results chapter’s final obligation, and the discussion chapter now examines how far the instruction can safely be trusted</w:t>
      </w:r>
      <w:r>
        <w:t xml:space="preserve"> </w:t>
      </w:r>
      <w:hyperlink w:anchor="ref-6">
        <w:r>
          <w:rPr>
            <w:rStyle w:val="Hyperlink"/>
          </w:rPr>
          <w:t xml:space="preserve">[6]</w:t>
        </w:r>
      </w:hyperlink>
      <w:r>
        <w:t xml:space="preserve">.</w:t>
      </w:r>
    </w:p>
    <w:bookmarkEnd w:id="133"/>
    <w:bookmarkEnd w:id="134"/>
    <w:bookmarkStart w:id="148" w:name="chapter-7.-discussion-and-limitations"/>
    <w:p>
      <w:pPr>
        <w:pStyle w:val="Heading1"/>
        <w:spacing w:line="480" w:lineRule="auto"/>
      </w:pPr>
      <w:r>
        <w:t xml:space="preserve">Chapter 7. Discussion and Limitations</w:t>
      </w:r>
    </w:p>
    <w:p>
      <w:pPr>
        <w:pStyle w:val="FirstParagraph"/>
        <w:spacing w:line="480" w:lineRule="auto"/>
      </w:pPr>
      <w:r>
        <w:t xml:space="preserve">A negative screen is a fragile thing to interpret, and it is easy to overread in either direction. Read too strongly, the diffuse coefficients of Chapter 6 become a claim that the commercial LEO habitat literature is worthless, which they are not. Read too weakly, they become a shrug, a null result to be filed and forgotten, which wastes their diagnostic value. This chapter walks the line between those errors. It asks what the two screens actually license us to say, then it names, without flinching, the threats to validity that keep the finding modest.</w:t>
      </w:r>
    </w:p>
    <w:bookmarkStart w:id="135" w:name="what-the-finding-means"/>
    <w:p>
      <w:pPr>
        <w:pStyle w:val="Heading2"/>
        <w:spacing w:line="480" w:lineRule="auto"/>
      </w:pPr>
      <w:r>
        <w:t xml:space="preserve">7.1 What the finding means</w:t>
      </w:r>
    </w:p>
    <w:p>
      <w:pPr>
        <w:pStyle w:val="FirstParagraph"/>
        <w:spacing w:line="480" w:lineRule="auto"/>
      </w:pPr>
      <w:r>
        <w:t xml:space="preserve">The defensible reading is precise. Within the thirty-record corpus, the topic-signal score does not vary in any statistically resolvable way with recency, citation attention, or venue family, and citation accumulation does not organize itself around article age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Both screens fail to reject their nulls, and they fail together. Under the legibility mechanism developed in Chapter 3, that joint failure is evidence that the literature has not yet converged into the kind of structured parameter base a single authoritative cost model would rest on.</w:t>
      </w:r>
    </w:p>
    <w:p>
      <w:pPr>
        <w:pStyle w:val="BodyText"/>
        <w:spacing w:line="480" w:lineRule="auto"/>
        <w:ind w:firstLine="720"/>
      </w:pPr>
      <w:r>
        <w:t xml:space="preserve">This matters most for the practitioner the dissertation is written for. A program officer weighing how much confidence to place in any one feasibility total now has a bibliometric reason for caution: the surrounding literature does not show the convergence signature that would justify treating one study’s number as a field consensus</w:t>
      </w:r>
      <w:r>
        <w:t xml:space="preserve"> </w:t>
      </w:r>
      <w:hyperlink w:anchor="ref-8">
        <w:r>
          <w:rPr>
            <w:rStyle w:val="Hyperlink"/>
          </w:rPr>
          <w:t xml:space="preserve">[8]</w:t>
        </w:r>
      </w:hyperlink>
      <w:r>
        <w:t xml:space="preserve">. The result reframes the loudness of the commercial-station literature. Loudness is real, but loudness without observable structure is exactly what an immature costing topic looks like, and the screens make that distinction empirical rather than impressionistic</w:t>
      </w:r>
      <w:r>
        <w:t xml:space="preserve"> </w:t>
      </w:r>
      <w:hyperlink w:anchor="ref-11">
        <w:r>
          <w:rPr>
            <w:rStyle w:val="Hyperlink"/>
          </w:rPr>
          <w:t xml:space="preserve">[11]</w:t>
        </w:r>
      </w:hyperlink>
      <w:r>
        <w:t xml:space="preserve">.</w:t>
      </w:r>
    </w:p>
    <w:p>
      <w:pPr>
        <w:pStyle w:val="BodyText"/>
        <w:spacing w:line="480" w:lineRule="auto"/>
        <w:ind w:firstLine="720"/>
      </w:pPr>
      <w:r>
        <w:t xml:space="preserve">The finding also has a constructive edge. A negative screen tells you where to point the next, more expensive instrument. If bibliometric metadata cannot detect legibility, then the convergence, if it exists, must live in the substance of the documents, in the shared parameter values and assumptions that feasibility studies bury in prose. That is a direct instruction for the document-coding work Chapter 8 proposes, and it would have been invisible without a screen that came back diffuse</w:t>
      </w:r>
      <w:r>
        <w:t xml:space="preserve"> </w:t>
      </w:r>
      <w:hyperlink w:anchor="ref-16">
        <w:r>
          <w:rPr>
            <w:rStyle w:val="Hyperlink"/>
          </w:rPr>
          <w:t xml:space="preserve">[16]</w:t>
        </w:r>
      </w:hyperlink>
      <w:r>
        <w:t xml:space="preserve">.</w:t>
      </w:r>
    </w:p>
    <w:bookmarkEnd w:id="135"/>
    <w:bookmarkStart w:id="136" w:name="the-sample-size-threat"/>
    <w:p>
      <w:pPr>
        <w:pStyle w:val="Heading2"/>
        <w:spacing w:line="480" w:lineRule="auto"/>
      </w:pPr>
      <w:r>
        <w:t xml:space="preserve">7.2 The sample-size threat</w:t>
      </w:r>
    </w:p>
    <w:p>
      <w:pPr>
        <w:pStyle w:val="FirstParagraph"/>
        <w:spacing w:line="480" w:lineRule="auto"/>
      </w:pPr>
      <w:r>
        <w:t xml:space="preserve">The first and largest threat is power. Thirty records with three predictors is a thin design, and a thin design cannot distinguish a true null from an effect too small to resolve. The imprecise coefficients of Chapter 6 are genuinely ambiguous between those two states, and intellectual honesty requires holding both possibilities open rather than collapsing them into a confident</w:t>
      </w:r>
      <w:r>
        <w:t xml:space="preserve"> </w:t>
      </w:r>
      <w:r>
        <w:t xml:space="preserve">“no effect”</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screens can rule out large, obvious structure. They cannot rule out subtle structure, and a larger corpus might resolve relationships that thirty records leave in the noise.</w:t>
      </w:r>
    </w:p>
    <w:p>
      <w:pPr>
        <w:pStyle w:val="BodyText"/>
        <w:spacing w:line="480" w:lineRule="auto"/>
        <w:ind w:firstLine="720"/>
      </w:pPr>
      <w:r>
        <w:t xml:space="preserve">This threat is not fatal, but it is real, and it disciplines the claim. The dissertation does not assert that recency, attention, and venue are unrelated to the topic signal in the space economy at large. It asserts the narrower and defensible point that no such relationship is resolvable in this corpus at this size, which is a statement about the evidence in hand rather than about the world</w:t>
      </w:r>
      <w:r>
        <w:t xml:space="preserve"> </w:t>
      </w:r>
      <w:hyperlink w:anchor="ref-8">
        <w:r>
          <w:rPr>
            <w:rStyle w:val="Hyperlink"/>
          </w:rPr>
          <w:t xml:space="preserve">[8]</w:t>
        </w:r>
      </w:hyperlink>
      <w:r>
        <w:t xml:space="preserve">.</w:t>
      </w:r>
    </w:p>
    <w:bookmarkEnd w:id="136"/>
    <w:bookmarkStart w:id="137" w:name="the-proxy-measurement-threat"/>
    <w:p>
      <w:pPr>
        <w:pStyle w:val="Heading2"/>
        <w:spacing w:line="480" w:lineRule="auto"/>
      </w:pPr>
      <w:r>
        <w:t xml:space="preserve">7.3 The proxy-measurement threat</w:t>
      </w:r>
    </w:p>
    <w:p>
      <w:pPr>
        <w:pStyle w:val="FirstParagraph"/>
        <w:spacing w:line="480" w:lineRule="auto"/>
      </w:pPr>
      <w:r>
        <w:t xml:space="preserve">The second threat is that the variables are proxies, and proxies leak. The topic-signal score is a deterministic term count, which buys reproducibility at the cost of depth: it registers surface topical presence but cannot see whether a record engages the costing question substantively or merely mentions the theme in passing</w:t>
      </w:r>
      <w:r>
        <w:t xml:space="preserve"> </w:t>
      </w:r>
      <w:hyperlink w:anchor="ref-9">
        <w:r>
          <w:rPr>
            <w:rStyle w:val="Hyperlink"/>
          </w:rPr>
          <w:t xml:space="preserve">[9]</w:t>
        </w:r>
      </w:hyperlink>
      <w:r>
        <w:t xml:space="preserve">. A feasibility study that quietly advances a shared cost parameter and a policy paper that name-checks commercial stations could score similarly, even though only one contributes to legibility. If the real signature of convergence is substantive rather than lexical, the topic-signal score would miss it by construction, and the negative screen would understate the field’s actual maturity.</w:t>
      </w:r>
    </w:p>
    <w:p>
      <w:pPr>
        <w:pStyle w:val="BodyText"/>
        <w:spacing w:line="480" w:lineRule="auto"/>
        <w:ind w:firstLine="720"/>
      </w:pPr>
      <w:r>
        <w:t xml:space="preserve">Citation attention carries its own leak. The counts come from a local index, not a universal citation database, and a local count is a lower bound of uncertain tightness</w:t>
      </w:r>
      <w:r>
        <w:t xml:space="preserve"> </w:t>
      </w:r>
      <w:hyperlink w:anchor="ref-10">
        <w:r>
          <w:rPr>
            <w:rStyle w:val="Hyperlink"/>
          </w:rPr>
          <w:t xml:space="preserve">[10]</w:t>
        </w:r>
      </w:hyperlink>
      <w:r>
        <w:t xml:space="preserve">. Venue family leaks too: the ordinal score compresses a rich publication landscape into three ranks, and it risks encoding publication practices, which venues happen to be indexed, rather than substantive importance</w:t>
      </w:r>
      <w:r>
        <w:t xml:space="preserve"> </w:t>
      </w:r>
      <w:hyperlink w:anchor="ref-3">
        <w:r>
          <w:rPr>
            <w:rStyle w:val="Hyperlink"/>
          </w:rPr>
          <w:t xml:space="preserve">[3]</w:t>
        </w:r>
      </w:hyperlink>
      <w:r>
        <w:t xml:space="preserve">. Each proxy was chosen for auditability, and each pays for that choice in fidelity. The screens are only as good as these proxies, and the proxies are honest but coarse.</w:t>
      </w:r>
    </w:p>
    <w:bookmarkEnd w:id="137"/>
    <w:bookmarkStart w:id="138" w:name="the-representativeness-threat"/>
    <w:p>
      <w:pPr>
        <w:pStyle w:val="Heading2"/>
        <w:spacing w:line="480" w:lineRule="auto"/>
      </w:pPr>
      <w:r>
        <w:t xml:space="preserve">7.4 The representativeness threat</w:t>
      </w:r>
    </w:p>
    <w:p>
      <w:pPr>
        <w:pStyle w:val="FirstParagraph"/>
        <w:spacing w:line="480" w:lineRule="auto"/>
      </w:pPr>
      <w:r>
        <w:t xml:space="preserve">The third threat is that the corpus is a convenience sample. The thirty records come from the candidate’s assembled collection, assembled to frame the dissertation, not drawn at random from a defined population of habitat-costing literature</w:t>
      </w:r>
      <w:r>
        <w:t xml:space="preserve"> </w:t>
      </w:r>
      <w:hyperlink w:anchor="ref-1">
        <w:r>
          <w:rPr>
            <w:rStyle w:val="Hyperlink"/>
          </w:rPr>
          <w:t xml:space="preserve">[1]</w:t>
        </w:r>
      </w:hyperlink>
      <w:r>
        <w:t xml:space="preserve"> </w:t>
      </w:r>
      <w:hyperlink w:anchor="ref-6">
        <w:r>
          <w:rPr>
            <w:rStyle w:val="Hyperlink"/>
          </w:rPr>
          <w:t xml:space="preserve">[6]</w:t>
        </w:r>
      </w:hyperlink>
      <w:r>
        <w:t xml:space="preserve">. Clean estimation does not repair a non-random sample. Whatever structure exists or fails to exist in these thirty records need not hold in the broader field, and a differently assembled corpus could return a different screen. The dissertation scopes every claim to the retrieved corpus precisely because it cannot claim more, and a reader should resist the temptation to generalize past that boundary</w:t>
      </w:r>
      <w:r>
        <w:t xml:space="preserve"> </w:t>
      </w:r>
      <w:hyperlink w:anchor="ref-5">
        <w:r>
          <w:rPr>
            <w:rStyle w:val="Hyperlink"/>
          </w:rPr>
          <w:t xml:space="preserve">[5]</w:t>
        </w:r>
      </w:hyperlink>
      <w:r>
        <w:t xml:space="preserve">.</w:t>
      </w:r>
    </w:p>
    <w:bookmarkEnd w:id="138"/>
    <w:bookmarkStart w:id="139" w:name="the-omitted-driver-threat"/>
    <w:p>
      <w:pPr>
        <w:pStyle w:val="Heading2"/>
        <w:spacing w:line="480" w:lineRule="auto"/>
      </w:pPr>
      <w:r>
        <w:t xml:space="preserve">7.5 The omitted-driver threat</w:t>
      </w:r>
    </w:p>
    <w:p>
      <w:pPr>
        <w:pStyle w:val="FirstParagraph"/>
        <w:spacing w:line="480" w:lineRule="auto"/>
      </w:pPr>
      <w:r>
        <w:t xml:space="preserve">The fourth threat is that the true driver of the topic signal may be a variable the metadata never captured. A record’s engagement with habitat costing could be governed by its technical subsystem focus, its funding source, or its intended audience, none of which appear as regressors</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If such a driver exists and correlates with the included predictors, the screen’s coefficients absorb its influence in ways the model cannot disentangle. This is the standard omitted-variable caution, and it applies with full force to a bibliometric design that observes only what the index records.</w:t>
      </w:r>
    </w:p>
    <w:bookmarkEnd w:id="139"/>
    <w:bookmarkStart w:id="140" w:name="what-the-data-cannot-show"/>
    <w:p>
      <w:pPr>
        <w:pStyle w:val="Heading2"/>
        <w:spacing w:line="480" w:lineRule="auto"/>
      </w:pPr>
      <w:r>
        <w:t xml:space="preserve">7.6 What the data cannot show</w:t>
      </w:r>
    </w:p>
    <w:p>
      <w:pPr>
        <w:pStyle w:val="FirstParagraph"/>
        <w:spacing w:line="480" w:lineRule="auto"/>
      </w:pPr>
      <w:r>
        <w:t xml:space="preserve">Pulling these threats together yields a clean statement of the study’s ceiling. The data cannot show a causal effect of recency, attention, or venue on anything. They cannot show the topic’s true distribution across the space economy. They cannot show whether substantive convergence exists beneath a lexically diffuse surface. And with thirty records, they cannot detect small effects even where such effects are real</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What the data can show is bounded but not trivial. They can show that the obvious, first-order structure a maturing costing field would broadcast through its metadata is not present in this corpus, and they can show it with reproducible numbers. That is a real result, and its value depends entirely on stating these limits as plainly as the finding itself. A negative screen that hid its own fragility would be worse than no screen at all; a negative screen that names exactly where it stops is a genuine contribution to knowing how far the evidence reaches</w:t>
      </w:r>
      <w:r>
        <w:t xml:space="preserve"> </w:t>
      </w:r>
      <w:hyperlink w:anchor="ref-8">
        <w:r>
          <w:rPr>
            <w:rStyle w:val="Hyperlink"/>
          </w:rPr>
          <w:t xml:space="preserve">[8]</w:t>
        </w:r>
      </w:hyperlink>
      <w:r>
        <w:t xml:space="preserve">.</w:t>
      </w:r>
    </w:p>
    <w:bookmarkEnd w:id="140"/>
    <w:bookmarkStart w:id="141" w:name="the-file-drawer-and-selection-dynamics"/>
    <w:p>
      <w:pPr>
        <w:pStyle w:val="Heading2"/>
        <w:spacing w:line="480" w:lineRule="auto"/>
      </w:pPr>
      <w:r>
        <w:t xml:space="preserve">7.7 The file-drawer and selection dynamics</w:t>
      </w:r>
    </w:p>
    <w:p>
      <w:pPr>
        <w:pStyle w:val="FirstParagraph"/>
        <w:spacing w:line="480" w:lineRule="auto"/>
      </w:pPr>
      <w:r>
        <w:t xml:space="preserve">A subtler threat concerns how the corpus came to exist. The records that reach an assembled collection are the records that were published, indexed, and retrievable, and each of those filters has a selection logic. Feasibility studies that reached optimistic conclusions may be likelier to appear in a candidate’s assembled pack than analyses that concluded a commercial station could not close its business case, simply because optimistic concepts attract follow-on work and pessimistic ones quietly end</w:t>
      </w:r>
      <w:r>
        <w:t xml:space="preserve"> </w:t>
      </w:r>
      <w:hyperlink w:anchor="ref-9">
        <w:r>
          <w:rPr>
            <w:rStyle w:val="Hyperlink"/>
          </w:rPr>
          <w:t xml:space="preserve">[9]</w:t>
        </w:r>
      </w:hyperlink>
      <w:r>
        <w:t xml:space="preserve">. If such a selection operates, the corpus overrepresents concepts that survived, and the screen measures the structure of survivors rather than of the field as a whole.</w:t>
      </w:r>
    </w:p>
    <w:p>
      <w:pPr>
        <w:pStyle w:val="BodyText"/>
        <w:spacing w:line="480" w:lineRule="auto"/>
        <w:ind w:firstLine="720"/>
      </w:pPr>
      <w:r>
        <w:t xml:space="preserve">This matters for a costing dissertation more than for most, because cost pessimism is exactly the signal a program office most needs and the signal most likely to be filtered out before publication. The screen cannot correct for a bias it cannot observe, and it does not try. What it can do is name the bias so that a reader treats the corpus as a sample of what got written down rather than a sample of what is true, and so that the future document-coding work is designed to hunt deliberately for the pessimistic cases that a convenience pack tends to miss</w:t>
      </w:r>
      <w:r>
        <w:t xml:space="preserve"> </w:t>
      </w:r>
      <w:hyperlink w:anchor="ref-10">
        <w:r>
          <w:rPr>
            <w:rStyle w:val="Hyperlink"/>
          </w:rPr>
          <w:t xml:space="preserve">[10]</w:t>
        </w:r>
      </w:hyperlink>
      <w:r>
        <w:t xml:space="preserve"> </w:t>
      </w:r>
      <w:hyperlink w:anchor="ref-8">
        <w:r>
          <w:rPr>
            <w:rStyle w:val="Hyperlink"/>
          </w:rPr>
          <w:t xml:space="preserve">[8]</w:t>
        </w:r>
      </w:hyperlink>
      <w:r>
        <w:t xml:space="preserve">.</w:t>
      </w:r>
    </w:p>
    <w:bookmarkEnd w:id="141"/>
    <w:bookmarkStart w:id="142" w:name="construct-validity-of-the-topic-signal"/>
    <w:p>
      <w:pPr>
        <w:pStyle w:val="Heading2"/>
        <w:spacing w:line="480" w:lineRule="auto"/>
      </w:pPr>
      <w:r>
        <w:t xml:space="preserve">7.8 Construct validity of the topic signal</w:t>
      </w:r>
    </w:p>
    <w:p>
      <w:pPr>
        <w:pStyle w:val="FirstParagraph"/>
        <w:spacing w:line="480" w:lineRule="auto"/>
      </w:pPr>
      <w:r>
        <w:t xml:space="preserve">The topic-signal score carries a construct-validity question worth isolating. The score counts theme-term hits across a record’s title, snippet, keywords, and author metadata, which makes it a measure of lexical proximity to the topic rather than of substantive contribution to costing it. A record can score high by repeating the vocabulary of commercial stations while contributing nothing to their cost model, and a record can score low while advancing a decisive parameter in language the term list does not catch</w:t>
      </w:r>
      <w:r>
        <w:t xml:space="preserve"> </w:t>
      </w:r>
      <w:hyperlink w:anchor="ref-15">
        <w:r>
          <w:rPr>
            <w:rStyle w:val="Hyperlink"/>
          </w:rPr>
          <w:t xml:space="preserve">[15]</w:t>
        </w:r>
      </w:hyperlink>
      <w:r>
        <w:t xml:space="preserve">. The construct the dissertation cares about is contribution to legibility; the construct the score measures is lexical presence; and the gap between them is a genuine threat.</w:t>
      </w:r>
    </w:p>
    <w:p>
      <w:pPr>
        <w:pStyle w:val="BodyText"/>
        <w:spacing w:line="480" w:lineRule="auto"/>
        <w:ind w:firstLine="720"/>
      </w:pPr>
      <w:r>
        <w:t xml:space="preserve">The defense is not that the gap is small but that it is honest and reproducible. A judgment-coded measure of substantive contribution would close the construct gap at the cost of introducing coder subjectivity and destroying reproducibility, and for a screening instrument that trade is the wrong one</w:t>
      </w:r>
      <w:r>
        <w:t xml:space="preserve"> </w:t>
      </w:r>
      <w:hyperlink w:anchor="ref-16">
        <w:r>
          <w:rPr>
            <w:rStyle w:val="Hyperlink"/>
          </w:rPr>
          <w:t xml:space="preserve">[16]</w:t>
        </w:r>
      </w:hyperlink>
      <w:r>
        <w:t xml:space="preserve">. The right response is to treat the topic-signal result as a statement about lexical structure, to note that lexical structure is a lower bound on substantive structure, and to hand the substantive question to a coding study designed for it. Chapter 8 does exactly that.</w:t>
      </w:r>
    </w:p>
    <w:bookmarkEnd w:id="142"/>
    <w:bookmarkStart w:id="143" w:name="what-would-change-the-conclusion"/>
    <w:p>
      <w:pPr>
        <w:pStyle w:val="Heading2"/>
        <w:spacing w:line="480" w:lineRule="auto"/>
      </w:pPr>
      <w:r>
        <w:t xml:space="preserve">7.9 What would change the conclusion</w:t>
      </w:r>
    </w:p>
    <w:p>
      <w:pPr>
        <w:pStyle w:val="FirstParagraph"/>
        <w:spacing w:line="480" w:lineRule="auto"/>
      </w:pPr>
      <w:r>
        <w:t xml:space="preserve">Intellectual honesty includes stating what evidence would overturn the finding, so a reader can judge whether the conclusion is falsifiable rather than merely asserted. Three things would change it. A substantially larger, protocol-assembled corpus that revealed precise cross-sectional or temporal structure would show that thirty records had simply lacked the power to detect real legibility</w:t>
      </w:r>
      <w:r>
        <w:t xml:space="preserve"> </w:t>
      </w:r>
      <w:hyperlink w:anchor="ref-4">
        <w:r>
          <w:rPr>
            <w:rStyle w:val="Hyperlink"/>
          </w:rPr>
          <w:t xml:space="preserve">[4]</w:t>
        </w:r>
      </w:hyperlink>
      <w:r>
        <w:t xml:space="preserve"> </w:t>
      </w:r>
      <w:hyperlink w:anchor="ref-5">
        <w:r>
          <w:rPr>
            <w:rStyle w:val="Hyperlink"/>
          </w:rPr>
          <w:t xml:space="preserve">[5]</w:t>
        </w:r>
      </w:hyperlink>
      <w:r>
        <w:t xml:space="preserve">. A document-coding study that found shared, converging cost parameters beneath a lexically diffuse surface would show that legibility existed in substance where metadata could not see it</w:t>
      </w:r>
      <w:r>
        <w:t xml:space="preserve"> </w:t>
      </w:r>
      <w:hyperlink w:anchor="ref-9">
        <w:r>
          <w:rPr>
            <w:rStyle w:val="Hyperlink"/>
          </w:rPr>
          <w:t xml:space="preserve">[9]</w:t>
        </w:r>
      </w:hyperlink>
      <w:r>
        <w:t xml:space="preserve"> </w:t>
      </w:r>
      <w:hyperlink w:anchor="ref-13">
        <w:r>
          <w:rPr>
            <w:rStyle w:val="Hyperlink"/>
          </w:rPr>
          <w:t xml:space="preserve">[13]</w:t>
        </w:r>
      </w:hyperlink>
      <w:r>
        <w:t xml:space="preserve">. And a corpus corrected for survival selection that still returned diffuse screens would strengthen the negative finding by removing one of its main alternative explanations.</w:t>
      </w:r>
    </w:p>
    <w:p>
      <w:pPr>
        <w:pStyle w:val="BodyText"/>
        <w:spacing w:line="480" w:lineRule="auto"/>
        <w:ind w:firstLine="720"/>
      </w:pPr>
      <w:r>
        <w:t xml:space="preserve">Naming these conditions does two things. It keeps the present conclusion appropriately provisional, a statement about what this corpus at this size shows rather than a verdict on the field. And it hands future work a clear agenda: not to relitigate the screen but to build the richer evidence base against which the screen’s negative result can finally be tested for what it truly means</w:t>
      </w:r>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bookmarkEnd w:id="143"/>
    <w:bookmarkStart w:id="144" w:name="X0462d70f403f0472e63c92f6f2b37eadbdd4b83"/>
    <w:p>
      <w:pPr>
        <w:pStyle w:val="Heading2"/>
        <w:spacing w:line="480" w:lineRule="auto"/>
      </w:pPr>
      <w:r>
        <w:t xml:space="preserve">7.10 The temptation to over-interpret a clean-looking null</w:t>
      </w:r>
    </w:p>
    <w:p>
      <w:pPr>
        <w:pStyle w:val="FirstParagraph"/>
        <w:spacing w:line="480" w:lineRule="auto"/>
      </w:pPr>
      <w:r>
        <w:t xml:space="preserve">A negative result carries its own distinctive temptation, subtler than the temptation to inflate a positive one. Because the two screens agree, and because the diagnostics are unambiguous, it would be easy to promote the finding from</w:t>
      </w:r>
      <w:r>
        <w:t xml:space="preserve"> </w:t>
      </w:r>
      <w:r>
        <w:t xml:space="preserve">“no structure detectable in this corpus”</w:t>
      </w:r>
      <w:r>
        <w:t xml:space="preserve"> </w:t>
      </w:r>
      <w:r>
        <w:t xml:space="preserve">to</w:t>
      </w:r>
      <w:r>
        <w:t xml:space="preserve"> </w:t>
      </w:r>
      <w:r>
        <w:t xml:space="preserve">“the field is immature,”</w:t>
      </w:r>
      <w:r>
        <w:t xml:space="preserve"> </w:t>
      </w:r>
      <w:r>
        <w:t xml:space="preserve">and from there to</w:t>
      </w:r>
      <w:r>
        <w:t xml:space="preserve"> </w:t>
      </w:r>
      <w:r>
        <w:t xml:space="preserve">“commercial habitats cannot be costed responsibly yet.”</w:t>
      </w:r>
      <w:r>
        <w:t xml:space="preserve"> </w:t>
      </w:r>
      <w:r>
        <w:t xml:space="preserve">Each step feels small; together they smuggle a convenience-sample bibliometric result into a sweeping claim about a market’s readiness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discussion resists every step of that slide.</w:t>
      </w:r>
    </w:p>
    <w:p>
      <w:pPr>
        <w:pStyle w:val="BodyText"/>
        <w:spacing w:line="480" w:lineRule="auto"/>
        <w:ind w:firstLine="720"/>
      </w:pPr>
      <w:r>
        <w:t xml:space="preserve">The disciplined statement stops at the corpus edge. What the screens establish is that the specific, pre-described legibility signature is absent from these thirty records under two transparent estimators</w:t>
      </w:r>
      <w:r>
        <w:t xml:space="preserve"> </w:t>
      </w:r>
      <w:hyperlink w:anchor="ref-8">
        <w:r>
          <w:rPr>
            <w:rStyle w:val="Hyperlink"/>
          </w:rPr>
          <w:t xml:space="preserve">[8]</w:t>
        </w:r>
      </w:hyperlink>
      <w:r>
        <w:t xml:space="preserve">. Everything beyond that, whether the field is truly immature, whether a habitat can be costed, whether public money should flow, requires evidence the screens do not contain. Holding the line here is not excessive caution; it is the same refusal to over-read that governed the interpretation of the individual coefficients, applied now to the aggregate finding. A dissertation that policed its coefficients and then let its conclusion run wild would have failed at the last step, and naming the temptation explicitly is how it avoids that failure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44"/>
    <w:bookmarkStart w:id="145" w:name="weighing-the-threats-against-each-other"/>
    <w:p>
      <w:pPr>
        <w:pStyle w:val="Heading2"/>
        <w:spacing w:line="480" w:lineRule="auto"/>
      </w:pPr>
      <w:r>
        <w:t xml:space="preserve">7.11 Weighing the threats against each other</w:t>
      </w:r>
    </w:p>
    <w:p>
      <w:pPr>
        <w:pStyle w:val="FirstParagraph"/>
        <w:spacing w:line="480" w:lineRule="auto"/>
      </w:pPr>
      <w:r>
        <w:t xml:space="preserve">Not all threats are equal, and a reader deserves a sense of which ones bite hardest. The sample-size threat and the construct-validity threat are the two that most directly bear on the negative finding, because both offer routes by which real legibility could exist yet escape detection: too few records to resolve a small effect, or a lexical score too shallow to register substantive convergence</w:t>
      </w:r>
      <w:r>
        <w:t xml:space="preserve"> </w:t>
      </w:r>
      <w:hyperlink w:anchor="ref-4">
        <w:r>
          <w:rPr>
            <w:rStyle w:val="Hyperlink"/>
          </w:rPr>
          <w:t xml:space="preserve">[4]</w:t>
        </w:r>
      </w:hyperlink>
      <w:r>
        <w:t xml:space="preserve"> </w:t>
      </w:r>
      <w:hyperlink w:anchor="ref-15">
        <w:r>
          <w:rPr>
            <w:rStyle w:val="Hyperlink"/>
          </w:rPr>
          <w:t xml:space="preserve">[15]</w:t>
        </w:r>
      </w:hyperlink>
      <w:r>
        <w:t xml:space="preserve">. These are the threats that keep the conclusion a localized negative rather than a global one, and they are the reason Chapter 8’s first proposed task is a deeper, substance-oriented coding study on a larger corpus.</w:t>
      </w:r>
    </w:p>
    <w:p>
      <w:pPr>
        <w:pStyle w:val="BodyText"/>
        <w:spacing w:line="480" w:lineRule="auto"/>
        <w:ind w:firstLine="720"/>
      </w:pPr>
      <w:r>
        <w:t xml:space="preserve">The representativeness and omitted-driver threats bite differently. They do not primarily threaten the negative finding; they threaten any attempt to generalize it, and they would bite just as hard on a positive finding</w:t>
      </w:r>
      <w:r>
        <w:t xml:space="preserve"> </w:t>
      </w:r>
      <w:hyperlink w:anchor="ref-1">
        <w:r>
          <w:rPr>
            <w:rStyle w:val="Hyperlink"/>
          </w:rPr>
          <w:t xml:space="preserve">[1]</w:t>
        </w:r>
      </w:hyperlink>
      <w:r>
        <w:t xml:space="preserve"> </w:t>
      </w:r>
      <w:hyperlink w:anchor="ref-13">
        <w:r>
          <w:rPr>
            <w:rStyle w:val="Hyperlink"/>
          </w:rPr>
          <w:t xml:space="preserve">[13]</w:t>
        </w:r>
      </w:hyperlink>
      <w:r>
        <w:t xml:space="preserve">. A future study that fixed the sample size and the construct depth but drew from the same convenience pack would still inherit these two threats, which is why corpus assembly by documented protocol appears alongside larger sample size in the future-work agenda. Ranking the threats this way, rather than listing them flatly, is what turns a limitations section from a ritual disclaimer into a design specification for the work that should come next</w:t>
      </w:r>
      <w:r>
        <w:t xml:space="preserve"> </w:t>
      </w:r>
      <w:hyperlink w:anchor="ref-16">
        <w:r>
          <w:rPr>
            <w:rStyle w:val="Hyperlink"/>
          </w:rPr>
          <w:t xml:space="preserve">[16]</w:t>
        </w:r>
      </w:hyperlink>
      <w:r>
        <w:t xml:space="preserve"> </w:t>
      </w:r>
      <w:hyperlink w:anchor="ref-8">
        <w:r>
          <w:rPr>
            <w:rStyle w:val="Hyperlink"/>
          </w:rPr>
          <w:t xml:space="preserve">[8]</w:t>
        </w:r>
      </w:hyperlink>
      <w:r>
        <w:t xml:space="preserve">.</w:t>
      </w:r>
    </w:p>
    <w:bookmarkEnd w:id="145"/>
    <w:bookmarkStart w:id="146" w:name="X5a3845e9ef3ab34bd96f5d1e21d4ce0ba2a7440"/>
    <w:p>
      <w:pPr>
        <w:pStyle w:val="Heading2"/>
        <w:spacing w:line="480" w:lineRule="auto"/>
      </w:pPr>
      <w:r>
        <w:t xml:space="preserve">7.12 What the finding does not license anyone to do</w:t>
      </w:r>
    </w:p>
    <w:p>
      <w:pPr>
        <w:pStyle w:val="FirstParagraph"/>
        <w:spacing w:line="480" w:lineRule="auto"/>
      </w:pPr>
      <w:r>
        <w:t xml:space="preserve">It is worth stating, in plain operational terms, the actions this result does not support, because a misused negative finding can do as much harm as a misused positive one. The screen does not license a program office to cancel commercial-station transition planning, because the absence of bibliometric convergence is not evidence that a station is uneconomic; it is evidence that the literature has not yet organized enough to say either way</w:t>
      </w:r>
      <w:r>
        <w:t xml:space="preserve"> </w:t>
      </w:r>
      <w:hyperlink w:anchor="ref-9">
        <w:r>
          <w:rPr>
            <w:rStyle w:val="Hyperlink"/>
          </w:rPr>
          <w:t xml:space="preserve">[9]</w:t>
        </w:r>
      </w:hyperlink>
      <w:r>
        <w:t xml:space="preserve"> </w:t>
      </w:r>
      <w:hyperlink w:anchor="ref-10">
        <w:r>
          <w:rPr>
            <w:rStyle w:val="Hyperlink"/>
          </w:rPr>
          <w:t xml:space="preserve">[10]</w:t>
        </w:r>
      </w:hyperlink>
      <w:r>
        <w:t xml:space="preserve">. It does not license a firm to dismiss competitors’ cost claims as baseless, because the screen speaks to the field’s aggregate structure, not to the validity of any individual study. And it does not license a regulator to treat the topic as immature indefinitely, because the very future work the dissertation proposes could resolve the question quickly.</w:t>
      </w:r>
    </w:p>
    <w:p>
      <w:pPr>
        <w:pStyle w:val="BodyText"/>
        <w:spacing w:line="480" w:lineRule="auto"/>
        <w:ind w:firstLine="720"/>
      </w:pPr>
      <w:r>
        <w:t xml:space="preserve">What the finding does license is proportionate caution. It supports asking harder questions of any single feasibility total, demanding cross-study parameter reconciliation, and investing in the document-coding work that would test convergence directly</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The distinction between proportionate caution and premature dismissal is exactly the distinction a diffuse screen is prone to blur, and drawing it sharply is part of reporting the limitation responsibly. A negative result used as a scalpel improves decisions; the same result used as a hammer degrades them, and the dissertation is explicit about which use its evidence supports</w:t>
      </w:r>
      <w:r>
        <w:t xml:space="preserve"> </w:t>
      </w:r>
      <w:hyperlink w:anchor="ref-8">
        <w:r>
          <w:rPr>
            <w:rStyle w:val="Hyperlink"/>
          </w:rPr>
          <w:t xml:space="preserve">[8]</w:t>
        </w:r>
      </w:hyperlink>
      <w:r>
        <w:t xml:space="preserve">.</w:t>
      </w:r>
    </w:p>
    <w:bookmarkEnd w:id="146"/>
    <w:bookmarkStart w:id="147" w:name="Xcf37dd6a22dbdb87b8b2d62a4f2efc6e6034333"/>
    <w:p>
      <w:pPr>
        <w:pStyle w:val="Heading2"/>
        <w:spacing w:line="480" w:lineRule="auto"/>
      </w:pPr>
      <w:r>
        <w:t xml:space="preserve">7.13 The value of a limitation-forward posture</w:t>
      </w:r>
    </w:p>
    <w:p>
      <w:pPr>
        <w:pStyle w:val="FirstParagraph"/>
        <w:spacing w:line="480" w:lineRule="auto"/>
      </w:pPr>
      <w:r>
        <w:t xml:space="preserve">Concluding a discussion by cataloguing weaknesses can read as undermining the work, but the opposite is true here, and the reasoning deserves a final word. A screen whose limitations are stated as precisely as its findings is more trustworthy, not less, because a reader can see exactly where its inferences are safe and exactly where they stop</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threats catalogued in this chapter do not erode the finding; they fence it, marking the boundary inside which the result is solid and outside which it is silent.</w:t>
      </w:r>
    </w:p>
    <w:p>
      <w:pPr>
        <w:pStyle w:val="BodyText"/>
        <w:spacing w:line="480" w:lineRule="auto"/>
        <w:ind w:firstLine="720"/>
      </w:pPr>
      <w:r>
        <w:t xml:space="preserve">That fencing is the dissertation’s method applied reflexively. The whole project argues that a cost total is only trustworthy when its evidentiary boundaries are visible, and a discussion chapter that hid its own boundaries would violate the principle it advances. By naming the sample-size, proxy, representativeness, selection, and construct threats plainly, and by ranking them by how they bear on the finding, the chapter models the transparency it asks of any future cost model</w:t>
      </w:r>
      <w:r>
        <w:t xml:space="preserve"> </w:t>
      </w:r>
      <w:hyperlink w:anchor="ref-6">
        <w:r>
          <w:rPr>
            <w:rStyle w:val="Hyperlink"/>
          </w:rPr>
          <w:t xml:space="preserve">[6]</w:t>
        </w:r>
      </w:hyperlink>
      <w:r>
        <w:t xml:space="preserve">. The negative result survives this scrutiny not as a weakened claim but as a precisely bounded one, which is the strongest form a claim from a thirty-record screen can take</w:t>
      </w:r>
      <w:r>
        <w:t xml:space="preserve"> </w:t>
      </w:r>
      <w:hyperlink w:anchor="ref-8">
        <w:r>
          <w:rPr>
            <w:rStyle w:val="Hyperlink"/>
          </w:rPr>
          <w:t xml:space="preserve">[8]</w:t>
        </w:r>
      </w:hyperlink>
      <w:r>
        <w:t xml:space="preserve">.</w:t>
      </w:r>
    </w:p>
    <w:p>
      <w:pPr>
        <w:pStyle w:val="BodyText"/>
        <w:spacing w:line="480" w:lineRule="auto"/>
        <w:ind w:firstLine="720"/>
      </w:pPr>
      <w:r>
        <w:t xml:space="preserve">The discussion therefore hands the conclusion a well-characterized result. Within a curated thirty-record corpus, two transparent screens found no legibility signature, the finding is bounded by known and ranked threats, and the actions it does and does not license are stated plainly</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What remains is to draw the contribution together and specify the work that would move the question forward, which is the task of the final chapter</w:t>
      </w:r>
      <w:r>
        <w:t xml:space="preserve"> </w:t>
      </w:r>
      <w:hyperlink w:anchor="ref-16">
        <w:r>
          <w:rPr>
            <w:rStyle w:val="Hyperlink"/>
          </w:rPr>
          <w:t xml:space="preserve">[16]</w:t>
        </w:r>
      </w:hyperlink>
      <w:r>
        <w:t xml:space="preserve"> </w:t>
      </w:r>
      <w:hyperlink w:anchor="ref-6">
        <w:r>
          <w:rPr>
            <w:rStyle w:val="Hyperlink"/>
          </w:rPr>
          <w:t xml:space="preserve">[6]</w:t>
        </w:r>
      </w:hyperlink>
      <w:r>
        <w:t xml:space="preserve">.</w:t>
      </w:r>
    </w:p>
    <w:bookmarkEnd w:id="147"/>
    <w:bookmarkEnd w:id="148"/>
    <w:bookmarkStart w:id="187"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do one honest thing before anyone builds a bottom-up cost model for a commercial low Earth orbit habitat: check whether the literature such a model would rest on is structured enough to trust. The answer, arrived at through two reproducible screens on a fully traceable corpus, is that it is not yet, at least not in any way its bibliometric metadata reveals. That is a narrow conclusion. It is also a load-bearing one, because it tells a program office exactly how much weight the current evidence can carry and where the next investment of analytic effort should go.</w:t>
      </w:r>
    </w:p>
    <w:bookmarkStart w:id="149" w:name="the-contribution-restated"/>
    <w:p>
      <w:pPr>
        <w:pStyle w:val="Heading2"/>
        <w:spacing w:line="480" w:lineRule="auto"/>
      </w:pPr>
      <w:r>
        <w:t xml:space="preserve">8.1 The contribution restated</w:t>
      </w:r>
    </w:p>
    <w:p>
      <w:pPr>
        <w:pStyle w:val="FirstParagraph"/>
        <w:spacing w:line="480" w:lineRule="auto"/>
      </w:pPr>
      <w:r>
        <w:t xml:space="preserve">The contribution is not a cost figure. It is a disciplined negative result and the method that produced it, an instrument built to ask whether an emerging costing literature has organized into the reconciled parameter base a trustworthy bottom-up total would require, and a demonstration of what that instrument reports when pointed at commercial habitats. Two estimators, an ordinary least squares model of topic-signal intensity and a log-log learning-curve model of citation accumulation, both returned coefficients indistinguishable from zero on a thirty-record corpus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cross-sectional screen found no resolvable relationship between the topic signal and recency, attention, or venue. The temporal screen found no resolvable age structure in citation accumulation. Their agreement, across different outcomes and different functional forms, is what turns two individually modest nulls into a coherent finding about the field’s maturity</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What makes the result a contribution rather than a shrug is the chain of custody. Every coefficient traces to a row, every row traces to a source, and every source is named in the reference pool</w:t>
      </w:r>
      <w:r>
        <w:t xml:space="preserve"> </w:t>
      </w:r>
      <w:hyperlink w:anchor="ref-3">
        <w:r>
          <w:rPr>
            <w:rStyle w:val="Hyperlink"/>
          </w:rPr>
          <w:t xml:space="preserve">[3]</w:t>
        </w:r>
      </w:hyperlink>
      <w:r>
        <w:t xml:space="preserve">. A skeptical committee can regenerate the entire result from the workbook. That auditability is the standard a bottom-up business case is supposed to meet and rarely does, and demonstrating it on a corpus screen is a down payment on demonstrating it for a full cost stack</w:t>
      </w:r>
      <w:r>
        <w:t xml:space="preserve"> </w:t>
      </w:r>
      <w:hyperlink w:anchor="ref-8">
        <w:r>
          <w:rPr>
            <w:rStyle w:val="Hyperlink"/>
          </w:rPr>
          <w:t xml:space="preserve">[8]</w:t>
        </w:r>
      </w:hyperlink>
      <w:r>
        <w:t xml:space="preserve">.</w:t>
      </w:r>
    </w:p>
    <w:bookmarkEnd w:id="149"/>
    <w:bookmarkStart w:id="150" w:name="why-the-negative-result-is-useful"/>
    <w:p>
      <w:pPr>
        <w:pStyle w:val="Heading2"/>
        <w:spacing w:line="480" w:lineRule="auto"/>
      </w:pPr>
      <w:r>
        <w:t xml:space="preserve">8.2 Why the negative result is useful</w:t>
      </w:r>
    </w:p>
    <w:p>
      <w:pPr>
        <w:pStyle w:val="FirstParagraph"/>
        <w:spacing w:line="480" w:lineRule="auto"/>
      </w:pPr>
      <w:r>
        <w:t xml:space="preserve">A field that mistakes publication volume for costing consensus will build cost models on sand and present them with false confidence. The screens in this dissertation are a cheap instrument for catching that error before it propagates. Applied to the commercial-station literature, they show that its considerable and growing volume does not yet carry the observable structure of a converged parameter base</w:t>
      </w:r>
      <w:r>
        <w:t xml:space="preserve"> </w:t>
      </w:r>
      <w:hyperlink w:anchor="ref-11">
        <w:r>
          <w:rPr>
            <w:rStyle w:val="Hyperlink"/>
          </w:rPr>
          <w:t xml:space="preserve">[11]</w:t>
        </w:r>
      </w:hyperlink>
      <w:r>
        <w:t xml:space="preserve">. That is precisely the warning a program officer needs at the moment of deciding how much a single feasibility total is worth.</w:t>
      </w:r>
    </w:p>
    <w:p>
      <w:pPr>
        <w:pStyle w:val="BodyText"/>
        <w:spacing w:line="480" w:lineRule="auto"/>
        <w:ind w:firstLine="720"/>
      </w:pPr>
      <w:r>
        <w:t xml:space="preserve">The result is useful in a second, forward-looking way. Because the screen is bibliometric, its failure to detect structure localizes where convergence, if it exists, must be hiding: not in metadata but in the substance of documents, in the shared assumptions and parameter values that feasibility studies carry in prose</w:t>
      </w:r>
      <w:r>
        <w:t xml:space="preserve"> </w:t>
      </w:r>
      <w:hyperlink w:anchor="ref-9">
        <w:r>
          <w:rPr>
            <w:rStyle w:val="Hyperlink"/>
          </w:rPr>
          <w:t xml:space="preserve">[9]</w:t>
        </w:r>
      </w:hyperlink>
      <w:r>
        <w:t xml:space="preserve"> </w:t>
      </w:r>
      <w:hyperlink w:anchor="ref-15">
        <w:r>
          <w:rPr>
            <w:rStyle w:val="Hyperlink"/>
          </w:rPr>
          <w:t xml:space="preserve">[15]</w:t>
        </w:r>
      </w:hyperlink>
      <w:r>
        <w:t xml:space="preserve">. A positive screen would have told us the field was legible on the surface; a negative screen tells us to go beneath the surface, and it tells us which surface features were already checked and found wanting</w:t>
      </w:r>
      <w:r>
        <w:t xml:space="preserve"> </w:t>
      </w:r>
      <w:hyperlink w:anchor="ref-16">
        <w:r>
          <w:rPr>
            <w:rStyle w:val="Hyperlink"/>
          </w:rPr>
          <w:t xml:space="preserve">[16]</w:t>
        </w:r>
      </w:hyperlink>
      <w:r>
        <w:t xml:space="preserve">.</w:t>
      </w:r>
    </w:p>
    <w:bookmarkEnd w:id="150"/>
    <w:bookmarkStart w:id="151" w:name="governance-and-program-relevance"/>
    <w:p>
      <w:pPr>
        <w:pStyle w:val="Heading2"/>
        <w:spacing w:line="480" w:lineRule="auto"/>
      </w:pPr>
      <w:r>
        <w:t xml:space="preserve">8.3 Governance and program relevance</w:t>
      </w:r>
    </w:p>
    <w:p>
      <w:pPr>
        <w:pStyle w:val="FirstParagraph"/>
        <w:spacing w:line="480" w:lineRule="auto"/>
      </w:pPr>
      <w:r>
        <w:t xml:space="preserve">The governance implication follows from the market-failure framing that opened this dissertation. A commercial habitat operator does not internalize the debris and congestion cost it imposes on a shared orbital shell, so a purely private cost model omits a real social cost by construction. That omission is easier to police when the underlying cost literature is legible and harder when it is diffuse, because a diffuse literature offers no shared baseline against which to test whether an operator’s private numbers have quietly externalized the public cost. The screen’s negative finding therefore has a governance edge: it says the evidence base is not yet mature enough to let regulators benchmark private cost claims against a field consensus, which is an argument for building that consensus deliberately rather than waiting for it to emerge.</w:t>
      </w:r>
    </w:p>
    <w:p>
      <w:pPr>
        <w:pStyle w:val="BodyText"/>
        <w:spacing w:line="480" w:lineRule="auto"/>
        <w:ind w:firstLine="720"/>
      </w:pPr>
      <w:r>
        <w:t xml:space="preserve">For a program office, the relevance is more direct. Transition funding for commercial stations will be committed against feasibility numbers, and this dissertation gives a defensible reason to treat any single number as provisional and to demand cross-study parameter reconciliation before large commitments</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That is not obstruction. It is the ordinary discipline of not betting public money on an unaudited total, expressed as a reproducible test rather than a hunch</w:t>
      </w:r>
      <w:r>
        <w:t xml:space="preserve"> </w:t>
      </w:r>
      <w:hyperlink w:anchor="ref-8">
        <w:r>
          <w:rPr>
            <w:rStyle w:val="Hyperlink"/>
          </w:rPr>
          <w:t xml:space="preserve">[8]</w:t>
        </w:r>
      </w:hyperlink>
      <w:r>
        <w:t xml:space="preserve">.</w:t>
      </w:r>
    </w:p>
    <w:bookmarkEnd w:id="151"/>
    <w:bookmarkStart w:id="152" w:name="future-work"/>
    <w:p>
      <w:pPr>
        <w:pStyle w:val="Heading2"/>
        <w:spacing w:line="480" w:lineRule="auto"/>
      </w:pPr>
      <w:r>
        <w:t xml:space="preserve">8.4 Future work</w:t>
      </w:r>
    </w:p>
    <w:p>
      <w:pPr>
        <w:pStyle w:val="FirstParagraph"/>
        <w:spacing w:line="480" w:lineRule="auto"/>
      </w:pPr>
      <w:r>
        <w:t xml:space="preserve">The path forward is clear because the negative screen mapped it. The first task is a document-coding study that reads the feasibility and value-assessment literature for its actual cost parameters, launch cost per kilogram, station lifetime assumptions, crew size, power budget, logistics cadence, and records them as structured variables rather than trusting metadata to reveal convergence</w:t>
      </w:r>
      <w:r>
        <w:t xml:space="preserve"> </w:t>
      </w:r>
      <w:hyperlink w:anchor="ref-9">
        <w:r>
          <w:rPr>
            <w:rStyle w:val="Hyperlink"/>
          </w:rPr>
          <w:t xml:space="preserve">[9]</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That study would test legibility where this dissertation’s screens could not reach, in the substance of the documents.</w:t>
      </w:r>
    </w:p>
    <w:p>
      <w:pPr>
        <w:pStyle w:val="BodyText"/>
        <w:spacing w:line="480" w:lineRule="auto"/>
        <w:ind w:firstLine="720"/>
      </w:pPr>
      <w:r>
        <w:t xml:space="preserve">The second task is to grow the corpus. Thirty records is a thin base, and a larger, more systematically assembled sample would resolve whether the subtle structure that thirty records cannot detect is truly absent or merely below the noise floor</w:t>
      </w:r>
      <w:r>
        <w:t xml:space="preserve"> </w:t>
      </w:r>
      <w:hyperlink w:anchor="ref-4">
        <w:r>
          <w:rPr>
            <w:rStyle w:val="Hyperlink"/>
          </w:rPr>
          <w:t xml:space="preserve">[4]</w:t>
        </w:r>
      </w:hyperlink>
      <w:r>
        <w:t xml:space="preserve"> </w:t>
      </w:r>
      <w:hyperlink w:anchor="ref-5">
        <w:r>
          <w:rPr>
            <w:rStyle w:val="Hyperlink"/>
          </w:rPr>
          <w:t xml:space="preserve">[5]</w:t>
        </w:r>
      </w:hyperlink>
      <w:r>
        <w:t xml:space="preserve">. A corpus assembled by a documented search protocol, rather than a collection built to frame one dissertation, would also relax the representativeness limit that bounds every claim made here</w:t>
      </w:r>
      <w:r>
        <w:t xml:space="preserve"> </w:t>
      </w:r>
      <w:hyperlink w:anchor="ref-1">
        <w:r>
          <w:rPr>
            <w:rStyle w:val="Hyperlink"/>
          </w:rPr>
          <w:t xml:space="preserve">[1]</w:t>
        </w:r>
      </w:hyperlink>
      <w:r>
        <w:t xml:space="preserve">.</w:t>
      </w:r>
    </w:p>
    <w:p>
      <w:pPr>
        <w:pStyle w:val="BodyText"/>
        <w:spacing w:line="480" w:lineRule="auto"/>
        <w:ind w:firstLine="720"/>
      </w:pPr>
      <w:r>
        <w:t xml:space="preserve">The third task is to assemble the cost stack itself, once the parameter base is legible enough to support it. The component literatures are ready: launch</w:t>
      </w:r>
      <w:r>
        <w:t xml:space="preserve"> </w:t>
      </w:r>
      <w:hyperlink w:anchor="ref-13">
        <w:r>
          <w:rPr>
            <w:rStyle w:val="Hyperlink"/>
          </w:rPr>
          <w:t xml:space="preserve">[13]</w:t>
        </w:r>
      </w:hyperlink>
      <w:r>
        <w:t xml:space="preserve">, power</w:t>
      </w:r>
      <w:r>
        <w:t xml:space="preserve"> </w:t>
      </w:r>
      <w:hyperlink w:anchor="ref-15">
        <w:r>
          <w:rPr>
            <w:rStyle w:val="Hyperlink"/>
          </w:rPr>
          <w:t xml:space="preserve">[15]</w:t>
        </w:r>
      </w:hyperlink>
      <w:r>
        <w:t xml:space="preserve">, storage</w:t>
      </w:r>
      <w:r>
        <w:t xml:space="preserve"> </w:t>
      </w:r>
      <w:hyperlink w:anchor="ref-16">
        <w:r>
          <w:rPr>
            <w:rStyle w:val="Hyperlink"/>
          </w:rPr>
          <w:t xml:space="preserve">[16]</w:t>
        </w:r>
      </w:hyperlink>
      <w:r>
        <w:t xml:space="preserve">, and connectivity</w:t>
      </w:r>
      <w:r>
        <w:t xml:space="preserve"> </w:t>
      </w:r>
      <w:hyperlink w:anchor="ref-14">
        <w:r>
          <w:rPr>
            <w:rStyle w:val="Hyperlink"/>
          </w:rPr>
          <w:t xml:space="preserve">[14]</w:t>
        </w:r>
      </w:hyperlink>
      <w:r>
        <w:t xml:space="preserve"> </w:t>
      </w:r>
      <w:r>
        <w:t xml:space="preserve">each supply a defensible costed subsystem. What has been missing is a traceable way to sum them without inheriting hidden pathologies from an immature literature. This dissertation did not build that stack. It built the screen that tells you whether the ground is firm enough to build on, and it reported, honestly, that the ground is not yet firm and named what would make it so</w:t>
      </w:r>
      <w:r>
        <w:t xml:space="preserve"> </w:t>
      </w:r>
      <w:hyperlink w:anchor="ref-6">
        <w:r>
          <w:rPr>
            <w:rStyle w:val="Hyperlink"/>
          </w:rPr>
          <w:t xml:space="preserve">[6]</w:t>
        </w:r>
      </w:hyperlink>
      <w:r>
        <w:t xml:space="preserve">. That is a legitimate doctoral contribution: it replaces an intuition about a market’s readiness with an auditable empirical pathway toward finding out.</w:t>
      </w:r>
    </w:p>
    <w:bookmarkEnd w:id="152"/>
    <w:bookmarkStart w:id="153" w:name="X08b54bcfa1c5d0b153ea3d4b8fbc16bbc3b3041"/>
    <w:p>
      <w:pPr>
        <w:pStyle w:val="Heading2"/>
        <w:spacing w:line="480" w:lineRule="auto"/>
      </w:pPr>
      <w:r>
        <w:t xml:space="preserve">8.5 A transferable method, not a one-off result</w:t>
      </w:r>
    </w:p>
    <w:p>
      <w:pPr>
        <w:pStyle w:val="FirstParagraph"/>
        <w:spacing w:line="480" w:lineRule="auto"/>
      </w:pPr>
      <w:r>
        <w:t xml:space="preserve">The value of this dissertation extends past the single topic it screened. The instrument itself, a pair of cheap, reproducible estimators that probe a latent maturity construct through observable metadata, transfers to any space-sector costing question where a program office must decide how much to trust an emerging literature. Lunar surface systems, on-orbit servicing, and cislunar logistics all face the same predicament the commercial habitat faces: a growing literature whose apparent momentum could be convergence or could be noise, and no cheap way to tell the difference before committing to a costed concept</w:t>
      </w:r>
      <w:r>
        <w:t xml:space="preserve"> </w:t>
      </w:r>
      <w:hyperlink w:anchor="ref-11">
        <w:r>
          <w:rPr>
            <w:rStyle w:val="Hyperlink"/>
          </w:rPr>
          <w:t xml:space="preserve">[11]</w:t>
        </w:r>
      </w:hyperlink>
      <w:r>
        <w:t xml:space="preserve">. The screen developed here is that cheap way, and its portability is part of the contribution.</w:t>
      </w:r>
    </w:p>
    <w:p>
      <w:pPr>
        <w:pStyle w:val="BodyText"/>
        <w:spacing w:line="480" w:lineRule="auto"/>
        <w:ind w:firstLine="720"/>
      </w:pPr>
      <w:r>
        <w:t xml:space="preserve">What makes the method transferable is precisely its modesty. It does not require a bespoke model tuned to habitats. It requires a corpus with retained provenance, a deterministic outcome, a handful of observable predictors, and the discipline to report a null when the diagnostics return one</w:t>
      </w:r>
      <w:r>
        <w:t xml:space="preserve"> </w:t>
      </w:r>
      <w:hyperlink w:anchor="ref-8">
        <w:r>
          <w:rPr>
            <w:rStyle w:val="Hyperlink"/>
          </w:rPr>
          <w:t xml:space="preserve">[8]</w:t>
        </w:r>
      </w:hyperlink>
      <w:r>
        <w:t xml:space="preserve">. Any candidate topic that can be assembled into such a corpus can be screened the same way, and the negative result on commercial habitats is as much a demonstration of the instrument as a finding about the topic.</w:t>
      </w:r>
    </w:p>
    <w:bookmarkEnd w:id="153"/>
    <w:bookmarkStart w:id="154" w:name="the-discipline-the-pipeline-should-keep"/>
    <w:p>
      <w:pPr>
        <w:pStyle w:val="Heading2"/>
        <w:spacing w:line="480" w:lineRule="auto"/>
      </w:pPr>
      <w:r>
        <w:t xml:space="preserve">8.6 The discipline the pipeline should keep</w:t>
      </w:r>
    </w:p>
    <w:p>
      <w:pPr>
        <w:pStyle w:val="FirstParagraph"/>
        <w:spacing w:line="480" w:lineRule="auto"/>
      </w:pPr>
      <w:r>
        <w:t xml:space="preserve">There is a final, reflexive lesson. A research pipeline that rewards confident totals will produce confident totals whether or not the evidence supports them, and the antidote is to make the reporting of nulls as routine and as respectable as the reporting of effects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This dissertation reached a negative result and treated it as a finding rather than a failure, because the design fixed the interpretation of every outcome in advance and held to it after the numbers came in. That posture, deciding what each result would mean before seeing which result occurred, is the habit that separates a screen from a search for confirmation.</w:t>
      </w:r>
    </w:p>
    <w:p>
      <w:pPr>
        <w:pStyle w:val="BodyText"/>
        <w:spacing w:line="480" w:lineRule="auto"/>
        <w:ind w:firstLine="720"/>
      </w:pPr>
      <w:r>
        <w:t xml:space="preserve">Carried forward, the habit protects the eventual cost model as much as it protected this screen. When the document-coding study runs and the cost stack is finally assembled, the same discipline, traceable provenance, pre-committed interpretation, candor about power and proxies, will be what lets a program office trust the total or, just as valuably, decline to</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The commercial LEO habitat will be costed someday, by someone, against a literature that has matured enough to bear the weight. This dissertation’s job was to say, with reproducible numbers, that the day has not yet come, and to leave behind a method for recognizing it when it does</w:t>
      </w:r>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bookmarkEnd w:id="154"/>
    <w:bookmarkStart w:id="155" w:name="closing"/>
    <w:p>
      <w:pPr>
        <w:pStyle w:val="Heading2"/>
        <w:spacing w:line="480" w:lineRule="auto"/>
      </w:pPr>
      <w:r>
        <w:t xml:space="preserve">8.7 Closing</w:t>
      </w:r>
    </w:p>
    <w:p>
      <w:pPr>
        <w:pStyle w:val="FirstParagraph"/>
        <w:spacing w:line="480" w:lineRule="auto"/>
      </w:pPr>
      <w:r>
        <w:t xml:space="preserve">The anchor tenant of commercial low Earth orbit is leaving, and the market meant to replace it is still assembling the evidence that would justify the investment. Into that gap this dissertation placed one honest instrument and one honest result. The instrument screens a costing literature for the structure a mature field would show; the result reports that the commercial-habitat literature does not yet show it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Neither the instrument nor the result settles whether a private station will pay for itself. Together they do something more useful for the people who must decide: they mark, with numbers anyone can reproduce, exactly how far the current evidence reaches and exactly where the next work must begin</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155"/>
    <w:bookmarkStart w:id="156" w:name="X8532faa8eca557c32b029a0e39ef0d1eac7ee26"/>
    <w:p>
      <w:pPr>
        <w:pStyle w:val="Heading2"/>
        <w:spacing w:line="480" w:lineRule="auto"/>
      </w:pPr>
      <w:r>
        <w:t xml:space="preserve">8.8 Restating the contribution against the original question</w:t>
      </w:r>
    </w:p>
    <w:p>
      <w:pPr>
        <w:pStyle w:val="FirstParagraph"/>
        <w:spacing w:line="480" w:lineRule="auto"/>
      </w:pPr>
      <w:r>
        <w:t xml:space="preserve">Return, at the close, to the question the dissertation opened with: can a bottom-up business case for a commercial LEO habitat be grounded in evidence a careful reader can inspect, rather than asserted as a policy intuition? The honest answer is layered. The individual cost components can be grounded, because the launch, power, storage, and connectivity literatures each supply defensible, inspectable methods</w:t>
      </w:r>
      <w:r>
        <w:t xml:space="preserve"> </w:t>
      </w:r>
      <w:hyperlink w:anchor="ref-13">
        <w:r>
          <w:rPr>
            <w:rStyle w:val="Hyperlink"/>
          </w:rPr>
          <w:t xml:space="preserve">[13]</w:t>
        </w:r>
      </w:hyperlink>
      <w:r>
        <w:t xml:space="preserve"> </w:t>
      </w:r>
      <w:hyperlink w:anchor="ref-15">
        <w:r>
          <w:rPr>
            <w:rStyle w:val="Hyperlink"/>
          </w:rPr>
          <w:t xml:space="preserve">[15]</w:t>
        </w:r>
      </w:hyperlink>
      <w:r>
        <w:t xml:space="preserve"> </w:t>
      </w:r>
      <w:hyperlink w:anchor="ref-16">
        <w:r>
          <w:rPr>
            <w:rStyle w:val="Hyperlink"/>
          </w:rPr>
          <w:t xml:space="preserve">[16]</w:t>
        </w:r>
      </w:hyperlink>
      <w:r>
        <w:t xml:space="preserve"> </w:t>
      </w:r>
      <w:hyperlink w:anchor="ref-14">
        <w:r>
          <w:rPr>
            <w:rStyle w:val="Hyperlink"/>
          </w:rPr>
          <w:t xml:space="preserve">[14]</w:t>
        </w:r>
      </w:hyperlink>
      <w:r>
        <w:t xml:space="preserve">. The integration of those components into a single trusted total cannot yet be grounded, because the screens show the surrounding literature lacks the observable convergence signature such an integration would require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dissertation’s contribution is to have made that distinction empirical, replacing a vague sense that the field is</w:t>
      </w:r>
      <w:r>
        <w:t xml:space="preserve"> </w:t>
      </w:r>
      <w:r>
        <w:t xml:space="preserve">“not quite ready”</w:t>
      </w:r>
      <w:r>
        <w:t xml:space="preserve"> </w:t>
      </w:r>
      <w:r>
        <w:t xml:space="preserve">with a reproducible test of exactly which part is ready and which part is not.</w:t>
      </w:r>
    </w:p>
    <w:p>
      <w:pPr>
        <w:pStyle w:val="BodyText"/>
        <w:spacing w:line="480" w:lineRule="auto"/>
        <w:ind w:firstLine="720"/>
      </w:pPr>
      <w:r>
        <w:t xml:space="preserve">That is a smaller claim than the title’s ambition and a more durable one. A dissertation that had announced a finished business case would have been overtaken by the next feasibility study within a season. A dissertation that supplies a method for judging when the evidence base can support such a business case remains useful across every future study, because it screens the literature rather than adding one more point to it</w:t>
      </w:r>
      <w:r>
        <w:t xml:space="preserve"> </w:t>
      </w:r>
      <w:hyperlink w:anchor="ref-8">
        <w:r>
          <w:rPr>
            <w:rStyle w:val="Hyperlink"/>
          </w:rPr>
          <w:t xml:space="preserve">[8]</w:t>
        </w:r>
      </w:hyperlink>
      <w:r>
        <w:t xml:space="preserve">. The contribution is the instrument and the discipline as much as the single result, and both outlast the particular numbers reported in Chapter 6</w:t>
      </w:r>
      <w:r>
        <w:t xml:space="preserve"> </w:t>
      </w:r>
      <w:hyperlink w:anchor="ref-6">
        <w:r>
          <w:rPr>
            <w:rStyle w:val="Hyperlink"/>
          </w:rPr>
          <w:t xml:space="preserve">[6]</w:t>
        </w:r>
      </w:hyperlink>
      <w:r>
        <w:t xml:space="preserve">.</w:t>
      </w:r>
    </w:p>
    <w:bookmarkEnd w:id="156"/>
    <w:bookmarkStart w:id="157" w:name="a-note-on-scientific-temperament"/>
    <w:p>
      <w:pPr>
        <w:pStyle w:val="Heading2"/>
        <w:spacing w:line="480" w:lineRule="auto"/>
      </w:pPr>
      <w:r>
        <w:t xml:space="preserve">8.9 A note on scientific temperament</w:t>
      </w:r>
    </w:p>
    <w:p>
      <w:pPr>
        <w:pStyle w:val="FirstParagraph"/>
        <w:spacing w:line="480" w:lineRule="auto"/>
      </w:pPr>
      <w:r>
        <w:t xml:space="preserve">The last word is about temperament. It is uncomfortable to spend a doctoral project arriving at a negative result, and there is a standing pressure in every applied field to convert effort into an affirmative claim. This dissertation resisted that pressure by fixing, in advance, what each possible outcome would mean, and then reporting the outcome that occurred without dressing it up</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value of that temperament is not merely ethical. A field that treats honest nulls as failures will systematically overstate its own maturity, and an orbital economy built on overstated maturity is one that commits public and private capital against evidence that was never as solid as it looked</w:t>
      </w:r>
      <w:r>
        <w:t xml:space="preserve"> </w:t>
      </w:r>
      <w:hyperlink w:anchor="ref-11">
        <w:r>
          <w:rPr>
            <w:rStyle w:val="Hyperlink"/>
          </w:rPr>
          <w:t xml:space="preserve">[11]</w:t>
        </w:r>
      </w:hyperlink>
      <w:r>
        <w:t xml:space="preserve">.</w:t>
      </w:r>
    </w:p>
    <w:p>
      <w:pPr>
        <w:pStyle w:val="BodyText"/>
        <w:spacing w:line="480" w:lineRule="auto"/>
        <w:ind w:firstLine="720"/>
      </w:pPr>
      <w:r>
        <w:t xml:space="preserve">The commercial LEO habitat deserves better than optimistic bibliometrics read as consensus. It deserves a cost model whose every line traces to a source, whose assumptions are reconciled across studies, and whose total a program office can check rather than merely trust. This dissertation did not build that model. It built the screen that says the ground is not yet firm, it named the work that would firm it, and it demonstrated, on its own dataset, the auditability it demands of the model to come</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That is where a careful contribution ends: not with a verdict on the market, but with an honest measure of how far the evidence reaches and a method for knowing when it has reached far enough</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157"/>
    <w:bookmarkStart w:id="158" w:name="X1975a2d945772898e0134e172ac9f7fe75735e1"/>
    <w:p>
      <w:pPr>
        <w:pStyle w:val="Heading2"/>
        <w:spacing w:line="480" w:lineRule="auto"/>
      </w:pPr>
      <w:r>
        <w:t xml:space="preserve">8.10 Implications for how the pipeline evaluates readiness</w:t>
      </w:r>
    </w:p>
    <w:p>
      <w:pPr>
        <w:pStyle w:val="FirstParagraph"/>
        <w:spacing w:line="480" w:lineRule="auto"/>
      </w:pPr>
      <w:r>
        <w:t xml:space="preserve">There is an institutional implication worth drawing out, because the screen has relevance beyond this single topic to how a research program judges whether any emerging space market is ready to cost. A pipeline that assesses readiness by publication volume will systematically mistake activity for maturity, and it will greenlight cost models built on unreconciled literatures across whichever topics happen to be fashionable</w:t>
      </w:r>
      <w:r>
        <w:t xml:space="preserve"> </w:t>
      </w:r>
      <w:hyperlink w:anchor="ref-9">
        <w:r>
          <w:rPr>
            <w:rStyle w:val="Hyperlink"/>
          </w:rPr>
          <w:t xml:space="preserve">[9]</w:t>
        </w:r>
      </w:hyperlink>
      <w:r>
        <w:t xml:space="preserve"> </w:t>
      </w:r>
      <w:hyperlink w:anchor="ref-11">
        <w:r>
          <w:rPr>
            <w:rStyle w:val="Hyperlink"/>
          </w:rPr>
          <w:t xml:space="preserve">[11]</w:t>
        </w:r>
      </w:hyperlink>
      <w:r>
        <w:t xml:space="preserve">. Substituting a convergence screen for a volume count changes the incentive: a topic advances to costing not when it is loud but when its literature shows the structure of a reconciled parameter base.</w:t>
      </w:r>
    </w:p>
    <w:p>
      <w:pPr>
        <w:pStyle w:val="BodyText"/>
        <w:spacing w:line="480" w:lineRule="auto"/>
        <w:ind w:firstLine="720"/>
      </w:pPr>
      <w:r>
        <w:t xml:space="preserve">Adopting that standard would have costs of its own, chiefly that fewer topics would clear the bar and some genuinely ready ones might be held back by shallow metadata that understates their convergence</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The screen is a first filter, not a final judge, and the document-coding study exists precisely to catch the topics the metadata filter would wrongly reject. But a program that ran the cheap screen first and reserved the expensive coding study for topics that either passed or sat near the margin would allocate its analytic effort far better than one that costed everything or nothing. The instrument built here is thus a small piece of research-portfolio discipline as much as a piece of habitat economics</w:t>
      </w:r>
      <w:r>
        <w:t xml:space="preserve"> </w:t>
      </w:r>
      <w:hyperlink w:anchor="ref-16">
        <w:r>
          <w:rPr>
            <w:rStyle w:val="Hyperlink"/>
          </w:rPr>
          <w:t xml:space="preserve">[16]</w:t>
        </w:r>
      </w:hyperlink>
      <w:r>
        <w:t xml:space="preserve"> </w:t>
      </w:r>
      <w:hyperlink w:anchor="ref-8">
        <w:r>
          <w:rPr>
            <w:rStyle w:val="Hyperlink"/>
          </w:rPr>
          <w:t xml:space="preserve">[8]</w:t>
        </w:r>
      </w:hyperlink>
      <w:r>
        <w:t xml:space="preserve">.</w:t>
      </w:r>
    </w:p>
    <w:bookmarkEnd w:id="158"/>
    <w:bookmarkStart w:id="159" w:name="X26fe1bc0387e5cc429418cb2b73968ebe024b6a"/>
    <w:p>
      <w:pPr>
        <w:pStyle w:val="Heading2"/>
        <w:spacing w:line="480" w:lineRule="auto"/>
      </w:pPr>
      <w:r>
        <w:t xml:space="preserve">8.11 The durable question the dissertation leaves open</w:t>
      </w:r>
    </w:p>
    <w:p>
      <w:pPr>
        <w:pStyle w:val="FirstParagraph"/>
        <w:spacing w:line="480" w:lineRule="auto"/>
      </w:pPr>
      <w:r>
        <w:t xml:space="preserve">Every honest dissertation leaves a sharper question behind. This one is no exception. It began by asking whether the commercial-habitat literature could support a bottom-up cost model. It ends having shown that the literature’s metadata carries no convergence signature, which raises a more precise successor question: does the reconciliation a cost model needs exist in the substance of the documents despite being invisible to their metadata</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That question is answerable, it is answerable soon, and the path to answering it is the document-coding study this conclusion has specified.</w:t>
      </w:r>
    </w:p>
    <w:p>
      <w:pPr>
        <w:pStyle w:val="BodyText"/>
        <w:spacing w:line="480" w:lineRule="auto"/>
        <w:ind w:firstLine="720"/>
      </w:pPr>
      <w:r>
        <w:t xml:space="preserve">Leaving that question well-posed is the dissertation’s final contribution. A vague sense that the field is not quite ready has been replaced by a specific, testable proposition about where the field’s convergence, if any, must be sought</w:t>
      </w:r>
      <w:r>
        <w:t xml:space="preserve"> </w:t>
      </w:r>
      <w:hyperlink w:anchor="ref-10">
        <w:r>
          <w:rPr>
            <w:rStyle w:val="Hyperlink"/>
          </w:rPr>
          <w:t xml:space="preserve">[10]</w:t>
        </w:r>
      </w:hyperlink>
      <w:r>
        <w:t xml:space="preserve">. The screen could not reach into the substance of the documents, and it did not pretend to; it went as far as observable metadata allows and then handed the next investigator a sharpened tool and a clear target</w:t>
      </w:r>
      <w:r>
        <w:t xml:space="preserve"> </w:t>
      </w:r>
      <w:hyperlink w:anchor="ref-16">
        <w:r>
          <w:rPr>
            <w:rStyle w:val="Hyperlink"/>
          </w:rPr>
          <w:t xml:space="preserve">[16]</w:t>
        </w:r>
      </w:hyperlink>
      <w:r>
        <w:t xml:space="preserve">. That handoff, from an intuition to a bounded finding to a well-posed successor question, is the shape of a genuine research contribution, and it is the note on which a careful dissertation about a market not yet ready to be costed can honestly close</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account is deliberately unglamorous, and that is its integrity. A field under pressure to justify large commitments will reward confident totals, and the discipline that resists that reward is the discipline that keeps public and private capital honest</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This dissertation reached a negative result and refused to dress it as anything else, bounded it against every threat it could name, and left behind a reusable instrument and a sharpened question. For the candidate and for the pipeline, the durable asset is not the single number but the method and the temperament that produced it, which will outlast whatever the next feasibility study happens to claim</w:t>
      </w:r>
      <w:r>
        <w:t xml:space="preserve"> </w:t>
      </w:r>
      <w:hyperlink w:anchor="ref-16">
        <w:r>
          <w:rPr>
            <w:rStyle w:val="Hyperlink"/>
          </w:rPr>
          <w:t xml:space="preserve">[16]</w:t>
        </w:r>
      </w:hyperlink>
      <w:r>
        <w:t xml:space="preserve">.</w:t>
      </w:r>
    </w:p>
    <w:bookmarkEnd w:id="159"/>
    <w:bookmarkStart w:id="186" w:name="references"/>
    <w:p>
      <w:pPr>
        <w:pStyle w:val="Heading2"/>
        <w:spacing w:line="480" w:lineRule="auto"/>
      </w:pPr>
      <w:r>
        <w:t xml:space="preserve">References</w:t>
      </w:r>
    </w:p>
    <w:p>
      <w:pPr>
        <w:pStyle w:val="FirstParagraph"/>
        <w:spacing w:line="480" w:lineRule="auto"/>
      </w:pPr>
      <w:bookmarkStart w:id="160" w:name="ref-1"/>
      <w:bookmarkEnd w:id="160"/>
      <w:r>
        <w:t xml:space="preserve">1. Robert Zitz (Leidos). Emerging Technologies: Small Satellite and Associated TPED (2014). [AMOS]</w:t>
      </w:r>
    </w:p>
    <w:p>
      <w:pPr>
        <w:pStyle w:val="BodyText"/>
        <w:spacing w:line="480" w:lineRule="auto"/>
        <w:ind w:firstLine="720"/>
      </w:pPr>
      <w:bookmarkStart w:id="161" w:name="ref-2"/>
      <w:bookmarkEnd w:id="161"/>
      <w:r>
        <w:t xml:space="preserve">2. Col. Russell F. Teehan, Air Force Research Laboratory, Col. John S. Anttonen, AF Space &amp; Missile Systems Center, Joy M. Stein, Air Force Research Laboratory, Jaime A. Stearns, Air Force Research Laboratory. Space Warfighting Construct: Prototyping (2017). [AMOS]</w:t>
      </w:r>
    </w:p>
    <w:p>
      <w:pPr>
        <w:pStyle w:val="BodyText"/>
        <w:spacing w:line="480" w:lineRule="auto"/>
        <w:ind w:firstLine="720"/>
      </w:pPr>
      <w:bookmarkStart w:id="162" w:name="ref-3"/>
      <w:bookmarkEnd w:id="162"/>
      <w:r>
        <w:t xml:space="preserve">3. Todd Harrison, Center for Strategic and International Studies. International Perspectives on Space Weapons (2020). [AMOS]</w:t>
      </w:r>
    </w:p>
    <w:p>
      <w:pPr>
        <w:pStyle w:val="BodyText"/>
        <w:spacing w:line="480" w:lineRule="auto"/>
        <w:ind w:firstLine="720"/>
      </w:pPr>
      <w:bookmarkStart w:id="163" w:name="ref-4"/>
      <w:bookmarkEnd w:id="163"/>
      <w:r>
        <w:t xml:space="preserve">4. Dick Stottler, Stottler Henke Associates, Inc.. Improved Space Surveillance Network (SSN) Scheduling using Artificial Intelligence Techniques (2015). [AMOS]</w:t>
      </w:r>
    </w:p>
    <w:p>
      <w:pPr>
        <w:pStyle w:val="BodyText"/>
        <w:spacing w:line="480" w:lineRule="auto"/>
        <w:ind w:firstLine="720"/>
      </w:pPr>
      <w:bookmarkStart w:id="164" w:name="ref-5"/>
      <w:bookmarkEnd w:id="164"/>
      <w:r>
        <w:t xml:space="preserve">5. Dick Stottler, Stottler Henke Associates, Inc.H, Kyle Mahan, Stottler Henke Associates, Inc.. Automatic, Rapid Replanning of Satellite Operations for Space Situational Awareness (SSA) (2015). [AMOS]</w:t>
      </w:r>
    </w:p>
    <w:p>
      <w:pPr>
        <w:pStyle w:val="BodyText"/>
        <w:spacing w:line="480" w:lineRule="auto"/>
        <w:ind w:firstLine="720"/>
      </w:pPr>
      <w:bookmarkStart w:id="165" w:name="ref-6"/>
      <w:bookmarkEnd w:id="165"/>
      <w:r>
        <w:t xml:space="preserve">6. Nathan Toner, Cloudstone Innovations; Dominic Manzano, Cloudstone Innovations; David Moore, Cloudstone Innovations; Alexander Vlasse, Cloudstone Innovations; C. Channing Chow II, Cloudstone Innovations. Panopticon: A Low-SWaPC Wide Field of View Sensor for Enhanced Space Domain Awareness (2025). doi:</w:t>
      </w:r>
      <w:r>
        <w:t xml:space="preserve"> </w:t>
      </w:r>
      <w:hyperlink r:id="rId166">
        <w:r>
          <w:rPr>
            <w:rStyle w:val="Hyperlink"/>
          </w:rPr>
          <w:t xml:space="preserve">10.64861/PTIC5794</w:t>
        </w:r>
      </w:hyperlink>
    </w:p>
    <w:p>
      <w:pPr>
        <w:pStyle w:val="BodyText"/>
        <w:spacing w:line="480" w:lineRule="auto"/>
        <w:ind w:firstLine="720"/>
      </w:pPr>
      <w:bookmarkStart w:id="167" w:name="ref-7"/>
      <w:bookmarkEnd w:id="167"/>
      <w:r>
        <w:t xml:space="preserve">7. James Heasley (Institute for Astronomy, University of Hawaii), Robert E. Eek (Science Applications International Corporation), Wayne L. Smith (Science Applications International Corporation), Julie A. Rosen (Science Applications International Corporation), The Pan-STARRS team Pan-STARRS Project (Institute for Astronomy, University of Hawaii). Pan-STARRS PS1 Published Science Products Subsystem (2006). [AMOS]</w:t>
      </w:r>
    </w:p>
    <w:p>
      <w:pPr>
        <w:pStyle w:val="BodyText"/>
        <w:spacing w:line="480" w:lineRule="auto"/>
        <w:ind w:firstLine="720"/>
      </w:pPr>
      <w:bookmarkStart w:id="168" w:name="ref-8"/>
      <w:bookmarkEnd w:id="168"/>
      <w:r>
        <w:t xml:space="preserve">8. Pol Mesalles-Ripoll, SpaceNav; Edward Herrick-Reynolds, SpaceNav; Matt Duncan, SpaceNav. Optimal Risk Mitigation Strategies for Low-Thrust Space Systems (2023). doi:</w:t>
      </w:r>
      <w:r>
        <w:t xml:space="preserve"> </w:t>
      </w:r>
      <w:hyperlink r:id="rId169">
        <w:r>
          <w:rPr>
            <w:rStyle w:val="Hyperlink"/>
          </w:rPr>
          <w:t xml:space="preserve">10.64861/XBHL5283</w:t>
        </w:r>
      </w:hyperlink>
    </w:p>
    <w:p>
      <w:pPr>
        <w:pStyle w:val="BodyText"/>
        <w:spacing w:line="480" w:lineRule="auto"/>
        <w:ind w:firstLine="720"/>
      </w:pPr>
      <w:bookmarkStart w:id="170" w:name="ref-9"/>
      <w:bookmarkEnd w:id="170"/>
      <w:r>
        <w:t xml:space="preserve">9. n.a.. Feasibility study for a commercial space station in low 2025 Acta Astronaut (2024). doi:</w:t>
      </w:r>
      <w:r>
        <w:t xml:space="preserve"> </w:t>
      </w:r>
      <w:hyperlink r:id="rId171">
        <w:r>
          <w:rPr>
            <w:rStyle w:val="Hyperlink"/>
          </w:rPr>
          <w:t xml:space="preserve">10.1016/j.actaastro.2024.09.058</w:t>
        </w:r>
      </w:hyperlink>
    </w:p>
    <w:p>
      <w:pPr>
        <w:pStyle w:val="BodyText"/>
        <w:spacing w:line="480" w:lineRule="auto"/>
        <w:ind w:firstLine="720"/>
      </w:pPr>
      <w:bookmarkStart w:id="172" w:name="ref-10"/>
      <w:bookmarkEnd w:id="172"/>
      <w:r>
        <w:t xml:space="preserve">10. Alessandro Paravano; Alessandro Paravano; Brendan Rosseau; Giorgio Locatelli; Mathew Weinzierl; Paolo Trucco. Toward the LEO economy: A value assessment of commercial space stations for space and non-space users (2024). doi:</w:t>
      </w:r>
      <w:r>
        <w:t xml:space="preserve"> </w:t>
      </w:r>
      <w:hyperlink r:id="rId173">
        <w:r>
          <w:rPr>
            <w:rStyle w:val="Hyperlink"/>
          </w:rPr>
          <w:t xml:space="preserve">10.1016/j.actaastro.2024.11.060</w:t>
        </w:r>
      </w:hyperlink>
    </w:p>
    <w:p>
      <w:pPr>
        <w:pStyle w:val="BodyText"/>
        <w:spacing w:line="480" w:lineRule="auto"/>
        <w:ind w:firstLine="720"/>
      </w:pPr>
      <w:bookmarkStart w:id="174" w:name="ref-11"/>
      <w:bookmarkEnd w:id="174"/>
      <w:r>
        <w:t xml:space="preserve">11. Ben McKeown; Andrew G. Dempster; Serkan Saydam; Jeff Coulton. Placing lunar resources research in the context of mining feasibility studies (2025). doi:</w:t>
      </w:r>
      <w:r>
        <w:t xml:space="preserve"> </w:t>
      </w:r>
      <w:hyperlink r:id="rId175">
        <w:r>
          <w:rPr>
            <w:rStyle w:val="Hyperlink"/>
          </w:rPr>
          <w:t xml:space="preserve">10.1016/j.actaastro.2025.04.041</w:t>
        </w:r>
      </w:hyperlink>
    </w:p>
    <w:p>
      <w:pPr>
        <w:pStyle w:val="BodyText"/>
        <w:spacing w:line="480" w:lineRule="auto"/>
        <w:ind w:firstLine="720"/>
      </w:pPr>
      <w:bookmarkStart w:id="176" w:name="ref-12"/>
      <w:bookmarkEnd w:id="176"/>
      <w:r>
        <w:t xml:space="preserve">12. Jack J. W. A. van Loon; Cesare Lobascio; Giorgio Boscheri; Clement Goujon; S. Voglino; Eleonora Zeminiani; Ricardo González Cinca; Reinhold Ewald. Benefits of a rotating – Partial gravity – Spacecraft (2024). doi:</w:t>
      </w:r>
      <w:r>
        <w:t xml:space="preserve"> </w:t>
      </w:r>
      <w:hyperlink r:id="rId177">
        <w:r>
          <w:rPr>
            <w:rStyle w:val="Hyperlink"/>
          </w:rPr>
          <w:t xml:space="preserve">10.1016/j.actaastro.2024.04.041</w:t>
        </w:r>
      </w:hyperlink>
    </w:p>
    <w:p>
      <w:pPr>
        <w:pStyle w:val="BodyText"/>
        <w:spacing w:line="480" w:lineRule="auto"/>
        <w:ind w:firstLine="720"/>
      </w:pPr>
      <w:bookmarkStart w:id="178" w:name="ref-13"/>
      <w:bookmarkEnd w:id="178"/>
      <w:r>
        <w:t xml:space="preserve">13. N.T. Drenthe; B.T.C. Zandbergen; Richard Curran; M.O. Van Pelt. Cost estimating of commercial smallsat launch vehicles (2018). doi:</w:t>
      </w:r>
      <w:r>
        <w:t xml:space="preserve"> </w:t>
      </w:r>
      <w:hyperlink r:id="rId179">
        <w:r>
          <w:rPr>
            <w:rStyle w:val="Hyperlink"/>
          </w:rPr>
          <w:t xml:space="preserve">10.1016/j.actaastro.2018.11.054</w:t>
        </w:r>
      </w:hyperlink>
    </w:p>
    <w:p>
      <w:pPr>
        <w:pStyle w:val="BodyText"/>
        <w:spacing w:line="480" w:lineRule="auto"/>
        <w:ind w:firstLine="720"/>
      </w:pPr>
      <w:bookmarkStart w:id="180" w:name="ref-14"/>
      <w:bookmarkEnd w:id="180"/>
      <w:r>
        <w:t xml:space="preserve">14. David Haley; Andrew Beck; André Pollok; Alex Grant; Robby G. McKilliam. Massive scale, long battery life, direct to orbit connectivity for the internet of things (2018). doi:</w:t>
      </w:r>
      <w:r>
        <w:t xml:space="preserve"> </w:t>
      </w:r>
      <w:hyperlink r:id="rId181">
        <w:r>
          <w:rPr>
            <w:rStyle w:val="Hyperlink"/>
          </w:rPr>
          <w:t xml:space="preserve">10.1016/j.actaastro.2018.06.035</w:t>
        </w:r>
      </w:hyperlink>
    </w:p>
    <w:p>
      <w:pPr>
        <w:pStyle w:val="BodyText"/>
        <w:spacing w:line="480" w:lineRule="auto"/>
        <w:ind w:firstLine="720"/>
      </w:pPr>
      <w:bookmarkStart w:id="182" w:name="ref-15"/>
      <w:bookmarkEnd w:id="182"/>
      <w:r>
        <w:t xml:space="preserve">15. Simon Engler; Kim Binsted; Henry Leung. HI-SEAS habitat energy requirements and forecasting (2019). doi:</w:t>
      </w:r>
      <w:r>
        <w:t xml:space="preserve"> </w:t>
      </w:r>
      <w:hyperlink r:id="rId183">
        <w:r>
          <w:rPr>
            <w:rStyle w:val="Hyperlink"/>
          </w:rPr>
          <w:t xml:space="preserve">10.1016/j.actaastro.2019.05.049</w:t>
        </w:r>
      </w:hyperlink>
    </w:p>
    <w:p>
      <w:pPr>
        <w:pStyle w:val="BodyText"/>
        <w:spacing w:line="480" w:lineRule="auto"/>
        <w:ind w:firstLine="720"/>
      </w:pPr>
      <w:bookmarkStart w:id="184" w:name="ref-16"/>
      <w:bookmarkEnd w:id="184"/>
      <w:r>
        <w:t xml:space="preserve">16. Melissa Guzman; Andreas M. Hein; Chris Welch. Extremely long-duration storage concepts for space (2016). doi:</w:t>
      </w:r>
      <w:r>
        <w:t xml:space="preserve"> </w:t>
      </w:r>
      <w:hyperlink r:id="rId185">
        <w:r>
          <w:rPr>
            <w:rStyle w:val="Hyperlink"/>
          </w:rPr>
          <w:t xml:space="preserve">10.1016/j.actaastro.2016.10.007</w:t>
        </w:r>
      </w:hyperlink>
    </w:p>
    <w:bookmarkEnd w:id="186"/>
    <w:bookmarkEnd w:id="187"/>
    <w:bookmarkStart w:id="20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5" w:name="X8dd1c95fe51c617f445d699bd3d03ee4ae1a42f"/>
    <w:p>
      <w:pPr>
        <w:pStyle w:val="Heading2"/>
        <w:spacing w:line="480" w:lineRule="auto"/>
      </w:pPr>
      <w:r>
        <w:t xml:space="preserve">A.1 Signal Intensity in Costing the Long-Duration Habitat a bottom-up business case for commercial LEO: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3.0855</w:t>
            </w:r>
          </w:p>
        </w:tc>
        <w:tc>
          <w:tcPr>
            <w:tcW w:w="0" w:type="auto"/>
          </w:tcPr>
          <w:p>
            <w:pPr>
              <w:spacing w:line="240" w:lineRule="auto" w:before="0" w:after="0"/>
              <w:pStyle w:val="Compact"/>
            </w:pPr>
            <w:r>
              <w:rPr>
                <w:sz w:val="20"/>
                <w:szCs w:val="20"/>
              </w:rPr>
              <w:t xml:space="preserve">1.6684</w:t>
            </w:r>
          </w:p>
        </w:tc>
        <w:tc>
          <w:tcPr>
            <w:tcW w:w="0" w:type="auto"/>
          </w:tcPr>
          <w:p>
            <w:pPr>
              <w:spacing w:line="240" w:lineRule="auto" w:before="0" w:after="0"/>
              <w:pStyle w:val="Compact"/>
            </w:pPr>
            <w:r>
              <w:rPr>
                <w:sz w:val="20"/>
                <w:szCs w:val="20"/>
              </w:rPr>
              <w:t xml:space="preserve">1.8494</w:t>
            </w:r>
          </w:p>
        </w:tc>
        <w:tc>
          <w:tcPr>
            <w:tcW w:w="0" w:type="auto"/>
          </w:tcPr>
          <w:p>
            <w:pPr>
              <w:spacing w:line="240" w:lineRule="auto" w:before="0" w:after="0"/>
              <w:pStyle w:val="Compact"/>
            </w:pPr>
            <w:r>
              <w:rPr>
                <w:sz w:val="20"/>
                <w:szCs w:val="20"/>
              </w:rPr>
              <w:t xml:space="preserve">0.0644</w:t>
            </w:r>
          </w:p>
        </w:tc>
        <w:tc>
          <w:tcPr>
            <w:tcW w:w="0" w:type="auto"/>
          </w:tcPr>
          <w:p>
            <w:pPr>
              <w:spacing w:line="240" w:lineRule="auto" w:before="0" w:after="0"/>
              <w:pStyle w:val="Compact"/>
            </w:pPr>
            <w:r>
              <w:rPr>
                <w:sz w:val="20"/>
                <w:szCs w:val="20"/>
              </w:rPr>
              <w:t xml:space="preserve">[-0.1844, 6.3554]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0.0045</w:t>
            </w:r>
          </w:p>
        </w:tc>
        <w:tc>
          <w:tcPr>
            <w:tcW w:w="0" w:type="auto"/>
          </w:tcPr>
          <w:p>
            <w:pPr>
              <w:spacing w:line="240" w:lineRule="auto" w:before="0" w:after="0"/>
              <w:pStyle w:val="Compact"/>
            </w:pPr>
            <w:r>
              <w:rPr>
                <w:sz w:val="20"/>
                <w:szCs w:val="20"/>
              </w:rPr>
              <w:t xml:space="preserve">0.1007</w:t>
            </w:r>
          </w:p>
        </w:tc>
        <w:tc>
          <w:tcPr>
            <w:tcW w:w="0" w:type="auto"/>
          </w:tcPr>
          <w:p>
            <w:pPr>
              <w:spacing w:line="240" w:lineRule="auto" w:before="0" w:after="0"/>
              <w:pStyle w:val="Compact"/>
            </w:pPr>
            <w:r>
              <w:rPr>
                <w:sz w:val="20"/>
                <w:szCs w:val="20"/>
              </w:rPr>
              <w:t xml:space="preserve">0.0447</w:t>
            </w:r>
          </w:p>
        </w:tc>
        <w:tc>
          <w:tcPr>
            <w:tcW w:w="0" w:type="auto"/>
          </w:tcPr>
          <w:p>
            <w:pPr>
              <w:spacing w:line="240" w:lineRule="auto" w:before="0" w:after="0"/>
              <w:pStyle w:val="Compact"/>
            </w:pPr>
            <w:r>
              <w:rPr>
                <w:sz w:val="20"/>
                <w:szCs w:val="20"/>
              </w:rPr>
              <w:t xml:space="preserve">0.9644</w:t>
            </w:r>
          </w:p>
        </w:tc>
        <w:tc>
          <w:tcPr>
            <w:tcW w:w="0" w:type="auto"/>
          </w:tcPr>
          <w:p>
            <w:pPr>
              <w:spacing w:line="240" w:lineRule="auto" w:before="0" w:after="0"/>
              <w:pStyle w:val="Compact"/>
            </w:pPr>
            <w:r>
              <w:rPr>
                <w:sz w:val="20"/>
                <w:szCs w:val="20"/>
              </w:rPr>
              <w:t xml:space="preserve">[-0.1928, 0.2018]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0.0408</w:t>
            </w:r>
          </w:p>
        </w:tc>
        <w:tc>
          <w:tcPr>
            <w:tcW w:w="0" w:type="auto"/>
          </w:tcPr>
          <w:p>
            <w:pPr>
              <w:spacing w:line="240" w:lineRule="auto" w:before="0" w:after="0"/>
              <w:pStyle w:val="Compact"/>
            </w:pPr>
            <w:r>
              <w:rPr>
                <w:sz w:val="20"/>
                <w:szCs w:val="20"/>
              </w:rPr>
              <w:t xml:space="preserve">-0.0732</w:t>
            </w:r>
          </w:p>
        </w:tc>
        <w:tc>
          <w:tcPr>
            <w:tcW w:w="0" w:type="auto"/>
          </w:tcPr>
          <w:p>
            <w:pPr>
              <w:spacing w:line="240" w:lineRule="auto" w:before="0" w:after="0"/>
              <w:pStyle w:val="Compact"/>
            </w:pPr>
            <w:r>
              <w:rPr>
                <w:sz w:val="20"/>
                <w:szCs w:val="20"/>
              </w:rPr>
              <w:t xml:space="preserve">0.9417</w:t>
            </w:r>
          </w:p>
        </w:tc>
        <w:tc>
          <w:tcPr>
            <w:tcW w:w="0" w:type="auto"/>
          </w:tcPr>
          <w:p>
            <w:pPr>
              <w:spacing w:line="240" w:lineRule="auto" w:before="0" w:after="0"/>
              <w:pStyle w:val="Compact"/>
            </w:pPr>
            <w:r>
              <w:rPr>
                <w:sz w:val="20"/>
                <w:szCs w:val="20"/>
              </w:rPr>
              <w:t xml:space="preserve">[-0.083, 0.077]</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-0.1909</w:t>
            </w:r>
          </w:p>
        </w:tc>
        <w:tc>
          <w:tcPr>
            <w:tcW w:w="0" w:type="auto"/>
          </w:tcPr>
          <w:p>
            <w:pPr>
              <w:spacing w:line="240" w:lineRule="auto" w:before="0" w:after="0"/>
              <w:pStyle w:val="Compact"/>
            </w:pPr>
            <w:r>
              <w:rPr>
                <w:sz w:val="20"/>
                <w:szCs w:val="20"/>
              </w:rPr>
              <w:t xml:space="preserve">0.4275</w:t>
            </w:r>
          </w:p>
        </w:tc>
        <w:tc>
          <w:tcPr>
            <w:tcW w:w="0" w:type="auto"/>
          </w:tcPr>
          <w:p>
            <w:pPr>
              <w:spacing w:line="240" w:lineRule="auto" w:before="0" w:after="0"/>
              <w:pStyle w:val="Compact"/>
            </w:pPr>
            <w:r>
              <w:rPr>
                <w:sz w:val="20"/>
                <w:szCs w:val="20"/>
              </w:rPr>
              <w:t xml:space="preserve">-0.4465</w:t>
            </w:r>
          </w:p>
        </w:tc>
        <w:tc>
          <w:tcPr>
            <w:tcW w:w="0" w:type="auto"/>
          </w:tcPr>
          <w:p>
            <w:pPr>
              <w:spacing w:line="240" w:lineRule="auto" w:before="0" w:after="0"/>
              <w:pStyle w:val="Compact"/>
            </w:pPr>
            <w:r>
              <w:rPr>
                <w:sz w:val="20"/>
                <w:szCs w:val="20"/>
              </w:rPr>
              <w:t xml:space="preserve">0.6552</w:t>
            </w:r>
          </w:p>
        </w:tc>
        <w:tc>
          <w:tcPr>
            <w:tcW w:w="0" w:type="auto"/>
          </w:tcPr>
          <w:p>
            <w:pPr>
              <w:spacing w:line="240" w:lineRule="auto" w:before="0" w:after="0"/>
              <w:pStyle w:val="Compact"/>
            </w:pPr>
            <w:r>
              <w:rPr>
                <w:sz w:val="20"/>
                <w:szCs w:val="20"/>
              </w:rPr>
              <w:t xml:space="preserve">[-1.0288, 0.647]</w:t>
            </w:r>
          </w:p>
        </w:tc>
      </w:tr>
    </w:tbl>
    <w:p>
      <w:pPr>
        <w:pStyle w:val="BodyText"/>
        <w:spacing w:line="480" w:lineRule="auto"/>
        <w:ind w:firstLine="720"/>
      </w:pPr>
      <w:r>
        <w:t xml:space="preserve">Fit: N = 30 R2 = 0.0064 R2_adj = -0.1083 F = 0.0714 F_p = 0.9747</w:t>
      </w:r>
    </w:p>
    <w:bookmarkEnd w:id="188"/>
    <w:bookmarkStart w:id="19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0" name="Picture"/>
            <a:graphic>
              <a:graphicData uri="http://schemas.openxmlformats.org/drawingml/2006/picture">
                <pic:pic>
                  <pic:nvPicPr>
                    <pic:cNvPr descr="D:/Claude_Code/brain/collegium/candidates/dissertations/SPACE_ECON_12/research_papers/p1/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92"/>
    <w:bookmarkStart w:id="19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https://amostech.space/year/2014/emerging-technologies-small-satellite-and-associated-tped/</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https://amostech.space/year/2017/space-warfighting-construct-prototyping/</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https://amostech.space/year/2015/improved-space-surveillance-network-ssn-scheduling-using-artificial-intelligence-techniques/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https://amostech.space/year/2015/automatic-rapid-replanning-of-satellite-operations-for-space-situational-awareness-ssa/</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10.64861/PTIC5794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https://amostech.space/year/2006/pan-starrs-ps1-published-science-products-subsystem/</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10.64861/XBHL5283</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https://amostech.space/year/2020/optimizing-daylight-performance-of-small-visible-nir-optical-systems/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10.1016/j.actaastro.2024.09.058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10.1016/j.actaastro.2024.04.041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10.1016/j.actaastro.2018.11.054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10.1016/j.actaastro.2018.06.035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10.1016/j.actaastro.2019.05.049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10.1016/j.actaastro.2016.10.007</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10.1016/j.actaastro.2023.04.023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10.1016/j.actaastro.2021.06.051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10.1016/j.actaastro.2025.10.029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Environment Management: Framing Objectives and Priorities</w:t>
            </w:r>
          </w:p>
        </w:tc>
      </w:tr>
    </w:tbl>
    <w:bookmarkEnd w:id="193"/>
    <w:bookmarkStart w:id="19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4"/>
    <w:bookmarkEnd w:id="195"/>
    <w:bookmarkStart w:id="203" w:name="Xc132cc388cd2c6dbf8db3f03cbb51e57a7d3d7e"/>
    <w:p>
      <w:pPr>
        <w:pStyle w:val="Heading2"/>
        <w:spacing w:line="480" w:lineRule="auto"/>
      </w:pPr>
      <w:r>
        <w:t xml:space="preserve">A.2 Attention Accumulation in Costing the Long-Duration Habitat a bottom-up business case for commercial LEO: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0.9809</w:t>
            </w:r>
          </w:p>
        </w:tc>
        <w:tc>
          <w:tcPr>
            <w:tcW w:w="0" w:type="auto"/>
          </w:tcPr>
          <w:p>
            <w:pPr>
              <w:spacing w:line="240" w:lineRule="auto" w:before="0" w:after="0"/>
              <w:pStyle w:val="Compact"/>
            </w:pPr>
            <w:r>
              <w:rPr>
                <w:sz w:val="20"/>
                <w:szCs w:val="20"/>
              </w:rPr>
              <w:t xml:space="preserve">0.5565</w:t>
            </w:r>
          </w:p>
        </w:tc>
        <w:tc>
          <w:tcPr>
            <w:tcW w:w="0" w:type="auto"/>
          </w:tcPr>
          <w:p>
            <w:pPr>
              <w:spacing w:line="240" w:lineRule="auto" w:before="0" w:after="0"/>
              <w:pStyle w:val="Compact"/>
            </w:pPr>
            <w:r>
              <w:rPr>
                <w:sz w:val="20"/>
                <w:szCs w:val="20"/>
              </w:rPr>
              <w:t xml:space="preserve">1.7625</w:t>
            </w:r>
          </w:p>
        </w:tc>
        <w:tc>
          <w:tcPr>
            <w:tcW w:w="0" w:type="auto"/>
          </w:tcPr>
          <w:p>
            <w:pPr>
              <w:spacing w:line="240" w:lineRule="auto" w:before="0" w:after="0"/>
              <w:pStyle w:val="Compact"/>
            </w:pPr>
            <w:r>
              <w:rPr>
                <w:sz w:val="20"/>
                <w:szCs w:val="20"/>
              </w:rPr>
              <w:t xml:space="preserve">0.078</w:t>
            </w:r>
          </w:p>
        </w:tc>
        <w:tc>
          <w:tcPr>
            <w:tcW w:w="0" w:type="auto"/>
          </w:tcPr>
          <w:p>
            <w:pPr>
              <w:spacing w:line="240" w:lineRule="auto" w:before="0" w:after="0"/>
              <w:pStyle w:val="Compact"/>
            </w:pPr>
            <w:r>
              <w:rPr>
                <w:sz w:val="20"/>
                <w:szCs w:val="20"/>
              </w:rPr>
              <w:t xml:space="preserve">[-0.1099, 2.0716]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-0.136</w:t>
            </w:r>
          </w:p>
        </w:tc>
        <w:tc>
          <w:tcPr>
            <w:tcW w:w="0" w:type="auto"/>
          </w:tcPr>
          <w:p>
            <w:pPr>
              <w:spacing w:line="240" w:lineRule="auto" w:before="0" w:after="0"/>
              <w:pStyle w:val="Compact"/>
            </w:pPr>
            <w:r>
              <w:rPr>
                <w:sz w:val="20"/>
                <w:szCs w:val="20"/>
              </w:rPr>
              <w:t xml:space="preserve">0.2941</w:t>
            </w:r>
          </w:p>
        </w:tc>
        <w:tc>
          <w:tcPr>
            <w:tcW w:w="0" w:type="auto"/>
          </w:tcPr>
          <w:p>
            <w:pPr>
              <w:spacing w:line="240" w:lineRule="auto" w:before="0" w:after="0"/>
              <w:pStyle w:val="Compact"/>
            </w:pPr>
            <w:r>
              <w:rPr>
                <w:sz w:val="20"/>
                <w:szCs w:val="20"/>
              </w:rPr>
              <w:t xml:space="preserve">-0.4625</w:t>
            </w:r>
          </w:p>
        </w:tc>
        <w:tc>
          <w:tcPr>
            <w:tcW w:w="0" w:type="auto"/>
          </w:tcPr>
          <w:p>
            <w:pPr>
              <w:spacing w:line="240" w:lineRule="auto" w:before="0" w:after="0"/>
              <w:pStyle w:val="Compact"/>
            </w:pPr>
            <w:r>
              <w:rPr>
                <w:sz w:val="20"/>
                <w:szCs w:val="20"/>
              </w:rPr>
              <w:t xml:space="preserve">0.6437</w:t>
            </w:r>
          </w:p>
        </w:tc>
        <w:tc>
          <w:tcPr>
            <w:tcW w:w="0" w:type="auto"/>
          </w:tcPr>
          <w:p>
            <w:pPr>
              <w:spacing w:line="240" w:lineRule="auto" w:before="0" w:after="0"/>
              <w:pStyle w:val="Compact"/>
            </w:pPr>
            <w:r>
              <w:rPr>
                <w:sz w:val="20"/>
                <w:szCs w:val="20"/>
              </w:rPr>
              <w:t xml:space="preserve">[-0.7123, 0.4403]</w:t>
            </w:r>
          </w:p>
        </w:tc>
      </w:tr>
    </w:tbl>
    <w:p>
      <w:pPr>
        <w:pStyle w:val="BodyText"/>
        <w:spacing w:line="480" w:lineRule="auto"/>
        <w:ind w:firstLine="720"/>
      </w:pPr>
      <w:r>
        <w:t xml:space="preserve">Fit: N = 30 R2 = 0.0058 elasticity_b = -0.136 progress_ratio_2^b = 0.91</w:t>
      </w:r>
    </w:p>
    <w:bookmarkEnd w:id="196"/>
    <w:bookmarkStart w:id="20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8" name="Picture"/>
            <a:graphic>
              <a:graphicData uri="http://schemas.openxmlformats.org/drawingml/2006/picture">
                <pic:pic>
                  <pic:nvPicPr>
                    <pic:cNvPr descr="D:/Claude_Code/brain/collegium/candidates/dissertations/SPACE_ECON_12/research_papers/p2/paper_fig1.png" id="199" name="Picture"/>
                    <pic:cNvPicPr>
                      <a:picLocks noChangeArrowheads="1" noChangeAspect="1"/>
                    </pic:cNvPicPr>
                  </pic:nvPicPr>
                  <pic:blipFill>
                    <a:blip r:embed="rId19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0"/>
    <w:bookmarkStart w:id="20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https://amostech.space/year/2014/emerging-technologies-small-satellite-and-associated-tped/</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https://amostech.space/year/2017/space-warfighting-construct-prototyping/</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https://amostech.space/year/2015/improved-space-surveillance-network-ssn-scheduling-using-artificial-intelligence-techniques/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https://amostech.space/year/2015/automatic-rapid-replanning-of-satellite-operations-for-space-situational-awareness-ssa/</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10.64861/PTIC5794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https://amostech.space/year/2006/pan-starrs-ps1-published-science-products-subsystem/</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10.64861/XBHL5283</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https://amostech.space/year/2020/optimizing-daylight-performance-of-small-visible-nir-optical-systems/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10.1016/j.actaastro.2024.09.058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10.1016/j.actaastro.2024.11.060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10.1016/j.actaastro.2024.04.041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10.1016/j.actaastro.2018.11.054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10.1016/j.actaastro.2018.06.035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10.1016/j.actaastro.2019.05.049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10.1016/j.actaastro.2016.10.007</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10.1016/j.actaastro.2023.04.023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10.1016/j.actaastro.2021.06.051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10.1016/j.actaastro.2025.10.029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Environment Management: Framing Objectives and Priorities</w:t>
            </w:r>
          </w:p>
        </w:tc>
      </w:tr>
    </w:tbl>
    <w:bookmarkEnd w:id="201"/>
    <w:bookmarkStart w:id="20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02"/>
    <w:bookmarkEnd w:id="203"/>
    <w:bookmarkEnd w:id="20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9" Type="http://schemas.openxmlformats.org/officeDocument/2006/relationships/image" Target="media/rId189.png"/><Relationship Id="rId197" Type="http://schemas.openxmlformats.org/officeDocument/2006/relationships/image" Target="media/rId197.png"/><Relationship Id="rId185" Type="http://schemas.openxmlformats.org/officeDocument/2006/relationships/hyperlink" Target="https://doi.org/10.1016/j.actaastro.2016.10.007" TargetMode="External"/><Relationship Id="rId181" Type="http://schemas.openxmlformats.org/officeDocument/2006/relationships/hyperlink" Target="https://doi.org/10.1016/j.actaastro.2018.06.035" TargetMode="External"/><Relationship Id="rId179" Type="http://schemas.openxmlformats.org/officeDocument/2006/relationships/hyperlink" Target="https://doi.org/10.1016/j.actaastro.2018.11.054" TargetMode="External"/><Relationship Id="rId183" Type="http://schemas.openxmlformats.org/officeDocument/2006/relationships/hyperlink" Target="https://doi.org/10.1016/j.actaastro.2019.05.049" TargetMode="External"/><Relationship Id="rId177" Type="http://schemas.openxmlformats.org/officeDocument/2006/relationships/hyperlink" Target="https://doi.org/10.1016/j.actaastro.2024.04.041" TargetMode="External"/><Relationship Id="rId171" Type="http://schemas.openxmlformats.org/officeDocument/2006/relationships/hyperlink" Target="https://doi.org/10.1016/j.actaastro.2024.09.058" TargetMode="External"/><Relationship Id="rId173" Type="http://schemas.openxmlformats.org/officeDocument/2006/relationships/hyperlink" Target="https://doi.org/10.1016/j.actaastro.2024.11.060" TargetMode="External"/><Relationship Id="rId175" Type="http://schemas.openxmlformats.org/officeDocument/2006/relationships/hyperlink" Target="https://doi.org/10.1016/j.actaastro.2025.04.041" TargetMode="External"/><Relationship Id="rId166" Type="http://schemas.openxmlformats.org/officeDocument/2006/relationships/hyperlink" Target="https://doi.org/10.64861/PTIC5794" TargetMode="External"/><Relationship Id="rId169" Type="http://schemas.openxmlformats.org/officeDocument/2006/relationships/hyperlink" Target="https://doi.org/10.64861/XBHL5283" TargetMode="External"/></Relationships>
</file>

<file path=word/_rels/footnotes.xml.rels><?xml version='1.0' encoding='UTF-8' standalone='yes'?>
<Relationships xmlns="http://schemas.openxmlformats.org/package/2006/relationships"><Relationship Id="rId185" Type="http://schemas.openxmlformats.org/officeDocument/2006/relationships/hyperlink" Target="https://doi.org/10.1016/j.actaastro.2016.10.007" TargetMode="External"/><Relationship Id="rId181" Type="http://schemas.openxmlformats.org/officeDocument/2006/relationships/hyperlink" Target="https://doi.org/10.1016/j.actaastro.2018.06.035" TargetMode="External"/><Relationship Id="rId179" Type="http://schemas.openxmlformats.org/officeDocument/2006/relationships/hyperlink" Target="https://doi.org/10.1016/j.actaastro.2018.11.054" TargetMode="External"/><Relationship Id="rId183" Type="http://schemas.openxmlformats.org/officeDocument/2006/relationships/hyperlink" Target="https://doi.org/10.1016/j.actaastro.2019.05.049" TargetMode="External"/><Relationship Id="rId177" Type="http://schemas.openxmlformats.org/officeDocument/2006/relationships/hyperlink" Target="https://doi.org/10.1016/j.actaastro.2024.04.041" TargetMode="External"/><Relationship Id="rId171" Type="http://schemas.openxmlformats.org/officeDocument/2006/relationships/hyperlink" Target="https://doi.org/10.1016/j.actaastro.2024.09.058" TargetMode="External"/><Relationship Id="rId173" Type="http://schemas.openxmlformats.org/officeDocument/2006/relationships/hyperlink" Target="https://doi.org/10.1016/j.actaastro.2024.11.060" TargetMode="External"/><Relationship Id="rId175" Type="http://schemas.openxmlformats.org/officeDocument/2006/relationships/hyperlink" Target="https://doi.org/10.1016/j.actaastro.2025.04.041" TargetMode="External"/><Relationship Id="rId166" Type="http://schemas.openxmlformats.org/officeDocument/2006/relationships/hyperlink" Target="https://doi.org/10.64861/PTIC5794" TargetMode="External"/><Relationship Id="rId169" Type="http://schemas.openxmlformats.org/officeDocument/2006/relationships/hyperlink" Target="https://doi.org/10.64861/XBHL52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Costing the Long-Duration Habitat: a bottom-up business case for commercial LEO</dc:title>
  <dc:creator>Adrian Marsh (1B-ECO-200)</dc:creator>
  <cp:keywords/>
  <dcterms:created xsi:type="dcterms:W3CDTF">2026-07-02T23:36:27Z</dcterms:created>
  <dcterms:modified xsi:type="dcterms:W3CDTF">2026-07-02T23:36:27Z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