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2" w:name="Xc2476fdccfe7bcfdb01439f4f5b8b56950cc0c2"/>
    <w:p>
      <w:pPr>
        <w:pStyle w:val="Heading1"/>
      </w:pPr>
      <w:r>
        <w:t xml:space="preserve">Signal Intensity in Property Rights at the Cislunar Frontier does filing/registration behavior reve: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Lucia Cho (1B-ECO-213) and the dissertation project</w:t>
      </w:r>
      <w:r>
        <w:t xml:space="preserve"> </w:t>
      </w:r>
      <w:r>
        <w:rPr>
          <w:i/>
          <w:iCs/>
        </w:rPr>
        <w:t xml:space="preserve">Property Rights at the Cislunar Frontier: does filing/registration behavior reve</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R2=0.26621908884770107, R2_adj=0.18155206063782037, F=4.849464626421833, F_p=0.008233491795335085. The exact term summary is: const coef=4.034454328861768 p=0.006746054645856945; recency_index coef=0.06894147423830957 p=0.5622817143730598; cites_num coef=-0.07566844436634987 p=0.007062412480119831; venue_score coef=-0.8106016658742924 p=0.06385405184088243.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82" w:name="references"/>
    <w:p>
      <w:pPr>
        <w:pStyle w:val="Heading2"/>
      </w:pPr>
      <w:r>
        <w:t xml:space="preserve">References</w:t>
      </w:r>
    </w:p>
    <w:p>
      <w:pPr>
        <w:pStyle w:val="FirstParagraph"/>
      </w:pPr>
      <w:bookmarkStart w:id="67" w:name="ref-1"/>
      <w:bookmarkEnd w:id="67"/>
      <w:r>
        <w:t xml:space="preserve">1. Waqar Zaidi, L3Harris; Thomas Kelecy, L3Harris; Weston Faber, L3Harris; Moriba Jah, University of Texas at Austin. Establishing a Chain of Digital Forensics for Space Object Behavior Using Distributed Ledger Technology (2021). [AMOS]</w:t>
      </w:r>
      <w:r>
        <w:t xml:space="preserve"> </w:t>
      </w:r>
      <w:bookmarkStart w:id="68" w:name="ref-2"/>
      <w:bookmarkEnd w:id="68"/>
      <w:r>
        <w:t xml:space="preserve">2. Nicholas Ravago, Omitron, Inc.; Eliot Toumey, Omitron, Inc.; Luis Baars, Omitron Inc.; Matthew Hejduk, The Aerospace Corporation. Evaluation of Screening Volumes Used in Conjunction Assessment (2025). doi:</w:t>
      </w:r>
      <w:r>
        <w:t xml:space="preserve"> </w:t>
      </w:r>
      <w:hyperlink r:id="rId69">
        <w:r>
          <w:rPr>
            <w:rStyle w:val="Hyperlink"/>
          </w:rPr>
          <w:t xml:space="preserve">10.64861/PAEO6437</w:t>
        </w:r>
      </w:hyperlink>
      <w:r>
        <w:t xml:space="preserve"> </w:t>
      </w:r>
      <w:bookmarkStart w:id="70" w:name="ref-3"/>
      <w:bookmarkEnd w:id="70"/>
      <w:r>
        <w:t xml:space="preserve">3. Arly Black, Purdue University; Carolin Frueh, Purdue University. Characterizing Cislunar Fragmentations (2023). doi:</w:t>
      </w:r>
      <w:r>
        <w:t xml:space="preserve"> </w:t>
      </w:r>
      <w:hyperlink r:id="rId71">
        <w:r>
          <w:rPr>
            <w:rStyle w:val="Hyperlink"/>
          </w:rPr>
          <w:t xml:space="preserve">10.64861/QLJS5432</w:t>
        </w:r>
      </w:hyperlink>
      <w:r>
        <w:t xml:space="preserve"> </w:t>
      </w:r>
      <w:bookmarkStart w:id="72" w:name="ref-4"/>
      <w:bookmarkEnd w:id="72"/>
      <w:r>
        <w:t xml:space="preserve">4. Michael Klonowski, University of Colorado Boulder; Marcus J. Holzinger, University of Colorado Boulder; Naomi Owens Fahrner, Ball Aerospace. Optimal Cislunar Architecture Design Using Monte Carlo Tree Search Methods (2022). doi:</w:t>
      </w:r>
      <w:r>
        <w:t xml:space="preserve"> </w:t>
      </w:r>
      <w:hyperlink r:id="rId73">
        <w:r>
          <w:rPr>
            <w:rStyle w:val="Hyperlink"/>
          </w:rPr>
          <w:t xml:space="preserve">10.2514/6.2004-3253</w:t>
        </w:r>
      </w:hyperlink>
      <w:r>
        <w:t xml:space="preserve"> </w:t>
      </w:r>
      <w:bookmarkStart w:id="74" w:name="ref-5"/>
      <w:bookmarkEnd w:id="74"/>
      <w:r>
        <w:t xml:space="preserve">5. Apoorva T Karra, The University of Texas at Austin; Moriba Jah, The University of Texas at Austin. Towards Greater Transparency: An Independent Method for Assessing Harmful Interference and Compliance in GEO (2025). doi:</w:t>
      </w:r>
      <w:r>
        <w:t xml:space="preserve"> </w:t>
      </w:r>
      <w:hyperlink r:id="rId75">
        <w:r>
          <w:rPr>
            <w:rStyle w:val="Hyperlink"/>
          </w:rPr>
          <w:t xml:space="preserve">10.64861/WFHJ7307</w:t>
        </w:r>
      </w:hyperlink>
      <w:r>
        <w:t xml:space="preserve"> </w:t>
      </w:r>
      <w:bookmarkStart w:id="76" w:name="ref-6"/>
      <w:bookmarkEnd w:id="76"/>
      <w:r>
        <w:t xml:space="preserve">6. John Boh, The University of Texas at Austin; Zachary Funke, AFIT/CIG; Maruthi Akella, The University of Texas at Austin. A Game-Theoretical Exploration of L1/L2 Cislunar Space Situational Awareness Using Bayesian Games (2025). doi:</w:t>
      </w:r>
      <w:r>
        <w:t xml:space="preserve"> </w:t>
      </w:r>
      <w:hyperlink r:id="rId77">
        <w:r>
          <w:rPr>
            <w:rStyle w:val="Hyperlink"/>
          </w:rPr>
          <w:t xml:space="preserve">10.64861/SIJX9169</w:t>
        </w:r>
      </w:hyperlink>
      <w:r>
        <w:t xml:space="preserve"> </w:t>
      </w:r>
      <w:bookmarkStart w:id="78" w:name="ref-7"/>
      <w:bookmarkEnd w:id="78"/>
      <w:r>
        <w:t xml:space="preserve">7. Krzysztof Kaminski, Astronomical Observatory of the Adam Mickiewicz University; Justyna Golembiewska, Astronomical Observatory of the Adam Mickiewicz University; Monika Kaminska, Astronomical Observatory of the Adam Mickiewicz University; Edwin Wnuk, Astronomical Observatory of the Adam Mickiewicz University; Michal Zolnowski, 6ROADS; Marcin Gendek, 6ROADS; Marek Polewski, Warsaw University of Technology. Re-Entry Event Prediction Through the Analysis of Optical Sensor Data Gathered from a Worldwide Network of Telescopes (2024). doi:</w:t>
      </w:r>
      <w:r>
        <w:t xml:space="preserve"> </w:t>
      </w:r>
      <w:hyperlink r:id="rId79">
        <w:r>
          <w:rPr>
            <w:rStyle w:val="Hyperlink"/>
          </w:rPr>
          <w:t xml:space="preserve">10.64861/DNOA8964</w:t>
        </w:r>
      </w:hyperlink>
      <w:r>
        <w:t xml:space="preserve"> </w:t>
      </w:r>
      <w:bookmarkStart w:id="80" w:name="ref-8"/>
      <w:bookmarkEnd w:id="80"/>
      <w:r>
        <w:t xml:space="preserve">8. Chelsea Wright, Ferris State University. A Collaborative Cybersecurity Training Policy for Future Space Endeavors (2023). doi:</w:t>
      </w:r>
      <w:r>
        <w:t xml:space="preserve"> </w:t>
      </w:r>
      <w:hyperlink r:id="rId81">
        <w:r>
          <w:rPr>
            <w:rStyle w:val="Hyperlink"/>
          </w:rPr>
          <w:t xml:space="preserve">10.64861/WXIJ8208</w:t>
        </w:r>
      </w:hyperlink>
    </w:p>
    <w:bookmarkEnd w:id="82"/>
    <w:bookmarkStart w:id="83"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3"/>
    <w:bookmarkStart w:id="87"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4.0345</w:t>
            </w:r>
          </w:p>
        </w:tc>
        <w:tc>
          <w:tcPr>
            <w:tcW w:w="0" w:type="auto"/>
          </w:tcPr>
          <w:p>
            <w:pPr>
              <w:spacing w:line="240" w:lineRule="auto" w:before="0" w:after="0"/>
              <w:pStyle w:val="Compact"/>
            </w:pPr>
            <w:r>
              <w:rPr>
                <w:sz w:val="20"/>
                <w:szCs w:val="20"/>
              </w:rPr>
              <w:t xml:space="preserve">1.4892</w:t>
            </w:r>
          </w:p>
        </w:tc>
        <w:tc>
          <w:tcPr>
            <w:tcW w:w="0" w:type="auto"/>
          </w:tcPr>
          <w:p>
            <w:pPr>
              <w:spacing w:line="240" w:lineRule="auto" w:before="0" w:after="0"/>
              <w:pStyle w:val="Compact"/>
            </w:pPr>
            <w:r>
              <w:rPr>
                <w:sz w:val="20"/>
                <w:szCs w:val="20"/>
              </w:rPr>
              <w:t xml:space="preserve">2.7091</w:t>
            </w:r>
          </w:p>
        </w:tc>
        <w:tc>
          <w:tcPr>
            <w:tcW w:w="0" w:type="auto"/>
          </w:tcPr>
          <w:p>
            <w:pPr>
              <w:spacing w:line="240" w:lineRule="auto" w:before="0" w:after="0"/>
              <w:pStyle w:val="Compact"/>
            </w:pPr>
            <w:r>
              <w:rPr>
                <w:sz w:val="20"/>
                <w:szCs w:val="20"/>
              </w:rPr>
              <w:t xml:space="preserve">0.0067</w:t>
            </w:r>
          </w:p>
        </w:tc>
        <w:tc>
          <w:tcPr>
            <w:tcW w:w="0" w:type="auto"/>
          </w:tcPr>
          <w:p>
            <w:pPr>
              <w:spacing w:line="240" w:lineRule="auto" w:before="0" w:after="0"/>
              <w:pStyle w:val="Compact"/>
            </w:pPr>
            <w:r>
              <w:rPr>
                <w:sz w:val="20"/>
                <w:szCs w:val="20"/>
              </w:rPr>
              <w:t xml:space="preserve">[1.1157, 6.9532]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0.0689</w:t>
            </w:r>
          </w:p>
        </w:tc>
        <w:tc>
          <w:tcPr>
            <w:tcW w:w="0" w:type="auto"/>
          </w:tcPr>
          <w:p>
            <w:pPr>
              <w:spacing w:line="240" w:lineRule="auto" w:before="0" w:after="0"/>
              <w:pStyle w:val="Compact"/>
            </w:pPr>
            <w:r>
              <w:rPr>
                <w:sz w:val="20"/>
                <w:szCs w:val="20"/>
              </w:rPr>
              <w:t xml:space="preserve">0.119</w:t>
            </w:r>
          </w:p>
        </w:tc>
        <w:tc>
          <w:tcPr>
            <w:tcW w:w="0" w:type="auto"/>
          </w:tcPr>
          <w:p>
            <w:pPr>
              <w:spacing w:line="240" w:lineRule="auto" w:before="0" w:after="0"/>
              <w:pStyle w:val="Compact"/>
            </w:pPr>
            <w:r>
              <w:rPr>
                <w:sz w:val="20"/>
                <w:szCs w:val="20"/>
              </w:rPr>
              <w:t xml:space="preserve">0.5795</w:t>
            </w:r>
          </w:p>
        </w:tc>
        <w:tc>
          <w:tcPr>
            <w:tcW w:w="0" w:type="auto"/>
          </w:tcPr>
          <w:p>
            <w:pPr>
              <w:spacing w:line="240" w:lineRule="auto" w:before="0" w:after="0"/>
              <w:pStyle w:val="Compact"/>
            </w:pPr>
            <w:r>
              <w:rPr>
                <w:sz w:val="20"/>
                <w:szCs w:val="20"/>
              </w:rPr>
              <w:t xml:space="preserve">0.5623</w:t>
            </w:r>
          </w:p>
        </w:tc>
        <w:tc>
          <w:tcPr>
            <w:tcW w:w="0" w:type="auto"/>
          </w:tcPr>
          <w:p>
            <w:pPr>
              <w:spacing w:line="240" w:lineRule="auto" w:before="0" w:after="0"/>
              <w:pStyle w:val="Compact"/>
            </w:pPr>
            <w:r>
              <w:rPr>
                <w:sz w:val="20"/>
                <w:szCs w:val="20"/>
              </w:rPr>
              <w:t xml:space="preserve">[-0.1642, 0.3021]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-0.0757</w:t>
            </w:r>
          </w:p>
        </w:tc>
        <w:tc>
          <w:tcPr>
            <w:tcW w:w="0" w:type="auto"/>
          </w:tcPr>
          <w:p>
            <w:pPr>
              <w:spacing w:line="240" w:lineRule="auto" w:before="0" w:after="0"/>
              <w:pStyle w:val="Compact"/>
            </w:pPr>
            <w:r>
              <w:rPr>
                <w:sz w:val="20"/>
                <w:szCs w:val="20"/>
              </w:rPr>
              <w:t xml:space="preserve">0.0281</w:t>
            </w:r>
          </w:p>
        </w:tc>
        <w:tc>
          <w:tcPr>
            <w:tcW w:w="0" w:type="auto"/>
          </w:tcPr>
          <w:p>
            <w:pPr>
              <w:spacing w:line="240" w:lineRule="auto" w:before="0" w:after="0"/>
              <w:pStyle w:val="Compact"/>
            </w:pPr>
            <w:r>
              <w:rPr>
                <w:sz w:val="20"/>
                <w:szCs w:val="20"/>
              </w:rPr>
              <w:t xml:space="preserve">-2.6939</w:t>
            </w:r>
          </w:p>
        </w:tc>
        <w:tc>
          <w:tcPr>
            <w:tcW w:w="0" w:type="auto"/>
          </w:tcPr>
          <w:p>
            <w:pPr>
              <w:spacing w:line="240" w:lineRule="auto" w:before="0" w:after="0"/>
              <w:pStyle w:val="Compact"/>
            </w:pPr>
            <w:r>
              <w:rPr>
                <w:sz w:val="20"/>
                <w:szCs w:val="20"/>
              </w:rPr>
              <w:t xml:space="preserve">0.0071</w:t>
            </w:r>
          </w:p>
        </w:tc>
        <w:tc>
          <w:tcPr>
            <w:tcW w:w="0" w:type="auto"/>
          </w:tcPr>
          <w:p>
            <w:pPr>
              <w:spacing w:line="240" w:lineRule="auto" w:before="0" w:after="0"/>
              <w:pStyle w:val="Compact"/>
            </w:pPr>
            <w:r>
              <w:rPr>
                <w:sz w:val="20"/>
                <w:szCs w:val="20"/>
              </w:rPr>
              <w:t xml:space="preserve">[-0.1307, -0.0206]</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-0.8106</w:t>
            </w:r>
          </w:p>
        </w:tc>
        <w:tc>
          <w:tcPr>
            <w:tcW w:w="0" w:type="auto"/>
          </w:tcPr>
          <w:p>
            <w:pPr>
              <w:spacing w:line="240" w:lineRule="auto" w:before="0" w:after="0"/>
              <w:pStyle w:val="Compact"/>
            </w:pPr>
            <w:r>
              <w:rPr>
                <w:sz w:val="20"/>
                <w:szCs w:val="20"/>
              </w:rPr>
              <w:t xml:space="preserve">0.4374</w:t>
            </w:r>
          </w:p>
        </w:tc>
        <w:tc>
          <w:tcPr>
            <w:tcW w:w="0" w:type="auto"/>
          </w:tcPr>
          <w:p>
            <w:pPr>
              <w:spacing w:line="240" w:lineRule="auto" w:before="0" w:after="0"/>
              <w:pStyle w:val="Compact"/>
            </w:pPr>
            <w:r>
              <w:rPr>
                <w:sz w:val="20"/>
                <w:szCs w:val="20"/>
              </w:rPr>
              <w:t xml:space="preserve">-1.8532</w:t>
            </w:r>
          </w:p>
        </w:tc>
        <w:tc>
          <w:tcPr>
            <w:tcW w:w="0" w:type="auto"/>
          </w:tcPr>
          <w:p>
            <w:pPr>
              <w:spacing w:line="240" w:lineRule="auto" w:before="0" w:after="0"/>
              <w:pStyle w:val="Compact"/>
            </w:pPr>
            <w:r>
              <w:rPr>
                <w:sz w:val="20"/>
                <w:szCs w:val="20"/>
              </w:rPr>
              <w:t xml:space="preserve">0.0639</w:t>
            </w:r>
          </w:p>
        </w:tc>
        <w:tc>
          <w:tcPr>
            <w:tcW w:w="0" w:type="auto"/>
          </w:tcPr>
          <w:p>
            <w:pPr>
              <w:spacing w:line="240" w:lineRule="auto" w:before="0" w:after="0"/>
              <w:pStyle w:val="Compact"/>
            </w:pPr>
            <w:r>
              <w:rPr>
                <w:sz w:val="20"/>
                <w:szCs w:val="20"/>
              </w:rPr>
              <w:t xml:space="preserve">[-1.6679, 0.0467]</w:t>
            </w:r>
          </w:p>
        </w:tc>
      </w:tr>
    </w:tbl>
    <w:p>
      <w:pPr>
        <w:pStyle w:val="BodyText"/>
      </w:pPr>
      <w:r>
        <w:t xml:space="preserve">Fit: N = 30 R2 = 0.2662 R2_adj = 0.1816 F = 4.8495 F_p = 0.0082</w:t>
      </w:r>
    </w:p>
    <w:p>
      <w:pPr>
        <w:pStyle w:val="CaptionedFigure"/>
      </w:pPr>
      <w:r>
        <w:drawing>
          <wp:inline>
            <wp:extent cx="5669280" cy="3657600"/>
            <wp:effectExtent b="0" l="0" r="0" t="0"/>
            <wp:docPr descr="Figure 1. Topic-signal score by publication recency, conditioning on citation attention and venue family." title="" id="85" name="Picture"/>
            <a:graphic>
              <a:graphicData uri="http://schemas.openxmlformats.org/drawingml/2006/picture">
                <pic:pic>
                  <pic:nvPicPr>
                    <pic:cNvPr descr="D:\Claude_Code\brain\collegium\candidates\dissertations\SPACE_ECON_11\research_papers\p1\paper_fig1.png" id="86" name="Picture"/>
                    <pic:cNvPicPr>
                      <a:picLocks noChangeArrowheads="1" noChangeAspect="1"/>
                    </pic:cNvPicPr>
                  </pic:nvPicPr>
                  <pic:blipFill>
                    <a:blip r:embed="rId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7"/>
    <w:bookmarkStart w:id="9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https://amostech.space/year/2021/establishing-a-chain-of-digital-forensics-for-space-object-behavior-using-distributed-ledger-technology/</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10.64861/PAEO6437</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10.64861/QLJS5432</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10.2514/6.2004-3253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10.64861/WFHJ7307</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10.64861/SIJX9169</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10.64861/DNOA8964</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10.64861/WXIJ8208</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10.64861/ESVN6806</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https://amostech.space/year/2017/wenessa-wide-eye-narrow-eye-space-simulation-fo-situational-awareness/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https://amostech.space/year/2018/optical-tracking-of-artificial-earth-satellites-with-cots-sensors/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10.64861/FHSX9637</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10.1016/j.actaastro.2025.09.030</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10.1016/j.actaastro.2024.06.052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10.1016/j.actaastro.2017.11.042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10.1016/j.actaastro.2024.04.042</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10.1016/j.actaastro.2024.06.046</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10.1016/j.actaastro.2025.10.019</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10.1016/j.actaastro.2021.12.015</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10.1016/j.actaastro.2024.03.001</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10.1016/j.actaastro.2024.12.001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10.1016/j.actaastro.2026.05.039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10.1257/jep.32.2.173</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Space, the Final Economic Frontier</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Weinzierl 2018: Space the Final Economic Frontier</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OCEA/MITRE study critically evaluates major space economy forecasts, finds them systematically overstated due to CAGR methodology, double counting, and overreliance on nascent sectors; AR(1) time-series modeling projects a 2040 global space economy of $453-$511 billion, far below the widely cited $1 trillion figure, with $1 trillion not reachable before 2075.</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Astro-Environmentalism: Toward a Polycentric Governance of Space Debris</w:t>
            </w:r>
          </w:p>
        </w:tc>
      </w:tr>
    </w:tbl>
    <w:bookmarkEnd w:id="88"/>
    <w:bookmarkStart w:id="8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9"/>
    <w:bookmarkStart w:id="9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4.0345</w:t>
            </w:r>
          </w:p>
        </w:tc>
        <w:tc>
          <w:tcPr>
            <w:tcW w:w="0" w:type="auto"/>
          </w:tcPr>
          <w:p>
            <w:pPr>
              <w:spacing w:line="240" w:lineRule="auto" w:before="0" w:after="0"/>
              <w:pStyle w:val="Compact"/>
            </w:pPr>
            <w:r>
              <w:rPr>
                <w:sz w:val="20"/>
                <w:szCs w:val="20"/>
              </w:rPr>
              <w:t xml:space="preserve">1.4892</w:t>
            </w:r>
          </w:p>
        </w:tc>
        <w:tc>
          <w:tcPr>
            <w:tcW w:w="0" w:type="auto"/>
          </w:tcPr>
          <w:p>
            <w:pPr>
              <w:spacing w:line="240" w:lineRule="auto" w:before="0" w:after="0"/>
              <w:pStyle w:val="Compact"/>
            </w:pPr>
            <w:r>
              <w:rPr>
                <w:sz w:val="20"/>
                <w:szCs w:val="20"/>
              </w:rPr>
              <w:t xml:space="preserve">2.7091</w:t>
            </w:r>
          </w:p>
        </w:tc>
        <w:tc>
          <w:tcPr>
            <w:tcW w:w="0" w:type="auto"/>
          </w:tcPr>
          <w:p>
            <w:pPr>
              <w:spacing w:line="240" w:lineRule="auto" w:before="0" w:after="0"/>
              <w:pStyle w:val="Compact"/>
            </w:pPr>
            <w:r>
              <w:rPr>
                <w:sz w:val="20"/>
                <w:szCs w:val="20"/>
              </w:rPr>
              <w:t xml:space="preserve">0.0067</w:t>
            </w:r>
          </w:p>
        </w:tc>
        <w:tc>
          <w:tcPr>
            <w:tcW w:w="0" w:type="auto"/>
          </w:tcPr>
          <w:p>
            <w:pPr>
              <w:spacing w:line="240" w:lineRule="auto" w:before="0" w:after="0"/>
              <w:pStyle w:val="Compact"/>
            </w:pPr>
            <w:r>
              <w:rPr>
                <w:sz w:val="20"/>
                <w:szCs w:val="20"/>
              </w:rPr>
              <w:t xml:space="preserve">[1.1157, 6.9532]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0.0689</w:t>
            </w:r>
          </w:p>
        </w:tc>
        <w:tc>
          <w:tcPr>
            <w:tcW w:w="0" w:type="auto"/>
          </w:tcPr>
          <w:p>
            <w:pPr>
              <w:spacing w:line="240" w:lineRule="auto" w:before="0" w:after="0"/>
              <w:pStyle w:val="Compact"/>
            </w:pPr>
            <w:r>
              <w:rPr>
                <w:sz w:val="20"/>
                <w:szCs w:val="20"/>
              </w:rPr>
              <w:t xml:space="preserve">0.119</w:t>
            </w:r>
          </w:p>
        </w:tc>
        <w:tc>
          <w:tcPr>
            <w:tcW w:w="0" w:type="auto"/>
          </w:tcPr>
          <w:p>
            <w:pPr>
              <w:spacing w:line="240" w:lineRule="auto" w:before="0" w:after="0"/>
              <w:pStyle w:val="Compact"/>
            </w:pPr>
            <w:r>
              <w:rPr>
                <w:sz w:val="20"/>
                <w:szCs w:val="20"/>
              </w:rPr>
              <w:t xml:space="preserve">0.5795</w:t>
            </w:r>
          </w:p>
        </w:tc>
        <w:tc>
          <w:tcPr>
            <w:tcW w:w="0" w:type="auto"/>
          </w:tcPr>
          <w:p>
            <w:pPr>
              <w:spacing w:line="240" w:lineRule="auto" w:before="0" w:after="0"/>
              <w:pStyle w:val="Compact"/>
            </w:pPr>
            <w:r>
              <w:rPr>
                <w:sz w:val="20"/>
                <w:szCs w:val="20"/>
              </w:rPr>
              <w:t xml:space="preserve">0.5623</w:t>
            </w:r>
          </w:p>
        </w:tc>
        <w:tc>
          <w:tcPr>
            <w:tcW w:w="0" w:type="auto"/>
          </w:tcPr>
          <w:p>
            <w:pPr>
              <w:spacing w:line="240" w:lineRule="auto" w:before="0" w:after="0"/>
              <w:pStyle w:val="Compact"/>
            </w:pPr>
            <w:r>
              <w:rPr>
                <w:sz w:val="20"/>
                <w:szCs w:val="20"/>
              </w:rPr>
              <w:t xml:space="preserve">[-0.1642, 0.3021]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-0.0757</w:t>
            </w:r>
          </w:p>
        </w:tc>
        <w:tc>
          <w:tcPr>
            <w:tcW w:w="0" w:type="auto"/>
          </w:tcPr>
          <w:p>
            <w:pPr>
              <w:spacing w:line="240" w:lineRule="auto" w:before="0" w:after="0"/>
              <w:pStyle w:val="Compact"/>
            </w:pPr>
            <w:r>
              <w:rPr>
                <w:sz w:val="20"/>
                <w:szCs w:val="20"/>
              </w:rPr>
              <w:t xml:space="preserve">0.0281</w:t>
            </w:r>
          </w:p>
        </w:tc>
        <w:tc>
          <w:tcPr>
            <w:tcW w:w="0" w:type="auto"/>
          </w:tcPr>
          <w:p>
            <w:pPr>
              <w:spacing w:line="240" w:lineRule="auto" w:before="0" w:after="0"/>
              <w:pStyle w:val="Compact"/>
            </w:pPr>
            <w:r>
              <w:rPr>
                <w:sz w:val="20"/>
                <w:szCs w:val="20"/>
              </w:rPr>
              <w:t xml:space="preserve">-2.6939</w:t>
            </w:r>
          </w:p>
        </w:tc>
        <w:tc>
          <w:tcPr>
            <w:tcW w:w="0" w:type="auto"/>
          </w:tcPr>
          <w:p>
            <w:pPr>
              <w:spacing w:line="240" w:lineRule="auto" w:before="0" w:after="0"/>
              <w:pStyle w:val="Compact"/>
            </w:pPr>
            <w:r>
              <w:rPr>
                <w:sz w:val="20"/>
                <w:szCs w:val="20"/>
              </w:rPr>
              <w:t xml:space="preserve">0.0071</w:t>
            </w:r>
          </w:p>
        </w:tc>
        <w:tc>
          <w:tcPr>
            <w:tcW w:w="0" w:type="auto"/>
          </w:tcPr>
          <w:p>
            <w:pPr>
              <w:spacing w:line="240" w:lineRule="auto" w:before="0" w:after="0"/>
              <w:pStyle w:val="Compact"/>
            </w:pPr>
            <w:r>
              <w:rPr>
                <w:sz w:val="20"/>
                <w:szCs w:val="20"/>
              </w:rPr>
              <w:t xml:space="preserve">[-0.1307, -0.0206]</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-0.8106</w:t>
            </w:r>
          </w:p>
        </w:tc>
        <w:tc>
          <w:tcPr>
            <w:tcW w:w="0" w:type="auto"/>
          </w:tcPr>
          <w:p>
            <w:pPr>
              <w:spacing w:line="240" w:lineRule="auto" w:before="0" w:after="0"/>
              <w:pStyle w:val="Compact"/>
            </w:pPr>
            <w:r>
              <w:rPr>
                <w:sz w:val="20"/>
                <w:szCs w:val="20"/>
              </w:rPr>
              <w:t xml:space="preserve">0.4374</w:t>
            </w:r>
          </w:p>
        </w:tc>
        <w:tc>
          <w:tcPr>
            <w:tcW w:w="0" w:type="auto"/>
          </w:tcPr>
          <w:p>
            <w:pPr>
              <w:spacing w:line="240" w:lineRule="auto" w:before="0" w:after="0"/>
              <w:pStyle w:val="Compact"/>
            </w:pPr>
            <w:r>
              <w:rPr>
                <w:sz w:val="20"/>
                <w:szCs w:val="20"/>
              </w:rPr>
              <w:t xml:space="preserve">-1.8532</w:t>
            </w:r>
          </w:p>
        </w:tc>
        <w:tc>
          <w:tcPr>
            <w:tcW w:w="0" w:type="auto"/>
          </w:tcPr>
          <w:p>
            <w:pPr>
              <w:spacing w:line="240" w:lineRule="auto" w:before="0" w:after="0"/>
              <w:pStyle w:val="Compact"/>
            </w:pPr>
            <w:r>
              <w:rPr>
                <w:sz w:val="20"/>
                <w:szCs w:val="20"/>
              </w:rPr>
              <w:t xml:space="preserve">0.0639</w:t>
            </w:r>
          </w:p>
        </w:tc>
        <w:tc>
          <w:tcPr>
            <w:tcW w:w="0" w:type="auto"/>
          </w:tcPr>
          <w:p>
            <w:pPr>
              <w:spacing w:line="240" w:lineRule="auto" w:before="0" w:after="0"/>
              <w:pStyle w:val="Compact"/>
            </w:pPr>
            <w:r>
              <w:rPr>
                <w:sz w:val="20"/>
                <w:szCs w:val="20"/>
              </w:rPr>
              <w:t xml:space="preserve">[-1.6679, 0.0467]</w:t>
            </w:r>
          </w:p>
        </w:tc>
      </w:tr>
    </w:tbl>
    <w:p>
      <w:pPr>
        <w:pStyle w:val="BodyText"/>
      </w:pPr>
      <w:r>
        <w:t xml:space="preserve">Fit: N = 30 R2 = 0.2662 R2_adj = 0.1816 F = 4.8495 F_p = 0.0082</w:t>
      </w:r>
    </w:p>
    <w:bookmarkEnd w:id="90"/>
    <w:bookmarkEnd w:id="91"/>
    <w:bookmarkEnd w:id="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4" Target="media/rId84.png" /><Relationship Type="http://schemas.openxmlformats.org/officeDocument/2006/relationships/hyperlink" Id="rId73" Target="https://doi.org/10.2514/6.2004-3253" TargetMode="External" /><Relationship Type="http://schemas.openxmlformats.org/officeDocument/2006/relationships/hyperlink" Id="rId79" Target="https://doi.org/10.64861/DNOA8964" TargetMode="External" /><Relationship Type="http://schemas.openxmlformats.org/officeDocument/2006/relationships/hyperlink" Id="rId69" Target="https://doi.org/10.64861/PAEO6437" TargetMode="External" /><Relationship Type="http://schemas.openxmlformats.org/officeDocument/2006/relationships/hyperlink" Id="rId71" Target="https://doi.org/10.64861/QLJS5432" TargetMode="External" /><Relationship Type="http://schemas.openxmlformats.org/officeDocument/2006/relationships/hyperlink" Id="rId77" Target="https://doi.org/10.64861/SIJX9169" TargetMode="External" /><Relationship Type="http://schemas.openxmlformats.org/officeDocument/2006/relationships/hyperlink" Id="rId75" Target="https://doi.org/10.64861/WFHJ7307" TargetMode="External" /><Relationship Type="http://schemas.openxmlformats.org/officeDocument/2006/relationships/hyperlink" Id="rId81" Target="https://doi.org/10.64861/WXIJ8208"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2514/6.2004-3253" TargetMode="External" /><Relationship Type="http://schemas.openxmlformats.org/officeDocument/2006/relationships/hyperlink" Id="rId79" Target="https://doi.org/10.64861/DNOA8964" TargetMode="External" /><Relationship Type="http://schemas.openxmlformats.org/officeDocument/2006/relationships/hyperlink" Id="rId69" Target="https://doi.org/10.64861/PAEO6437" TargetMode="External" /><Relationship Type="http://schemas.openxmlformats.org/officeDocument/2006/relationships/hyperlink" Id="rId71" Target="https://doi.org/10.64861/QLJS5432" TargetMode="External" /><Relationship Type="http://schemas.openxmlformats.org/officeDocument/2006/relationships/hyperlink" Id="rId77" Target="https://doi.org/10.64861/SIJX9169" TargetMode="External" /><Relationship Type="http://schemas.openxmlformats.org/officeDocument/2006/relationships/hyperlink" Id="rId75" Target="https://doi.org/10.64861/WFHJ7307" TargetMode="External" /><Relationship Type="http://schemas.openxmlformats.org/officeDocument/2006/relationships/hyperlink" Id="rId81" Target="https://doi.org/10.64861/WXIJ820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2026-06-29T09:41:27Z</dcterms:created>
  <dcterms:modified xsi:type="dcterms:W3CDTF">2026-06-29T09:41:27Z</dcterms:modified>
</cp:coreProperties>
</file>

<file path=docProps/custom.xml><?xml version="1.0" encoding="utf-8"?>
<Properties xmlns="http://schemas.openxmlformats.org/officeDocument/2006/custom-properties" xmlns:vt="http://schemas.openxmlformats.org/officeDocument/2006/docPropsVTypes"/>
</file>