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PROPERTY RIGHTS AT THE CISLUNAR FRONTIER: DOES FILING/REGISTRATION BEHAVIOR REVE</w:t>
      </w:r>
    </w:p>
    <w:p>
      <w:pPr>
        <w:jc w:val="center"/>
      </w:pPr>
    </w:p>
    <w:p>
      <w:pPr>
        <w:jc w:val="center"/>
      </w:pPr>
      <w:r>
        <w:rPr>
          <w:rFonts w:ascii="Times New Roman" w:hAnsi="Times New Roman"/>
          <w:sz w:val="24"/>
        </w:rPr>
        <w:t>by</w:t>
      </w:r>
    </w:p>
    <w:p>
      <w:pPr>
        <w:jc w:val="center"/>
      </w:pPr>
      <w:r>
        <w:rPr>
          <w:rFonts w:ascii="Times New Roman" w:hAnsi="Times New Roman"/>
          <w:b/>
          <w:sz w:val="28"/>
        </w:rPr>
        <w:t>Lucia Cho</w:t>
      </w:r>
    </w:p>
    <w:p>
      <w:pPr>
        <w:jc w:val="center"/>
      </w:pPr>
      <w:r>
        <w:rPr>
          <w:rFonts w:ascii="Times New Roman" w:hAnsi="Times New Roman"/>
          <w:sz w:val="24"/>
        </w:rPr>
        <w:t>1B-ECO-213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A claim to the Moon has never been filed the way a claim to a mining district was once filed on Earth. There is no cislunar land office. There is no registrar who stamps a coordinate, records a date, and issues a title that a court will later defend. Yet the actors moving toward the region between Earth and the Moon behave, in their paperwork, as if some analogous act of registration mattered. They file frequency requests. They register launches. They publish trajectories and mission architectures. They deposit technical papers that stake intellectual and operational ground long before any legal ground exists. This dissertation begins from a single suspicion about that behavior: that the paper trail preceding physical presence in cislunar space carries readable information about where property-like expectations are hardening and where they remain diffuse</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suspicion is old. The method here is deliberately narrow.</w:t>
      </w:r>
    </w:p>
    <w:p>
      <w:pPr>
        <w:pStyle w:val="BodyText"/>
        <w:spacing w:line="480" w:lineRule="auto"/>
        <w:ind w:firstLine="720"/>
      </w:pPr>
      <w:r>
        <w:t xml:space="preserve">Property rights at a frontier are usually studied after the fact, once courts, statutes, and enforcement have congealed into an order that historians can describe. That retrospective posture is comfortable but late. It tells us what a rights regime became; it rarely tells us what the regime looked like while it was still contestable, still a matter of who filed what, when, and in which venue. Cislunar space offers an unusual chance to watch the earlier moment, because the documentary residue of the race toward the Moon is being generated now, in the open, in indexable form. Registration practices, conjunction screening conventions, fragmentation catalogs, and situational-awareness architectures are all being written down before the institutions that would govern them have agreed on an operating rule</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That early visibility is the raw material of this study.</w:t>
      </w:r>
    </w:p>
    <w:bookmarkStart w:id="61" w:name="the-problem-and-why-it-is-hard"/>
    <w:p>
      <w:pPr>
        <w:pStyle w:val="Heading2"/>
        <w:spacing w:line="480" w:lineRule="auto"/>
      </w:pPr>
      <w:r>
        <w:t xml:space="preserve">1.1 The problem and why it is hard</w:t>
      </w:r>
    </w:p>
    <w:p>
      <w:pPr>
        <w:pStyle w:val="FirstParagraph"/>
        <w:spacing w:line="480" w:lineRule="auto"/>
      </w:pPr>
      <w:r>
        <w:t xml:space="preserve">The core problem is that domain visibility and measured effect are not the same thing. It is easy to assert that cislunar property expectations are forming. It is far harder to convert that assertion into something a skeptic could falsify from records anyone can retrieve. A great deal of space-governance commentary lives in the first mode and never reaches the second. It gestures at momentum, cites a few salient documents, and leaves the reader to trust the author’s sense of where attention is flowing. This dissertation refuses that shortcut. It treats every substantive claim as conditional on a source corpus that is fixed, auditable, and reported in full, so that the inference can be checked line by line rather than accepted on authority</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Two gaps make the problem genuinely difficult rather than merely tedious.</w:t>
      </w:r>
    </w:p>
    <w:p>
      <w:pPr>
        <w:pStyle w:val="BodyText"/>
        <w:spacing w:line="480" w:lineRule="auto"/>
        <w:ind w:firstLine="720"/>
      </w:pPr>
      <w:r>
        <w:t xml:space="preserve">The first gap sits between technical work and institutional explanation. A paper characterizing cislunar fragmentation dynamics identifies an operational hazard with real precision</w:t>
      </w:r>
      <w:r>
        <w:t xml:space="preserve"> </w:t>
      </w:r>
      <w:hyperlink w:anchor="ref-3">
        <w:r>
          <w:rPr>
            <w:rStyle w:val="Hyperlink"/>
          </w:rPr>
          <w:t xml:space="preserve">[3]</w:t>
        </w:r>
      </w:hyperlink>
      <w:r>
        <w:t xml:space="preserve">. It does not, and does not claim to, explain why governance language around that hazard tightens in one venue and stays loose in another. The engineering record describes the physical frontier. It is largely silent on the institutional frontier that forms around it. Bridging that silence is not a matter of reading the papers more carefully; it requires a measurement design that treats the distribution of documentary attention itself as evidence about institutional formation</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second gap sits between policy salience and measurement. Recency, citation attention, and venue family are all observable. Each is a candidate signal for how a topic is distributed across a retrieved corpus. None of them, taken alone, licenses a causal story about property-rights formation. A recent paper is not thereby influential. A heavily cited paper is not thereby governing. A paper in a prestigious venue is not thereby authoritative over conduct. Signals like these have to be interpreted with discipline, because the temptation to read structure into noise is strongest exactly where the policy stakes feel highest</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The registration literature has already warned that the metadata of space activity is thinner and more inconsistent than its political importance would suggest</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which is precisely why a measurement design here must state its limits before it states its findings.</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This dissertation makes one falsifiable claim and tests it. Stated as a null and an alternative:</w:t>
      </w:r>
    </w:p>
    <w:p>
      <w:pPr>
        <w:pStyle w:val="BodyText"/>
        <w:spacing w:line="480" w:lineRule="auto"/>
        <w:ind w:firstLine="720"/>
      </w:pPr>
      <w:r>
        <w:t xml:space="preserve">H0: the candidate topic signal is unrelated to publication recency, citation attention, and venue family in the retrieved source corpus.</w:t>
      </w:r>
    </w:p>
    <w:p>
      <w:pPr>
        <w:pStyle w:val="BodyText"/>
        <w:spacing w:line="480" w:lineRule="auto"/>
        <w:ind w:firstLine="720"/>
      </w:pPr>
      <w:r>
        <w:t xml:space="preserve">H1: the candidate topic signal is systematically related to publication recency, citation attention, and venue family in the retrieved source corpus.</w:t>
      </w:r>
    </w:p>
    <w:p>
      <w:pPr>
        <w:pStyle w:val="BodyText"/>
        <w:spacing w:line="480" w:lineRule="auto"/>
        <w:ind w:firstLine="720"/>
      </w:pPr>
      <w:r>
        <w:t xml:space="preserve">That is the whole wager. It is not a theory of lunar sovereignty. It is not a forecast of who will control the L1 and L2 gateways</w:t>
      </w:r>
      <w:r>
        <w:t xml:space="preserve"> </w:t>
      </w:r>
      <w:hyperlink w:anchor="ref-6">
        <w:r>
          <w:rPr>
            <w:rStyle w:val="Hyperlink"/>
          </w:rPr>
          <w:t xml:space="preserve">[6]</w:t>
        </w:r>
      </w:hyperlink>
      <w:r>
        <w:t xml:space="preserve">. It is a document-level test of whether the observable structure of a source corpus, the timing of its records, the attention they have accrued, and the venues that carry them, is patterned as a rights-formation account would predict, or whether it is indistinguishable from noise. A dissertation that promises more than this from bibliometric residue is overselling. A dissertation that promises less is not testing anything. The contribution is deliberately sized to what fixed, retrievable records can bear.</w:t>
      </w:r>
    </w:p>
    <w:p>
      <w:pPr>
        <w:pStyle w:val="BodyText"/>
        <w:spacing w:line="480" w:lineRule="auto"/>
        <w:ind w:firstLine="720"/>
      </w:pPr>
      <w:r>
        <w:t xml:space="preserve">Framing the contribution this narrowly has a payoff. It makes the study falsifiable in the strong sense: a reader who runs the same workbooks on the same rows will reach the same coefficients, and if those coefficients contradict the interpretation offered here, the interpretation is wrong and can be discarded. Few space-policy claims are exposed to refutation that cleanly. Most are protected by the vagueness of their evidence. This one is not.</w:t>
      </w:r>
    </w:p>
    <w:bookmarkEnd w:id="62"/>
    <w:bookmarkStart w:id="63" w:name="the-empirical-spine"/>
    <w:p>
      <w:pPr>
        <w:pStyle w:val="Heading2"/>
        <w:spacing w:line="480" w:lineRule="auto"/>
      </w:pPr>
      <w:r>
        <w:t xml:space="preserve">1.3 The empirical spine</w:t>
      </w:r>
    </w:p>
    <w:p>
      <w:pPr>
        <w:pStyle w:val="FirstParagraph"/>
        <w:spacing w:line="480" w:lineRule="auto"/>
      </w:pPr>
      <w:r>
        <w:t xml:space="preserve">The evidence rests on two estimators, reported later in full and previewed here so the reader knows where the argument is going.</w:t>
      </w:r>
    </w:p>
    <w:p>
      <w:pPr>
        <w:pStyle w:val="BodyText"/>
        <w:spacing w:line="480" w:lineRule="auto"/>
        <w:ind w:firstLine="720"/>
      </w:pPr>
      <w:r>
        <w:t xml:space="preserve">Paper 1 asks how the topic appears in retrieved source metadata. It regresses a composite topic-signal score on a recency index, a citation count, and an ordinal venue-family score, using ordinary least squares with robust HC1 standard errors over thirty source records. The fit is modest but not empty: N = 30, R2 = 0.2662, adjusted R2 = 0.1816, F = 4.85, with F p-value 0.0082. The signed structure is where the interest lies, and it does not run in the direction a naive salience story would guess. The citation coefficient is negative and precise; the venue coefficient is negative and marginal; the recency coefficient is positive and imprecise. Chapter 6 reports each term exactly and interprets the signs.</w:t>
      </w:r>
    </w:p>
    <w:p>
      <w:pPr>
        <w:pStyle w:val="BodyText"/>
        <w:spacing w:line="480" w:lineRule="auto"/>
        <w:ind w:firstLine="720"/>
      </w:pPr>
      <w:r>
        <w:t xml:space="preserve">Paper 2 asks whether attention accumulates with age in a patterned way. It fits a log-log learning-curve model of citation counts against a document-age index, again with robust standard errors over the same thirty records. Here the result is close to flat: N = 30, R2 = 0.0025, with an age elasticity of -0.093 that is nowhere near conventional significance. The two estimators are complementary, not redundant. One reads cross-sectional structure at a moment; the other reads accumulation across time. Together they let the dissertation say, with specificity, which parts of the property-rights signal are visible in the corpus and which parts the corpus simply cannot see</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A reader should notice already that the empirical spine is not built to flatter the hypothesis. Two of the three headline associations in Paper 1 run against the simplest version of a rising-salience story, and Paper 2’s temporal curve is essentially absent. A design that only reported confirming evidence would be less trustworthy, not more. The value of a fixed source corpus and a deterministic estimator is exactly that it can embarrass the author, and here, in part, it does</w:t>
      </w:r>
      <w:r>
        <w:t xml:space="preserve"> </w:t>
      </w:r>
      <w:hyperlink w:anchor="ref-5">
        <w:r>
          <w:rPr>
            <w:rStyle w:val="Hyperlink"/>
          </w:rPr>
          <w:t xml:space="preserve">[5]</w:t>
        </w:r>
      </w:hyperlink>
      <w:r>
        <w:t xml:space="preserve">.</w:t>
      </w:r>
    </w:p>
    <w:bookmarkEnd w:id="63"/>
    <w:bookmarkStart w:id="64" w:name="roadmap"/>
    <w:p>
      <w:pPr>
        <w:pStyle w:val="Heading2"/>
        <w:spacing w:line="480" w:lineRule="auto"/>
      </w:pPr>
      <w:r>
        <w:t xml:space="preserve">1.4 Roadmap</w:t>
      </w:r>
    </w:p>
    <w:p>
      <w:pPr>
        <w:pStyle w:val="FirstParagraph"/>
        <w:spacing w:line="480" w:lineRule="auto"/>
      </w:pPr>
      <w:r>
        <w:t xml:space="preserve">The chapters follow the shape of the argument. Chapter 2 situates the study against the registration, situational-awareness, and space-economy literatures, and locates the specific gap this design fills</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Chapter 3 sets out the mechanism, the theory of why documentary attention should track rights formation, and derives the testable predictions from it. Chapter 4 explains the estimators and the identification logic: what ordinary least squares and the learning-curve specification can and cannot recover from corpus metadata. Chapter 5 documents the data, variable by variable, including how the topic-signal score is constructed and why every row retains a source pointer. Chapter 6 reports the two estimators exactly, coefficients, standard errors, p-values, and sample size, and interprets the signs and magnitudes without inflating them. Chapter 7 draws the discussion and states the threats to validity plainly, including what the data structurally cannot show. Chapter 8 closes with the contribution, its relevance to registration policy and program planning, and the next collection step that would sharpen the test</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posture throughout is the same. Show the records. Report the numbers. Interpret only as far as the numbers reach, and say so at the boundary.</w:t>
      </w:r>
    </w:p>
    <w:bookmarkEnd w:id="64"/>
    <w:bookmarkStart w:id="65" w:name="why-cislunar-space-and-why-now"/>
    <w:p>
      <w:pPr>
        <w:pStyle w:val="Heading2"/>
        <w:spacing w:line="480" w:lineRule="auto"/>
      </w:pPr>
      <w:r>
        <w:t xml:space="preserve">1.5 Why cislunar space, and why now</w:t>
      </w:r>
    </w:p>
    <w:p>
      <w:pPr>
        <w:pStyle w:val="FirstParagraph"/>
        <w:spacing w:line="480" w:lineRule="auto"/>
      </w:pPr>
      <w:r>
        <w:t xml:space="preserve">The choice of cislunar space as the setting is not incidental to the argument; it is what makes the argument tractable. Consider the alternatives. Low Earth orbit is already institutionalized enough that its property-like arrangements, slot coordination, frequency allocation, debris responsibility, are visible in mature registries and settled venues. Studying rights formation there means studying a process that has largely already happened, with the early, contestable moment buried under decades of accreted practice. Deep space beyond the Moon, by contrast, is so far from operational reality that almost no documentary residue exists to measure; the frontier is real but the record is empty. Cislunar space sits in the narrow band between these extremes, where activity is intense enough to generate an indexable record but young enough that the record still captures the moment before institutions congeal</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Timing sharpens the case. The corpus assembled for this study spans 2017 through 2026, a decade in which cislunar activity moved from speculative to programmatic. Characterization work on fragmentation dynamics in the region appears in that window because the region became crowded enough to fragment</w:t>
      </w:r>
      <w:r>
        <w:t xml:space="preserve"> </w:t>
      </w:r>
      <w:hyperlink w:anchor="ref-3">
        <w:r>
          <w:rPr>
            <w:rStyle w:val="Hyperlink"/>
          </w:rPr>
          <w:t xml:space="preserve">[3]</w:t>
        </w:r>
      </w:hyperlink>
      <w:r>
        <w:t xml:space="preserve">. Situational-awareness architectures for the Lagrange gateways appear because actors began planning to occupy them</w:t>
      </w:r>
      <w:r>
        <w:t xml:space="preserve"> </w:t>
      </w:r>
      <w:hyperlink w:anchor="ref-4">
        <w:r>
          <w:rPr>
            <w:rStyle w:val="Hyperlink"/>
          </w:rPr>
          <w:t xml:space="preserve">[4]</w:t>
        </w:r>
      </w:hyperlink>
      <w:r>
        <w:t xml:space="preserve"> </w:t>
      </w:r>
      <w:hyperlink w:anchor="ref-6">
        <w:r>
          <w:rPr>
            <w:rStyle w:val="Hyperlink"/>
          </w:rPr>
          <w:t xml:space="preserve">[6]</w:t>
        </w:r>
      </w:hyperlink>
      <w:r>
        <w:t xml:space="preserve">. Registration-reform arguments appear because practitioners recognized that the disclosure regime built for near-Earth operations was straining against a cislunar caseload it was never designed for</w:t>
      </w:r>
      <w:r>
        <w:t xml:space="preserve"> </w:t>
      </w:r>
      <w:hyperlink w:anchor="ref-11">
        <w:r>
          <w:rPr>
            <w:rStyle w:val="Hyperlink"/>
          </w:rPr>
          <w:t xml:space="preserve">[11]</w:t>
        </w:r>
      </w:hyperlink>
      <w:r>
        <w:t xml:space="preserve">. The documentary record thickens precisely as the frontier approaches contestability, which is what makes the decade a natural observation window and this the right moment to open it.</w:t>
      </w:r>
    </w:p>
    <w:p>
      <w:pPr>
        <w:pStyle w:val="BodyText"/>
        <w:spacing w:line="480" w:lineRule="auto"/>
        <w:ind w:firstLine="720"/>
      </w:pPr>
      <w:r>
        <w:t xml:space="preserve">A skeptic might object that a decade is too short to see institutional formation. The objection has force, and the study concedes it in advance. What a decade of documentary residue can show is not the completion of a rights order but its early signature: where attention is concentrating, which venues are carrying it, whether it is accumulating in a patterned way. The dissertation claims the signature, not the order. That is a smaller claim than the setting might invite, and keeping it small is deliberate.</w:t>
      </w:r>
    </w:p>
    <w:bookmarkEnd w:id="65"/>
    <w:bookmarkStart w:id="66" w:name="the-stakes-of-getting-this-wrong"/>
    <w:p>
      <w:pPr>
        <w:pStyle w:val="Heading2"/>
        <w:spacing w:line="480" w:lineRule="auto"/>
      </w:pPr>
      <w:r>
        <w:t xml:space="preserve">1.6 The stakes of getting this wrong</w:t>
      </w:r>
    </w:p>
    <w:p>
      <w:pPr>
        <w:pStyle w:val="FirstParagraph"/>
        <w:spacing w:line="480" w:lineRule="auto"/>
      </w:pPr>
      <w:r>
        <w:t xml:space="preserve">Why should anyone outside a narrow methodological audience care whether a topic corpus is patterned? Because the alternative to a disciplined reading of documentary evidence is not the absence of a reading; it is an undisciplined one. Space-policy debate is full of confident assertions that this or that frontier issue is rising, urgent, or crystallizing, and those assertions routinely rest on exactly the kind of documentary intuition this study tries to test. When such intuitions drive registration reform, program investment, or diplomatic posture, being wrong about the shape of the evidence has consequences that reach well past the seminar room</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Two failure modes are worth naming. The first is over-reading: treating a burst of recent technical attention as proof that a durable property order is forming, and building policy on that premise, when the burst may reflect expectation rather than institution. The space-economy literature’s warning that headline forecasts are systematically inflated is directly relevant here, because inflated expectations generate real documentary attention that can masquerade as institutional formation. The second failure mode is under-reading: dismissing a genuine signal because it does not appear where a naive account expected it, in the most-cited or most-prestigious venues, when in fact the signal has concentrated in newer, more technical, less-visible work. This study is built to guard against both, by reporting the full configuration of the evidence rather than the part that fits a prior</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Getting the reading right, or at least getting it reproducible, is therefore not a scholastic nicety. It is the difference between policy grounded in what the record actually shows and policy grounded in a story about the record that no one has checked. The contribution of this dissertation is one checked story, exposed to refutation, about one frontier, in one decade. That is a modest deliverable, and it is offered as a model for how the larger debate might discipline itself</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66"/>
    <w:bookmarkStart w:id="67" w:name="a-note-on-method-and-modesty"/>
    <w:p>
      <w:pPr>
        <w:pStyle w:val="Heading2"/>
        <w:spacing w:line="480" w:lineRule="auto"/>
      </w:pPr>
      <w:r>
        <w:t xml:space="preserve">1.7 A note on method and modesty</w:t>
      </w:r>
    </w:p>
    <w:p>
      <w:pPr>
        <w:pStyle w:val="FirstParagraph"/>
        <w:spacing w:line="480" w:lineRule="auto"/>
      </w:pPr>
      <w:r>
        <w:t xml:space="preserve">A final orienting point concerns the relationship between the ambition of the question and the modesty of the tools. The question, how do property rights form at a new frontier, is among the oldest in political economy, and it would be easy to answer it grandly and unfalsifiably. This study does the opposite. It takes the grand question, extracts from it one document-level implication that can be tested on retrievable records, and tests only that. The estimators are ordinary least squares and a log-log learning curve, chosen for transparency rather than sophistication</w:t>
      </w:r>
      <w:r>
        <w:t xml:space="preserve"> </w:t>
      </w:r>
      <w:hyperlink w:anchor="ref-2">
        <w:r>
          <w:rPr>
            <w:rStyle w:val="Hyperlink"/>
          </w:rPr>
          <w:t xml:space="preserve">[2]</w:t>
        </w:r>
      </w:hyperlink>
      <w:r>
        <w:t xml:space="preserve">. The sample is thirty records, small enough to print in full. The outcome is a term-hit proxy, disclosed and rerunnable.</w:t>
      </w:r>
    </w:p>
    <w:p>
      <w:pPr>
        <w:pStyle w:val="BodyText"/>
        <w:spacing w:line="480" w:lineRule="auto"/>
        <w:ind w:firstLine="720"/>
      </w:pPr>
      <w:r>
        <w:t xml:space="preserve">This is a deliberate trade. Sophistication and scope are sacrificed for reproducibility and falsifiability, on the judgment that space policy has more than enough grand, unfalsifiable claims and too few small, checkable ones. A reader who wants a sweeping theory of cislunar sovereignty will not find it here. A reader who wants to know whether one specific, commonly invoked kind of evidence survives a disciplined screen will find exactly that, reported without inflation, at the boundary of what the data can bear</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67"/>
    <w:bookmarkStart w:id="68" w:name="terms-and-framing"/>
    <w:p>
      <w:pPr>
        <w:pStyle w:val="Heading2"/>
        <w:spacing w:line="480" w:lineRule="auto"/>
      </w:pPr>
      <w:r>
        <w:t xml:space="preserve">1.8 Terms and framing</w:t>
      </w:r>
    </w:p>
    <w:p>
      <w:pPr>
        <w:pStyle w:val="FirstParagraph"/>
        <w:spacing w:line="480" w:lineRule="auto"/>
      </w:pPr>
      <w:r>
        <w:t xml:space="preserve">A few terms recur throughout and are worth fixing at the outset, because loose usage would blur the argument. The word signal refers here to the composite topic-signal score, a deterministic count of candidate-theme term hits across a document’s title, snippet, keyword field, and author metadata. It is not a measure of importance, influence, or truth; it is a measure of how densely a record’s metadata touches the property-and-registration theme. When the dissertation says the signal is patterned, it means this specific count is structured across the observable predictors, nothing more and nothing less</w:t>
      </w:r>
      <w:r>
        <w:t xml:space="preserve"> </w:t>
      </w:r>
      <w:hyperlink w:anchor="ref-3">
        <w:r>
          <w:rPr>
            <w:rStyle w:val="Hyperlink"/>
          </w:rPr>
          <w:t xml:space="preserve">[3]</w:t>
        </w:r>
      </w:hyperlink>
      <w:r>
        <w:t xml:space="preserve">.</w:t>
      </w:r>
    </w:p>
    <w:p>
      <w:pPr>
        <w:pStyle w:val="BodyText"/>
        <w:spacing w:line="480" w:lineRule="auto"/>
        <w:ind w:firstLine="720"/>
      </w:pPr>
      <w:r>
        <w:t xml:space="preserve">The phrase property rights is used in the economic sense of an institution that allocates a scarce, rivalrous resource and shapes the incentives of those competing for it, rather than in any narrow legal sense of title or deed. Cislunar space has no legal property regime, and the study does not assume one. What it studies is whether property-like expectations, the anticipations that lead actors to stake documentary claims, leave a readable trace in the record</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frontier framing is likewise deliberate. It invokes the long tradition in political economy of studying how rights emerge on contested ground before institutions settle, and it treats cislunar space as a contemporary instance of that ancient pattern, observable in real time rather than reconstructed from archives</w:t>
      </w:r>
      <w:r>
        <w:t xml:space="preserve"> </w:t>
      </w:r>
      <w:hyperlink w:anchor="ref-4">
        <w:r>
          <w:rPr>
            <w:rStyle w:val="Hyperlink"/>
          </w:rPr>
          <w:t xml:space="preserve">[4]</w:t>
        </w:r>
      </w:hyperlink>
      <w:r>
        <w:t xml:space="preserve">.</w:t>
      </w:r>
    </w:p>
    <w:p>
      <w:pPr>
        <w:pStyle w:val="BodyText"/>
        <w:spacing w:line="480" w:lineRule="auto"/>
        <w:ind w:firstLine="720"/>
      </w:pPr>
      <w:r>
        <w:t xml:space="preserve">Two further terms carry technical weight. Recency denotes a record’s position in time relative to the earliest record in the corpus, recoded as a positive index, and it stands in for how far along the frontier’s timeline a document sits. Venue family denotes the ordinal grouping of source venues into an aerospace conference tier, a journal tier, and a space-economy tier, a coding chosen to test the polycentric prediction that a rights order forms across multiple forums rather than within one</w:t>
      </w:r>
      <w:r>
        <w:t xml:space="preserve"> </w:t>
      </w:r>
      <w:hyperlink w:anchor="ref-9">
        <w:r>
          <w:rPr>
            <w:rStyle w:val="Hyperlink"/>
          </w:rPr>
          <w:t xml:space="preserve">[9]</w:t>
        </w:r>
      </w:hyperlink>
      <w:r>
        <w:t xml:space="preserve"> </w:t>
      </w:r>
      <w:hyperlink w:anchor="ref-11">
        <w:r>
          <w:rPr>
            <w:rStyle w:val="Hyperlink"/>
          </w:rPr>
          <w:t xml:space="preserve">[11]</w:t>
        </w:r>
      </w:hyperlink>
      <w:r>
        <w:t xml:space="preserve">. Both terms are defined operationally in Chapter 5 and are used consistently everywhere else, so that a reader tracking the argument across chapters is always reading the same construct under the same name.</w:t>
      </w:r>
    </w:p>
    <w:bookmarkEnd w:id="68"/>
    <w:bookmarkStart w:id="69" w:name="the-argument-in-one-paragraph"/>
    <w:p>
      <w:pPr>
        <w:pStyle w:val="Heading2"/>
        <w:spacing w:line="480" w:lineRule="auto"/>
      </w:pPr>
      <w:r>
        <w:t xml:space="preserve">1.9 The argument in one paragraph</w:t>
      </w:r>
    </w:p>
    <w:p>
      <w:pPr>
        <w:pStyle w:val="FirstParagraph"/>
        <w:spacing w:line="480" w:lineRule="auto"/>
      </w:pPr>
      <w:r>
        <w:t xml:space="preserve">Stripped to its spine, the argument runs as follows. Property rights at a frontier form through costly acts that leave observable traces; on a frontier without physical or legal filing, the available costly act is the documentary one; the distribution of documentary acts across time, attention, and venue should therefore carry information about where property-like expectations are hardening; that distribution can be measured on a fixed, retrievable corpus with transparent estimators; and when it is measured for cislunar property and registration, it turns out to be patterned in a specific, partly counterintuitive way, real but shallow, recent but not accumulating, technical but not yet institutional</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6">
        <w:r>
          <w:rPr>
            <w:rStyle w:val="Hyperlink"/>
          </w:rPr>
          <w:t xml:space="preserve">[6]</w:t>
        </w:r>
      </w:hyperlink>
      <w:r>
        <w:t xml:space="preserve">. Each link in that chain is defended in a chapter of its own, and the whole chain is exposed to refutation at the point where the estimators report their output. That is the dissertation, and the chapters that follow are its elaboration and its test.</w:t>
      </w:r>
    </w:p>
    <w:bookmarkEnd w:id="69"/>
    <w:bookmarkEnd w:id="70"/>
    <w:bookmarkStart w:id="80" w:name="chapter-2.-literature"/>
    <w:p>
      <w:pPr>
        <w:pStyle w:val="Heading1"/>
        <w:spacing w:line="480" w:lineRule="auto"/>
      </w:pPr>
      <w:r>
        <w:t xml:space="preserve">Chapter 2. Literature</w:t>
      </w:r>
    </w:p>
    <w:p>
      <w:pPr>
        <w:pStyle w:val="FirstParagraph"/>
        <w:spacing w:line="480" w:lineRule="auto"/>
      </w:pPr>
      <w:r>
        <w:t xml:space="preserve">The literature this dissertation must answer to is not a single field. It is three fields that touch cislunar property questions from different sides and rarely speak to one another directly. One is the engineering and situational-awareness literature that describes the physical and observational reality of the region. A second is the legal and registration literature that describes how states record and disclose space activity. A third is the economics-of-space literature that describes how value, scarcity, and governance interact once orbital and cislunar resources become contestable. This chapter reads each in turn, then locates the specific gap that a document-level measurement design is built to fill</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bookmarkStart w:id="71" w:name="Xa67c9b8f48086d4460326b4e858a164e39837c5"/>
    <w:p>
      <w:pPr>
        <w:pStyle w:val="Heading2"/>
        <w:spacing w:line="480" w:lineRule="auto"/>
      </w:pPr>
      <w:r>
        <w:t xml:space="preserve">2.1 The situational-awareness and characterization literature</w:t>
      </w:r>
    </w:p>
    <w:p>
      <w:pPr>
        <w:pStyle w:val="FirstParagraph"/>
        <w:spacing w:line="480" w:lineRule="auto"/>
      </w:pPr>
      <w:r>
        <w:t xml:space="preserve">Start with what the engineers can actually see. The problem of tracking objects and reconstructing their behavior in cislunar space is genuinely hard, and the technical literature is candid about that difficulty. Work on establishing a chain of digital forensics for space-object behavior, using distributed-ledger methods to make custody of observational claims auditable, treats the trustworthiness of the record itself as a first-order engineering problem rather than an afterthought</w:t>
      </w:r>
      <w:r>
        <w:t xml:space="preserve"> </w:t>
      </w:r>
      <w:hyperlink w:anchor="ref-1">
        <w:r>
          <w:rPr>
            <w:rStyle w:val="Hyperlink"/>
          </w:rPr>
          <w:t xml:space="preserve">[1]</w:t>
        </w:r>
      </w:hyperlink>
      <w:r>
        <w:t xml:space="preserve">. That framing matters here. A study that reads documentary residue as evidence about institutional formation is making a bet structurally similar to the forensic-ledger bet: that the record of who observed, filed, or claimed what, and when, is itself informative, provided its provenance is preserved.</w:t>
      </w:r>
    </w:p>
    <w:p>
      <w:pPr>
        <w:pStyle w:val="BodyText"/>
        <w:spacing w:line="480" w:lineRule="auto"/>
        <w:ind w:firstLine="720"/>
      </w:pPr>
      <w:r>
        <w:t xml:space="preserve">Characterization work sharpens the point. Analyses of cislunar fragmentation events map where debris-generating processes occur and how they propagate through the unstable dynamics of the region</w:t>
      </w:r>
      <w:r>
        <w:t xml:space="preserve"> </w:t>
      </w:r>
      <w:hyperlink w:anchor="ref-3">
        <w:r>
          <w:rPr>
            <w:rStyle w:val="Hyperlink"/>
          </w:rPr>
          <w:t xml:space="preserve">[3]</w:t>
        </w:r>
      </w:hyperlink>
      <w:r>
        <w:t xml:space="preserve">. These studies establish that the physical frontier is not empty and not benign; it already contains hazards that any rights regime would eventually have to allocate responsibility for. Architecture-design work using Monte Carlo tree search to plan cislunar coverage extends the same realism into the planning layer, showing that the region is being actively contested in the design space well before it is contested on orbit</w:t>
      </w:r>
      <w:r>
        <w:t xml:space="preserve"> </w:t>
      </w:r>
      <w:hyperlink w:anchor="ref-4">
        <w:r>
          <w:rPr>
            <w:rStyle w:val="Hyperlink"/>
          </w:rPr>
          <w:t xml:space="preserve">[4]</w:t>
        </w:r>
      </w:hyperlink>
      <w:r>
        <w:t xml:space="preserve">. Game-theoretic treatments of L1 and L2 situational awareness go further, modeling the strategic interaction between actors competing for observational advantage at the gateways as a Bayesian game of incomplete information</w:t>
      </w:r>
      <w:r>
        <w:t xml:space="preserve"> </w:t>
      </w:r>
      <w:hyperlink w:anchor="ref-6">
        <w:r>
          <w:rPr>
            <w:rStyle w:val="Hyperlink"/>
          </w:rPr>
          <w:t xml:space="preserve">[6]</w:t>
        </w:r>
      </w:hyperlink>
      <w:r>
        <w:t xml:space="preserve">. What none of these literatures do, and none claim to do, is explain the institutional side. They describe the frontier’s physics and its strategy. They are silent on why the documentary and governance record around a given hazard hardens in one venue and stays diffuse in another. That silence is not a flaw in the engineering work. It is the boundary of it, and it is where a measurement design has to begin.</w:t>
      </w:r>
    </w:p>
    <w:p>
      <w:pPr>
        <w:pStyle w:val="BodyText"/>
        <w:spacing w:line="480" w:lineRule="auto"/>
        <w:ind w:firstLine="720"/>
      </w:pPr>
      <w:r>
        <w:t xml:space="preserve">Conjunction-assessment methodology adds a further layer of relevance. Evaluations of the screening volumes used in conjunction assessment show that even the conventions for deciding when two objects are close enough to matter are contested and evolving</w:t>
      </w:r>
      <w:r>
        <w:t xml:space="preserve"> </w:t>
      </w:r>
      <w:hyperlink w:anchor="ref-2">
        <w:r>
          <w:rPr>
            <w:rStyle w:val="Hyperlink"/>
          </w:rPr>
          <w:t xml:space="preserve">[2]</w:t>
        </w:r>
      </w:hyperlink>
      <w:r>
        <w:t xml:space="preserve">. This bears on the present argument because it demonstrates that the operational vocabulary of space safety is itself unsettled. If the community cannot yet agree on a screening volume, it is unlikely to have agreed on the far heavier question of who holds priority claims in a region. The instability of the technical conventions is a leading indicator of the instability of the institutional ones.</w:t>
      </w:r>
    </w:p>
    <w:bookmarkEnd w:id="71"/>
    <w:bookmarkStart w:id="72" w:name="X31ab99ae341284a268f5ab6fd41371dbd7b75ff"/>
    <w:p>
      <w:pPr>
        <w:pStyle w:val="Heading2"/>
        <w:spacing w:line="480" w:lineRule="auto"/>
      </w:pPr>
      <w:r>
        <w:t xml:space="preserve">2.2 The registration and transparency literature</w:t>
      </w:r>
    </w:p>
    <w:p>
      <w:pPr>
        <w:pStyle w:val="FirstParagraph"/>
        <w:spacing w:line="480" w:lineRule="auto"/>
      </w:pPr>
      <w:r>
        <w:t xml:space="preserve">The second field speaks directly to the dissertation’s dependent construct. Property-like expectations, if they leave a documentary trace at all, leave it partly through registration and disclosure. The legal literature on space-object registration is unusually frank about how weak that trace currently is. Analyses of critical issues in the registration of space objects and the transparency of space activities document systematic gaps between what states are obliged to disclose and what they actually record, and they show that these gaps are not random but track incentives to withhold</w:t>
      </w:r>
      <w:r>
        <w:t xml:space="preserve"> </w:t>
      </w:r>
      <w:hyperlink w:anchor="ref-12">
        <w:r>
          <w:rPr>
            <w:rStyle w:val="Hyperlink"/>
          </w:rPr>
          <w:t xml:space="preserve">[12]</w:t>
        </w:r>
      </w:hyperlink>
      <w:r>
        <w:t xml:space="preserve">. A registration regime that permits selective, delayed, or incomplete disclosure produces a corpus whose silences are as informative as its entries.</w:t>
      </w:r>
    </w:p>
    <w:p>
      <w:pPr>
        <w:pStyle w:val="BodyText"/>
        <w:spacing w:line="480" w:lineRule="auto"/>
        <w:ind w:firstLine="720"/>
      </w:pPr>
      <w:r>
        <w:t xml:space="preserve">The call to improve registration practices in the context of space traffic management makes the stakes explicit</w:t>
      </w:r>
      <w:r>
        <w:t xml:space="preserve"> </w:t>
      </w:r>
      <w:hyperlink w:anchor="ref-11">
        <w:r>
          <w:rPr>
            <w:rStyle w:val="Hyperlink"/>
          </w:rPr>
          <w:t xml:space="preserve">[11]</w:t>
        </w:r>
      </w:hyperlink>
      <w:r>
        <w:t xml:space="preserve">. That work argues that the metadata of space activity, orbital parameters, operator identity, mission purpose, is too thin and too inconsistent to support the traffic-management functions now being demanded of it. For this dissertation the argument cuts two ways. On one side it validates the choice to read registration-adjacent documentary signals as evidence about institutional formation. On the other side it is a warning: if the underlying registration record is noisy, any bibliometric proxy built near it will inherit that noise. The design here takes the warning seriously by refusing to over-read imprecise coefficients and by treating an insignificant result as genuine evidence against a strong claim rather than as a failure to be explained away.</w:t>
      </w:r>
    </w:p>
    <w:p>
      <w:pPr>
        <w:pStyle w:val="BodyText"/>
        <w:spacing w:line="480" w:lineRule="auto"/>
        <w:ind w:firstLine="720"/>
      </w:pPr>
      <w:r>
        <w:t xml:space="preserve">Transparency work in the geostationary context reinforces the pattern. An independent method for assessing harmful interference and compliance in GEO shows that even in the most economically valuable and most heavily used orbital regime, compliance signals must be reconstructed indirectly, because direct disclosure is partial</w:t>
      </w:r>
      <w:r>
        <w:t xml:space="preserve"> </w:t>
      </w:r>
      <w:hyperlink w:anchor="ref-5">
        <w:r>
          <w:rPr>
            <w:rStyle w:val="Hyperlink"/>
          </w:rPr>
          <w:t xml:space="preserve">[5]</w:t>
        </w:r>
      </w:hyperlink>
      <w:r>
        <w:t xml:space="preserve">. If GEO, mature and crowded, still forces analysts to infer compliance from indirect evidence, then cislunar space, younger and emptier, will force even more inference. The methodological lesson carries over: build the measurement from what is retrievable, preserve provenance, and interpret conservatively.</w:t>
      </w:r>
    </w:p>
    <w:bookmarkEnd w:id="72"/>
    <w:bookmarkStart w:id="73" w:name="X7f22281f30dc1690f1b0ccd1ff014ce7c6dea39"/>
    <w:p>
      <w:pPr>
        <w:pStyle w:val="Heading2"/>
        <w:spacing w:line="480" w:lineRule="auto"/>
      </w:pPr>
      <w:r>
        <w:t xml:space="preserve">2.3 The economics-of-space and governance literature</w:t>
      </w:r>
    </w:p>
    <w:p>
      <w:pPr>
        <w:pStyle w:val="FirstParagraph"/>
        <w:spacing w:line="480" w:lineRule="auto"/>
      </w:pPr>
      <w:r>
        <w:t xml:space="preserve">The third field supplies the reason any of this matters beyond cataloguing. Property rights are an economic institution before they are a legal one. They exist to allocate scarce, rivalrous resources and to shape the incentives of the actors competing for them. The space-economy literature has spent the last decade arguing about how scarce and how valuable the relevant resources actually are, and that argument disciplines the present study by forcing it to be honest about magnitudes.</w:t>
      </w:r>
    </w:p>
    <w:p>
      <w:pPr>
        <w:pStyle w:val="BodyText"/>
        <w:spacing w:line="480" w:lineRule="auto"/>
        <w:ind w:firstLine="720"/>
      </w:pPr>
      <w:r>
        <w:t xml:space="preserve">A recurring theme in that literature is that headline forecasts of the space economy have been systematically overstated, inflated by compound-growth assumptions, double counting, and overreliance on nascent sectors, so that a widely repeated trillion-dollar figure sits far above what disciplined time-series modeling supports. The source corpus for this dissertation includes exactly such a critical revaluation, one that projects a 2040 global space economy well below the popular figure and places the trillion-dollar threshold decades later than commonly claimed. That skepticism is not a distraction from property rights; it is central to them. Property institutions form around resources that are believed to be scarce and valuable. If the belief is inflated, the institutional urgency it generates may be inflated too, and a rights signal read from documentary attention could be picking up hype as much as substance. The governance literature makes the same point from the sustainability side, treating finite orbital and cislunar resources and the sustainability-security nexus as the real constraint that any allocation regime must respect. Polycentric approaches to space-debris governance push toward the idea that no single authority will define the rights order, and that the order will instead emerge from many overlapping venues, which is precisely the condition under which venue family becomes a measurable variable rather than a formality</w:t>
      </w:r>
      <w:r>
        <w:t xml:space="preserve"> </w:t>
      </w:r>
      <w:hyperlink w:anchor="ref-9">
        <w:r>
          <w:rPr>
            <w:rStyle w:val="Hyperlink"/>
          </w:rPr>
          <w:t xml:space="preserve">[9]</w:t>
        </w:r>
      </w:hyperlink>
      <w:r>
        <w:t xml:space="preserve">.</w:t>
      </w:r>
    </w:p>
    <w:bookmarkEnd w:id="73"/>
    <w:bookmarkStart w:id="74" w:name="adjacent-methodological-signals"/>
    <w:p>
      <w:pPr>
        <w:pStyle w:val="Heading2"/>
        <w:spacing w:line="480" w:lineRule="auto"/>
      </w:pPr>
      <w:r>
        <w:t xml:space="preserve">2.4 Adjacent methodological signals</w:t>
      </w:r>
    </w:p>
    <w:p>
      <w:pPr>
        <w:pStyle w:val="FirstParagraph"/>
        <w:spacing w:line="480" w:lineRule="auto"/>
      </w:pPr>
      <w:r>
        <w:t xml:space="preserve">A fourth body of work is not about property rights at all, yet it shapes the measurement choices made here. Studies that predict re-entry events from optical sensor data gathered across a worldwide telescope network show how much can be extracted from distributed, heterogeneous observations when the analysis respects the noise structure of the inputs</w:t>
      </w:r>
      <w:r>
        <w:t xml:space="preserve"> </w:t>
      </w:r>
      <w:hyperlink w:anchor="ref-7">
        <w:r>
          <w:rPr>
            <w:rStyle w:val="Hyperlink"/>
          </w:rPr>
          <w:t xml:space="preserve">[7]</w:t>
        </w:r>
      </w:hyperlink>
      <w:r>
        <w:t xml:space="preserve">. Liability scholarship that navigates the legal treatment of artificial intelligence in outer space demonstrates how new operational categories force institutions to write down rules that did not previously exist, generating exactly the documentary residue this dissertation treats as data</w:t>
      </w:r>
      <w:r>
        <w:t xml:space="preserve"> </w:t>
      </w:r>
      <w:hyperlink w:anchor="ref-15">
        <w:r>
          <w:rPr>
            <w:rStyle w:val="Hyperlink"/>
          </w:rPr>
          <w:t xml:space="preserve">[15]</w:t>
        </w:r>
      </w:hyperlink>
      <w:r>
        <w:t xml:space="preserve">. Data-driven governance frameworks for protecting AI-based space systems make the case that governance itself is becoming a measurable, data-generating activity rather than a purely deliberative one</w:t>
      </w:r>
      <w:r>
        <w:t xml:space="preserve"> </w:t>
      </w:r>
      <w:hyperlink w:anchor="ref-9">
        <w:r>
          <w:rPr>
            <w:rStyle w:val="Hyperlink"/>
          </w:rPr>
          <w:t xml:space="preserve">[9]</w:t>
        </w:r>
      </w:hyperlink>
      <w:r>
        <w:t xml:space="preserve">. Each of these strengthens the premise that institutional formation now leaves an indexable trail, and each cautions that the trail is uneven.</w:t>
      </w:r>
    </w:p>
    <w:bookmarkEnd w:id="74"/>
    <w:bookmarkStart w:id="75" w:name="the-gap-this-design-fills"/>
    <w:p>
      <w:pPr>
        <w:pStyle w:val="Heading2"/>
        <w:spacing w:line="480" w:lineRule="auto"/>
      </w:pPr>
      <w:r>
        <w:t xml:space="preserve">2.5 The gap this design fills</w:t>
      </w:r>
    </w:p>
    <w:p>
      <w:pPr>
        <w:pStyle w:val="FirstParagraph"/>
        <w:spacing w:line="480" w:lineRule="auto"/>
      </w:pPr>
      <w:r>
        <w:t xml:space="preserve">Read together, the fields leave a specific hole. The engineering literature describes the physical frontier but not the institutional one</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registration literature describes the disclosure regime but concedes that its own record is too thin to support strong inference on its own</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economics literature supplies the scarcity logic that makes property questions urgent, and simultaneously supplies grounds for doubting that the urgency is fully warranted. What no one has done is convert the intersection of these fields into a single, falsifiable, document-level test: does the observable structure of a fixed cislunar-topic corpus, its timing, its accrued attention, and its venue composition, carry the pattern a rights-formation account predicts, or not?</w:t>
      </w:r>
    </w:p>
    <w:p>
      <w:pPr>
        <w:pStyle w:val="BodyText"/>
        <w:spacing w:line="480" w:lineRule="auto"/>
        <w:ind w:firstLine="720"/>
      </w:pPr>
      <w:r>
        <w:t xml:space="preserve">That is the gap. It is narrow on purpose. Filling it does not resolve whether cislunar property rights are forming; it establishes whether the documentary evidence usually invoked to argue that they are can withstand a disciplined statistical screen. The prior literature has argued the question qualitatively and, on the registration side, has warned that the metadata may not bear the weight</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This dissertation takes that warning as a hypothesis to test rather than a conclusion to assume. The two estimators in the following chapters are the instrument, and their occasionally uncooperative results, reported in full in Chapter 6, are the point rather than an embarrassment to be hidden</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75"/>
    <w:bookmarkStart w:id="76" w:name="X1ebda81af95019c436c52320338540facc700fb"/>
    <w:p>
      <w:pPr>
        <w:pStyle w:val="Heading2"/>
        <w:spacing w:line="480" w:lineRule="auto"/>
      </w:pPr>
      <w:r>
        <w:t xml:space="preserve">2.6 How the three fields have talked past one another</w:t>
      </w:r>
    </w:p>
    <w:p>
      <w:pPr>
        <w:pStyle w:val="FirstParagraph"/>
        <w:spacing w:line="480" w:lineRule="auto"/>
      </w:pPr>
      <w:r>
        <w:t xml:space="preserve">It is worth pausing on why the gap identified above has persisted. It is not that the three fields are unaware of one another. It is that each has a methodological center of gravity that pulls it away from the intersection where property-rights formation actually lives. The engineering literature is drawn toward measurement and prediction of physical phenomena, and its reward structure favors precision about objects and orbits over speculation about institutions</w:t>
      </w:r>
      <w:r>
        <w:t xml:space="preserve"> </w:t>
      </w:r>
      <w:hyperlink w:anchor="ref-1">
        <w:r>
          <w:rPr>
            <w:rStyle w:val="Hyperlink"/>
          </w:rPr>
          <w:t xml:space="preserve">[1]</w:t>
        </w:r>
      </w:hyperlink>
      <w:r>
        <w:t xml:space="preserve"> </w:t>
      </w:r>
      <w:hyperlink w:anchor="ref-3">
        <w:r>
          <w:rPr>
            <w:rStyle w:val="Hyperlink"/>
          </w:rPr>
          <w:t xml:space="preserve">[3]</w:t>
        </w:r>
      </w:hyperlink>
      <w:r>
        <w:t xml:space="preserve">. When engineering work touches governance at all, it does so at the edges, in a closing paragraph about implications, rather than as the object of study. The result is a rich physical record with a thin institutional gloss.</w:t>
      </w:r>
    </w:p>
    <w:p>
      <w:pPr>
        <w:pStyle w:val="BodyText"/>
        <w:spacing w:line="480" w:lineRule="auto"/>
        <w:ind w:firstLine="720"/>
      </w:pPr>
      <w:r>
        <w:t xml:space="preserve">The legal and registration literature has the opposite tilt. It is centrally concerned with institutions, obligations, and disclosure, but its method is doctrinal and interpretive rather than measurement-driven</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When it confronts the thinness of the underlying data, it tends to treat that thinness as a problem to be remedied by better law rather than as a phenomenon to be measured. The literature diagnoses the metadata gap eloquently and then, understandably, reaches for legal instruments to close it, leaving the empirical question of what the existing record actually shows largely unasked.</w:t>
      </w:r>
    </w:p>
    <w:p>
      <w:pPr>
        <w:pStyle w:val="BodyText"/>
        <w:spacing w:line="480" w:lineRule="auto"/>
        <w:ind w:firstLine="720"/>
      </w:pPr>
      <w:r>
        <w:t xml:space="preserve">The economics literature is measurement-friendly and institution-aware, which should make it the natural bridge, but it has been preoccupied with a different quarrel: how large the space economy is or will be, and whether the popular forecasts hold up. That quarrel is valuable, and its skeptical conclusion disciplines the present study, yet it has absorbed much of the field’s quantitative energy. The scarcity logic that would connect economic value to property-rights formation is present in the literature but underdeveloped as an empirical program, because the empirical program has been spent litigating forecasts instead.</w:t>
      </w:r>
    </w:p>
    <w:p>
      <w:pPr>
        <w:pStyle w:val="BodyText"/>
        <w:spacing w:line="480" w:lineRule="auto"/>
        <w:ind w:firstLine="720"/>
      </w:pPr>
      <w:r>
        <w:t xml:space="preserve">The consequence is a structural blind spot. Each field can see the frontier from its own side, and each has produced excellent work on its own terms, yet the specific intersection, a measured account of how the documentary record around cislunar property is actually shaped, falls in the seam between all three. This dissertation does not resolve the seam. It occupies it for one narrow test, which is the most an early study can honestly claim.</w:t>
      </w:r>
    </w:p>
    <w:bookmarkEnd w:id="76"/>
    <w:bookmarkStart w:id="77" w:name="X99f9d41d4bf3bacb13ced59cfaf068cdf42a1e2"/>
    <w:p>
      <w:pPr>
        <w:pStyle w:val="Heading2"/>
        <w:spacing w:line="480" w:lineRule="auto"/>
      </w:pPr>
      <w:r>
        <w:t xml:space="preserve">2.7 Positioning against adjacent measurement traditions</w:t>
      </w:r>
    </w:p>
    <w:p>
      <w:pPr>
        <w:pStyle w:val="FirstParagraph"/>
        <w:spacing w:line="480" w:lineRule="auto"/>
      </w:pPr>
      <w:r>
        <w:t xml:space="preserve">Beyond the three substantive fields, this study inherits from a methodological tradition that treats bibliometric and documentary structure as data. That tradition is old in the science-studies literature and increasingly common in policy analysis, where the distribution of attention across a corpus is read as evidence about the state of a field. The re-entry-prediction work that extracts signal from a heterogeneous, distributed network of optical sensors is a useful methodological cousin, because it demonstrates the discipline required to pull structure from noisy, unevenly-sampled observations without over-claiming</w:t>
      </w:r>
      <w:r>
        <w:t xml:space="preserve"> </w:t>
      </w:r>
      <w:hyperlink w:anchor="ref-7">
        <w:r>
          <w:rPr>
            <w:rStyle w:val="Hyperlink"/>
          </w:rPr>
          <w:t xml:space="preserve">[7]</w:t>
        </w:r>
      </w:hyperlink>
      <w:r>
        <w:t xml:space="preserve">. The lesson transfers: a topic corpus is exactly such a heterogeneous, unevenly-sampled set of observations, and the same restraint applies.</w:t>
      </w:r>
    </w:p>
    <w:p>
      <w:pPr>
        <w:pStyle w:val="BodyText"/>
        <w:spacing w:line="480" w:lineRule="auto"/>
        <w:ind w:firstLine="720"/>
      </w:pPr>
      <w:r>
        <w:t xml:space="preserve">Two cautions from that tradition shape the design. First, documentary attention is a lagging and biased indicator; it reflects not only the importance of a topic but also the size, norms, and citation culture of the fields that produce the documents</w:t>
      </w:r>
      <w:r>
        <w:t xml:space="preserve"> </w:t>
      </w:r>
      <w:hyperlink w:anchor="ref-2">
        <w:r>
          <w:rPr>
            <w:rStyle w:val="Hyperlink"/>
          </w:rPr>
          <w:t xml:space="preserve">[2]</w:t>
        </w:r>
      </w:hyperlink>
      <w:r>
        <w:t xml:space="preserve"> </w:t>
      </w:r>
      <w:hyperlink w:anchor="ref-5">
        <w:r>
          <w:rPr>
            <w:rStyle w:val="Hyperlink"/>
          </w:rPr>
          <w:t xml:space="preserve">[5]</w:t>
        </w:r>
      </w:hyperlink>
      <w:r>
        <w:t xml:space="preserve">. Second, small, topic-assembled corpora are prone to survivorship effects, because old documents appear only if they remained relevant enough to be retrieved. Both cautions are built into the methodology and the limitations rather than discovered after the fact, which is the difference between a measurement design that respects its tradition and one that merely borrows its tools. The liability and data-governance literatures reinforce the premise that institutional novelty generates measurable documentary residue, since new categories of actor and risk force institutions to write down rules that did not exist before</w:t>
      </w:r>
      <w:r>
        <w:t xml:space="preserve"> </w:t>
      </w:r>
      <w:hyperlink w:anchor="ref-9">
        <w:r>
          <w:rPr>
            <w:rStyle w:val="Hyperlink"/>
          </w:rPr>
          <w:t xml:space="preserve">[9]</w:t>
        </w:r>
      </w:hyperlink>
      <w:r>
        <w:t xml:space="preserve"> </w:t>
      </w:r>
      <w:hyperlink w:anchor="ref-15">
        <w:r>
          <w:rPr>
            <w:rStyle w:val="Hyperlink"/>
          </w:rPr>
          <w:t xml:space="preserve">[15]</w:t>
        </w:r>
      </w:hyperlink>
      <w:r>
        <w:t xml:space="preserve">, and it is that residue, patterned or not, that the following chapters test.</w:t>
      </w:r>
    </w:p>
    <w:bookmarkEnd w:id="77"/>
    <w:bookmarkStart w:id="78" w:name="Xcf12769c862d39e297e7086c6e10a4642da210f"/>
    <w:p>
      <w:pPr>
        <w:pStyle w:val="Heading2"/>
        <w:spacing w:line="480" w:lineRule="auto"/>
      </w:pPr>
      <w:r>
        <w:t xml:space="preserve">2.8 The registration literature as the closest antecedent</w:t>
      </w:r>
    </w:p>
    <w:p>
      <w:pPr>
        <w:pStyle w:val="FirstParagraph"/>
        <w:spacing w:line="480" w:lineRule="auto"/>
      </w:pPr>
      <w:r>
        <w:t xml:space="preserve">Of the three fields, the registration literature is the nearest antecedent to this dissertation, and it deserves a closer reading because the study’s dependent construct is built in its shadow. The argument that registration practices must improve to support space traffic management is not merely a policy plea; it is an empirical diagnosis of a record that is incomplete, delayed, and selectively disclosed</w:t>
      </w:r>
      <w:r>
        <w:t xml:space="preserve"> </w:t>
      </w:r>
      <w:hyperlink w:anchor="ref-11">
        <w:r>
          <w:rPr>
            <w:rStyle w:val="Hyperlink"/>
          </w:rPr>
          <w:t xml:space="preserve">[11]</w:t>
        </w:r>
      </w:hyperlink>
      <w:r>
        <w:t xml:space="preserve">. That diagnosis does two things for the present work. It supplies the substantive reason to expect that a property signal, if it exists, would be thin and unevenly distributed, and it supplies a methodological caution that any measure built near the registration record inherits the record’s gaps.</w:t>
      </w:r>
    </w:p>
    <w:p>
      <w:pPr>
        <w:pStyle w:val="BodyText"/>
        <w:spacing w:line="480" w:lineRule="auto"/>
        <w:ind w:firstLine="720"/>
      </w:pPr>
      <w:r>
        <w:t xml:space="preserve">The companion literature on critical issues in the registration of space objects sharpens the diagnosis by showing that the gaps are not random noise but track incentives</w:t>
      </w:r>
      <w:r>
        <w:t xml:space="preserve"> </w:t>
      </w:r>
      <w:hyperlink w:anchor="ref-12">
        <w:r>
          <w:rPr>
            <w:rStyle w:val="Hyperlink"/>
          </w:rPr>
          <w:t xml:space="preserve">[12]</w:t>
        </w:r>
      </w:hyperlink>
      <w:r>
        <w:t xml:space="preserve">. States and operators disclose what serves them and withhold what does not, so the silences in the registration record are structured silences. For a study that reads documentary distribution as evidence, structured silence is both a threat and an opportunity: a threat because it means absence of signal can reflect strategic non-disclosure rather than genuine absence of activity, and an opportunity because the pattern of what is and is not recorded is itself informative about where the stakes are highest. The dissertation cannot fully separate these, and it says so, but it inherits from the registration literature the central recognition that the shape of the record is a phenomenon to be measured rather than a neutral window onto reality.</w:t>
      </w:r>
    </w:p>
    <w:p>
      <w:pPr>
        <w:pStyle w:val="BodyText"/>
        <w:spacing w:line="480" w:lineRule="auto"/>
        <w:ind w:firstLine="720"/>
      </w:pPr>
      <w:r>
        <w:t xml:space="preserve">Where this dissertation departs from the registration literature is in method. That literature is doctrinal and prescriptive; it diagnoses the record and proposes legal reform. This study is descriptive and empirical; it measures the documentary residue and reports what a screen finds, offering no reform of its own. The two are complementary. The registration literature says the record is too thin to govern; this study measures a specific slice of that thinness and shows what its structure actually looks like, giving the reform argument a reproducible foothold it did not previously have</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bookmarkEnd w:id="78"/>
    <w:bookmarkStart w:id="79" w:name="X3ee58dbd50197dbab1be56d7b9e8025d03e0d08"/>
    <w:p>
      <w:pPr>
        <w:pStyle w:val="Heading2"/>
        <w:spacing w:line="480" w:lineRule="auto"/>
      </w:pPr>
      <w:r>
        <w:t xml:space="preserve">2.9 Summary of the literature and the road into the theory</w:t>
      </w:r>
    </w:p>
    <w:p>
      <w:pPr>
        <w:pStyle w:val="FirstParagraph"/>
        <w:spacing w:line="480" w:lineRule="auto"/>
      </w:pPr>
      <w:r>
        <w:t xml:space="preserve">Pulling the threads together, the literature establishes four things that the theory chapter then builds on. It establishes that the physical cislunar frontier is real, hazardous, and actively planned, so that property questions are not speculative</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It establishes that the disclosure regime meant to record activity in the region is thin, inconsistent, and strategically incomplete, so that any documentary measure must be read with care</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It establishes that the economic value driving property urgency is contested and possibly overstated, so that a documentary signal could reflect expectation as much as substance. And it establishes, through adjacent measurement traditions, that institutional novelty leaves an indexable residue that disciplined analysis can read without over-claiming</w:t>
      </w:r>
      <w:r>
        <w:t xml:space="preserve"> </w:t>
      </w:r>
      <w:hyperlink w:anchor="ref-7">
        <w:r>
          <w:rPr>
            <w:rStyle w:val="Hyperlink"/>
          </w:rPr>
          <w:t xml:space="preserve">[7]</w:t>
        </w:r>
      </w:hyperlink>
      <w:r>
        <w:t xml:space="preserve"> </w:t>
      </w:r>
      <w:hyperlink w:anchor="ref-9">
        <w:r>
          <w:rPr>
            <w:rStyle w:val="Hyperlink"/>
          </w:rPr>
          <w:t xml:space="preserve">[9]</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Those four establishments define the space in which the theory operates. The next chapter takes them as given and asks the question they leave open: if property expectations are forming, and if they leave a documentary residue, what specific, observable structure should that residue exhibit, and how would we know if it did not? The literature has framed the question and warned about the evidence. Turning the framed question into a falsifiable mechanism is the work of Chapter 3, and testing that mechanism against the record is the work of the chapters after it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79"/>
    <w:bookmarkEnd w:id="80"/>
    <w:bookmarkStart w:id="91" w:name="chapter-3.-theory-and-hypotheses"/>
    <w:p>
      <w:pPr>
        <w:pStyle w:val="Heading1"/>
        <w:spacing w:line="480" w:lineRule="auto"/>
      </w:pPr>
      <w:r>
        <w:t xml:space="preserve">Chapter 3. Theory and Hypotheses</w:t>
      </w:r>
    </w:p>
    <w:p>
      <w:pPr>
        <w:pStyle w:val="FirstParagraph"/>
        <w:spacing w:line="480" w:lineRule="auto"/>
      </w:pPr>
      <w:r>
        <w:t xml:space="preserve">Why should the shape of a document corpus tell us anything about property rights? The honest answer is that it should not, unless a mechanism connects the two. This chapter supplies that mechanism. It argues that institutional formation at a frontier is a costly, attention-mediated process, that the costs and the attention leave observable documentary traces, and that those traces should exhibit specific, testable structure if a rights order is forming. It then derives the predictions that the two estimators put to the test, and it is careful to state what would count as the hypothesis failing</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Start w:id="81" w:name="X8a362f88c49b81b24b66fb91b6810afb2b6bc22"/>
    <w:p>
      <w:pPr>
        <w:pStyle w:val="Heading2"/>
        <w:spacing w:line="480" w:lineRule="auto"/>
      </w:pPr>
      <w:r>
        <w:t xml:space="preserve">3.1 Frontier property rights as an attention-mediated process</w:t>
      </w:r>
    </w:p>
    <w:p>
      <w:pPr>
        <w:pStyle w:val="FirstParagraph"/>
        <w:spacing w:line="480" w:lineRule="auto"/>
      </w:pPr>
      <w:r>
        <w:t xml:space="preserve">The economic theory of property-rights formation is well established in outline. Rights emerge when the expected benefit of defining and defending a claim rises above the cost of doing so. On a terrestrial frontier those costs and benefits were mediated by physical acts: fencing, occupying, filing at a land office, litigating boundaries. Cislunar space has no land office and, for now, no enforceable filing. The physical acts that would signal a claim are largely unavailable or prohibitively expensive. What remains available is the documentary act: publishing an architecture, registering a launch, characterizing a hazard, proposing a governance rule</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mechanism this dissertation proposes is that documentary acts substitute, imperfectly, for the physical acts that a maturing frontier would otherwise use to stake and contest claims. An actor who cannot yet occupy L2 can publish an L2 situational-awareness architecture and thereby establish presence in the design and attention space</w:t>
      </w:r>
      <w:r>
        <w:t xml:space="preserve"> </w:t>
      </w:r>
      <w:hyperlink w:anchor="ref-6">
        <w:r>
          <w:rPr>
            <w:rStyle w:val="Hyperlink"/>
          </w:rPr>
          <w:t xml:space="preserve">[6]</w:t>
        </w:r>
      </w:hyperlink>
      <w:r>
        <w:t xml:space="preserve">. An actor who cannot yet enforce a debris-liability rule can publish a characterization of cislunar fragmentation and thereby define the terms on which liability will later be argued</w:t>
      </w:r>
      <w:r>
        <w:t xml:space="preserve"> </w:t>
      </w:r>
      <w:hyperlink w:anchor="ref-3">
        <w:r>
          <w:rPr>
            <w:rStyle w:val="Hyperlink"/>
          </w:rPr>
          <w:t xml:space="preserve">[3]</w:t>
        </w:r>
      </w:hyperlink>
      <w:r>
        <w:t xml:space="preserve">. These acts are cheap relative to physical presence but not free. They cost effort, expertise, and venue access. Because they are costly, they are selective. Because they are selective, their distribution across time, attention, and venue carries information about where claimants believe the expected returns to definition are highest.</w:t>
      </w:r>
    </w:p>
    <w:p>
      <w:pPr>
        <w:pStyle w:val="BodyText"/>
        <w:spacing w:line="480" w:lineRule="auto"/>
        <w:ind w:firstLine="720"/>
      </w:pPr>
      <w:r>
        <w:t xml:space="preserve">That is the core theoretical claim. Documentary attention is a revealed-preference signal about perceived property stakes, filtered through the cost structure of publishing and disclosing</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bookmarkEnd w:id="81"/>
    <w:bookmarkStart w:id="82" w:name="from-mechanism-to-observable-structure"/>
    <w:p>
      <w:pPr>
        <w:pStyle w:val="Heading2"/>
        <w:spacing w:line="480" w:lineRule="auto"/>
      </w:pPr>
      <w:r>
        <w:t xml:space="preserve">3.2 From mechanism to observable structure</w:t>
      </w:r>
    </w:p>
    <w:p>
      <w:pPr>
        <w:pStyle w:val="FirstParagraph"/>
        <w:spacing w:line="480" w:lineRule="auto"/>
      </w:pPr>
      <w:r>
        <w:t xml:space="preserve">If the mechanism holds, the corpus should show structure along three dimensions that the estimators can measure.</w:t>
      </w:r>
    </w:p>
    <w:p>
      <w:pPr>
        <w:pStyle w:val="BodyText"/>
        <w:spacing w:line="480" w:lineRule="auto"/>
        <w:ind w:firstLine="720"/>
      </w:pPr>
      <w:r>
        <w:t xml:space="preserve">Recency is the first. A frontier whose property stakes are rising should generate an accelerating documentary record, with more recent years carrying more of the topic signal, because the expected return to staking a claim rises as the frontier approaches contestability. A flat or declining recency profile would suggest the opposite: that the topic’s salience is not compounding, or that its documentary expression peaked earlier and is now settling.</w:t>
      </w:r>
    </w:p>
    <w:p>
      <w:pPr>
        <w:pStyle w:val="BodyText"/>
        <w:spacing w:line="480" w:lineRule="auto"/>
        <w:ind w:firstLine="720"/>
      </w:pPr>
      <w:r>
        <w:t xml:space="preserve">Attention is the second. In the simplest salience story, documents that attract more citation attention are the ones defining the contested terms, so a positive association between citation count and topic signal would be expected. This prediction is fragile, and the theory here does not lean on it hard. Citation attention in a young, cross-disciplinary corpus is confounded by field size, venue norms, and the age of the document. A negative or null association would not by itself refute the mechanism; it could instead indicate that the topic signal concentrates in newer, less-cited work while citations accumulate on older, more general papers. The theory therefore predicts a relationship between attention and signal, while remaining agnostic about its sign, and treats the sign as diagnostic rather than confirmatory</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Venue family is the third. Polycentric governance implies that a rights order forms across multiple venues rather than within one, so the topic signal should be distributed across venue families in a patterned, not uniform, way. Which venues carry more signal is itself informative. If the more technical venues carry more topic signal than the economic or policy venues, that suggests the frontier is still being defined in engineering terms, before the institutional vocabulary has caught up, which is exactly what the literature on unsettled screening conventions and thin registration would predict</w:t>
      </w:r>
      <w:r>
        <w:t xml:space="preserve"> </w:t>
      </w:r>
      <w:hyperlink w:anchor="ref-2">
        <w:r>
          <w:rPr>
            <w:rStyle w:val="Hyperlink"/>
          </w:rPr>
          <w:t xml:space="preserve">[2]</w:t>
        </w:r>
      </w:hyperlink>
      <w:r>
        <w:t xml:space="preserve"> </w:t>
      </w:r>
      <w:hyperlink w:anchor="ref-11">
        <w:r>
          <w:rPr>
            <w:rStyle w:val="Hyperlink"/>
          </w:rPr>
          <w:t xml:space="preserve">[11]</w:t>
        </w:r>
      </w:hyperlink>
      <w:r>
        <w:t xml:space="preserve">.</w:t>
      </w:r>
    </w:p>
    <w:bookmarkEnd w:id="82"/>
    <w:bookmarkStart w:id="83" w:name="the-learning-curve-prediction"/>
    <w:p>
      <w:pPr>
        <w:pStyle w:val="Heading2"/>
        <w:spacing w:line="480" w:lineRule="auto"/>
      </w:pPr>
      <w:r>
        <w:t xml:space="preserve">3.3 The learning-curve prediction</w:t>
      </w:r>
    </w:p>
    <w:p>
      <w:pPr>
        <w:pStyle w:val="FirstParagraph"/>
        <w:spacing w:line="480" w:lineRule="auto"/>
      </w:pPr>
      <w:r>
        <w:t xml:space="preserve">The second estimator tests a sharper temporal claim. If attention to the topic accumulates in a patterned way as documents age, then citation counts should scale with document age along a learning-curve-like relationship, in which older documents have had more time to accrue attention and the accrual follows a stable elasticity. A clean, negative-elastic curve would indicate an orderly attention process in which age predicts accumulated citation. A flat curve, an elasticity indistinguishable from zero, would indicate that age carries essentially no information about attention in this corpus, which would mean the topic’s documentary attention is not accumulating in the smooth way a maturing field would show. The learning-curve model is thus a second, independent probe of the same underlying question: is the topic’s documentary attention structured, or is it noise</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two probes can disagree, and their disagreement is informative. Cross-sectional structure without temporal structure would suggest that the topic is patterned at a moment but not accumulating smoothly over time, consistent with a young, bursty frontier where attention is allocated in spikes rather than along a stable curve. That pattern is theoretically plausible for a frontier that is contested but not yet institutionalized.</w:t>
      </w:r>
    </w:p>
    <w:bookmarkEnd w:id="83"/>
    <w:bookmarkStart w:id="84" w:name="hypotheses"/>
    <w:p>
      <w:pPr>
        <w:pStyle w:val="Heading2"/>
        <w:spacing w:line="480" w:lineRule="auto"/>
      </w:pPr>
      <w:r>
        <w:t xml:space="preserve">3.4 Hypotheses</w:t>
      </w:r>
    </w:p>
    <w:p>
      <w:pPr>
        <w:pStyle w:val="FirstParagraph"/>
        <w:spacing w:line="480" w:lineRule="auto"/>
      </w:pPr>
      <w:r>
        <w:t xml:space="preserve">The dissertation-level hypotheses restate the single falsifiable contribution:</w:t>
      </w:r>
    </w:p>
    <w:p>
      <w:pPr>
        <w:pStyle w:val="BodyText"/>
        <w:spacing w:line="480" w:lineRule="auto"/>
        <w:ind w:firstLine="720"/>
      </w:pPr>
      <w:r>
        <w:t xml:space="preserve">H0 (dissertation): the candidate topic signal is unrelated to publication recency, citation attention, and venue family across the retrieved source corpus.</w:t>
      </w:r>
    </w:p>
    <w:p>
      <w:pPr>
        <w:pStyle w:val="BodyText"/>
        <w:spacing w:line="480" w:lineRule="auto"/>
        <w:ind w:firstLine="720"/>
      </w:pPr>
      <w:r>
        <w:t xml:space="preserve">H1 (dissertation): the candidate topic signal is systematically related to publication recency, to citation attention, and to venue family across the retrieved source corpus.</w:t>
      </w:r>
    </w:p>
    <w:p>
      <w:pPr>
        <w:pStyle w:val="BodyText"/>
        <w:spacing w:line="480" w:lineRule="auto"/>
        <w:ind w:firstLine="720"/>
      </w:pPr>
      <w:r>
        <w:t xml:space="preserve">The two papers operationalize this at the estimator level.</w:t>
      </w:r>
    </w:p>
    <w:p>
      <w:pPr>
        <w:pStyle w:val="BodyText"/>
        <w:spacing w:line="480" w:lineRule="auto"/>
        <w:ind w:firstLine="720"/>
      </w:pPr>
      <w:r>
        <w:t xml:space="preserve">For Paper 1, the cross-sectional screen:</w:t>
      </w:r>
    </w:p>
    <w:p>
      <w:pPr>
        <w:pStyle w:val="BodyText"/>
        <w:spacing w:line="480" w:lineRule="auto"/>
        <w:ind w:firstLine="720"/>
      </w:pPr>
      <w:r>
        <w:t xml:space="preserve">H0 (P1): the topic-signal score is unrelated to recency, citation attention, and venue family.</w:t>
      </w:r>
    </w:p>
    <w:p>
      <w:pPr>
        <w:pStyle w:val="BodyText"/>
        <w:spacing w:line="480" w:lineRule="auto"/>
        <w:ind w:firstLine="720"/>
      </w:pPr>
      <w:r>
        <w:t xml:space="preserve">H1 (P1): the topic-signal score is systematically related to those predictors, with the sign of each association treated as diagnostic evidence about how the frontier is being defined.</w:t>
      </w:r>
    </w:p>
    <w:p>
      <w:pPr>
        <w:pStyle w:val="BodyText"/>
        <w:spacing w:line="480" w:lineRule="auto"/>
        <w:ind w:firstLine="720"/>
      </w:pPr>
      <w:r>
        <w:t xml:space="preserve">For Paper 2, the accumulation screen:</w:t>
      </w:r>
    </w:p>
    <w:p>
      <w:pPr>
        <w:pStyle w:val="BodyText"/>
        <w:spacing w:line="480" w:lineRule="auto"/>
        <w:ind w:firstLine="720"/>
      </w:pPr>
      <w:r>
        <w:t xml:space="preserve">H0 (P2): citation accumulation is unrelated to article age in the retrieved topic literature.</w:t>
      </w:r>
    </w:p>
    <w:p>
      <w:pPr>
        <w:pStyle w:val="BodyText"/>
        <w:spacing w:line="480" w:lineRule="auto"/>
        <w:ind w:firstLine="720"/>
      </w:pPr>
      <w:r>
        <w:t xml:space="preserve">H1 (P2): citation accumulation follows a measurable age-based attention curve.</w:t>
      </w:r>
    </w:p>
    <w:bookmarkEnd w:id="84"/>
    <w:bookmarkStart w:id="85" w:name="what-would-count-as-failure"/>
    <w:p>
      <w:pPr>
        <w:pStyle w:val="Heading2"/>
        <w:spacing w:line="480" w:lineRule="auto"/>
      </w:pPr>
      <w:r>
        <w:t xml:space="preserve">3.5 What would count as failure</w:t>
      </w:r>
    </w:p>
    <w:p>
      <w:pPr>
        <w:pStyle w:val="FirstParagraph"/>
        <w:spacing w:line="480" w:lineRule="auto"/>
      </w:pPr>
      <w:r>
        <w:t xml:space="preserve">A theory chapter that cannot state its own defeat conditions is not doing its job. The mechanism proposed here fails, in the strong sense, if the corpus shows no reliable structure along any of the three cross-sectional dimensions and no temporal accumulation curve. It fails partially, and more interestingly, if some dimensions carry precise structure while others do not, because a partial pattern forces a more specific account of which parts of the frontier are documented and which are not</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design anticipates a partial outcome and is built to interpret it honestly. A negative and precise citation coefficient, for instance, would not be swept aside; it would be read as evidence that topic signal concentrates away from the most-cited work, which is a substantive finding about how the corpus is organized rather than a nuisance. A flat learning curve would not be reported as a null to be apologized for; it would be reported as evidence that age does not structure attention here, which bounds what any rights-formation reading of the corpus can legitimately claim</w:t>
      </w:r>
      <w:r>
        <w:t xml:space="preserve"> </w:t>
      </w:r>
      <w:hyperlink w:anchor="ref-6">
        <w:r>
          <w:rPr>
            <w:rStyle w:val="Hyperlink"/>
          </w:rPr>
          <w:t xml:space="preserve">[6]</w:t>
        </w:r>
      </w:hyperlink>
      <w:r>
        <w:t xml:space="preserve">. The theory earns its keep precisely by making these outcomes interpretable in advance, so that Chapter 6 can report whatever the estimators return without reaching for a story the numbers do not support</w:t>
      </w:r>
      <w:r>
        <w:t xml:space="preserve"> </w:t>
      </w:r>
      <w:hyperlink w:anchor="ref-2">
        <w:r>
          <w:rPr>
            <w:rStyle w:val="Hyperlink"/>
          </w:rPr>
          <w:t xml:space="preserve">[2]</w:t>
        </w:r>
      </w:hyperlink>
      <w:r>
        <w:t xml:space="preserve">.</w:t>
      </w:r>
    </w:p>
    <w:bookmarkEnd w:id="85"/>
    <w:bookmarkStart w:id="86" w:name="X8bd37c4924d58a16a4fe92b56b063090e943e5c"/>
    <w:p>
      <w:pPr>
        <w:pStyle w:val="Heading2"/>
        <w:spacing w:line="480" w:lineRule="auto"/>
      </w:pPr>
      <w:r>
        <w:t xml:space="preserve">3.6 The microfoundations of the documentary act</w:t>
      </w:r>
    </w:p>
    <w:p>
      <w:pPr>
        <w:pStyle w:val="FirstParagraph"/>
        <w:spacing w:line="480" w:lineRule="auto"/>
      </w:pPr>
      <w:r>
        <w:t xml:space="preserve">The mechanism rests on a claim about individual behavior that deserves to be spelled out, because a theory that treats documentary acts as revealed preference is only as good as its account of why actors publish in the first place. Consider the position of an actor, a firm, an agency, a research group, contemplating a claim on some slice of the cislunar frontier. Physical occupation is unavailable or ruinously expensive. Legal filing is unavailable because no enforceable regime exists. What remains is the documentary channel, and the actor’s decision to use it is governed by a familiar cost-benefit calculus.</w:t>
      </w:r>
    </w:p>
    <w:p>
      <w:pPr>
        <w:pStyle w:val="BodyText"/>
        <w:spacing w:line="480" w:lineRule="auto"/>
        <w:ind w:firstLine="720"/>
      </w:pPr>
      <w:r>
        <w:t xml:space="preserve">The benefit of publishing is priority in the space of ideas and attention. An actor who first characterizes a hazard, proposes an architecture, or names a governance rule establishes a reference point that later entrants must engage</w:t>
      </w:r>
      <w:r>
        <w:t xml:space="preserve"> </w:t>
      </w:r>
      <w:hyperlink w:anchor="ref-3">
        <w:r>
          <w:rPr>
            <w:rStyle w:val="Hyperlink"/>
          </w:rPr>
          <w:t xml:space="preserve">[3]</w:t>
        </w:r>
      </w:hyperlink>
      <w:r>
        <w:t xml:space="preserve"> </w:t>
      </w:r>
      <w:hyperlink w:anchor="ref-4">
        <w:r>
          <w:rPr>
            <w:rStyle w:val="Hyperlink"/>
          </w:rPr>
          <w:t xml:space="preserve">[4]</w:t>
        </w:r>
      </w:hyperlink>
      <w:r>
        <w:t xml:space="preserve">. That reference point is not a property right, but it is a proto-claim: it shapes the terms of subsequent debate and can convert into advantage if and when a formal regime crystallizes. The actor who defined the L2 awareness architecture is better positioned when L2 governance is eventually written</w:t>
      </w:r>
      <w:r>
        <w:t xml:space="preserve"> </w:t>
      </w:r>
      <w:hyperlink w:anchor="ref-6">
        <w:r>
          <w:rPr>
            <w:rStyle w:val="Hyperlink"/>
          </w:rPr>
          <w:t xml:space="preserve">[6]</w:t>
        </w:r>
      </w:hyperlink>
      <w:r>
        <w:t xml:space="preserve">. The benefit, in short, is option value on future institutionalization.</w:t>
      </w:r>
    </w:p>
    <w:p>
      <w:pPr>
        <w:pStyle w:val="BodyText"/>
        <w:spacing w:line="480" w:lineRule="auto"/>
        <w:ind w:firstLine="720"/>
      </w:pPr>
      <w:r>
        <w:t xml:space="preserve">The cost of publishing is real and selective. It requires expertise, effort, and access to a venue that will carry the document and lend it standing. Not every actor can publish in every venue; the aerospace conference, the flagship journal, and the economics forum each impose different entry costs and confer different standing</w:t>
      </w:r>
      <w:r>
        <w:t xml:space="preserve"> </w:t>
      </w:r>
      <w:hyperlink w:anchor="ref-11">
        <w:r>
          <w:rPr>
            <w:rStyle w:val="Hyperlink"/>
          </w:rPr>
          <w:t xml:space="preserve">[11]</w:t>
        </w:r>
      </w:hyperlink>
      <w:r>
        <w:t xml:space="preserve">. Because the cost is selective, the documentary record is not a neutral mirror of who cares about the frontier. It is a filtered record of who cared enough, and had the means, to leave a durable trace. That filtering is exactly what makes the record informative: a signal that survives the cost filter is a signal an actor judged worth the expense of leaving.</w:t>
      </w:r>
    </w:p>
    <w:p>
      <w:pPr>
        <w:pStyle w:val="BodyText"/>
        <w:spacing w:line="480" w:lineRule="auto"/>
        <w:ind w:firstLine="720"/>
      </w:pPr>
      <w:r>
        <w:t xml:space="preserve">This microfoundation has an immediate implication for interpretation. Because publishing carries option value on future institutionalization, the documentary signal should lead rather than lag the physical frontier. Actors stake documentary ground before they can stake physical ground, which is why a recent, concentrated signal in technical venues is consistent with a frontier that is being claimed on paper before it is occupied in fact. The prediction that signal concentrates in recent, technical work is not an afterthought; it falls directly out of the cost-benefit logic of the documentary act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86"/>
    <w:bookmarkStart w:id="87" w:name="Xdfcf841aae7b3dfa888d5e74e27e414b9b9bd7e"/>
    <w:p>
      <w:pPr>
        <w:pStyle w:val="Heading2"/>
        <w:spacing w:line="480" w:lineRule="auto"/>
      </w:pPr>
      <w:r>
        <w:t xml:space="preserve">3.7 Competing explanations the theory must beat</w:t>
      </w:r>
    </w:p>
    <w:p>
      <w:pPr>
        <w:pStyle w:val="FirstParagraph"/>
        <w:spacing w:line="480" w:lineRule="auto"/>
      </w:pPr>
      <w:r>
        <w:t xml:space="preserve">A responsible mechanism has to name the rival accounts it is competing against, because a finding of structure is only persuasive if the obvious alternatives are less able to explain it.</w:t>
      </w:r>
    </w:p>
    <w:p>
      <w:pPr>
        <w:pStyle w:val="BodyText"/>
        <w:spacing w:line="480" w:lineRule="auto"/>
        <w:ind w:firstLine="720"/>
      </w:pPr>
      <w:r>
        <w:t xml:space="preserve">The first rival is pure field growth. Any active research area generates more documents over time simply because the field is expanding, independent of any property-rights process. If the topic signal rose with recency for this reason alone, it would tell us about the size of the field, not about institutional formation. The design partly guards against this by conditioning on citation attention and venue, and Chapter 6’s finding that recency does not carry an independent signal actually cuts against the naive field-growth story rather than for it</w:t>
      </w:r>
      <w:r>
        <w:t xml:space="preserve"> </w:t>
      </w:r>
      <w:hyperlink w:anchor="ref-2">
        <w:r>
          <w:rPr>
            <w:rStyle w:val="Hyperlink"/>
          </w:rPr>
          <w:t xml:space="preserve">[2]</w:t>
        </w:r>
      </w:hyperlink>
      <w:r>
        <w:t xml:space="preserve">.</w:t>
      </w:r>
    </w:p>
    <w:p>
      <w:pPr>
        <w:pStyle w:val="BodyText"/>
        <w:spacing w:line="480" w:lineRule="auto"/>
        <w:ind w:firstLine="720"/>
      </w:pPr>
      <w:r>
        <w:t xml:space="preserve">The second rival is citation inertia. Older documents accumulate citations mechanically, so any relationship between attention and topic signal could be an artifact of age rather than of substantive importance</w:t>
      </w:r>
      <w:r>
        <w:t xml:space="preserve"> </w:t>
      </w:r>
      <w:hyperlink w:anchor="ref-12">
        <w:r>
          <w:rPr>
            <w:rStyle w:val="Hyperlink"/>
          </w:rPr>
          <w:t xml:space="preserve">[12]</w:t>
        </w:r>
      </w:hyperlink>
      <w:r>
        <w:t xml:space="preserve">. The learning-curve estimator exists precisely to isolate and test this aging channel directly, and the theory predicts that if citation inertia dominated, the age curve would be steep and orderly. A flat curve, which is what the data show, is evidence against citation inertia as the master explanation.</w:t>
      </w:r>
    </w:p>
    <w:p>
      <w:pPr>
        <w:pStyle w:val="BodyText"/>
        <w:spacing w:line="480" w:lineRule="auto"/>
        <w:ind w:firstLine="720"/>
      </w:pPr>
      <w:r>
        <w:t xml:space="preserve">The third rival is venue prestige as pure sorting. Perhaps topic signal tracks venue only because prestigious venues attract certain kinds of work, with no institutional-formation content at all. The ordinal venue coding is a deliberately weak instrument against this rival, and the theory is careful to treat any venue finding as suggestive rather than decisive</w:t>
      </w:r>
      <w:r>
        <w:t xml:space="preserve"> </w:t>
      </w:r>
      <w:hyperlink w:anchor="ref-11">
        <w:r>
          <w:rPr>
            <w:rStyle w:val="Hyperlink"/>
          </w:rPr>
          <w:t xml:space="preserve">[11]</w:t>
        </w:r>
      </w:hyperlink>
      <w:r>
        <w:t xml:space="preserve">. Naming these rivals in advance is what lets Chapter 6 claim that its configuration of results is not trivially explained by field growth, citation inertia, or prestige sorting alone, and that combination of survived alternatives is what a structural reading requires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87"/>
    <w:bookmarkStart w:id="88" w:name="the-polycentric-prediction-in-detail"/>
    <w:p>
      <w:pPr>
        <w:pStyle w:val="Heading2"/>
        <w:spacing w:line="480" w:lineRule="auto"/>
      </w:pPr>
      <w:r>
        <w:t xml:space="preserve">3.8 The polycentric prediction in detail</w:t>
      </w:r>
    </w:p>
    <w:p>
      <w:pPr>
        <w:pStyle w:val="FirstParagraph"/>
        <w:spacing w:line="480" w:lineRule="auto"/>
      </w:pPr>
      <w:r>
        <w:t xml:space="preserve">The venue dimension carries a theoretical claim that is worth developing on its own, because it connects the study to a specific tradition in governance theory. The polycentric view of resource governance holds that order over a contested commons does not descend from a single sovereign authority but emerges from many overlapping centers of decision, each with partial jurisdiction and partial competence</w:t>
      </w:r>
      <w:r>
        <w:t xml:space="preserve"> </w:t>
      </w:r>
      <w:hyperlink w:anchor="ref-9">
        <w:r>
          <w:rPr>
            <w:rStyle w:val="Hyperlink"/>
          </w:rPr>
          <w:t xml:space="preserve">[9]</w:t>
        </w:r>
      </w:hyperlink>
      <w:r>
        <w:t xml:space="preserve">. Applied to cislunar space, this view predicts that no single venue, no one journal, conference, or forum, will define the property order. Instead the order will form, if it forms at all, across a distributed set of venues that address different facets of the problem.</w:t>
      </w:r>
    </w:p>
    <w:p>
      <w:pPr>
        <w:pStyle w:val="BodyText"/>
        <w:spacing w:line="480" w:lineRule="auto"/>
        <w:ind w:firstLine="720"/>
      </w:pPr>
      <w:r>
        <w:t xml:space="preserve">That prediction has a direct measurement consequence. If governance is polycentric, then the topic signal should be distributed across venue families in a patterned, non-uniform way, with different venues carrying different amounts and kinds of signal</w:t>
      </w:r>
      <w:r>
        <w:t xml:space="preserve"> </w:t>
      </w:r>
      <w:hyperlink w:anchor="ref-11">
        <w:r>
          <w:rPr>
            <w:rStyle w:val="Hyperlink"/>
          </w:rPr>
          <w:t xml:space="preserve">[11]</w:t>
        </w:r>
      </w:hyperlink>
      <w:r>
        <w:t xml:space="preserve">. A uniform distribution across venues would suggest either that no venue specialization has occurred or that the topic is too undifferentiated to have sorted into venues. A patterned distribution, by contrast, would indicate that the frontier is being addressed through a division of venue labor, which is the documentary fingerprint of an emerging polycentric order.</w:t>
      </w:r>
    </w:p>
    <w:p>
      <w:pPr>
        <w:pStyle w:val="BodyText"/>
        <w:spacing w:line="480" w:lineRule="auto"/>
        <w:ind w:firstLine="720"/>
      </w:pPr>
      <w:r>
        <w:t xml:space="preserve">The theory is agnostic about which venues should carry more signal, and this agnosticism is deliberate. A frontier at an early, engineering-dominated stage would show signal concentrated in technical venues, because the hazards and architectures are being named before the institutions</w:t>
      </w:r>
      <w:r>
        <w:t xml:space="preserve"> </w:t>
      </w:r>
      <w:hyperlink w:anchor="ref-3">
        <w:r>
          <w:rPr>
            <w:rStyle w:val="Hyperlink"/>
          </w:rPr>
          <w:t xml:space="preserve">[3]</w:t>
        </w:r>
      </w:hyperlink>
      <w:r>
        <w:t xml:space="preserve"> </w:t>
      </w:r>
      <w:hyperlink w:anchor="ref-4">
        <w:r>
          <w:rPr>
            <w:rStyle w:val="Hyperlink"/>
          </w:rPr>
          <w:t xml:space="preserve">[4]</w:t>
        </w:r>
      </w:hyperlink>
      <w:r>
        <w:t xml:space="preserve">. A frontier at a later, institutionalized stage would show signal migrating toward governance and economics venues, because the vocabulary of rights would have caught up with the vocabulary of operations. The venue coefficient therefore doubles as a rough clock: its sign and direction indicate not just whether venue matters but which developmental stage the frontier’s documentary record has reached. Reading it that way is speculative, given the ordinal coding, and Chapter 6 treats it cautiously, but the theoretical link between venue distribution and developmental stage is what makes the venue variable worth including at all</w:t>
      </w:r>
      <w:r>
        <w:t xml:space="preserve"> </w:t>
      </w:r>
      <w:hyperlink w:anchor="ref-6">
        <w:r>
          <w:rPr>
            <w:rStyle w:val="Hyperlink"/>
          </w:rPr>
          <w:t xml:space="preserve">[6]</w:t>
        </w:r>
      </w:hyperlink>
      <w:r>
        <w:t xml:space="preserve">.</w:t>
      </w:r>
    </w:p>
    <w:bookmarkEnd w:id="88"/>
    <w:bookmarkStart w:id="89" w:name="Xe061a71f2e295a43564c39b77c47b844a2c499e"/>
    <w:p>
      <w:pPr>
        <w:pStyle w:val="Heading2"/>
        <w:spacing w:line="480" w:lineRule="auto"/>
      </w:pPr>
      <w:r>
        <w:t xml:space="preserve">3.9 Reconciling the cross-sectional and temporal predictions</w:t>
      </w:r>
    </w:p>
    <w:p>
      <w:pPr>
        <w:pStyle w:val="FirstParagraph"/>
        <w:spacing w:line="480" w:lineRule="auto"/>
      </w:pPr>
      <w:r>
        <w:t xml:space="preserve">A theory that offers two estimators owes an account of how their predictions fit together, because a reader is entitled to ask whether the mechanism predicts agreement or disagreement between them. The honest answer is that the mechanism permits both, and that the specific combination observed is diagnostic of the frontier’s stage.</w:t>
      </w:r>
    </w:p>
    <w:p>
      <w:pPr>
        <w:pStyle w:val="BodyText"/>
        <w:spacing w:line="480" w:lineRule="auto"/>
        <w:ind w:firstLine="720"/>
      </w:pPr>
      <w:r>
        <w:t xml:space="preserve">If the frontier were mature and its documentary attention flowed along a stable, age-graded path, the two estimators would agree: cross-sectional structure would coexist with a clean temporal accumulation curve, because attention would be both patterned at a moment and accumulating smoothly over time</w:t>
      </w:r>
      <w:r>
        <w:t xml:space="preserve"> </w:t>
      </w:r>
      <w:hyperlink w:anchor="ref-1">
        <w:r>
          <w:rPr>
            <w:rStyle w:val="Hyperlink"/>
          </w:rPr>
          <w:t xml:space="preserve">[1]</w:t>
        </w:r>
      </w:hyperlink>
      <w:r>
        <w:t xml:space="preserve">. If the frontier were young and bursty, with attention allocated in spikes tied to recent events rather than along a smooth curve, the estimators would disagree: cross-sectional structure would appear without temporal accumulation, because the signal would be patterned at the moment but would not have had time to settle into an age gradient</w:t>
      </w:r>
      <w:r>
        <w:t xml:space="preserve"> </w:t>
      </w:r>
      <w:hyperlink w:anchor="ref-6">
        <w:r>
          <w:rPr>
            <w:rStyle w:val="Hyperlink"/>
          </w:rPr>
          <w:t xml:space="preserve">[6]</w:t>
        </w:r>
      </w:hyperlink>
      <w:r>
        <w:t xml:space="preserve">.</w:t>
      </w:r>
    </w:p>
    <w:p>
      <w:pPr>
        <w:pStyle w:val="BodyText"/>
        <w:spacing w:line="480" w:lineRule="auto"/>
        <w:ind w:firstLine="720"/>
      </w:pPr>
      <w:r>
        <w:t xml:space="preserve">The mechanism thus predicts that the pattern of agreement between the estimators reveals the frontier’s developmental stage, independent of what either estimator says alone. This is why the study runs both and reads them jointly rather than treating one as primary. The theoretical payoff is that even a disagreement between the two probes, which a less careful design might report as an inconsistency, becomes an interpretable finding about how far the frontier’s documentary record has matured. Chapter 6 will show which case the data fall into, and Chapter 3’s job is to make sure that whichever case obtains, the theory has already said what it would mean</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89"/>
    <w:bookmarkStart w:id="90" w:name="boundary-conditions-of-the-mechanism"/>
    <w:p>
      <w:pPr>
        <w:pStyle w:val="Heading2"/>
        <w:spacing w:line="480" w:lineRule="auto"/>
      </w:pPr>
      <w:r>
        <w:t xml:space="preserve">3.10 Boundary conditions of the mechanism</w:t>
      </w:r>
    </w:p>
    <w:p>
      <w:pPr>
        <w:pStyle w:val="FirstParagraph"/>
        <w:spacing w:line="480" w:lineRule="auto"/>
      </w:pPr>
      <w:r>
        <w:t xml:space="preserve">Every mechanism holds only within stated boundary conditions, and naming them protects the theory from being asked to explain more than it can. The documentary-act mechanism assumes that publishing is a meaningful and accessible channel for staking proto-claims, which holds for cislunar space precisely because physical and legal channels are closed</w:t>
      </w:r>
      <w:r>
        <w:t xml:space="preserve"> </w:t>
      </w:r>
      <w:hyperlink w:anchor="ref-4">
        <w:r>
          <w:rPr>
            <w:rStyle w:val="Hyperlink"/>
          </w:rPr>
          <w:t xml:space="preserve">[4]</w:t>
        </w:r>
      </w:hyperlink>
      <w:r>
        <w:t xml:space="preserve">. In a domain where physical occupation or legal filing were cheap and available, actors would prefer those stronger channels and the documentary residue would be a weaker signal, because the serious claims would be made elsewhere. The mechanism is therefore specific to frontiers where the documentary channel is the best available act, and cislunar space in the observation decade satisfies that condition.</w:t>
      </w:r>
    </w:p>
    <w:p>
      <w:pPr>
        <w:pStyle w:val="BodyText"/>
        <w:spacing w:line="480" w:lineRule="auto"/>
        <w:ind w:firstLine="720"/>
      </w:pPr>
      <w:r>
        <w:t xml:space="preserve">A second boundary condition concerns the indexability of the record. The mechanism assumes that documentary acts leave a retrievable, indexable trace whose timing, attention, and venue can be measured</w:t>
      </w:r>
      <w:r>
        <w:t xml:space="preserve"> </w:t>
      </w:r>
      <w:hyperlink w:anchor="ref-1">
        <w:r>
          <w:rPr>
            <w:rStyle w:val="Hyperlink"/>
          </w:rPr>
          <w:t xml:space="preserve">[1]</w:t>
        </w:r>
      </w:hyperlink>
      <w:r>
        <w:t xml:space="preserve">. Where records are classified, informal, or otherwise outside the indexed literature, the mechanism’s predictions would apply to a record the study cannot see. This is a real limit for a domain where some of the most consequential activity is national-security-adjacent and undisclosed, and the theory concedes that its signal captures the open record only. The registration literature’s point about strategic non-disclosure applies here as a boundary on the mechanism itself: the theory predicts structure in the visible residue, and structured silence in the invisible residue is beyond its reach</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A third boundary condition is that the term-hit proxy tracks substantive relevance closely enough for the outcome to mean what the theory intends. The mechanism is about property-rights salience; the measured outcome is a vocabulary count. Where vocabulary and salience diverge, the mechanism’s predictions are tested against a noisy shadow of the construct it targets</w:t>
      </w:r>
      <w:r>
        <w:t xml:space="preserve"> </w:t>
      </w:r>
      <w:hyperlink w:anchor="ref-5">
        <w:r>
          <w:rPr>
            <w:rStyle w:val="Hyperlink"/>
          </w:rPr>
          <w:t xml:space="preserve">[5]</w:t>
        </w:r>
      </w:hyperlink>
      <w:r>
        <w:t xml:space="preserve">. The theory accepts this as the price of a transparent, reproducible outcome and relies on the proxy agreeing with expert judgment at the extremes, as the data chapter shows it does. Stating these three boundary conditions completes the theoretical apparatus: within a closed-channel, indexable, adequately-proxied frontier, the mechanism predicts a specific, testable documentary structure, and the estimators of the following chapters put exactly that prediction to the test</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90"/>
    <w:bookmarkEnd w:id="91"/>
    <w:bookmarkStart w:id="103" w:name="X940caaf6d3ac92c12a69529db0381ad3e868d7e"/>
    <w:p>
      <w:pPr>
        <w:pStyle w:val="Heading1"/>
        <w:spacing w:line="480" w:lineRule="auto"/>
      </w:pPr>
      <w:r>
        <w:t xml:space="preserve">Chapter 4. Methodology and Identification</w:t>
      </w:r>
    </w:p>
    <w:p>
      <w:pPr>
        <w:pStyle w:val="FirstParagraph"/>
        <w:spacing w:line="480" w:lineRule="auto"/>
      </w:pPr>
      <w:r>
        <w:t xml:space="preserve">Two estimators carry the empirical weight of this dissertation. Neither is exotic. That is deliberate. The claims being tested are modest, the sample is small, and the data are metadata rather than experimental outcomes, so the responsible choice is a pair of transparent, well-understood specifications whose assumptions can be stated plainly and whose failures are easy to diagnose. This chapter sets out both estimators, explains what each can and cannot identify, and is candid about the identification limits that a corpus-metadata design imposes</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Start w:id="92" w:name="the-cross-sectional-estimator"/>
    <w:p>
      <w:pPr>
        <w:pStyle w:val="Heading2"/>
        <w:spacing w:line="480" w:lineRule="auto"/>
      </w:pPr>
      <w:r>
        <w:t xml:space="preserve">4.1 The cross-sectional estimator</w:t>
      </w:r>
    </w:p>
    <w:p>
      <w:pPr>
        <w:pStyle w:val="FirstParagraph"/>
        <w:spacing w:line="480" w:lineRule="auto"/>
      </w:pPr>
      <w:r>
        <w:t xml:space="preserve">Paper 1 estimates an ordinary least squares model of topic-signal intensity. The specification regresses a composite signal score on three predictors: a recency index, a citation count, and an ordinal venue-family score. In the notation of the workbook,</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The estimator is ordinary least squares with heteroskedasticity-robust HC1 standard errors. The robust covariance choice is not decorative. A composite count outcome regressed on heterogeneous metadata predictors is very likely to have non-constant error variance across venue families and across the wide range of citation counts, which run from zero to twenty-eight in the sample. Classical standard errors would understate uncertainty exactly where the data are thinnest. HC1 is the conservative default for a sample this size, and it is what the reported inference uses throughout</w:t>
      </w:r>
      <w:r>
        <w:t xml:space="preserve"> </w:t>
      </w:r>
      <w:hyperlink w:anchor="ref-2">
        <w:r>
          <w:rPr>
            <w:rStyle w:val="Hyperlink"/>
          </w:rPr>
          <w:t xml:space="preserve">[2]</w:t>
        </w:r>
      </w:hyperlink>
      <w:r>
        <w:t xml:space="preserve">.</w:t>
      </w:r>
    </w:p>
    <w:p>
      <w:pPr>
        <w:pStyle w:val="BodyText"/>
        <w:spacing w:line="480" w:lineRule="auto"/>
        <w:ind w:firstLine="720"/>
      </w:pPr>
      <w:r>
        <w:t xml:space="preserve">Ordinary least squares is the right tool here for a specific reason. The question Paper 1 asks is not whether some elaborate nonlinear function fits the signal score better. It is whether the signal score is linearly associated, in sign and precision, with recency, attention, and venue, after conditioning on the other two. That is a partial-association question, and a linear model answers it directly and legibly. Each coefficient is the estimated change in signal score for a one-unit change in its predictor, holding the other predictors fixed. A reader can inspect the sign, the standard error, and the p-value of each term and know exactly what is being claimed</w:t>
      </w:r>
      <w:r>
        <w:t xml:space="preserve"> </w:t>
      </w:r>
      <w:hyperlink w:anchor="ref-5">
        <w:r>
          <w:rPr>
            <w:rStyle w:val="Hyperlink"/>
          </w:rPr>
          <w:t xml:space="preserve">[5]</w:t>
        </w:r>
      </w:hyperlink>
      <w:r>
        <w:t xml:space="preserve">.</w:t>
      </w:r>
    </w:p>
    <w:bookmarkEnd w:id="92"/>
    <w:bookmarkStart w:id="93" w:name="X7e038d505ca298a8eb309d7ea3606469c548bbc"/>
    <w:p>
      <w:pPr>
        <w:pStyle w:val="Heading2"/>
        <w:spacing w:line="480" w:lineRule="auto"/>
      </w:pPr>
      <w:r>
        <w:t xml:space="preserve">4.2 What the cross-sectional estimator identifies</w:t>
      </w:r>
    </w:p>
    <w:p>
      <w:pPr>
        <w:pStyle w:val="FirstParagraph"/>
        <w:spacing w:line="480" w:lineRule="auto"/>
      </w:pPr>
      <w:r>
        <w:t xml:space="preserve">Identification here is limited and should be described honestly rather than dressed up. Ordinary least squares recovers the conditional linear association between each predictor and the outcome within this fixed corpus. It does not recover a causal effect of recency, citation attention, or venue on the underlying property-rights process. There is no exogenous variation, no instrument, no natural experiment. The design cannot and does not claim that making a document more recent would raise its topic signal.</w:t>
      </w:r>
    </w:p>
    <w:p>
      <w:pPr>
        <w:pStyle w:val="BodyText"/>
        <w:spacing w:line="480" w:lineRule="auto"/>
        <w:ind w:firstLine="720"/>
      </w:pPr>
      <w:r>
        <w:t xml:space="preserve">What it can identify is whether the observable structure predicted by the mechanism in Chapter 3 is present in the corpus. If the signal is genuinely patterned along these dimensions, the coefficients will be signed and, for at least some terms, precise. If the signal is noise, the coefficients will be small and imprecise and the overall fit will be weak. That is a real, falsifiable test of corpus structure even though it is not a test of causal policy impact. The distinction is the whole methodological posture of the dissertation: it screens the evidence rather than pretending to settle the mechanism</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Conditioning matters for interpretation. Because the venue-family score is included, the citation coefficient is a within-and-across-venue partial association, not a raw correlation. Because the recency index is included, the venue coefficient is net of the tendency of some venue families to publish more recently. These are the ordinary virtues of multiple regression, and they are what let the estimator separate, at least partially, three signals that are entangled in the raw metadata</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93"/>
    <w:bookmarkStart w:id="94" w:name="the-learning-curve-estimator"/>
    <w:p>
      <w:pPr>
        <w:pStyle w:val="Heading2"/>
        <w:spacing w:line="480" w:lineRule="auto"/>
      </w:pPr>
      <w:r>
        <w:t xml:space="preserve">4.3 The learning-curve estimator</w:t>
      </w:r>
    </w:p>
    <w:p>
      <w:pPr>
        <w:pStyle w:val="FirstParagraph"/>
        <w:spacing w:line="480" w:lineRule="auto"/>
      </w:pPr>
      <w:r>
        <w:t xml:space="preserve">Paper 2 estimates a log-log learning-curve model of citation accumulation against document age. The specification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again fitted by ordinary least squares with robust HC1 standard errors. The outcome is the citation count plus one, transformed to logarithm so the transformation is defined for the many uncited records; the predictor is the logarithm of a document-age index. In a log-log specification the slope coefficient is an elasticity: the estimated percentage change in citations-plus-one associated with a one-percent change in age. The learning-curve framing reports the same slope as a progress ratio, the factor by which citations scale as age doubles, which is the conventional way to summarize an accumulation curve</w:t>
      </w:r>
      <w:r>
        <w:t xml:space="preserve"> </w:t>
      </w:r>
      <w:hyperlink w:anchor="ref-1">
        <w:r>
          <w:rPr>
            <w:rStyle w:val="Hyperlink"/>
          </w:rPr>
          <w:t xml:space="preserve">[1]</w:t>
        </w:r>
      </w:hyperlink>
      <w:r>
        <w:t xml:space="preserve">.</w:t>
      </w:r>
    </w:p>
    <w:p>
      <w:pPr>
        <w:pStyle w:val="BodyText"/>
        <w:spacing w:line="480" w:lineRule="auto"/>
        <w:ind w:firstLine="720"/>
      </w:pPr>
      <w:r>
        <w:t xml:space="preserve">The learning-curve form is chosen because it embeds the theoretical prediction directly. If attention accumulates smoothly with age, the elasticity will be reliably signed and the progress ratio will differ from one. If age carries no information about accumulated attention, the elasticity will be indistinguishable from zero and the progress ratio will sit near one. The functional form is thus a hypothesis, not merely a fitting convenience, which is why it is preferred over an unstructured scatter of citations against year</w:t>
      </w:r>
      <w:r>
        <w:t xml:space="preserve"> </w:t>
      </w:r>
      <w:hyperlink w:anchor="ref-6">
        <w:r>
          <w:rPr>
            <w:rStyle w:val="Hyperlink"/>
          </w:rPr>
          <w:t xml:space="preserve">[6]</w:t>
        </w:r>
      </w:hyperlink>
      <w:r>
        <w:t xml:space="preserve">.</w:t>
      </w:r>
    </w:p>
    <w:bookmarkEnd w:id="94"/>
    <w:bookmarkStart w:id="95" w:name="Xbcc39b2f46504d4e94a146e7532537a69b6b767"/>
    <w:p>
      <w:pPr>
        <w:pStyle w:val="Heading2"/>
        <w:spacing w:line="480" w:lineRule="auto"/>
      </w:pPr>
      <w:r>
        <w:t xml:space="preserve">4.4 What the learning-curve estimator identifies</w:t>
      </w:r>
    </w:p>
    <w:p>
      <w:pPr>
        <w:pStyle w:val="FirstParagraph"/>
        <w:spacing w:line="480" w:lineRule="auto"/>
      </w:pPr>
      <w:r>
        <w:t xml:space="preserve">The same identification caution applies, in stronger form because there is a single predictor. The model recovers the association between the logarithm of age and the logarithm of citations-plus-one within this corpus. It does not recover a causal aging effect, and it is vulnerable to a well-known confound: in a corpus assembled around a topic rather than sampled at random, older documents are present only if they remained relevant enough to be retrieved, so the surviving-relevance of old documents can flatten or distort the true accumulation curve. That is not a defect to hide; it is a reason the estimator is treated as a screen rather than a measurement of attention dynamics in the field at large</w:t>
      </w:r>
      <w:r>
        <w:t xml:space="preserve"> </w:t>
      </w:r>
      <w:hyperlink w:anchor="ref-5">
        <w:r>
          <w:rPr>
            <w:rStyle w:val="Hyperlink"/>
          </w:rPr>
          <w:t xml:space="preserve">[5]</w:t>
        </w:r>
      </w:hyperlink>
      <w:r>
        <w:t xml:space="preserve">.</w:t>
      </w:r>
    </w:p>
    <w:p>
      <w:pPr>
        <w:pStyle w:val="BodyText"/>
        <w:spacing w:line="480" w:lineRule="auto"/>
        <w:ind w:firstLine="720"/>
      </w:pPr>
      <w:r>
        <w:t xml:space="preserve">The estimator earns its place by giving a clean, falsifiable answer to a narrow question: within this fixed set of thirty records, does age predict accumulated citation along a stable curve, or not? Whatever the answer, it bounds the temporal claims the dissertation may make. A flat curve would mean the corpus supplies no temporal accumulation structure to build on, and Chapter 7 would then be obliged to say so</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95"/>
    <w:bookmarkStart w:id="96" w:name="why-two-estimators-rather-than-one"/>
    <w:p>
      <w:pPr>
        <w:pStyle w:val="Heading2"/>
        <w:spacing w:line="480" w:lineRule="auto"/>
      </w:pPr>
      <w:r>
        <w:t xml:space="preserve">4.5 Why two estimators rather than one</w:t>
      </w:r>
    </w:p>
    <w:p>
      <w:pPr>
        <w:pStyle w:val="FirstParagraph"/>
        <w:spacing w:line="480" w:lineRule="auto"/>
      </w:pPr>
      <w:r>
        <w:t xml:space="preserve">A single estimator would leave the argument exposed to a specific objection. Cross-sectional structure could be an artifact of how recent the corpus is; temporal structure could mask cross-sectional heterogeneity. Running both, over the same thirty records, guards against reading a single specification too generously. If the two probes agree, the reading is reinforced. If they disagree, the disagreement is itself a finding about the shape of the frontier’s documentary record, as Chapter 3 anticipated. Triangulating with two transparent estimators is more honest, for a small metadata sample, than staking everything on one model and its incidental assumptions</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96"/>
    <w:bookmarkStart w:id="97" w:name="Xcc76bb1b70f78a7e06403fd59756be88674bf4f"/>
    <w:p>
      <w:pPr>
        <w:pStyle w:val="Heading2"/>
        <w:spacing w:line="480" w:lineRule="auto"/>
      </w:pPr>
      <w:r>
        <w:t xml:space="preserve">4.6 Reproducibility as an identification safeguard</w:t>
      </w:r>
    </w:p>
    <w:p>
      <w:pPr>
        <w:pStyle w:val="FirstParagraph"/>
        <w:spacing w:line="480" w:lineRule="auto"/>
      </w:pPr>
      <w:r>
        <w:t xml:space="preserve">One further methodological commitment underwrites both estimators. Every row in each estimation file retains a source pointer, and every reported statistic is the deterministic output of the embedded workbook run on those rows. The fit summaries, the coefficients, the standard errors, and the p-values reported in Chapter 6 are not summarized from memory or rounded for narrative convenience; they are the workbook’s output, reproducible by anyone with the rows. In a design that cannot lean on experimental identification, reproducibility is the discipline that keeps the inference honest, because it exposes every claim to independent recomputation</w:t>
      </w:r>
      <w:r>
        <w:t xml:space="preserve"> </w:t>
      </w:r>
      <w:hyperlink w:anchor="ref-1">
        <w:r>
          <w:rPr>
            <w:rStyle w:val="Hyperlink"/>
          </w:rPr>
          <w:t xml:space="preserve">[1]</w:t>
        </w:r>
      </w:hyperlink>
      <w:r>
        <w:t xml:space="preserve"> </w:t>
      </w:r>
      <w:hyperlink w:anchor="ref-5">
        <w:r>
          <w:rPr>
            <w:rStyle w:val="Hyperlink"/>
          </w:rPr>
          <w:t xml:space="preserve">[5]</w:t>
        </w:r>
      </w:hyperlink>
      <w:r>
        <w:t xml:space="preserve">. That is the substitute this dissertation offers for the causal leverage it does not have, and it is offered without apology, because a screen that can be exactly rerun is worth more than a causal claim that cannot be checked.</w:t>
      </w:r>
    </w:p>
    <w:bookmarkEnd w:id="97"/>
    <w:bookmarkStart w:id="98" w:name="X539335036b6d9047d6ee1d8a05d38bed634f403"/>
    <w:p>
      <w:pPr>
        <w:pStyle w:val="Heading2"/>
        <w:spacing w:line="480" w:lineRule="auto"/>
      </w:pPr>
      <w:r>
        <w:t xml:space="preserve">4.7 Assumptions of the linear model, stated and examined</w:t>
      </w:r>
    </w:p>
    <w:p>
      <w:pPr>
        <w:pStyle w:val="FirstParagraph"/>
        <w:spacing w:line="480" w:lineRule="auto"/>
      </w:pPr>
      <w:r>
        <w:t xml:space="preserve">Ordinary least squares carries assumptions, and a methodology chapter that lists an estimator without examining whether its assumptions hold in the data at hand has not finished its work. Four assumptions matter for the cross-sectional model, and each is treated here on its own terms.</w:t>
      </w:r>
    </w:p>
    <w:p>
      <w:pPr>
        <w:pStyle w:val="BodyText"/>
        <w:spacing w:line="480" w:lineRule="auto"/>
        <w:ind w:firstLine="720"/>
      </w:pPr>
      <w:r>
        <w:t xml:space="preserve">Linearity is the first. The model assumes that topic signal responds linearly to each predictor after conditioning on the others. For recency and the ordinal venue score, linearity is a reasonable approximation because both are recoded onto short, evenly-spaced scales. For citation count, which ranges from zero to twenty-eight with most mass at zero, linearity is a stronger assumption, since the marginal effect of one additional citation on a heavily-cited record may differ from its effect on an uncited one. The design accepts this as a known approximation rather than fitting a nonlinear citation term that thirty observations could not estimate reliably</w:t>
      </w:r>
      <w:r>
        <w:t xml:space="preserve"> </w:t>
      </w:r>
      <w:hyperlink w:anchor="ref-2">
        <w:r>
          <w:rPr>
            <w:rStyle w:val="Hyperlink"/>
          </w:rPr>
          <w:t xml:space="preserve">[2]</w:t>
        </w:r>
      </w:hyperlink>
      <w:r>
        <w:t xml:space="preserve">.</w:t>
      </w:r>
    </w:p>
    <w:p>
      <w:pPr>
        <w:pStyle w:val="BodyText"/>
        <w:spacing w:line="480" w:lineRule="auto"/>
        <w:ind w:firstLine="720"/>
      </w:pPr>
      <w:r>
        <w:t xml:space="preserve">Independence of errors is the second. The records are distinct documents, and there is no obvious clustering that would induce correlated errors, though records from the same venue family or the same publication year could in principle share unobserved features. With thirty records the design does not attempt a clustered covariance, which would have too few clusters to be trustworthy, and instead relies on the robust HC1 correction to absorb the heteroskedasticity that clustering would partly reflect</w:t>
      </w:r>
      <w:r>
        <w:t xml:space="preserve"> </w:t>
      </w:r>
      <w:hyperlink w:anchor="ref-5">
        <w:r>
          <w:rPr>
            <w:rStyle w:val="Hyperlink"/>
          </w:rPr>
          <w:t xml:space="preserve">[5]</w:t>
        </w:r>
      </w:hyperlink>
      <w:r>
        <w:t xml:space="preserve">.</w:t>
      </w:r>
    </w:p>
    <w:p>
      <w:pPr>
        <w:pStyle w:val="BodyText"/>
        <w:spacing w:line="480" w:lineRule="auto"/>
        <w:ind w:firstLine="720"/>
      </w:pPr>
      <w:r>
        <w:t xml:space="preserve">Homoskedasticity is the third, and it is the one the design most expects to be violated. Error variance is very likely to differ across venue families and across the wide citation range. This is exactly why HC1 robust standard errors are used rather than classical ones; the correction is a direct response to anticipated heteroskedasticity, not a reflexive default. Reporting classical standard errors here would understate uncertainty where the data are thinnest, and the robust choice is the honest one</w:t>
      </w:r>
      <w:r>
        <w:t xml:space="preserve"> </w:t>
      </w:r>
      <w:hyperlink w:anchor="ref-2">
        <w:r>
          <w:rPr>
            <w:rStyle w:val="Hyperlink"/>
          </w:rPr>
          <w:t xml:space="preserve">[2]</w:t>
        </w:r>
      </w:hyperlink>
      <w:r>
        <w:t xml:space="preserve">.</w:t>
      </w:r>
    </w:p>
    <w:p>
      <w:pPr>
        <w:pStyle w:val="BodyText"/>
        <w:spacing w:line="480" w:lineRule="auto"/>
        <w:ind w:firstLine="720"/>
      </w:pPr>
      <w:r>
        <w:t xml:space="preserve">Absence of severe multicollinearity is the fourth. The three predictors are not independent by construction: newer records tend to have fewer citations, and venue families differ in their typical recency and citation profiles. Some collinearity is therefore present. It does not appear severe enough to destabilize the estimates, since the model still returns a precise citation coefficient and a well-determined intercept, but it does mean the individual coefficients are partial associations entangled with one another, and the interpretation in Chapter 6 reads them that way rather than as clean, independent effects</w:t>
      </w:r>
      <w:r>
        <w:t xml:space="preserve"> </w:t>
      </w:r>
      <w:hyperlink w:anchor="ref-12">
        <w:r>
          <w:rPr>
            <w:rStyle w:val="Hyperlink"/>
          </w:rPr>
          <w:t xml:space="preserve">[12]</w:t>
        </w:r>
      </w:hyperlink>
      <w:r>
        <w:t xml:space="preserve">.</w:t>
      </w:r>
    </w:p>
    <w:bookmarkEnd w:id="98"/>
    <w:bookmarkStart w:id="99" w:name="Xf6040d764e35c71b9fc19483b6c47cf4d282927"/>
    <w:p>
      <w:pPr>
        <w:pStyle w:val="Heading2"/>
        <w:spacing w:line="480" w:lineRule="auto"/>
      </w:pPr>
      <w:r>
        <w:t xml:space="preserve">4.8 The log-log transformation and its consequences</w:t>
      </w:r>
    </w:p>
    <w:p>
      <w:pPr>
        <w:pStyle w:val="FirstParagraph"/>
        <w:spacing w:line="480" w:lineRule="auto"/>
      </w:pPr>
      <w:r>
        <w:t xml:space="preserve">The learning-curve estimator’s log-log form deserves its own methodological scrutiny, because logarithmic transformation is not a neutral convenience. Taking the logarithm of citations-plus-one compresses the influence of the few high-citation records and expands the resolution among the many low-citation ones. This is desirable when the goal is to detect a proportional, elasticity-style relationship, which is exactly the learning-curve hypothesis. It would be undesirable if the substantive question were about absolute citation counts, but it is not; the question is whether attention scales with age in a proportional way</w:t>
      </w:r>
      <w:r>
        <w:t xml:space="preserve"> </w:t>
      </w:r>
      <w:hyperlink w:anchor="ref-1">
        <w:r>
          <w:rPr>
            <w:rStyle w:val="Hyperlink"/>
          </w:rPr>
          <w:t xml:space="preserve">[1]</w:t>
        </w:r>
      </w:hyperlink>
      <w:r>
        <w:t xml:space="preserve">.</w:t>
      </w:r>
    </w:p>
    <w:p>
      <w:pPr>
        <w:pStyle w:val="BodyText"/>
        <w:spacing w:line="480" w:lineRule="auto"/>
        <w:ind w:firstLine="720"/>
      </w:pPr>
      <w:r>
        <w:t xml:space="preserve">The plus-one offset is the price of admitting uncited records into a log model, and it has a known cost. For records with zero citations, citations-plus-one equals one and its logarithm equals zero, so the entire uncited majority collapses onto a single point on the outcome axis. This compresses the outcome’s variance and, in a corpus where most records are uncited, mechanically limits how much any predictor can explain. The near-zero R2 in Paper 2 is therefore partly a structural consequence of a sparse citation distribution passed through a plus-one log, and Chapter 6 reads it in that light rather than as a simple absence of any relationship</w:t>
      </w:r>
      <w:r>
        <w:t xml:space="preserve"> </w:t>
      </w:r>
      <w:hyperlink w:anchor="ref-6">
        <w:r>
          <w:rPr>
            <w:rStyle w:val="Hyperlink"/>
          </w:rPr>
          <w:t xml:space="preserve">[6]</w:t>
        </w:r>
      </w:hyperlink>
      <w:r>
        <w:t xml:space="preserve">. The design accepts the offset because the alternative, dropping every uncited record, would discard most of the sample and would select on the very citation attention the model is trying to explain</w:t>
      </w:r>
      <w:r>
        <w:t xml:space="preserve"> </w:t>
      </w:r>
      <w:hyperlink w:anchor="ref-5">
        <w:r>
          <w:rPr>
            <w:rStyle w:val="Hyperlink"/>
          </w:rPr>
          <w:t xml:space="preserve">[5]</w:t>
        </w:r>
      </w:hyperlink>
      <w:r>
        <w:t xml:space="preserve">.</w:t>
      </w:r>
    </w:p>
    <w:bookmarkEnd w:id="99"/>
    <w:bookmarkStart w:id="100" w:name="estimation-software-and-determinism"/>
    <w:p>
      <w:pPr>
        <w:pStyle w:val="Heading2"/>
        <w:spacing w:line="480" w:lineRule="auto"/>
      </w:pPr>
      <w:r>
        <w:t xml:space="preserve">4.9 Estimation software and determinism</w:t>
      </w:r>
    </w:p>
    <w:p>
      <w:pPr>
        <w:pStyle w:val="FirstParagraph"/>
        <w:spacing w:line="480" w:lineRule="auto"/>
      </w:pPr>
      <w:r>
        <w:t xml:space="preserve">Both estimators are fitted by the same embedded computational routine over the retained rows, and the routine is deterministic: the same input rows produce the same coefficients, standard errors, and p-values on every run. There is no random seed, no simulation, no stochastic optimizer whose output could drift between executions. This matters for the reproducibility commitment, because it means the statistics reported in Chapter 6 are not a single draw from a distribution of possible outputs but the unique result of applying a fixed procedure to fixed data</w:t>
      </w:r>
      <w:r>
        <w:t xml:space="preserve"> </w:t>
      </w:r>
      <w:hyperlink w:anchor="ref-1">
        <w:r>
          <w:rPr>
            <w:rStyle w:val="Hyperlink"/>
          </w:rPr>
          <w:t xml:space="preserve">[1]</w:t>
        </w:r>
      </w:hyperlink>
      <w:r>
        <w:t xml:space="preserve">. A verifier who reruns the workbooks does not merely get a similar answer; they get the identical answer, down to the reported digits. In a design that forgoes causal identification, this exactness is the strongest guarantee the methodology can offer, and it is why every reported figure in the results is given at the workbook’s own precision rather than rounded for narrative ease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00"/>
    <w:bookmarkStart w:id="101" w:name="inference-under-a-small-sample"/>
    <w:p>
      <w:pPr>
        <w:pStyle w:val="Heading2"/>
        <w:spacing w:line="480" w:lineRule="auto"/>
      </w:pPr>
      <w:r>
        <w:t xml:space="preserve">4.10 Inference under a small sample</w:t>
      </w:r>
    </w:p>
    <w:p>
      <w:pPr>
        <w:pStyle w:val="FirstParagraph"/>
        <w:spacing w:line="480" w:lineRule="auto"/>
      </w:pPr>
      <w:r>
        <w:t xml:space="preserve">Thirty observations is a real constraint on inference, and pretending otherwise would undermine the whole design. Two inferential consequences follow, and both are handled explicitly rather than glossed.</w:t>
      </w:r>
    </w:p>
    <w:p>
      <w:pPr>
        <w:pStyle w:val="BodyText"/>
        <w:spacing w:line="480" w:lineRule="auto"/>
        <w:ind w:firstLine="720"/>
      </w:pPr>
      <w:r>
        <w:t xml:space="preserve">The first concerns the F test in Paper 1. With three predictors and thirty observations, the model has twenty-six residual degrees of freedom, which is enough for the F distribution to behave well but not enough to make the test powerful against small departures from the null. A significant F, which the study obtains, is therefore meaningful: the joint null is rejected despite the modest power, which means the structure detected is strong enough to show through a small sample</w:t>
      </w:r>
      <w:r>
        <w:t xml:space="preserve"> </w:t>
      </w:r>
      <w:hyperlink w:anchor="ref-2">
        <w:r>
          <w:rPr>
            <w:rStyle w:val="Hyperlink"/>
          </w:rPr>
          <w:t xml:space="preserve">[2]</w:t>
        </w:r>
      </w:hyperlink>
      <w:r>
        <w:t xml:space="preserve">. The corollary matters too: had the F been insignificant, it would not by itself have proven the absence of structure, because a small sample can fail to detect a real but modest pattern. The asymmetry, that a rejection is more informative than a non-rejection at this sample size, shapes how much weight the study places on each estimator’s overall test</w:t>
      </w:r>
      <w:r>
        <w:t xml:space="preserve"> </w:t>
      </w:r>
      <w:hyperlink w:anchor="ref-5">
        <w:r>
          <w:rPr>
            <w:rStyle w:val="Hyperlink"/>
          </w:rPr>
          <w:t xml:space="preserve">[5]</w:t>
        </w:r>
      </w:hyperlink>
      <w:r>
        <w:t xml:space="preserve">.</w:t>
      </w:r>
    </w:p>
    <w:p>
      <w:pPr>
        <w:pStyle w:val="BodyText"/>
        <w:spacing w:line="480" w:lineRule="auto"/>
        <w:ind w:firstLine="720"/>
      </w:pPr>
      <w:r>
        <w:t xml:space="preserve">The second concerns the individual coefficients. Robust standard errors at N equal to thirty are consistent but not exact; the HC1 correction improves finite-sample behavior over the raw robust estimator but does not fully eliminate small-sample bias in the standard errors. The practical consequence is that borderline p-values, like the venue term’s 0.064, should be read as approximate rather than sharp, and the study treats them accordingly, resting firm conclusions only on coefficients whose significance is unambiguous, such as the citation term</w:t>
      </w:r>
      <w:r>
        <w:t xml:space="preserve"> </w:t>
      </w:r>
      <w:hyperlink w:anchor="ref-11">
        <w:r>
          <w:rPr>
            <w:rStyle w:val="Hyperlink"/>
          </w:rPr>
          <w:t xml:space="preserve">[11]</w:t>
        </w:r>
      </w:hyperlink>
      <w:r>
        <w:t xml:space="preserve">. This is not a hedge added after the fact; it is a discipline built into how the results are interpreted, and it flows directly from the sample size the design was handed.</w:t>
      </w:r>
    </w:p>
    <w:bookmarkEnd w:id="101"/>
    <w:bookmarkStart w:id="102" w:name="why-not-a-more-powerful-design"/>
    <w:p>
      <w:pPr>
        <w:pStyle w:val="Heading2"/>
        <w:spacing w:line="480" w:lineRule="auto"/>
      </w:pPr>
      <w:r>
        <w:t xml:space="preserve">4.11 Why not a more powerful design</w:t>
      </w:r>
    </w:p>
    <w:p>
      <w:pPr>
        <w:pStyle w:val="FirstParagraph"/>
        <w:spacing w:line="480" w:lineRule="auto"/>
      </w:pPr>
      <w:r>
        <w:t xml:space="preserve">A reader might reasonably ask why the study does not adopt a more powerful identification strategy, an instrument, a difference-in-differences comparison, a matched design, rather than settling for descriptive regression on metadata. The answer is that the data do not support those strategies, and forcing them onto the data would produce false confidence rather than real leverage.</w:t>
      </w:r>
    </w:p>
    <w:p>
      <w:pPr>
        <w:pStyle w:val="BodyText"/>
        <w:spacing w:line="480" w:lineRule="auto"/>
        <w:ind w:firstLine="720"/>
      </w:pPr>
      <w:r>
        <w:t xml:space="preserve">An instrument would require a variable that shifts recency, citation attention, or venue without otherwise affecting topic signal, and no such variable exists in a corpus of retrieved documents</w:t>
      </w:r>
      <w:r>
        <w:t xml:space="preserve"> </w:t>
      </w:r>
      <w:hyperlink w:anchor="ref-2">
        <w:r>
          <w:rPr>
            <w:rStyle w:val="Hyperlink"/>
          </w:rPr>
          <w:t xml:space="preserve">[2]</w:t>
        </w:r>
      </w:hyperlink>
      <w:r>
        <w:t xml:space="preserve">. A difference-in-differences design would require a treatment and a comparison group with parallel pre-trends, but the corpus has no treatment and no natural grouping that would satisfy the parallel-trends assumption. A matched design would require a pool of comparable untreated units, which a topic-assembled corpus does not provide. Each of these strategies is powerful in settings that supply the variation they exploit, and each would be a fabrication here</w:t>
      </w:r>
      <w:r>
        <w:t xml:space="preserve"> </w:t>
      </w:r>
      <w:hyperlink w:anchor="ref-5">
        <w:r>
          <w:rPr>
            <w:rStyle w:val="Hyperlink"/>
          </w:rPr>
          <w:t xml:space="preserve">[5]</w:t>
        </w:r>
      </w:hyperlink>
      <w:r>
        <w:t xml:space="preserve">.</w:t>
      </w:r>
    </w:p>
    <w:p>
      <w:pPr>
        <w:pStyle w:val="BodyText"/>
        <w:spacing w:line="480" w:lineRule="auto"/>
        <w:ind w:firstLine="720"/>
      </w:pPr>
      <w:r>
        <w:t xml:space="preserve">The methodological honesty of the study lies precisely in refusing those strategies. It is better to run a transparent descriptive regression and label it as a screen than to dress metadata in the costume of a causal design it cannot support</w:t>
      </w:r>
      <w:r>
        <w:t xml:space="preserve"> </w:t>
      </w:r>
      <w:hyperlink w:anchor="ref-6">
        <w:r>
          <w:rPr>
            <w:rStyle w:val="Hyperlink"/>
          </w:rPr>
          <w:t xml:space="preserve">[6]</w:t>
        </w:r>
      </w:hyperlink>
      <w:r>
        <w:t xml:space="preserve">. The reproducibility commitment is the compensating strength: what the study gives up in causal leverage it recovers in the guarantee that every number can be independently recomputed and every interpretation checked against a fixed, disclosed source. That trade is stated here so that no reader mistakes the descriptive posture for a limitation the author failed to notice, rather than the deliberate choice it is</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02"/>
    <w:bookmarkEnd w:id="103"/>
    <w:bookmarkStart w:id="115" w:name="chapter-5.-data-and-measurement"/>
    <w:p>
      <w:pPr>
        <w:pStyle w:val="Heading1"/>
        <w:spacing w:line="480" w:lineRule="auto"/>
      </w:pPr>
      <w:r>
        <w:t xml:space="preserve">Chapter 5. Data and Measurement</w:t>
      </w:r>
    </w:p>
    <w:p>
      <w:pPr>
        <w:pStyle w:val="FirstParagraph"/>
        <w:spacing w:line="480" w:lineRule="auto"/>
      </w:pPr>
      <w:r>
        <w:t xml:space="preserve">The dataset is small enough to describe in full, and this chapter does exactly that. Thirty source records make up the estimation corpus. Each record is a retrieved document with a preserved source pointer, a publication year, a venue family, a citation count drawn from a local index, and a set of deterministic text-derived fields from which the topic-signal score is built. The smallness is not a limitation to be minimized; it is a feature that makes total transparency possible. A reader can hold all thirty rows in view and check the construction of every variable against the raw record</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104" w:name="the-corpus-and-its-provenance"/>
    <w:p>
      <w:pPr>
        <w:pStyle w:val="Heading2"/>
        <w:spacing w:line="480" w:lineRule="auto"/>
      </w:pPr>
      <w:r>
        <w:t xml:space="preserve">5.1 The corpus and its provenance</w:t>
      </w:r>
    </w:p>
    <w:p>
      <w:pPr>
        <w:pStyle w:val="FirstParagraph"/>
        <w:spacing w:line="480" w:lineRule="auto"/>
      </w:pPr>
      <w:r>
        <w:t xml:space="preserve">The corpus was assembled around the candidate topic, cislunar property and registration behavior, from the local source corpus. It spans publication years from 2017 to 2026 and draws from three venue families: an aerospace situational-awareness conference series, the journal literature typified by Acta Astronautica, and a space-economy grouping that includes governance and forecasting material. Every row carries a source column, a DOI or a URL or a descriptive citation string, so that the provenance of each observation is recoverable. This is the same auditability principle that the forensic-ledger literature applies to observational custody, imported into the measurement layer: a claim is only as trustworthy as the chain that leads back to its source</w:t>
      </w:r>
      <w:r>
        <w:t xml:space="preserve"> </w:t>
      </w:r>
      <w:hyperlink w:anchor="ref-1">
        <w:r>
          <w:rPr>
            <w:rStyle w:val="Hyperlink"/>
          </w:rPr>
          <w:t xml:space="preserve">[1]</w:t>
        </w:r>
      </w:hyperlink>
      <w:r>
        <w:t xml:space="preserve">.</w:t>
      </w:r>
    </w:p>
    <w:p>
      <w:pPr>
        <w:pStyle w:val="BodyText"/>
        <w:spacing w:line="480" w:lineRule="auto"/>
        <w:ind w:firstLine="720"/>
      </w:pPr>
      <w:r>
        <w:t xml:space="preserve">Provenance is not a formality in a corpus this small. With thirty records, a single misattributed row would move coefficients materially. Retaining the source pointer for each observation is what allows the estimator output to be treated as reproducible rather than merely reported, and it is what lets the venue-family coding be checked case by case rather than accepted on faith</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bookmarkEnd w:id="104"/>
    <w:bookmarkStart w:id="105" w:name="the-outcome-topic-signal-score"/>
    <w:p>
      <w:pPr>
        <w:pStyle w:val="Heading2"/>
        <w:spacing w:line="480" w:lineRule="auto"/>
      </w:pPr>
      <w:r>
        <w:t xml:space="preserve">5.2 The outcome: topic-signal score</w:t>
      </w:r>
    </w:p>
    <w:p>
      <w:pPr>
        <w:pStyle w:val="FirstParagraph"/>
        <w:spacing w:line="480" w:lineRule="auto"/>
      </w:pPr>
      <w:r>
        <w:t xml:space="preserve">The dependent variable is a composite topic-signal score constructed deterministically from each record’s text metadata. It counts candidate-theme term hits across the source title, the retrieved snippet, the keyword field, and the author metadata. A record whose title, keywords, and snippet all touch the property-and-registration theme scores higher; a record that mentions the theme only glancingly scores lower. The construction is mechanical and repeatable: the same record yields the same score every time, with no analyst discretion at the scoring step.</w:t>
      </w:r>
    </w:p>
    <w:p>
      <w:pPr>
        <w:pStyle w:val="BodyText"/>
        <w:spacing w:line="480" w:lineRule="auto"/>
        <w:ind w:firstLine="720"/>
      </w:pPr>
      <w:r>
        <w:t xml:space="preserve">The scores in the sample range from one to six. Several records that are topically central, cislunar characterization work, registration-improvement analysis, polycentric debris governance, sit at the high end with scores of five or six</w:t>
      </w:r>
      <w:r>
        <w:t xml:space="preserve"> </w:t>
      </w:r>
      <w:hyperlink w:anchor="ref-3">
        <w:r>
          <w:rPr>
            <w:rStyle w:val="Hyperlink"/>
          </w:rPr>
          <w:t xml:space="preserve">[3]</w:t>
        </w:r>
      </w:hyperlink>
      <w:r>
        <w:t xml:space="preserve"> </w:t>
      </w:r>
      <w:hyperlink w:anchor="ref-11">
        <w:r>
          <w:rPr>
            <w:rStyle w:val="Hyperlink"/>
          </w:rPr>
          <w:t xml:space="preserve">[11]</w:t>
        </w:r>
      </w:hyperlink>
      <w:r>
        <w:t xml:space="preserve">. Records that are adjacent but not central, a lidar benchmark for rendezvous pose estimation, a green-propellant combustion study, sit at the floor with a score of one</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That spread is what the estimators are asked to explain. The construction deliberately avoids weighting terms by importance, because any such weighting would inject exactly the analyst discretion that the reproducibility commitment is meant to exclude.</w:t>
      </w:r>
    </w:p>
    <w:p>
      <w:pPr>
        <w:pStyle w:val="BodyText"/>
        <w:spacing w:line="480" w:lineRule="auto"/>
        <w:ind w:firstLine="720"/>
      </w:pPr>
      <w:r>
        <w:t xml:space="preserve">A limitation of the outcome measure deserves statement here rather than deferral. A term-hit count is a proxy for topical relevance, not a direct measurement of property-rights salience. A document could be deeply relevant to the property question while using vocabulary the counter does not catch, and a document could score high on term hits while treating the theme superficially. The score is a defensible, transparent proxy, and it is treated only as a proxy throughout, with the interpretation in Chapter 6 kept within what a proxy can support</w:t>
      </w:r>
      <w:r>
        <w:t xml:space="preserve"> </w:t>
      </w:r>
      <w:hyperlink w:anchor="ref-5">
        <w:r>
          <w:rPr>
            <w:rStyle w:val="Hyperlink"/>
          </w:rPr>
          <w:t xml:space="preserve">[5]</w:t>
        </w:r>
      </w:hyperlink>
      <w:r>
        <w:t xml:space="preserve">.</w:t>
      </w:r>
    </w:p>
    <w:bookmarkEnd w:id="105"/>
    <w:bookmarkStart w:id="106" w:name="the-predictors"/>
    <w:p>
      <w:pPr>
        <w:pStyle w:val="Heading2"/>
        <w:spacing w:line="480" w:lineRule="auto"/>
      </w:pPr>
      <w:r>
        <w:t xml:space="preserve">5.3 The predictors</w:t>
      </w:r>
    </w:p>
    <w:p>
      <w:pPr>
        <w:pStyle w:val="FirstParagraph"/>
        <w:spacing w:line="480" w:lineRule="auto"/>
      </w:pPr>
      <w:r>
        <w:t xml:space="preserve">Three predictors enter the cross-sectional model, each constructed from metadata by a fixed rule.</w:t>
      </w:r>
    </w:p>
    <w:p>
      <w:pPr>
        <w:pStyle w:val="BodyText"/>
        <w:spacing w:line="480" w:lineRule="auto"/>
        <w:ind w:firstLine="720"/>
      </w:pPr>
      <w:r>
        <w:t xml:space="preserve">The recency index is the publication year minus the minimum publication year in the sample plus one. With the sample minimum at 2017, a 2017 record scores one and a 2026 record scores ten. This linear recoding preserves the ordering of years while giving the estimator a clean, positive-valued scale. It carries no information beyond the year; it is simply the year expressed as distance from the earliest record.</w:t>
      </w:r>
    </w:p>
    <w:p>
      <w:pPr>
        <w:pStyle w:val="BodyText"/>
        <w:spacing w:line="480" w:lineRule="auto"/>
        <w:ind w:firstLine="720"/>
      </w:pPr>
      <w:r>
        <w:t xml:space="preserve">The citation count is the reported citation figure from the local brain index, set to zero where the index reported no count. This is the predictor most exposed to measurement concern, and the chapter is explicit about why. Local index citation counts are not universal citation counts. They reflect what one index observed, not the document’s total scholarly reception. In the sample the counts range from zero to twenty-eight, with the high values concentrated in older journal articles: a 2017 registration-and-transparency paper carries twenty-eight, while most conference and economy records carry zero</w:t>
      </w:r>
      <w:r>
        <w:t xml:space="preserve"> </w:t>
      </w:r>
      <w:hyperlink w:anchor="ref-12">
        <w:r>
          <w:rPr>
            <w:rStyle w:val="Hyperlink"/>
          </w:rPr>
          <w:t xml:space="preserve">[12]</w:t>
        </w:r>
      </w:hyperlink>
      <w:r>
        <w:t xml:space="preserve">. The zeros are genuine information, not missingness, because many recent and many non-journal records simply have not accumulated indexed citations. Treating them as zero rather than dropping them keeps the full sample intact and preserves the very sparsity the estimator is meant to characterize</w:t>
      </w:r>
      <w:r>
        <w:t xml:space="preserve"> </w:t>
      </w:r>
      <w:hyperlink w:anchor="ref-2">
        <w:r>
          <w:rPr>
            <w:rStyle w:val="Hyperlink"/>
          </w:rPr>
          <w:t xml:space="preserve">[2]</w:t>
        </w:r>
      </w:hyperlink>
      <w:r>
        <w:t xml:space="preserve">.</w:t>
      </w:r>
    </w:p>
    <w:p>
      <w:pPr>
        <w:pStyle w:val="BodyText"/>
        <w:spacing w:line="480" w:lineRule="auto"/>
        <w:ind w:firstLine="720"/>
      </w:pPr>
      <w:r>
        <w:t xml:space="preserve">The venue-family score is an ordinal code: the aerospace conference family is one, the Acta Astronautica journal family is two, and the space-economy family is three. Ordinal is the operative word. The score orders venue families for the estimator but does not assert that the distance from one to two equals the distance from two to three. The coefficient on venue score must therefore be read as a directional association across an ordered set of families, not as a cardinal effect of moving a fixed amount along a real scale. Overreading it would violate the coding’s own logic, and Chapter 6 does not</w:t>
      </w:r>
      <w:r>
        <w:t xml:space="preserve"> </w:t>
      </w:r>
      <w:hyperlink w:anchor="ref-11">
        <w:r>
          <w:rPr>
            <w:rStyle w:val="Hyperlink"/>
          </w:rPr>
          <w:t xml:space="preserve">[11]</w:t>
        </w:r>
      </w:hyperlink>
      <w:r>
        <w:t xml:space="preserve">.</w:t>
      </w:r>
    </w:p>
    <w:bookmarkEnd w:id="106"/>
    <w:bookmarkStart w:id="107" w:name="the-learning-curve-variables"/>
    <w:p>
      <w:pPr>
        <w:pStyle w:val="Heading2"/>
        <w:spacing w:line="480" w:lineRule="auto"/>
      </w:pPr>
      <w:r>
        <w:t xml:space="preserve">5.4 The learning-curve variables</w:t>
      </w:r>
    </w:p>
    <w:p>
      <w:pPr>
        <w:pStyle w:val="FirstParagraph"/>
        <w:spacing w:line="480" w:lineRule="auto"/>
      </w:pPr>
      <w:r>
        <w:t xml:space="preserve">Paper 2 uses two derived variables over the same thirty records. The document-age index is 2026 minus the publication year plus one, so a 2026 record has age one and a 2017 record has age ten. The outcome is citations-plus-one, the reported citation count with one added so the logarithm is defined for the uncited majority. Adding one is a standard device for log transforming count data with zeros, and it is applied uniformly. Because so many records are uncited, the citations-plus-one variable is dominated by ones, with a handful of larger values from older journal articles. That distribution is exactly what the learning-curve estimator must contend with, and its shape, many floor values and few high ones, is visible in the raw rows</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07"/>
    <w:bookmarkStart w:id="108" w:name="sample-size-and-what-it-permits"/>
    <w:p>
      <w:pPr>
        <w:pStyle w:val="Heading2"/>
        <w:spacing w:line="480" w:lineRule="auto"/>
      </w:pPr>
      <w:r>
        <w:t xml:space="preserve">5.5 Sample size and what it permits</w:t>
      </w:r>
    </w:p>
    <w:p>
      <w:pPr>
        <w:pStyle w:val="FirstParagraph"/>
        <w:spacing w:line="480" w:lineRule="auto"/>
      </w:pPr>
      <w:r>
        <w:t xml:space="preserve">The estimation sample is N = 30 for both papers. Thirty observations is enough to fit a three-predictor linear model and a single-predictor log-log model and to compute robust standard errors, but it is not enough to support elaborate specifications, interaction terms, or subgroup analysis. The design respects that ceiling. It does not fit models the sample cannot bear, and it does not report precision the sample does not have. Where a coefficient is imprecise, that imprecision is reported and interpreted as evidence, not hidden behind a larger and less honest specification</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measurement chapter closes on the same note the methodology chapter opened. The data are metadata, the sample is small, and the outcome is a proxy. None of that is concealed. Every variable has a stated construction rule, every row has a source, and every reported statistic in the next chapter is the deterministic output of a workbook run on these thirty rows. A reader who distrusts a variable can recompute it. A reader who distrusts a coefficient can rerun it. That is the standard of evidence this dissertation holds itself to, and the small, fully disclosed dataset is what makes the standard achievable</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2">
        <w:r>
          <w:rPr>
            <w:rStyle w:val="Hyperlink"/>
          </w:rPr>
          <w:t xml:space="preserve">[12]</w:t>
        </w:r>
      </w:hyperlink>
      <w:r>
        <w:t xml:space="preserve">.</w:t>
      </w:r>
    </w:p>
    <w:bookmarkEnd w:id="108"/>
    <w:bookmarkStart w:id="109" w:name="Xd49e586e362e257b98207e78cfb3591f777a66c"/>
    <w:p>
      <w:pPr>
        <w:pStyle w:val="Heading2"/>
        <w:spacing w:line="480" w:lineRule="auto"/>
      </w:pPr>
      <w:r>
        <w:t xml:space="preserve">5.6 The distribution of records across venues and years</w:t>
      </w:r>
    </w:p>
    <w:p>
      <w:pPr>
        <w:pStyle w:val="FirstParagraph"/>
        <w:spacing w:line="480" w:lineRule="auto"/>
      </w:pPr>
      <w:r>
        <w:t xml:space="preserve">A dataset this small rewards a close look at how its records actually distribute, because the coefficients in Chapter 6 are shaped by that distribution and cannot be read without it. The venue families are unevenly represented, as a topic-assembled corpus naturally is. The aerospace conference family contributes a cluster of records spanning the earliest and most recent years, including the 2021 forensic-ledger work and situational-awareness material from 2017 and 2018</w:t>
      </w:r>
      <w:r>
        <w:t xml:space="preserve"> </w:t>
      </w:r>
      <w:hyperlink w:anchor="ref-1">
        <w:r>
          <w:rPr>
            <w:rStyle w:val="Hyperlink"/>
          </w:rPr>
          <w:t xml:space="preserve">[1]</w:t>
        </w:r>
      </w:hyperlink>
      <w:r>
        <w:t xml:space="preserve">. The journal family, typified by Acta Astronautica, contributes the largest block, spanning 2017 through 2026 and carrying most of the corpus’s citation mass, including the heavily-cited 2017 registration-and-transparency article</w:t>
      </w:r>
      <w:r>
        <w:t xml:space="preserve"> </w:t>
      </w:r>
      <w:hyperlink w:anchor="ref-12">
        <w:r>
          <w:rPr>
            <w:rStyle w:val="Hyperlink"/>
          </w:rPr>
          <w:t xml:space="preserve">[12]</w:t>
        </w:r>
      </w:hyperlink>
      <w:r>
        <w:t xml:space="preserve">. The space-economy family contributes a compact set of records clustered around 2018 to 2020, including the forecast-skeptic revaluation and the polycentric-governance material</w:t>
      </w:r>
      <w:r>
        <w:t xml:space="preserve"> </w:t>
      </w:r>
      <w:hyperlink w:anchor="ref-9">
        <w:r>
          <w:rPr>
            <w:rStyle w:val="Hyperlink"/>
          </w:rPr>
          <w:t xml:space="preserve">[9]</w:t>
        </w:r>
      </w:hyperlink>
      <w:r>
        <w:t xml:space="preserve">.</w:t>
      </w:r>
    </w:p>
    <w:p>
      <w:pPr>
        <w:pStyle w:val="BodyText"/>
        <w:spacing w:line="480" w:lineRule="auto"/>
        <w:ind w:firstLine="720"/>
      </w:pPr>
      <w:r>
        <w:t xml:space="preserve">This distribution has direct consequences for interpretation. Because the space-economy records cluster in a narrow, slightly older window and carry zero indexed citations, the venue-family axis is partly confounded with recency and with the citation floor. Because the journal family carries nearly all the high citation counts and spans the full year range, the citation axis is dominated by a handful of older journal articles. These are not defects to be corrected; they are features of a real topic corpus, and naming them here lets Chapter 6 read the negative citation coefficient and the marginal venue coefficient as the entangled partial associations they genuinely are, rather than as clean effects</w:t>
      </w:r>
      <w:r>
        <w:t xml:space="preserve"> </w:t>
      </w:r>
      <w:hyperlink w:anchor="ref-2">
        <w:r>
          <w:rPr>
            <w:rStyle w:val="Hyperlink"/>
          </w:rPr>
          <w:t xml:space="preserve">[2]</w:t>
        </w:r>
      </w:hyperlink>
      <w:r>
        <w:t xml:space="preserve"> </w:t>
      </w:r>
      <w:hyperlink w:anchor="ref-11">
        <w:r>
          <w:rPr>
            <w:rStyle w:val="Hyperlink"/>
          </w:rPr>
          <w:t xml:space="preserve">[11]</w:t>
        </w:r>
      </w:hyperlink>
      <w:r>
        <w:t xml:space="preserve">.</w:t>
      </w:r>
    </w:p>
    <w:bookmarkEnd w:id="109"/>
    <w:bookmarkStart w:id="110" w:name="the-topic-signal-distribution-in-detail"/>
    <w:p>
      <w:pPr>
        <w:pStyle w:val="Heading2"/>
        <w:spacing w:line="480" w:lineRule="auto"/>
      </w:pPr>
      <w:r>
        <w:t xml:space="preserve">5.7 The topic-signal distribution in detail</w:t>
      </w:r>
    </w:p>
    <w:p>
      <w:pPr>
        <w:pStyle w:val="FirstParagraph"/>
        <w:spacing w:line="480" w:lineRule="auto"/>
      </w:pPr>
      <w:r>
        <w:t xml:space="preserve">The outcome variable also rewards inspection at the row level. The topic-signal scores are not uniformly spread; they cluster at the low end, with a substantial number of records scoring one, a middle band scoring three or four, and a small set of topically central records scoring five or six. The high scorers are exactly the documents a domain reader would nominate as most on-topic: cislunar fragmentation characterization, registration-improvement analysis, and polycentric debris governance all reach the upper band</w:t>
      </w:r>
      <w:r>
        <w:t xml:space="preserve"> </w:t>
      </w:r>
      <w:hyperlink w:anchor="ref-3">
        <w:r>
          <w:rPr>
            <w:rStyle w:val="Hyperlink"/>
          </w:rPr>
          <w:t xml:space="preserve">[3]</w:t>
        </w:r>
      </w:hyperlink>
      <w:r>
        <w:t xml:space="preserve"> </w:t>
      </w:r>
      <w:hyperlink w:anchor="ref-9">
        <w:r>
          <w:rPr>
            <w:rStyle w:val="Hyperlink"/>
          </w:rPr>
          <w:t xml:space="preserve">[9]</w:t>
        </w:r>
      </w:hyperlink>
      <w:r>
        <w:t xml:space="preserve"> </w:t>
      </w:r>
      <w:hyperlink w:anchor="ref-11">
        <w:r>
          <w:rPr>
            <w:rStyle w:val="Hyperlink"/>
          </w:rPr>
          <w:t xml:space="preserve">[11]</w:t>
        </w:r>
      </w:hyperlink>
      <w:r>
        <w:t xml:space="preserve">. The floor scorers are documents that appear in the corpus for adjacency or completeness rather than central relevance, including propulsion and materials studies whose connection to property and registration is incidental</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That the deterministic term counter independently recovers this domain intuition, without an analyst weighting the terms by hand, is a modest validation of the outcome measure. It does not prove the score captures property-rights salience perfectly, and Chapter 7 is explicit that it does not, but it does show that the mechanical score and an expert reading of relevance point in the same direction for the clearest cases. A proxy that agreed with expert judgment nowhere would be worthless; a proxy that agrees at the extremes and is uncertain in the middle is exactly what a transparent, discretion-free construction should produce</w:t>
      </w:r>
      <w:r>
        <w:t xml:space="preserve"> </w:t>
      </w:r>
      <w:hyperlink w:anchor="ref-5">
        <w:r>
          <w:rPr>
            <w:rStyle w:val="Hyperlink"/>
          </w:rPr>
          <w:t xml:space="preserve">[5]</w:t>
        </w:r>
      </w:hyperlink>
      <w:r>
        <w:t xml:space="preserve">.</w:t>
      </w:r>
    </w:p>
    <w:bookmarkEnd w:id="110"/>
    <w:bookmarkStart w:id="111" w:name="X99240bbc37fb4166a5aaece2c890ca4d5363f61"/>
    <w:p>
      <w:pPr>
        <w:pStyle w:val="Heading2"/>
        <w:spacing w:line="480" w:lineRule="auto"/>
      </w:pPr>
      <w:r>
        <w:t xml:space="preserve">5.8 Data quality, missingness, and the treatment of zeros</w:t>
      </w:r>
    </w:p>
    <w:p>
      <w:pPr>
        <w:pStyle w:val="FirstParagraph"/>
        <w:spacing w:line="480" w:lineRule="auto"/>
      </w:pPr>
      <w:r>
        <w:t xml:space="preserve">Two data-quality issues warrant explicit treatment. The first is the handling of missing citation counts. Where the local index returned no citation figure, the value is set to zero rather than left missing or imputed. This is a substantive choice, not a technical default. In this corpus a missing citation count almost always means an uncited or not-yet-indexed record, particularly among recent and non-journal documents, so zero is the substantively correct value rather than a placeholder for the unknown</w:t>
      </w:r>
      <w:r>
        <w:t xml:space="preserve"> </w:t>
      </w:r>
      <w:hyperlink w:anchor="ref-2">
        <w:r>
          <w:rPr>
            <w:rStyle w:val="Hyperlink"/>
          </w:rPr>
          <w:t xml:space="preserve">[2]</w:t>
        </w:r>
      </w:hyperlink>
      <w:r>
        <w:t xml:space="preserve">. Imputing a nonzero value would fabricate attention the record has not received, and dropping missing-count records would discard most of the recent, property-central work the study most wants to observe. Treating the zeros as real is what preserves the sparsity the estimators are meant to characterize</w:t>
      </w:r>
      <w:r>
        <w:t xml:space="preserve"> </w:t>
      </w:r>
      <w:hyperlink w:anchor="ref-12">
        <w:r>
          <w:rPr>
            <w:rStyle w:val="Hyperlink"/>
          </w:rPr>
          <w:t xml:space="preserve">[12]</w:t>
        </w:r>
      </w:hyperlink>
      <w:r>
        <w:t xml:space="preserve">.</w:t>
      </w:r>
    </w:p>
    <w:p>
      <w:pPr>
        <w:pStyle w:val="BodyText"/>
        <w:spacing w:line="480" w:lineRule="auto"/>
        <w:ind w:firstLine="720"/>
      </w:pPr>
      <w:r>
        <w:t xml:space="preserve">The second issue is the descriptive-string records at the end of the corpus. A handful of space-economy entries are represented by descriptive citation strings rather than DOIs or URLs, including the forecast-skeptic revaluation and the McKinsey-and-World-Economic-Forum synthesis. These records have zero keyword and snippet fields by construction, which lowers their available term surface and therefore their topic-signal ceiling. Their inclusion is deliberate, because they carry the scarcity and governance logic that the property question depends on, but their thin metadata is a known limit on how much signal they can contribute, and it is flagged here so that Chapter 6’s treatment of the venue axis is not read as if every record offered the same measurement surface</w:t>
      </w:r>
      <w:r>
        <w:t xml:space="preserve"> </w:t>
      </w:r>
      <w:hyperlink w:anchor="ref-5">
        <w:r>
          <w:rPr>
            <w:rStyle w:val="Hyperlink"/>
          </w:rPr>
          <w:t xml:space="preserve">[5]</w:t>
        </w:r>
      </w:hyperlink>
      <w:r>
        <w:t xml:space="preserve"> </w:t>
      </w:r>
      <w:hyperlink w:anchor="ref-9">
        <w:r>
          <w:rPr>
            <w:rStyle w:val="Hyperlink"/>
          </w:rPr>
          <w:t xml:space="preserve">[9]</w:t>
        </w:r>
      </w:hyperlink>
      <w:r>
        <w:t xml:space="preserve">. Documenting these irregularities in full, rather than quietly cleaning them away, is part of the same auditability commitment that governs every other variable in the dataset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11"/>
    <w:bookmarkStart w:id="112" w:name="Xaac16668a104dbcff4b4d7c99d0a6008fa1db52"/>
    <w:p>
      <w:pPr>
        <w:pStyle w:val="Heading2"/>
        <w:spacing w:line="480" w:lineRule="auto"/>
      </w:pPr>
      <w:r>
        <w:t xml:space="preserve">5.9 Descriptive statistics of the estimation sample</w:t>
      </w:r>
    </w:p>
    <w:p>
      <w:pPr>
        <w:pStyle w:val="FirstParagraph"/>
        <w:spacing w:line="480" w:lineRule="auto"/>
      </w:pPr>
      <w:r>
        <w:t xml:space="preserve">Before the estimators run, a plain description of the sample grounds everything that follows. Across the thirty records, publication years span 2017 to 2026, with a marked concentration in the 2024 and 2025 vintages, reflecting the recent intensification of cislunar and space-governance publishing</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recency index therefore has most of its mass at the high end, which means the estimators see relatively few genuinely old records against which to contrast the recent ones, a feature that bears directly on the recency coefficient’s imprecision in Chapter 6.</w:t>
      </w:r>
    </w:p>
    <w:p>
      <w:pPr>
        <w:pStyle w:val="BodyText"/>
        <w:spacing w:line="480" w:lineRule="auto"/>
        <w:ind w:firstLine="720"/>
      </w:pPr>
      <w:r>
        <w:t xml:space="preserve">Citation counts are sharply right-skewed. The majority of records carry zero indexed citations, a smaller group carries single-digit counts, and a single 2017 journal article carries twenty-eight, the highest in the sample</w:t>
      </w:r>
      <w:r>
        <w:t xml:space="preserve"> </w:t>
      </w:r>
      <w:hyperlink w:anchor="ref-12">
        <w:r>
          <w:rPr>
            <w:rStyle w:val="Hyperlink"/>
          </w:rPr>
          <w:t xml:space="preserve">[12]</w:t>
        </w:r>
      </w:hyperlink>
      <w:r>
        <w:t xml:space="preserve">. This skew is the central fact about the attention variable: the citation axis is anchored by a few old journal articles while the property-central recent work sits at or near zero. The topic-signal score, by contrast, is more evenly spread across its one-to-six range, with a central tendency in the lower-middle band. The mismatch between a skewed citation distribution and a more balanced signal distribution is exactly what produces the precise negative citation association the results report, and seeing it in the descriptive statistics makes that later coefficient legible rather than surprising</w:t>
      </w:r>
      <w:r>
        <w:t xml:space="preserve"> </w:t>
      </w:r>
      <w:hyperlink w:anchor="ref-2">
        <w:r>
          <w:rPr>
            <w:rStyle w:val="Hyperlink"/>
          </w:rPr>
          <w:t xml:space="preserve">[2]</w:t>
        </w:r>
      </w:hyperlink>
      <w:r>
        <w:t xml:space="preserve">.</w:t>
      </w:r>
    </w:p>
    <w:p>
      <w:pPr>
        <w:pStyle w:val="BodyText"/>
        <w:spacing w:line="480" w:lineRule="auto"/>
        <w:ind w:firstLine="720"/>
      </w:pPr>
      <w:r>
        <w:t xml:space="preserve">Venue families divide the sample into three uneven blocks, with the journal family the largest, the conference family next, and the space-economy family the smallest and most metadata-sparse</w:t>
      </w:r>
      <w:r>
        <w:t xml:space="preserve"> </w:t>
      </w:r>
      <w:hyperlink w:anchor="ref-9">
        <w:r>
          <w:rPr>
            <w:rStyle w:val="Hyperlink"/>
          </w:rPr>
          <w:t xml:space="preserve">[9]</w:t>
        </w:r>
      </w:hyperlink>
      <w:r>
        <w:t xml:space="preserve"> </w:t>
      </w:r>
      <w:hyperlink w:anchor="ref-11">
        <w:r>
          <w:rPr>
            <w:rStyle w:val="Hyperlink"/>
          </w:rPr>
          <w:t xml:space="preserve">[11]</w:t>
        </w:r>
      </w:hyperlink>
      <w:r>
        <w:t xml:space="preserve">. Because the space-economy block is both small and thin on countable metadata, the venue coefficient rests on fewer and less richly-described records at the top of the ordinal scale, which is one more reason the study treats the venue reading as suggestive. None of these descriptive facts is hidden in an appendix; they are stated here because the coefficients in Chapter 6 are their direct consequence, and a reader who understands the sample’s shape will find nothing in the results that the description did not foreshadow</w:t>
      </w:r>
      <w:r>
        <w:t xml:space="preserve"> </w:t>
      </w:r>
      <w:hyperlink w:anchor="ref-5">
        <w:r>
          <w:rPr>
            <w:rStyle w:val="Hyperlink"/>
          </w:rPr>
          <w:t xml:space="preserve">[5]</w:t>
        </w:r>
      </w:hyperlink>
      <w:r>
        <w:t xml:space="preserve">.</w:t>
      </w:r>
    </w:p>
    <w:bookmarkEnd w:id="112"/>
    <w:bookmarkStart w:id="113" w:name="from-measurement-to-estimation"/>
    <w:p>
      <w:pPr>
        <w:pStyle w:val="Heading2"/>
        <w:spacing w:line="480" w:lineRule="auto"/>
      </w:pPr>
      <w:r>
        <w:t xml:space="preserve">5.10 From measurement to estimation</w:t>
      </w:r>
    </w:p>
    <w:p>
      <w:pPr>
        <w:pStyle w:val="FirstParagraph"/>
        <w:spacing w:line="480" w:lineRule="auto"/>
      </w:pPr>
      <w:r>
        <w:t xml:space="preserve">The transition from a described dataset to an estimated model is where measurement choices become consequential, and the chapter closes by making that transition explicit. Every variable entering the two estimators has now been defined by a fixed rule, traced to a source, and described in its distribution. The topic-signal score is the outcome for the cross-sectional model; recency, citation count, and venue family are its predictors. Citations-plus-one is the outcome for the learning-curve model; the log of the age index is its single predictor</w:t>
      </w:r>
      <w:r>
        <w:t xml:space="preserve"> </w:t>
      </w:r>
      <w:hyperlink w:anchor="ref-1">
        <w:r>
          <w:rPr>
            <w:rStyle w:val="Hyperlink"/>
          </w:rPr>
          <w:t xml:space="preserve">[1]</w:t>
        </w:r>
      </w:hyperlink>
      <w:r>
        <w:t xml:space="preserve">. Nothing enters the estimators that has not been documented here, and nothing documented here is withheld from the estimators.</w:t>
      </w:r>
    </w:p>
    <w:p>
      <w:pPr>
        <w:pStyle w:val="BodyText"/>
        <w:spacing w:line="480" w:lineRule="auto"/>
        <w:ind w:firstLine="720"/>
      </w:pPr>
      <w:r>
        <w:t xml:space="preserve">That completeness is the point of a chapter this granular. In a design that cannot lean on experimental identification, the credibility of the results rests entirely on the credibility of the measurement, because the estimators are only as trustworthy as the variables they consume</w:t>
      </w:r>
      <w:r>
        <w:t xml:space="preserve"> </w:t>
      </w:r>
      <w:hyperlink w:anchor="ref-2">
        <w:r>
          <w:rPr>
            <w:rStyle w:val="Hyperlink"/>
          </w:rPr>
          <w:t xml:space="preserve">[2]</w:t>
        </w:r>
      </w:hyperlink>
      <w:r>
        <w:t xml:space="preserve">. A reader who accepts the construction rules in this chapter, and who can check them against the disclosed rows, has every reason to accept the deterministic output of the next chapter, because that output is nothing more than these documented variables passed through the transparent estimators of Chapter 4. The measurement is the foundation, and it has been laid in full view precisely so that the results can stand on it without further appeal to the author’s authority</w:t>
      </w:r>
      <w:r>
        <w:t xml:space="preserve"> </w:t>
      </w:r>
      <w:hyperlink w:anchor="ref-3">
        <w:r>
          <w:rPr>
            <w:rStyle w:val="Hyperlink"/>
          </w:rPr>
          <w:t xml:space="preserve">[3]</w:t>
        </w:r>
      </w:hyperlink>
      <w:r>
        <w:t xml:space="preserve"> </w:t>
      </w:r>
      <w:hyperlink w:anchor="ref-12">
        <w:r>
          <w:rPr>
            <w:rStyle w:val="Hyperlink"/>
          </w:rPr>
          <w:t xml:space="preserve">[12]</w:t>
        </w:r>
      </w:hyperlink>
      <w:r>
        <w:t xml:space="preserve">.</w:t>
      </w:r>
    </w:p>
    <w:bookmarkEnd w:id="113"/>
    <w:bookmarkStart w:id="114" w:name="reproducibility-and-the-audit-trail"/>
    <w:p>
      <w:pPr>
        <w:pStyle w:val="Heading2"/>
        <w:spacing w:line="480" w:lineRule="auto"/>
      </w:pPr>
      <w:r>
        <w:t xml:space="preserve">5.11 Reproducibility and the audit trail</w:t>
      </w:r>
    </w:p>
    <w:p>
      <w:pPr>
        <w:pStyle w:val="FirstParagraph"/>
        <w:spacing w:line="480" w:lineRule="auto"/>
      </w:pPr>
      <w:r>
        <w:t xml:space="preserve">The dataset’s most distinctive feature is that it is built to be audited rather than trusted. Each of the thirty rows carries a source pointer, a DOI, a URL, or a descriptive citation string, so that a reader can retrieve the underlying document and confirm every derived field against it</w:t>
      </w:r>
      <w:r>
        <w:t xml:space="preserve"> </w:t>
      </w:r>
      <w:hyperlink w:anchor="ref-1">
        <w:r>
          <w:rPr>
            <w:rStyle w:val="Hyperlink"/>
          </w:rPr>
          <w:t xml:space="preserve">[1]</w:t>
        </w:r>
      </w:hyperlink>
      <w:r>
        <w:t xml:space="preserve">. The topic-signal score for a given row can be recomputed by applying the stated term-hit rule to the retrieved title, snippet, keyword field, and author metadata. The recency and age indices can be recomputed from the publication year. The citation count can be checked against the local index. The venue-family score can be verified by inspecting the source. Nothing in the dataset is a black box.</w:t>
      </w:r>
    </w:p>
    <w:p>
      <w:pPr>
        <w:pStyle w:val="BodyText"/>
        <w:spacing w:line="480" w:lineRule="auto"/>
        <w:ind w:firstLine="720"/>
      </w:pPr>
      <w:r>
        <w:t xml:space="preserve">This audit trail is what converts the study from an argument the reader must accept on faith into a claim the reader can independently verify. In a design without experimental identification, that verifiability is the load-bearing guarantee, because it means a skeptic who doubts a result can locate the doubt in a specific, inspectable row rather than in an opaque procedure</w:t>
      </w:r>
      <w:r>
        <w:t xml:space="preserve"> </w:t>
      </w:r>
      <w:hyperlink w:anchor="ref-2">
        <w:r>
          <w:rPr>
            <w:rStyle w:val="Hyperlink"/>
          </w:rPr>
          <w:t xml:space="preserve">[2]</w:t>
        </w:r>
      </w:hyperlink>
      <w:r>
        <w:t xml:space="preserve">. The registration literature’s emphasis on provenance and the forensic-ledger literature’s emphasis on auditable custody both inform this choice: a claim is only as good as the chain that leads back to its source, and this dataset preserves the chain at every link</w:t>
      </w:r>
      <w:r>
        <w:t xml:space="preserve"> </w:t>
      </w:r>
      <w:hyperlink w:anchor="ref-1">
        <w:r>
          <w:rPr>
            <w:rStyle w:val="Hyperlink"/>
          </w:rPr>
          <w:t xml:space="preserve">[1]</w:t>
        </w:r>
      </w:hyperlink>
      <w:r>
        <w:t xml:space="preserve"> </w:t>
      </w:r>
      <w:hyperlink w:anchor="ref-12">
        <w:r>
          <w:rPr>
            <w:rStyle w:val="Hyperlink"/>
          </w:rPr>
          <w:t xml:space="preserve">[12]</w:t>
        </w:r>
      </w:hyperlink>
      <w:r>
        <w:t xml:space="preserve">. The small size of the corpus, thirty records, is what makes total auditability feasible, and the study treats that smallness as a strength of transparency rather than only a limit on power. A larger corpus would offer more statistical room and less of this row-by-row inspectability, and for a study whose central commitment is reproducibility, the trade toward inspectability is the right one</w:t>
      </w:r>
      <w:r>
        <w:t xml:space="preserve"> </w:t>
      </w:r>
      <w:hyperlink w:anchor="ref-5">
        <w:r>
          <w:rPr>
            <w:rStyle w:val="Hyperlink"/>
          </w:rPr>
          <w:t xml:space="preserve">[5]</w:t>
        </w:r>
      </w:hyperlink>
      <w:r>
        <w:t xml:space="preserve">.</w:t>
      </w:r>
    </w:p>
    <w:bookmarkEnd w:id="114"/>
    <w:bookmarkEnd w:id="115"/>
    <w:bookmarkStart w:id="126" w:name="chapter-6.-results"/>
    <w:p>
      <w:pPr>
        <w:pStyle w:val="Heading1"/>
        <w:spacing w:line="480" w:lineRule="auto"/>
      </w:pPr>
      <w:r>
        <w:t xml:space="preserve">Chapter 6. Results</w:t>
      </w:r>
    </w:p>
    <w:p>
      <w:pPr>
        <w:pStyle w:val="FirstParagraph"/>
        <w:spacing w:line="480" w:lineRule="auto"/>
      </w:pPr>
      <w:r>
        <w:t xml:space="preserve">This chapter reports the two estimators exactly as the workbooks return them and interprets the signs and magnitudes without inflating either. The numbers come first, unrounded where the workbook reports them at length, so that a reader can verify each against the estimation files. The interpretation follows, and it stays inside what a thirty-record metadata screen can support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Start w:id="116" w:name="paper-1-the-cross-sectional-signal-model"/>
    <w:p>
      <w:pPr>
        <w:pStyle w:val="Heading2"/>
        <w:spacing w:line="480" w:lineRule="auto"/>
      </w:pPr>
      <w:r>
        <w:t xml:space="preserve">6.1 Paper 1: the cross-sectional signal model</w:t>
      </w:r>
    </w:p>
    <w:p>
      <w:pPr>
        <w:pStyle w:val="FirstParagraph"/>
        <w:spacing w:line="480" w:lineRule="auto"/>
      </w:pPr>
      <w:r>
        <w:t xml:space="preserve">Paper 1 fits the ordinary least squares model of topic-signal score on recency, citation count, and venue-family score, with robust HC1 standard errors, over N = 30 records. The overall fit is:</w:t>
      </w:r>
    </w:p>
    <w:p>
      <w:pPr>
        <w:pStyle w:val="BodyText"/>
        <w:spacing w:line="480" w:lineRule="auto"/>
        <w:ind w:firstLine="720"/>
      </w:pPr>
      <w:r>
        <w:t xml:space="preserve">N = 30; R2 = 0.26621908884770107; adjusted R2 = 0.18155206063782037; F = 4.849464626421833; F p-value = 0.008233491795335085.</w:t>
      </w:r>
    </w:p>
    <w:p>
      <w:pPr>
        <w:pStyle w:val="BodyText"/>
        <w:spacing w:line="480" w:lineRule="auto"/>
        <w:ind w:firstLine="720"/>
      </w:pPr>
      <w:r>
        <w:t xml:space="preserve">The model explains about twenty-seven percent of the variance in the topic-signal score, with an adjusted figure near eighteen percent once the three predictors are penalized. The F statistic of 4.85 with a p-value of 0.0082 rejects the joint null that all three slope coefficients are zero at conventional levels. Something in the corpus is patterned. The joint test says so before any single coefficient is read.</w:t>
      </w:r>
    </w:p>
    <w:p>
      <w:pPr>
        <w:pStyle w:val="BodyText"/>
        <w:spacing w:line="480" w:lineRule="auto"/>
        <w:ind w:firstLine="720"/>
      </w:pPr>
      <w:r>
        <w:t xml:space="preserve">The term-level output is:</w:t>
      </w:r>
    </w:p>
    <w:p>
      <w:pPr>
        <w:pStyle w:val="BodyText"/>
        <w:spacing w:line="480" w:lineRule="auto"/>
        <w:ind w:firstLine="720"/>
      </w:pPr>
      <w:r>
        <w:t xml:space="preserve">const: coefficient 4.034454328861768, standard error 1.4892, p = 0.006746054645856945.</w:t>
      </w:r>
    </w:p>
    <w:p>
      <w:pPr>
        <w:pStyle w:val="BodyText"/>
        <w:spacing w:line="480" w:lineRule="auto"/>
        <w:ind w:firstLine="720"/>
      </w:pPr>
      <w:r>
        <w:t xml:space="preserve">recency_index: coefficient 0.06894147423830957, standard error 0.119, p = 0.5622817143730598.</w:t>
      </w:r>
    </w:p>
    <w:p>
      <w:pPr>
        <w:pStyle w:val="BodyText"/>
        <w:spacing w:line="480" w:lineRule="auto"/>
        <w:ind w:firstLine="720"/>
      </w:pPr>
      <w:r>
        <w:t xml:space="preserve">cites_num: coefficient -0.07566844436634987, standard error 0.0281, p = 0.007062412480119831.</w:t>
      </w:r>
    </w:p>
    <w:p>
      <w:pPr>
        <w:pStyle w:val="BodyText"/>
        <w:spacing w:line="480" w:lineRule="auto"/>
        <w:ind w:firstLine="720"/>
      </w:pPr>
      <w:r>
        <w:t xml:space="preserve">venue_score: coefficient -0.8106016658742924, standard error 0.4374, p = 0.06385405184088243.</w:t>
      </w:r>
    </w:p>
    <w:p>
      <w:pPr>
        <w:pStyle w:val="BodyText"/>
        <w:spacing w:line="480" w:lineRule="auto"/>
        <w:ind w:firstLine="720"/>
      </w:pPr>
      <w:r>
        <w:t xml:space="preserve">Three of these four terms deserve individual reading, and the pattern across them is more interesting than the joint test alone.</w:t>
      </w:r>
    </w:p>
    <w:bookmarkEnd w:id="116"/>
    <w:bookmarkStart w:id="117" w:name="X5f3e0804361fdddd3c4e55a6600aeabdd55412a"/>
    <w:p>
      <w:pPr>
        <w:pStyle w:val="Heading2"/>
        <w:spacing w:line="480" w:lineRule="auto"/>
      </w:pPr>
      <w:r>
        <w:t xml:space="preserve">6.2 Interpreting the cross-sectional coefficients</w:t>
      </w:r>
    </w:p>
    <w:p>
      <w:pPr>
        <w:pStyle w:val="FirstParagraph"/>
        <w:spacing w:line="480" w:lineRule="auto"/>
      </w:pPr>
      <w:r>
        <w:t xml:space="preserve">Start with the intercept. The constant of 4.03, with a p-value of 0.0067, is precisely estimated and simply locates the fitted signal score for a hypothetical record at the baseline of all three predictors. It is a scaling anchor, not a substantive result, and it is reported for completeness rather than interpreted as evidence about the frontier.</w:t>
      </w:r>
    </w:p>
    <w:p>
      <w:pPr>
        <w:pStyle w:val="BodyText"/>
        <w:spacing w:line="480" w:lineRule="auto"/>
        <w:ind w:firstLine="720"/>
      </w:pPr>
      <w:r>
        <w:t xml:space="preserve">Recency is the term a naive rising-salience story would expect to dominate, and it does not. The recency coefficient is positive at 0.069, which is the predicted direction: more recent records carry marginally more topic signal. The direction is right. The precision is not there. With a standard error of 0.119 and a p-value of 0.56, this coefficient is indistinguishable from zero. The corpus does not support a claim that topic signal is climbing reliably with recency once citation attention and venue are held fixed. That is a genuine finding, not a gap to be filled by a larger sample later. Within these thirty records, recency alone does not organize the signal</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Citation attention is where the model speaks most clearly, and it speaks against the simplest expectation. The citation coefficient is negative at -0.076 and precise, with a standard error of 0.0281 and a p-value of 0.0071. Holding recency and venue fixed, records with more indexed citations carry less topic signal, and the association is reliable. The theory in Chapter 3 anticipated that the sign of the attention term would be diagnostic rather than confirmatory, and here the diagnosis is specific: the property-and-registration signal concentrates in the newer, less-cited records, while the heavily cited records are the older, more general journal articles whose subject matter is adjacent rather than central</w:t>
      </w:r>
      <w:r>
        <w:t xml:space="preserve"> </w:t>
      </w:r>
      <w:hyperlink w:anchor="ref-12">
        <w:r>
          <w:rPr>
            <w:rStyle w:val="Hyperlink"/>
          </w:rPr>
          <w:t xml:space="preserve">[12]</w:t>
        </w:r>
      </w:hyperlink>
      <w:r>
        <w:t xml:space="preserve">. A 2017 registration-and-transparency paper carrying twenty-eight citations pulls the citation axis toward records whose topic signal is modest, and the model registers exactly that structure. The negative sign is not a paradox. It is the corpus telling us that attention, as the local index measures it, has accrued to the wrong documents for a naive salience reading, and the right documents for the property question are the recent, still-uncited ones</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Venue family sits at the margin. The venue coefficient is negative at -0.81 with a p-value of 0.064, which falls just outside the conventional five-percent threshold and just inside a more permissive ten-percent one. Read cautiously, and the ordinal coding demands caution, this suggests that moving up the venue ordering from the aerospace conference family toward the space-economy family is associated with lower topic signal, not higher. The technical conference records carry more of the property-and-registration term signal than the economy-and-governance records do. That is consistent with the reading advanced in Chapter 3: the frontier is still being defined in operational and engineering terms, and the institutional vocabulary in the economy venues has not yet caught up enough for the term counter to detect it</w:t>
      </w:r>
      <w:r>
        <w:t xml:space="preserve"> </w:t>
      </w:r>
      <w:hyperlink w:anchor="ref-2">
        <w:r>
          <w:rPr>
            <w:rStyle w:val="Hyperlink"/>
          </w:rPr>
          <w:t xml:space="preserve">[2]</w:t>
        </w:r>
      </w:hyperlink>
      <w:r>
        <w:t xml:space="preserve"> </w:t>
      </w:r>
      <w:hyperlink w:anchor="ref-11">
        <w:r>
          <w:rPr>
            <w:rStyle w:val="Hyperlink"/>
          </w:rPr>
          <w:t xml:space="preserve">[11]</w:t>
        </w:r>
      </w:hyperlink>
      <w:r>
        <w:t xml:space="preserve">. The marginal p-value means this reading is suggestive, not settled, and it is reported that way.</w:t>
      </w:r>
    </w:p>
    <w:p>
      <w:pPr>
        <w:pStyle w:val="BodyText"/>
        <w:spacing w:line="480" w:lineRule="auto"/>
        <w:ind w:firstLine="720"/>
      </w:pPr>
      <w:r>
        <w:t xml:space="preserve">Taken together, Paper 1 rejects the joint null but rejects the naive version of the alternative just as firmly. The corpus is structured. It is not structured the way a simple rising-salience account would predict. The signal lives in recent, low-citation, technically-venued records, and the model recovers that configuration with a precise negative citation term, a marginal negative venue term, and a recency term that cannot carry weight on its own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17"/>
    <w:bookmarkStart w:id="118" w:name="paper-2-the-learning-curve-model"/>
    <w:p>
      <w:pPr>
        <w:pStyle w:val="Heading2"/>
        <w:spacing w:line="480" w:lineRule="auto"/>
      </w:pPr>
      <w:r>
        <w:t xml:space="preserve">6.3 Paper 2: the learning-curve model</w:t>
      </w:r>
    </w:p>
    <w:p>
      <w:pPr>
        <w:pStyle w:val="FirstParagraph"/>
        <w:spacing w:line="480" w:lineRule="auto"/>
      </w:pPr>
      <w:r>
        <w:t xml:space="preserve">Paper 2 fits the log-log learning-curve model of citations-plus-one against the document-age index, with robust HC1 standard errors, over the same N = 30 records. The fit is:</w:t>
      </w:r>
    </w:p>
    <w:p>
      <w:pPr>
        <w:pStyle w:val="BodyText"/>
        <w:spacing w:line="480" w:lineRule="auto"/>
        <w:ind w:firstLine="720"/>
      </w:pPr>
      <w:r>
        <w:t xml:space="preserve">N = 30; R2 = 0.002459519718560843; elasticity (b) = -0.09284653949885635; progress ratio (2^b) = 0.9376708318681491.</w:t>
      </w:r>
    </w:p>
    <w:p>
      <w:pPr>
        <w:pStyle w:val="BodyText"/>
        <w:spacing w:line="480" w:lineRule="auto"/>
        <w:ind w:firstLine="720"/>
      </w:pPr>
      <w:r>
        <w:t xml:space="preserve">The term-level output is:</w:t>
      </w:r>
    </w:p>
    <w:p>
      <w:pPr>
        <w:pStyle w:val="BodyText"/>
        <w:spacing w:line="480" w:lineRule="auto"/>
        <w:ind w:firstLine="720"/>
      </w:pPr>
      <w:r>
        <w:t xml:space="preserve">const: coefficient 0.8373151667755881, standard error 0.4869, p = 0.0854717780493375.</w:t>
      </w:r>
    </w:p>
    <w:p>
      <w:pPr>
        <w:pStyle w:val="BodyText"/>
        <w:spacing w:line="480" w:lineRule="auto"/>
        <w:ind w:firstLine="720"/>
      </w:pPr>
      <w:r>
        <w:t xml:space="preserve">_ln_x (the log age term): coefficient -0.09284653949885635, standard error 0.3508, p = 0.7912387589891173.</w:t>
      </w:r>
    </w:p>
    <w:p>
      <w:pPr>
        <w:pStyle w:val="BodyText"/>
        <w:spacing w:line="480" w:lineRule="auto"/>
        <w:ind w:firstLine="720"/>
      </w:pPr>
      <w:r>
        <w:t xml:space="preserve">This is a flat curve, and the flatness is the finding.</w:t>
      </w:r>
    </w:p>
    <w:bookmarkEnd w:id="118"/>
    <w:bookmarkStart w:id="119" w:name="interpreting-the-learning-curve"/>
    <w:p>
      <w:pPr>
        <w:pStyle w:val="Heading2"/>
        <w:spacing w:line="480" w:lineRule="auto"/>
      </w:pPr>
      <w:r>
        <w:t xml:space="preserve">6.4 Interpreting the learning curve</w:t>
      </w:r>
    </w:p>
    <w:p>
      <w:pPr>
        <w:pStyle w:val="FirstParagraph"/>
        <w:spacing w:line="480" w:lineRule="auto"/>
      </w:pPr>
      <w:r>
        <w:t xml:space="preserve">The R2 of 0.0025 is, for practical purposes, zero. The age index explains essentially none of the variance in logged citations across these records. The age elasticity is -0.093, which would nominally imply that older documents carry slightly fewer citations-plus-one, the opposite of an orderly accumulation curve, but the standard error of 0.35 and the p-value of 0.79 place the coefficient nowhere near significance. The progress ratio of 0.94 sits so close to one that no meaningful doubling behavior can be claimed. Age, in this corpus, does not predict accumulated attention.</w:t>
      </w:r>
    </w:p>
    <w:p>
      <w:pPr>
        <w:pStyle w:val="BodyText"/>
        <w:spacing w:line="480" w:lineRule="auto"/>
        <w:ind w:firstLine="720"/>
      </w:pPr>
      <w:r>
        <w:t xml:space="preserve">The intercept term, at 0.84 with a p-value of 0.085, is marginal and, as in Paper 1, functions as a scaling anchor rather than a substantive result. It is the fitted log-citation level at the baseline of the age index and carries no claim about the frontier.</w:t>
      </w:r>
    </w:p>
    <w:p>
      <w:pPr>
        <w:pStyle w:val="BodyText"/>
        <w:spacing w:line="480" w:lineRule="auto"/>
        <w:ind w:firstLine="720"/>
      </w:pPr>
      <w:r>
        <w:t xml:space="preserve">The theory chapter prepared for exactly this outcome and made it interpretable in advance. A flat learning curve means the topic’s documentary attention is not accumulating in the smooth, age-graded way a maturing field would show. The reason is visible in the raw data: citations in this corpus are dominated by floor values, with a majority of records uncited and a handful of older journal articles carrying most of the counts. When attention is that sparse and that concentrated in a few old records, age cannot function as a stable predictor, and the estimator correctly reports that it does not</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confound flagged in Chapter 4, that older documents are present only if they remained relevant enough to be retrieved, likely contributes: the surviving old records are a non-random slice, and their citation counts do not trace the field’s true accumulation path.</w:t>
      </w:r>
    </w:p>
    <w:bookmarkEnd w:id="119"/>
    <w:bookmarkStart w:id="120" w:name="reading-the-two-estimators-together"/>
    <w:p>
      <w:pPr>
        <w:pStyle w:val="Heading2"/>
        <w:spacing w:line="480" w:lineRule="auto"/>
      </w:pPr>
      <w:r>
        <w:t xml:space="preserve">6.5 Reading the two estimators together</w:t>
      </w:r>
    </w:p>
    <w:p>
      <w:pPr>
        <w:pStyle w:val="FirstParagraph"/>
        <w:spacing w:line="480" w:lineRule="auto"/>
      </w:pPr>
      <w:r>
        <w:t xml:space="preserve">The two probes disagree in the informative way Chapter 3 anticipated. Paper 1 finds real cross-sectional structure: the joint null is rejected, and a precise negative citation term plus a marginal negative venue term describe where the topic signal concentrates. Paper 2 finds no temporal accumulation structure: age carries no information about attention. Cross-sectional pattern without temporal accumulation is the signature of a young, bursty frontier, one whose documentary attention is allocated in spikes tied to recent, technically-venued work rather than along a stable age curve</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That combined reading is the empirical result of the dissertation, and it is deliberately modest. The corpus is patterned, but not along the axes a naive salience story would pick, and not across time in the way a maturing field would show. The property-and-registration signal is concentrated in recent, low-citation, technical records, and it does not accumulate smoothly with age. Chapter 7 takes up what this does and does not license the study to conclude, and it does so without reaching past these numbers</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20"/>
    <w:bookmarkStart w:id="121" w:name="Xcaf4b5e6bf0210330f12a22ed556a39ec4a6902"/>
    <w:p>
      <w:pPr>
        <w:pStyle w:val="Heading2"/>
        <w:spacing w:line="480" w:lineRule="auto"/>
      </w:pPr>
      <w:r>
        <w:t xml:space="preserve">6.6 Magnitude in context: what the coefficients mean on the score scale</w:t>
      </w:r>
    </w:p>
    <w:p>
      <w:pPr>
        <w:pStyle w:val="FirstParagraph"/>
        <w:spacing w:line="480" w:lineRule="auto"/>
      </w:pPr>
      <w:r>
        <w:t xml:space="preserve">Coefficients are easier to trust when they are translated onto the scale a reader can picture. The topic-signal score runs from one to six across the corpus, so a coefficient’s practical weight is best judged against that six-point span. The citation coefficient of -0.076 implies that a record with ten more indexed citations than another, holding recency and venue fixed, carries about three-quarters of a point less topic signal. Across the observed citation range, from zero to twenty-eight, that accumulates to roughly two full points of signal difference between the least-cited and most-cited records on the citation axis alone. On a six-point scale, two points is a substantial share of the whole range, which is why a coefficient that looks small in absolute terms is treated as a genuine structural feature rather than a rounding artifact</w:t>
      </w:r>
      <w:r>
        <w:t xml:space="preserve"> </w:t>
      </w:r>
      <w:hyperlink w:anchor="ref-12">
        <w:r>
          <w:rPr>
            <w:rStyle w:val="Hyperlink"/>
          </w:rPr>
          <w:t xml:space="preserve">[12]</w:t>
        </w:r>
      </w:hyperlink>
      <w:r>
        <w:t xml:space="preserve">.</w:t>
      </w:r>
    </w:p>
    <w:p>
      <w:pPr>
        <w:pStyle w:val="BodyText"/>
        <w:spacing w:line="480" w:lineRule="auto"/>
        <w:ind w:firstLine="720"/>
      </w:pPr>
      <w:r>
        <w:t xml:space="preserve">The recency coefficient of 0.069 tells the opposite story about magnitude. Across the full recency span of one to ten, this coefficient would move the signal by about six-tenths of a point, which is not trivial in principle, but its standard error of 0.119 is nearly twice the coefficient itself, so the estimate cannot be distinguished from zero and the nominal magnitude carries no evidentiary weight</w:t>
      </w:r>
      <w:r>
        <w:t xml:space="preserve"> </w:t>
      </w:r>
      <w:hyperlink w:anchor="ref-4">
        <w:r>
          <w:rPr>
            <w:rStyle w:val="Hyperlink"/>
          </w:rPr>
          <w:t xml:space="preserve">[4]</w:t>
        </w:r>
      </w:hyperlink>
      <w:r>
        <w:t xml:space="preserve">. The venue coefficient of -0.81 is the largest in absolute size: moving one step up the ordinal venue scale is associated with roughly four-fifths of a point less signal. Because the venue scale spans only one to three, the full venue span accounts for about a point and a half of signal, a meaningful amount, though the marginal p-value of 0.064 and the ordinal coding together keep this reading suggestive rather than firm</w:t>
      </w:r>
      <w:r>
        <w:t xml:space="preserve"> </w:t>
      </w:r>
      <w:hyperlink w:anchor="ref-2">
        <w:r>
          <w:rPr>
            <w:rStyle w:val="Hyperlink"/>
          </w:rPr>
          <w:t xml:space="preserve">[2]</w:t>
        </w:r>
      </w:hyperlink>
      <w:r>
        <w:t xml:space="preserve"> </w:t>
      </w:r>
      <w:hyperlink w:anchor="ref-11">
        <w:r>
          <w:rPr>
            <w:rStyle w:val="Hyperlink"/>
          </w:rPr>
          <w:t xml:space="preserve">[11]</w:t>
        </w:r>
      </w:hyperlink>
      <w:r>
        <w:t xml:space="preserve">.</w:t>
      </w:r>
    </w:p>
    <w:bookmarkEnd w:id="121"/>
    <w:bookmarkStart w:id="122" w:name="residual-behavior-and-model-adequacy"/>
    <w:p>
      <w:pPr>
        <w:pStyle w:val="Heading2"/>
        <w:spacing w:line="480" w:lineRule="auto"/>
      </w:pPr>
      <w:r>
        <w:t xml:space="preserve">6.7 Residual behavior and model adequacy</w:t>
      </w:r>
    </w:p>
    <w:p>
      <w:pPr>
        <w:pStyle w:val="FirstParagraph"/>
        <w:spacing w:line="480" w:lineRule="auto"/>
      </w:pPr>
      <w:r>
        <w:t xml:space="preserve">The adjusted R2 of 0.1816 is worth dwelling on rather than passing over. It says that after penalizing for three predictors, the model accounts for a little under a fifth of the variance in topic signal, which leaves the large majority unexplained. For a metadata screen this is neither surprising nor disqualifying. Topic signal is a term-hit proxy shaped by the idiosyncrasies of each document’s title, snippet, and keyword field, and much of its variance is document-specific noise that no three structural predictors could capture</w:t>
      </w:r>
      <w:r>
        <w:t xml:space="preserve"> </w:t>
      </w:r>
      <w:hyperlink w:anchor="ref-5">
        <w:r>
          <w:rPr>
            <w:rStyle w:val="Hyperlink"/>
          </w:rPr>
          <w:t xml:space="preserve">[5]</w:t>
        </w:r>
      </w:hyperlink>
      <w:r>
        <w:t xml:space="preserve">. The point of the model is not to explain most of the variance; it is to detect whether the structural predictors carry any reliable signal at all, and the significant F statistic confirms that they do, even as the modest R2 confirms that they are far from the whole story</w:t>
      </w:r>
      <w:r>
        <w:t xml:space="preserve"> </w:t>
      </w:r>
      <w:hyperlink w:anchor="ref-2">
        <w:r>
          <w:rPr>
            <w:rStyle w:val="Hyperlink"/>
          </w:rPr>
          <w:t xml:space="preserve">[2]</w:t>
        </w:r>
      </w:hyperlink>
      <w:r>
        <w:t xml:space="preserve">.</w:t>
      </w:r>
    </w:p>
    <w:p>
      <w:pPr>
        <w:pStyle w:val="BodyText"/>
        <w:spacing w:line="480" w:lineRule="auto"/>
        <w:ind w:firstLine="720"/>
      </w:pPr>
      <w:r>
        <w:t xml:space="preserve">The gap between the significant joint test and the modest fit is itself informative. It means the corpus contains a real but partial structure: a detectable pattern along the citation and venue axes riding on top of substantial document-level noise. A study that reported only the significant F would overstate how much the model explains; a study that reported only the modest R2 would understate that a reliable pattern exists. Reporting both, and reading them together, is what keeps the interpretation calibrated to the evidence</w:t>
      </w:r>
      <w:r>
        <w:t xml:space="preserve"> </w:t>
      </w:r>
      <w:hyperlink w:anchor="ref-6">
        <w:r>
          <w:rPr>
            <w:rStyle w:val="Hyperlink"/>
          </w:rPr>
          <w:t xml:space="preserve">[6]</w:t>
        </w:r>
      </w:hyperlink>
      <w:r>
        <w:t xml:space="preserve">.</w:t>
      </w:r>
    </w:p>
    <w:bookmarkEnd w:id="122"/>
    <w:bookmarkStart w:id="123" w:name="robustness-of-the-reported-figures"/>
    <w:p>
      <w:pPr>
        <w:pStyle w:val="Heading2"/>
        <w:spacing w:line="480" w:lineRule="auto"/>
      </w:pPr>
      <w:r>
        <w:t xml:space="preserve">6.8 Robustness of the reported figures</w:t>
      </w:r>
    </w:p>
    <w:p>
      <w:pPr>
        <w:pStyle w:val="FirstParagraph"/>
        <w:spacing w:line="480" w:lineRule="auto"/>
      </w:pPr>
      <w:r>
        <w:t xml:space="preserve">Because the estimators are deterministic, the reported figures are not subject to sampling variation across reruns, but their robustness to specification is a fair question. Two observations bound it. First, the citation coefficient’s precision, a standard error of 0.0281 against a coefficient of -0.076, gives a t-ratio well beyond conventional thresholds, so the negative citation association is the single most stable result in the study and would be unlikely to vanish under minor recodings of the other predictors</w:t>
      </w:r>
      <w:r>
        <w:t xml:space="preserve"> </w:t>
      </w:r>
      <w:hyperlink w:anchor="ref-2">
        <w:r>
          <w:rPr>
            <w:rStyle w:val="Hyperlink"/>
          </w:rPr>
          <w:t xml:space="preserve">[2]</w:t>
        </w:r>
      </w:hyperlink>
      <w:r>
        <w:t xml:space="preserve">. Second, the venue coefficient’s marginal p-value of 0.064 signals exactly the opposite: it is the result most sensitive to specification, and a different venue coding could push it across the conventional threshold in either direction. Chapter 7 accordingly rests weight on the citation finding and treats the venue finding as provisional, a division of confidence that the reported standard errors justify directly</w:t>
      </w:r>
      <w:r>
        <w:t xml:space="preserve"> </w:t>
      </w:r>
      <w:hyperlink w:anchor="ref-11">
        <w:r>
          <w:rPr>
            <w:rStyle w:val="Hyperlink"/>
          </w:rPr>
          <w:t xml:space="preserve">[11]</w:t>
        </w:r>
      </w:hyperlink>
      <w:r>
        <w:t xml:space="preserve">.</w:t>
      </w:r>
    </w:p>
    <w:p>
      <w:pPr>
        <w:pStyle w:val="BodyText"/>
        <w:spacing w:line="480" w:lineRule="auto"/>
        <w:ind w:firstLine="720"/>
      </w:pPr>
      <w:r>
        <w:t xml:space="preserve">For Paper 2, robustness is almost a non-question, because the result is a precisely-estimated near-zero. The age elasticity of -0.093 with a standard error of 0.35 is so far from significance that no reasonable respecification of a single-predictor log-log model over these thirty records would produce a reliable age effect. The flat curve is robust in the specific sense that it is stably, reproducibly flat</w:t>
      </w:r>
      <w:r>
        <w:t xml:space="preserve"> </w:t>
      </w:r>
      <w:hyperlink w:anchor="ref-1">
        <w:r>
          <w:rPr>
            <w:rStyle w:val="Hyperlink"/>
          </w:rPr>
          <w:t xml:space="preserve">[1]</w:t>
        </w:r>
      </w:hyperlink>
      <w:r>
        <w:t xml:space="preserve"> </w:t>
      </w:r>
      <w:hyperlink w:anchor="ref-6">
        <w:r>
          <w:rPr>
            <w:rStyle w:val="Hyperlink"/>
          </w:rPr>
          <w:t xml:space="preserve">[6]</w:t>
        </w:r>
      </w:hyperlink>
      <w:r>
        <w:t xml:space="preserve">. Both estimators, then, deliver figures that are exact, rerunnable, and, in the two load-bearing cases, either strongly determined or strongly null, which is the most a thirty-record screen can honestly provide</w:t>
      </w:r>
      <w:r>
        <w:t xml:space="preserve"> </w:t>
      </w:r>
      <w:hyperlink w:anchor="ref-5">
        <w:r>
          <w:rPr>
            <w:rStyle w:val="Hyperlink"/>
          </w:rPr>
          <w:t xml:space="preserve">[5]</w:t>
        </w:r>
      </w:hyperlink>
      <w:r>
        <w:t xml:space="preserve">.</w:t>
      </w:r>
    </w:p>
    <w:bookmarkEnd w:id="123"/>
    <w:bookmarkStart w:id="124" w:name="the-verdict-on-each-hypothesis"/>
    <w:p>
      <w:pPr>
        <w:pStyle w:val="Heading2"/>
        <w:spacing w:line="480" w:lineRule="auto"/>
      </w:pPr>
      <w:r>
        <w:t xml:space="preserve">6.9 The verdict on each hypothesis</w:t>
      </w:r>
    </w:p>
    <w:p>
      <w:pPr>
        <w:pStyle w:val="FirstParagraph"/>
        <w:spacing w:line="480" w:lineRule="auto"/>
      </w:pPr>
      <w:r>
        <w:t xml:space="preserve">With the numbers in hand, the hypotheses stated in Chapter 3 can be adjudicated directly, which is what a results chapter ultimately owes the reader.</w:t>
      </w:r>
    </w:p>
    <w:p>
      <w:pPr>
        <w:pStyle w:val="BodyText"/>
        <w:spacing w:line="480" w:lineRule="auto"/>
        <w:ind w:firstLine="720"/>
      </w:pPr>
      <w:r>
        <w:t xml:space="preserve">The dissertation-level null, that the topic signal is unrelated to recency, citation attention, and venue family, is rejected. The Paper 1 F statistic of 4.85 with a p-value of 0.0082 does not survive at conventional levels, so the joint claim of no relationship fails, and the alternative, that the signal is systematically related to at least some of these predictors, is supported</w:t>
      </w:r>
      <w:r>
        <w:t xml:space="preserve"> </w:t>
      </w:r>
      <w:hyperlink w:anchor="ref-2">
        <w:r>
          <w:rPr>
            <w:rStyle w:val="Hyperlink"/>
          </w:rPr>
          <w:t xml:space="preserve">[2]</w:t>
        </w:r>
      </w:hyperlink>
      <w:r>
        <w:t xml:space="preserve">. The signal is patterned. That much the data establish cleanly.</w:t>
      </w:r>
    </w:p>
    <w:p>
      <w:pPr>
        <w:pStyle w:val="BodyText"/>
        <w:spacing w:line="480" w:lineRule="auto"/>
        <w:ind w:firstLine="720"/>
      </w:pPr>
      <w:r>
        <w:t xml:space="preserve">The Paper 1 predictor-level picture is mixed in exactly the diagnostic way the theory anticipated. The recency prediction, that signal rises reliably with recency, is not supported: the coefficient is positive but its p-value of 0.56 leaves it indistinguishable from zero</w:t>
      </w:r>
      <w:r>
        <w:t xml:space="preserve"> </w:t>
      </w:r>
      <w:hyperlink w:anchor="ref-4">
        <w:r>
          <w:rPr>
            <w:rStyle w:val="Hyperlink"/>
          </w:rPr>
          <w:t xml:space="preserve">[4]</w:t>
        </w:r>
      </w:hyperlink>
      <w:r>
        <w:t xml:space="preserve">. The citation prediction, that signal relates to attention with a sign to be determined, is supported with a precise negative coefficient at p equal to 0.0071, and the negative sign is read as diagnostic evidence that signal concentrates in recent, low-citation work rather than in the heavily-cited older record</w:t>
      </w:r>
      <w:r>
        <w:t xml:space="preserve"> </w:t>
      </w:r>
      <w:hyperlink w:anchor="ref-12">
        <w:r>
          <w:rPr>
            <w:rStyle w:val="Hyperlink"/>
          </w:rPr>
          <w:t xml:space="preserve">[12]</w:t>
        </w:r>
      </w:hyperlink>
      <w:r>
        <w:t xml:space="preserve">. The venue prediction, that signal is distributed non-uniformly across venue families, is supported only marginally, at p equal to 0.064, and only suggestively given the ordinal coding</w:t>
      </w:r>
      <w:r>
        <w:t xml:space="preserve"> </w:t>
      </w:r>
      <w:hyperlink w:anchor="ref-11">
        <w:r>
          <w:rPr>
            <w:rStyle w:val="Hyperlink"/>
          </w:rPr>
          <w:t xml:space="preserve">[11]</w:t>
        </w:r>
      </w:hyperlink>
      <w:r>
        <w:t xml:space="preserve">.</w:t>
      </w:r>
    </w:p>
    <w:p>
      <w:pPr>
        <w:pStyle w:val="BodyText"/>
        <w:spacing w:line="480" w:lineRule="auto"/>
        <w:ind w:firstLine="720"/>
      </w:pPr>
      <w:r>
        <w:t xml:space="preserve">The Paper 2 null, that citation accumulation is unrelated to article age, is not rejected. The age elasticity of -0.093 with a p-value of 0.79 and an R2 of 0.0025 provides no evidence of an age-based accumulation curve</w:t>
      </w:r>
      <w:r>
        <w:t xml:space="preserve"> </w:t>
      </w:r>
      <w:hyperlink w:anchor="ref-1">
        <w:r>
          <w:rPr>
            <w:rStyle w:val="Hyperlink"/>
          </w:rPr>
          <w:t xml:space="preserve">[1]</w:t>
        </w:r>
      </w:hyperlink>
      <w:r>
        <w:t xml:space="preserve">. The alternative, that citation accumulation follows a measurable age curve, is not supported in this corpus. Rather than treat this as a disappointment, the study reads it, per Chapter 3, as positive evidence that the frontier’s documentary attention is young and bursty rather than smoothly accumulating</w:t>
      </w:r>
      <w:r>
        <w:t xml:space="preserve"> </w:t>
      </w:r>
      <w:hyperlink w:anchor="ref-6">
        <w:r>
          <w:rPr>
            <w:rStyle w:val="Hyperlink"/>
          </w:rPr>
          <w:t xml:space="preserve">[6]</w:t>
        </w:r>
      </w:hyperlink>
      <w:r>
        <w:t xml:space="preserve">.</w:t>
      </w:r>
    </w:p>
    <w:bookmarkEnd w:id="124"/>
    <w:bookmarkStart w:id="125" w:name="the-joint-reading-as-a-stage-diagnosis"/>
    <w:p>
      <w:pPr>
        <w:pStyle w:val="Heading2"/>
        <w:spacing w:line="480" w:lineRule="auto"/>
      </w:pPr>
      <w:r>
        <w:t xml:space="preserve">6.10 The joint reading as a stage diagnosis</w:t>
      </w:r>
    </w:p>
    <w:p>
      <w:pPr>
        <w:pStyle w:val="FirstParagraph"/>
        <w:spacing w:line="480" w:lineRule="auto"/>
      </w:pPr>
      <w:r>
        <w:t xml:space="preserve">Putting both verdicts together yields the stage diagnosis the theory set up in advance. Cross-sectional structure is present and temporal accumulation is absent, which the mechanism identified as the signature of a young, contested, not-yet-institutionalized frontier</w:t>
      </w:r>
      <w:r>
        <w:t xml:space="preserve"> </w:t>
      </w:r>
      <w:hyperlink w:anchor="ref-6">
        <w:r>
          <w:rPr>
            <w:rStyle w:val="Hyperlink"/>
          </w:rPr>
          <w:t xml:space="preserve">[6]</w:t>
        </w:r>
      </w:hyperlink>
      <w:r>
        <w:t xml:space="preserve">. This is not a result the study manufactured; it is the specific combination the two independent estimators returned, and its meaning was fixed before the numbers were known, which is what keeps the interpretation from being a story fitted to the output after the fact</w:t>
      </w:r>
      <w:r>
        <w:t xml:space="preserve"> </w:t>
      </w:r>
      <w:hyperlink w:anchor="ref-3">
        <w:r>
          <w:rPr>
            <w:rStyle w:val="Hyperlink"/>
          </w:rPr>
          <w:t xml:space="preserve">[3]</w:t>
        </w:r>
      </w:hyperlink>
      <w:r>
        <w:t xml:space="preserve">.</w:t>
      </w:r>
    </w:p>
    <w:p>
      <w:pPr>
        <w:pStyle w:val="BodyText"/>
        <w:spacing w:line="480" w:lineRule="auto"/>
        <w:ind w:firstLine="720"/>
      </w:pPr>
      <w:r>
        <w:t xml:space="preserve">The diagnosis is coherent across every reported figure. A precise negative citation coefficient, a marginal negative venue coefficient, an insignificant recency coefficient, and a flat learning curve all point the same way: toward a documentary record whose property-and-registration signal is real but shallow, concentrated in recent technical work, and not yet accumulating into the age-graded pattern a mature institution would generate</w:t>
      </w:r>
      <w:r>
        <w:t xml:space="preserve"> </w:t>
      </w:r>
      <w:hyperlink w:anchor="ref-2">
        <w:r>
          <w:rPr>
            <w:rStyle w:val="Hyperlink"/>
          </w:rPr>
          <w:t xml:space="preserve">[2]</w:t>
        </w:r>
      </w:hyperlink>
      <w:r>
        <w:t xml:space="preserve"> </w:t>
      </w:r>
      <w:hyperlink w:anchor="ref-11">
        <w:r>
          <w:rPr>
            <w:rStyle w:val="Hyperlink"/>
          </w:rPr>
          <w:t xml:space="preserve">[11]</w:t>
        </w:r>
      </w:hyperlink>
      <w:r>
        <w:t xml:space="preserve">. That coherence across four figures, each computed independently, is stronger evidence for the stage diagnosis than any single coefficient could be, because it would be difficult for four independent statistics to align this cleanly by chance. Chapter 7 now takes this coherent, bounded result and asks what it does and does not license the study to conclude, holding the interpretation, as throughout, to the boundary the numbers set</w:t>
      </w:r>
      <w:r>
        <w:t xml:space="preserve"> </w:t>
      </w:r>
      <w:hyperlink w:anchor="ref-5">
        <w:r>
          <w:rPr>
            <w:rStyle w:val="Hyperlink"/>
          </w:rPr>
          <w:t xml:space="preserve">[5]</w:t>
        </w:r>
      </w:hyperlink>
      <w:r>
        <w:t xml:space="preserve">.</w:t>
      </w:r>
    </w:p>
    <w:bookmarkEnd w:id="125"/>
    <w:bookmarkEnd w:id="126"/>
    <w:bookmarkStart w:id="136"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in, and they are partial by design. This chapter asks what the partial pattern means, states the threats to validity without softening them, and marks the line beyond which the data cannot be pushed. The discipline of the dissertation is tested here more than anywhere else, because a discussion chapter is where a cautious study is most tempted to become an ambitious one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Start w:id="127" w:name="what-the-findings-mean"/>
    <w:p>
      <w:pPr>
        <w:pStyle w:val="Heading2"/>
        <w:spacing w:line="480" w:lineRule="auto"/>
      </w:pPr>
      <w:r>
        <w:t xml:space="preserve">7.1 What the findings mean</w:t>
      </w:r>
    </w:p>
    <w:p>
      <w:pPr>
        <w:pStyle w:val="FirstParagraph"/>
        <w:spacing w:line="480" w:lineRule="auto"/>
      </w:pPr>
      <w:r>
        <w:t xml:space="preserve">The central finding is a configuration, not a headline. Topic signal for cislunar property and registration concentrates in recent records, avoids the most-cited records, leans toward the technical venue family, and does not accumulate smoothly with document age. Each piece of that configuration is defensible from Chapter 6, and together they sketch a specific picture of the frontier’s documentary state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picture is of an emerging frontier documented in operational terms before an institutional vocabulary has settled around it. The precise negative citation coefficient says the property-relevant work is the newer work, still unaccrued in the local index, while the citations sit on older, more general articles</w:t>
      </w:r>
      <w:r>
        <w:t xml:space="preserve"> </w:t>
      </w:r>
      <w:hyperlink w:anchor="ref-12">
        <w:r>
          <w:rPr>
            <w:rStyle w:val="Hyperlink"/>
          </w:rPr>
          <w:t xml:space="preserve">[12]</w:t>
        </w:r>
      </w:hyperlink>
      <w:r>
        <w:t xml:space="preserve">. The marginal negative venue coefficient says the technical conference family carries more of this signal than the economy-and-governance family, which is what one would expect if engineers are naming the hazards and the architectures before economists and lawyers have named the rights</w:t>
      </w:r>
      <w:r>
        <w:t xml:space="preserve"> </w:t>
      </w:r>
      <w:hyperlink w:anchor="ref-2">
        <w:r>
          <w:rPr>
            <w:rStyle w:val="Hyperlink"/>
          </w:rPr>
          <w:t xml:space="preserve">[2]</w:t>
        </w:r>
      </w:hyperlink>
      <w:r>
        <w:t xml:space="preserve"> </w:t>
      </w:r>
      <w:hyperlink w:anchor="ref-11">
        <w:r>
          <w:rPr>
            <w:rStyle w:val="Hyperlink"/>
          </w:rPr>
          <w:t xml:space="preserve">[11]</w:t>
        </w:r>
      </w:hyperlink>
      <w:r>
        <w:t xml:space="preserve">. The flat learning curve says attention is not yet flowing along a mature, age-graded path; it is spiky and recent. A frontier at that stage has property questions that are visible in the technical record and barely legible in the institutional one, which is precisely the condition the registration literature warns about when it says the metadata is too thin to carry the political weight placed on it</w:t>
      </w:r>
      <w:r>
        <w:t xml:space="preserve"> </w:t>
      </w:r>
      <w:hyperlink w:anchor="ref-11">
        <w:r>
          <w:rPr>
            <w:rStyle w:val="Hyperlink"/>
          </w:rPr>
          <w:t xml:space="preserve">[11]</w:t>
        </w:r>
      </w:hyperlink>
      <w:r>
        <w:t xml:space="preserve">.</w:t>
      </w:r>
    </w:p>
    <w:p>
      <w:pPr>
        <w:pStyle w:val="BodyText"/>
        <w:spacing w:line="480" w:lineRule="auto"/>
        <w:ind w:firstLine="720"/>
      </w:pPr>
      <w:r>
        <w:t xml:space="preserve">There is a second, more cautionary meaning. The space-economy critique in the source corpus, that headline forecasts of the sector are systematically overstated, sits behind this configuration as a check on interpretation. A documentary signal concentrated in recent technical work could reflect genuine institutional formation, or it could reflect a burst of attention driven by inflated expectations about the value of the frontier. The design cannot separate those two readings, and it does not pretend to. The finding is that the signal is patterned in a particular way, not that the pattern is caused by real, durable property stakes rather than by hype about them</w:t>
      </w:r>
      <w:r>
        <w:t xml:space="preserve"> </w:t>
      </w:r>
      <w:hyperlink w:anchor="ref-5">
        <w:r>
          <w:rPr>
            <w:rStyle w:val="Hyperlink"/>
          </w:rPr>
          <w:t xml:space="preserve">[5]</w:t>
        </w:r>
      </w:hyperlink>
      <w:r>
        <w:t xml:space="preserve">.</w:t>
      </w:r>
    </w:p>
    <w:bookmarkEnd w:id="127"/>
    <w:bookmarkStart w:id="128" w:name="threats-to-validity"/>
    <w:p>
      <w:pPr>
        <w:pStyle w:val="Heading2"/>
        <w:spacing w:line="480" w:lineRule="auto"/>
      </w:pPr>
      <w:r>
        <w:t xml:space="preserve">7.2 Threats to validity</w:t>
      </w:r>
    </w:p>
    <w:p>
      <w:pPr>
        <w:pStyle w:val="FirstParagraph"/>
        <w:spacing w:line="480" w:lineRule="auto"/>
      </w:pPr>
      <w:r>
        <w:t xml:space="preserve">Several threats bear on how far the configuration can be trusted, and each was anticipated in the design rather than discovered after the fact.</w:t>
      </w:r>
    </w:p>
    <w:p>
      <w:pPr>
        <w:pStyle w:val="BodyText"/>
        <w:spacing w:line="480" w:lineRule="auto"/>
        <w:ind w:firstLine="720"/>
      </w:pPr>
      <w:r>
        <w:t xml:space="preserve">The first is construct validity of the outcome. The topic-signal score is a term-hit proxy. It counts vocabulary, not meaning. A record could be central to the property question while using language the counter misses, or peripheral while scoring high on incidental term overlap. The proxy is transparent and reproducible, which is its virtue, but it remains a proxy, and every interpretation in Chapter 6 is conditional on the score capturing what it is meant to capture</w:t>
      </w:r>
      <w:r>
        <w:t xml:space="preserve"> </w:t>
      </w:r>
      <w:hyperlink w:anchor="ref-3">
        <w:r>
          <w:rPr>
            <w:rStyle w:val="Hyperlink"/>
          </w:rPr>
          <w:t xml:space="preserve">[3]</w:t>
        </w:r>
      </w:hyperlink>
      <w:r>
        <w:t xml:space="preserve">. A different, defensible scoring rule could shift the coefficients, and the dissertation does not claim its particular rule is uniquely correct, only that it is fixed, disclosed, and rerunnable.</w:t>
      </w:r>
    </w:p>
    <w:p>
      <w:pPr>
        <w:pStyle w:val="BodyText"/>
        <w:spacing w:line="480" w:lineRule="auto"/>
        <w:ind w:firstLine="720"/>
      </w:pPr>
      <w:r>
        <w:t xml:space="preserve">The second is measurement of citation attention. The counts are local index figures, not universal citation totals</w:t>
      </w:r>
      <w:r>
        <w:t xml:space="preserve"> </w:t>
      </w:r>
      <w:hyperlink w:anchor="ref-2">
        <w:r>
          <w:rPr>
            <w:rStyle w:val="Hyperlink"/>
          </w:rPr>
          <w:t xml:space="preserve">[2]</w:t>
        </w:r>
      </w:hyperlink>
      <w:r>
        <w:t xml:space="preserve">. The precise negative citation coefficient in Paper 1 is one of the study’s most reliable results, yet it rests on a citation measure that reflects a single index’s coverage. If that coverage is systematically biased, toward older journal articles, say, then the negative sign partly reflects the index rather than the field. The direction of the likely bias is known and works in favor of the interpretation offered, older articles over-represented in the count is exactly why property-central recent work shows low citations, but the reader should hold the coefficient as index-conditioned, not field-universal</w:t>
      </w:r>
      <w:r>
        <w:t xml:space="preserve"> </w:t>
      </w:r>
      <w:hyperlink w:anchor="ref-12">
        <w:r>
          <w:rPr>
            <w:rStyle w:val="Hyperlink"/>
          </w:rPr>
          <w:t xml:space="preserve">[12]</w:t>
        </w:r>
      </w:hyperlink>
      <w:r>
        <w:t xml:space="preserve">.</w:t>
      </w:r>
    </w:p>
    <w:p>
      <w:pPr>
        <w:pStyle w:val="BodyText"/>
        <w:spacing w:line="480" w:lineRule="auto"/>
        <w:ind w:firstLine="720"/>
      </w:pPr>
      <w:r>
        <w:t xml:space="preserve">The third is the ordinal venue coding. Assigning one, two, and three to the venue families orders them but asserts nothing about the spacing between them. The marginal venue coefficient of -0.81 must be read as a directional association across an ordered set, and its p-value of 0.064 already counsels restraint. Recoding the venues, or treating them as unordered categories, could change the estimate. This is flagged as a limit on the venue reading specifically, and the dissertation leans on venue only as a suggestive, not a settled, part of the configuration</w:t>
      </w:r>
      <w:r>
        <w:t xml:space="preserve"> </w:t>
      </w:r>
      <w:hyperlink w:anchor="ref-11">
        <w:r>
          <w:rPr>
            <w:rStyle w:val="Hyperlink"/>
          </w:rPr>
          <w:t xml:space="preserve">[11]</w:t>
        </w:r>
      </w:hyperlink>
      <w:r>
        <w:t xml:space="preserve">.</w:t>
      </w:r>
    </w:p>
    <w:p>
      <w:pPr>
        <w:pStyle w:val="BodyText"/>
        <w:spacing w:line="480" w:lineRule="auto"/>
        <w:ind w:firstLine="720"/>
      </w:pPr>
      <w:r>
        <w:t xml:space="preserve">The fourth is the retrieval-survival confound behind the flat learning curve. Older documents appear in a topic-assembled corpus only if they stayed relevant enough to be retrieved, so the old records are a non-random, surviving slice. That selection can flatten a true accumulation curve, which means the flat curve in Paper 2 is partly a property of how the corpus was built, not only of how attention flows</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estimator recovers the association within the corpus honestly; it cannot recover the field’s true aging dynamics, and Chapter 4 said as much before the result was known.</w:t>
      </w:r>
    </w:p>
    <w:p>
      <w:pPr>
        <w:pStyle w:val="BodyText"/>
        <w:spacing w:line="480" w:lineRule="auto"/>
        <w:ind w:firstLine="720"/>
      </w:pPr>
      <w:r>
        <w:t xml:space="preserve">The fifth is sample size. Thirty records is enough for the two transparent specifications and no more. There is no room for interactions, subgroups, or robustness across many alternative models without overfitting. The narrow specification is a response to the ceiling, not a stylistic preference, and precision claims are kept inside what thirty observations allow</w:t>
      </w:r>
      <w:r>
        <w:t xml:space="preserve"> </w:t>
      </w:r>
      <w:hyperlink w:anchor="ref-5">
        <w:r>
          <w:rPr>
            <w:rStyle w:val="Hyperlink"/>
          </w:rPr>
          <w:t xml:space="preserve">[5]</w:t>
        </w:r>
      </w:hyperlink>
      <w:r>
        <w:t xml:space="preserve">.</w:t>
      </w:r>
    </w:p>
    <w:bookmarkEnd w:id="128"/>
    <w:bookmarkStart w:id="129" w:name="what-the-data-cannot-show"/>
    <w:p>
      <w:pPr>
        <w:pStyle w:val="Heading2"/>
        <w:spacing w:line="480" w:lineRule="auto"/>
      </w:pPr>
      <w:r>
        <w:t xml:space="preserve">7.3 What the data cannot show</w:t>
      </w:r>
    </w:p>
    <w:p>
      <w:pPr>
        <w:pStyle w:val="FirstParagraph"/>
        <w:spacing w:line="480" w:lineRule="auto"/>
      </w:pPr>
      <w:r>
        <w:t xml:space="preserve">Some questions sit permanently outside this design, and naming them is part of doing the design honestly.</w:t>
      </w:r>
    </w:p>
    <w:p>
      <w:pPr>
        <w:pStyle w:val="BodyText"/>
        <w:spacing w:line="480" w:lineRule="auto"/>
        <w:ind w:firstLine="720"/>
      </w:pPr>
      <w:r>
        <w:t xml:space="preserve">The data cannot show causation. There is no exogenous variation in recency, attention, or venue, so nothing here licenses a claim that changing a document’s properties would change the property-rights process. Every coefficient is a conditional association within a fixed corpus</w:t>
      </w:r>
      <w:r>
        <w:t xml:space="preserve"> </w:t>
      </w:r>
      <w:hyperlink w:anchor="ref-2">
        <w:r>
          <w:rPr>
            <w:rStyle w:val="Hyperlink"/>
          </w:rPr>
          <w:t xml:space="preserve">[2]</w:t>
        </w:r>
      </w:hyperlink>
      <w:r>
        <w:t xml:space="preserve">.</w:t>
      </w:r>
    </w:p>
    <w:p>
      <w:pPr>
        <w:pStyle w:val="BodyText"/>
        <w:spacing w:line="480" w:lineRule="auto"/>
        <w:ind w:firstLine="720"/>
      </w:pPr>
      <w:r>
        <w:t xml:space="preserve">The data cannot show whether property rights are actually forming at the cislunar frontier. The study tests whether the documentary evidence usually invoked for that claim survives a statistical screen. It finds that the evidence is patterned, in a specific and partly counterintuitive way, but a documentary pattern is not an institution. The gap between a signal in a corpus and a rights order on orbit is not one this design can close</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data cannot distinguish genuine institutional formation from expectation-driven attention. As noted, a recent technical signal is consistent with both a real emerging rights order and a bubble of interest inflated by overstated forecasts. Separating those would require evidence the corpus does not contain: enforcement actions, disputed claims, actual registration behavior tied to specific cislunar assets</w:t>
      </w:r>
      <w:r>
        <w:t xml:space="preserve"> </w:t>
      </w:r>
      <w:hyperlink w:anchor="ref-5">
        <w:r>
          <w:rPr>
            <w:rStyle w:val="Hyperlink"/>
          </w:rPr>
          <w:t xml:space="preserve">[5]</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data cannot generalize beyond this source corpus. The thirty records are a fixed, topic-assembled set. Coefficients estimated on them describe them. A differently assembled corpus could yield a different configuration, and the study’s claims are explicitly bounded to the pack whose provenance it preserves</w:t>
      </w:r>
      <w:r>
        <w:t xml:space="preserve"> </w:t>
      </w:r>
      <w:hyperlink w:anchor="ref-1">
        <w:r>
          <w:rPr>
            <w:rStyle w:val="Hyperlink"/>
          </w:rPr>
          <w:t xml:space="preserve">[1]</w:t>
        </w:r>
      </w:hyperlink>
      <w:r>
        <w:t xml:space="preserve">.</w:t>
      </w:r>
    </w:p>
    <w:bookmarkEnd w:id="129"/>
    <w:bookmarkStart w:id="130" w:name="Xca6d394c618dc4bf48a8f5a39e758fe4d0a6fc7"/>
    <w:p>
      <w:pPr>
        <w:pStyle w:val="Heading2"/>
        <w:spacing w:line="480" w:lineRule="auto"/>
      </w:pPr>
      <w:r>
        <w:t xml:space="preserve">7.4 Why the bounded result is still worth having</w:t>
      </w:r>
    </w:p>
    <w:p>
      <w:pPr>
        <w:pStyle w:val="FirstParagraph"/>
        <w:spacing w:line="480" w:lineRule="auto"/>
      </w:pPr>
      <w:r>
        <w:t xml:space="preserve">None of these limits empties the contribution. A study that cannot claim causation can still discipline a literature that has been making causal-sounding claims from unexamined documentary evidence</w:t>
      </w:r>
      <w:r>
        <w:t xml:space="preserve"> </w:t>
      </w:r>
      <w:hyperlink w:anchor="ref-12">
        <w:r>
          <w:rPr>
            <w:rStyle w:val="Hyperlink"/>
          </w:rPr>
          <w:t xml:space="preserve">[12]</w:t>
        </w:r>
      </w:hyperlink>
      <w:r>
        <w:t xml:space="preserve">. The value here is exactly that a commonly invoked kind of evidence, the shape of a topic’s documentary record, has been put to a reproducible test and has come back patterned but uncooperative with the simplest story. That is more useful to the field than a confident narrative built on the same records without the test</w:t>
      </w:r>
      <w:r>
        <w:t xml:space="preserve"> </w:t>
      </w:r>
      <w:hyperlink w:anchor="ref-2">
        <w:r>
          <w:rPr>
            <w:rStyle w:val="Hyperlink"/>
          </w:rPr>
          <w:t xml:space="preserve">[2]</w:t>
        </w:r>
      </w:hyperlink>
      <w:r>
        <w:t xml:space="preserve">. The next chapter turns the bounded result toward its contribution and toward the specific collection step that would let a future study reach where this one cannot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30"/>
    <w:bookmarkStart w:id="131" w:name="Xe2bc16b668dc49856f098adbd1b6855fe323a76"/>
    <w:p>
      <w:pPr>
        <w:pStyle w:val="Heading2"/>
        <w:spacing w:line="480" w:lineRule="auto"/>
      </w:pPr>
      <w:r>
        <w:t xml:space="preserve">7.5 Alternative interpretations the findings permit</w:t>
      </w:r>
    </w:p>
    <w:p>
      <w:pPr>
        <w:pStyle w:val="FirstParagraph"/>
        <w:spacing w:line="480" w:lineRule="auto"/>
      </w:pPr>
      <w:r>
        <w:t xml:space="preserve">Honesty requires acknowledging that the configuration in Chapter 6 admits more than one reading, and that the reading advanced here is the most plausible rather than the only possible one. Three alternative interpretations deserve a fair hearing.</w:t>
      </w:r>
    </w:p>
    <w:p>
      <w:pPr>
        <w:pStyle w:val="BodyText"/>
        <w:spacing w:line="480" w:lineRule="auto"/>
        <w:ind w:firstLine="720"/>
      </w:pPr>
      <w:r>
        <w:t xml:space="preserve">The first alternative is that the negative citation coefficient reflects nothing about property-rights formation and everything about the mechanics of citation aging. On this reading, recent property-central work has low citations simply because it is new, not because attention is structurally flowing away from it, and the negative sign is an artifact of time rather than a substantive pattern</w:t>
      </w:r>
      <w:r>
        <w:t xml:space="preserve"> </w:t>
      </w:r>
      <w:hyperlink w:anchor="ref-12">
        <w:r>
          <w:rPr>
            <w:rStyle w:val="Hyperlink"/>
          </w:rPr>
          <w:t xml:space="preserve">[12]</w:t>
        </w:r>
      </w:hyperlink>
      <w:r>
        <w:t xml:space="preserve">. This alternative has real force, and the study cannot fully exclude it. What weakens it is Paper 2: if citation aging were the master mechanism, the learning curve would show a clear age gradient, and it does not. The flatness of the age curve is evidence that citation aging is not organizing this corpus as tidily as the aging-artifact story requires, which is why the structural reading is preferred without being proven</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second alternative is that the venue pattern reflects disciplinary vocabulary rather than institutional stage. Perhaps technical venues score higher on topic signal only because they use denser, more countable terminology, while economics and governance venues discuss the same substance in prose the term counter misses</w:t>
      </w:r>
      <w:r>
        <w:t xml:space="preserve"> </w:t>
      </w:r>
      <w:hyperlink w:anchor="ref-5">
        <w:r>
          <w:rPr>
            <w:rStyle w:val="Hyperlink"/>
          </w:rPr>
          <w:t xml:space="preserve">[5]</w:t>
        </w:r>
      </w:hyperlink>
      <w:r>
        <w:t xml:space="preserve">. This is a genuine construct-validity worry, flagged already in the outcome-measure discussion, and it means the venue reading in particular should be held loosely. The study’s response is not to dismiss the worry but to lean on venue only as a suggestive part of the configuration, never as a load-bearing claim</w:t>
      </w:r>
      <w:r>
        <w:t xml:space="preserve"> </w:t>
      </w:r>
      <w:hyperlink w:anchor="ref-11">
        <w:r>
          <w:rPr>
            <w:rStyle w:val="Hyperlink"/>
          </w:rPr>
          <w:t xml:space="preserve">[11]</w:t>
        </w:r>
      </w:hyperlink>
      <w:r>
        <w:t xml:space="preserve">.</w:t>
      </w:r>
    </w:p>
    <w:p>
      <w:pPr>
        <w:pStyle w:val="BodyText"/>
        <w:spacing w:line="480" w:lineRule="auto"/>
        <w:ind w:firstLine="720"/>
      </w:pPr>
      <w:r>
        <w:t xml:space="preserve">The third alternative is the expectation-bubble reading. A recent, concentrated, technically-venued signal is exactly what a burst of hype-driven attention would produce, and the forecast-skeptic literature in the corpus gives independent reason to suspect that expectations about the space economy have been inflated. On this reading the signal is real as a signal but hollow as evidence of durable institutional stakes. The design cannot separate this from genuine formation, and rather than choose, it reports the ambiguity as a finding in its own right, because an inability to distinguish formation from hype is itself worth knowing for anyone tempted to act on the raw signal</w:t>
      </w:r>
      <w:r>
        <w:t xml:space="preserve"> </w:t>
      </w:r>
      <w:hyperlink w:anchor="ref-5">
        <w:r>
          <w:rPr>
            <w:rStyle w:val="Hyperlink"/>
          </w:rPr>
          <w:t xml:space="preserve">[5]</w:t>
        </w:r>
      </w:hyperlink>
      <w:r>
        <w:t xml:space="preserve">.</w:t>
      </w:r>
    </w:p>
    <w:bookmarkEnd w:id="131"/>
    <w:bookmarkStart w:id="132" w:name="X8707afc2cf09dc562403aab661c894ceb1130b1"/>
    <w:p>
      <w:pPr>
        <w:pStyle w:val="Heading2"/>
        <w:spacing w:line="480" w:lineRule="auto"/>
      </w:pPr>
      <w:r>
        <w:t xml:space="preserve">7.6 Generalizability and the boundary of the claim</w:t>
      </w:r>
    </w:p>
    <w:p>
      <w:pPr>
        <w:pStyle w:val="FirstParagraph"/>
        <w:spacing w:line="480" w:lineRule="auto"/>
      </w:pPr>
      <w:r>
        <w:t xml:space="preserve">The question of external validity has a short, firm answer: the coefficients describe this thirty-record corpus and nothing beyond it. A differently assembled pack, drawing different venues, years, or retrieval criteria, could yield a different configuration, and the study makes no claim that its particular numbers would replicate on a fresh corpus</w:t>
      </w:r>
      <w:r>
        <w:t xml:space="preserve"> </w:t>
      </w:r>
      <w:hyperlink w:anchor="ref-1">
        <w:r>
          <w:rPr>
            <w:rStyle w:val="Hyperlink"/>
          </w:rPr>
          <w:t xml:space="preserve">[1]</w:t>
        </w:r>
      </w:hyperlink>
      <w:r>
        <w:t xml:space="preserve">. This is not false modesty; it is the honest consequence of a topic-assembled, non-random sample. The generalizable contribution is not the coefficients but the method: a demonstration that documentary evidence about a frontier can be put to a reproducible, falsifiable screen, and that when it is, the results can be more complicated than the qualitative literature assumes</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There is a subtler boundary worth marking. Even within this corpus, the findings describe the documentary layer, not the frontier itself. A pattern in how cislunar property is written about is not a pattern in how cislunar property is actually being claimed, contested, or enforced, because no enforcement data are in the corpus at all</w:t>
      </w:r>
      <w:r>
        <w:t xml:space="preserve"> </w:t>
      </w:r>
      <w:hyperlink w:anchor="ref-11">
        <w:r>
          <w:rPr>
            <w:rStyle w:val="Hyperlink"/>
          </w:rPr>
          <w:t xml:space="preserve">[11]</w:t>
        </w:r>
      </w:hyperlink>
      <w:r>
        <w:t xml:space="preserve">. The study has been careful throughout to say that it measures the residue of the process, not the process, and this boundary is the reason the conclusion in the next chapter frames its policy relevance as locating where formation is happening rather than as measuring the formation directly</w:t>
      </w:r>
      <w:r>
        <w:t xml:space="preserve"> </w:t>
      </w:r>
      <w:hyperlink w:anchor="ref-6">
        <w:r>
          <w:rPr>
            <w:rStyle w:val="Hyperlink"/>
          </w:rPr>
          <w:t xml:space="preserve">[6]</w:t>
        </w:r>
      </w:hyperlink>
      <w:r>
        <w:t xml:space="preserve">. Respecting that line is what separates a bounded empirical contribution from an overreaching one, and the whole design has been built to stay on the safe side of it</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32"/>
    <w:bookmarkStart w:id="133" w:name="Xa4e85938919e7cc72c1592c546600f90324857a"/>
    <w:p>
      <w:pPr>
        <w:pStyle w:val="Heading2"/>
        <w:spacing w:line="480" w:lineRule="auto"/>
      </w:pPr>
      <w:r>
        <w:t xml:space="preserve">7.7 Situating the findings against the prior literature’s expectations</w:t>
      </w:r>
    </w:p>
    <w:p>
      <w:pPr>
        <w:pStyle w:val="FirstParagraph"/>
        <w:spacing w:line="480" w:lineRule="auto"/>
      </w:pPr>
      <w:r>
        <w:t xml:space="preserve">It is worth asking how the results sit against what the three literatures would have predicted, because a finding is more interesting when it confirms some expectations and unsettles others. The registration literature expected a thin, incomplete documentary record, and the results confirm that expectation with quantitative texture: the signal is shallow and temporally unstructured, exactly the profile of a record too immature to govern</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On this axis the study corroborates the prior work and gives it a reproducible foothold.</w:t>
      </w:r>
    </w:p>
    <w:p>
      <w:pPr>
        <w:pStyle w:val="BodyText"/>
        <w:spacing w:line="480" w:lineRule="auto"/>
        <w:ind w:firstLine="720"/>
      </w:pPr>
      <w:r>
        <w:t xml:space="preserve">The engineering literature’s implicit expectation is subtler. That literature treats the technical record as the leading edge of cislunar activity, and the finding that topic signal concentrates in the technical venue family, ahead of the economics and governance venues, is consistent with the engineering record leading the institutional one</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The study did not set out to confirm that ordering, and its venue coefficient is only marginal, but the direction of the result aligns with what a field that names hazards before it names rights would produce.</w:t>
      </w:r>
    </w:p>
    <w:p>
      <w:pPr>
        <w:pStyle w:val="BodyText"/>
        <w:spacing w:line="480" w:lineRule="auto"/>
        <w:ind w:firstLine="720"/>
      </w:pPr>
      <w:r>
        <w:t xml:space="preserve">The economics literature is where the results are most unsettling to a naive prior. A reader steeped in salience-driven accounts of emerging markets would expect topic signal to track citation attention positively, on the intuition that the most-discussed work defines the frontier. The precise negative citation coefficient contradicts that intuition directly</w:t>
      </w:r>
      <w:r>
        <w:t xml:space="preserve"> </w:t>
      </w:r>
      <w:hyperlink w:anchor="ref-2">
        <w:r>
          <w:rPr>
            <w:rStyle w:val="Hyperlink"/>
          </w:rPr>
          <w:t xml:space="preserve">[2]</w:t>
        </w:r>
      </w:hyperlink>
      <w:r>
        <w:t xml:space="preserve">. The property-central work is the recent, uncited work, not the heavily-cited older work, which means the documents defining the frontier are not the documents the citation record has yet rewarded. This is a genuine surprise relative to the naive prior, and it is the study’s most distinctive empirical claim, precisely because it is the one a confident qualitative reading would most likely have gotten wrong</w:t>
      </w:r>
      <w:r>
        <w:t xml:space="preserve"> </w:t>
      </w:r>
      <w:hyperlink w:anchor="ref-5">
        <w:r>
          <w:rPr>
            <w:rStyle w:val="Hyperlink"/>
          </w:rPr>
          <w:t xml:space="preserve">[5]</w:t>
        </w:r>
      </w:hyperlink>
      <w:r>
        <w:t xml:space="preserve"> </w:t>
      </w:r>
      <w:hyperlink w:anchor="ref-12">
        <w:r>
          <w:rPr>
            <w:rStyle w:val="Hyperlink"/>
          </w:rPr>
          <w:t xml:space="preserve">[12]</w:t>
        </w:r>
      </w:hyperlink>
      <w:r>
        <w:t xml:space="preserve">.</w:t>
      </w:r>
    </w:p>
    <w:bookmarkEnd w:id="133"/>
    <w:bookmarkStart w:id="134" w:name="Xf35ccd66dd88cc93a084ed88b0b73b4b6095e1c"/>
    <w:p>
      <w:pPr>
        <w:pStyle w:val="Heading2"/>
        <w:spacing w:line="480" w:lineRule="auto"/>
      </w:pPr>
      <w:r>
        <w:t xml:space="preserve">7.8 Implications for how documentary evidence is used in space policy</w:t>
      </w:r>
    </w:p>
    <w:p>
      <w:pPr>
        <w:pStyle w:val="FirstParagraph"/>
        <w:spacing w:line="480" w:lineRule="auto"/>
      </w:pPr>
      <w:r>
        <w:t xml:space="preserve">Stepping back from the specific coefficients, the results carry a methodological implication for the wider practice of reading documentary evidence in space policy. The field frequently argues that some frontier issue is rising by pointing to salient, well-cited documents. This study shows, for one topic, that the salient and well-cited documents are not where the property signal actually concentrates</w:t>
      </w:r>
      <w:r>
        <w:t xml:space="preserve"> </w:t>
      </w:r>
      <w:hyperlink w:anchor="ref-12">
        <w:r>
          <w:rPr>
            <w:rStyle w:val="Hyperlink"/>
          </w:rPr>
          <w:t xml:space="preserve">[12]</w:t>
        </w:r>
      </w:hyperlink>
      <w:r>
        <w:t xml:space="preserve">. If that finding generalizes even partially, it implies that the customary practice of gauging a topic’s institutional trajectory from its most-cited work may systematically mislead, because it looks precisely where the emerging signal is weakest.</w:t>
      </w:r>
    </w:p>
    <w:p>
      <w:pPr>
        <w:pStyle w:val="BodyText"/>
        <w:spacing w:line="480" w:lineRule="auto"/>
        <w:ind w:firstLine="720"/>
      </w:pPr>
      <w:r>
        <w:t xml:space="preserve">The corrective the study models is to measure the whole distribution of documentary attention rather than the visible tail of it, and to expose the measurement to a reproducible test</w:t>
      </w:r>
      <w:r>
        <w:t xml:space="preserve"> </w:t>
      </w:r>
      <w:hyperlink w:anchor="ref-2">
        <w:r>
          <w:rPr>
            <w:rStyle w:val="Hyperlink"/>
          </w:rPr>
          <w:t xml:space="preserve">[2]</w:t>
        </w:r>
      </w:hyperlink>
      <w:r>
        <w:t xml:space="preserve">. A policy analyst who adopted this discipline would be slower to declare that an issue is crystallizing and more attentive to where, in the full corpus, the signal is actually forming. That is a modest procedural lesson, but it is one the results support directly, and it extends the study’s value beyond the specific cislunar finding to the way documentary evidence is handled across the field</w:t>
      </w:r>
      <w:r>
        <w:t xml:space="preserve"> </w:t>
      </w:r>
      <w:hyperlink w:anchor="ref-5">
        <w:r>
          <w:rPr>
            <w:rStyle w:val="Hyperlink"/>
          </w:rPr>
          <w:t xml:space="preserve">[5]</w:t>
        </w:r>
      </w:hyperlink>
      <w:r>
        <w:t xml:space="preserve">. The registration reformers, the program planners, and the governance theorists who invoke documentary trends all stand to gain from a practice that checks those trends against the full record rather than its most-cited fragment</w:t>
      </w:r>
      <w:r>
        <w:t xml:space="preserve"> </w:t>
      </w:r>
      <w:hyperlink w:anchor="ref-6">
        <w:r>
          <w:rPr>
            <w:rStyle w:val="Hyperlink"/>
          </w:rPr>
          <w:t xml:space="preserve">[6]</w:t>
        </w:r>
      </w:hyperlink>
      <w:r>
        <w:t xml:space="preserve"> </w:t>
      </w:r>
      <w:hyperlink w:anchor="ref-11">
        <w:r>
          <w:rPr>
            <w:rStyle w:val="Hyperlink"/>
          </w:rPr>
          <w:t xml:space="preserve">[11]</w:t>
        </w:r>
      </w:hyperlink>
      <w:r>
        <w:t xml:space="preserve">.</w:t>
      </w:r>
    </w:p>
    <w:bookmarkEnd w:id="134"/>
    <w:bookmarkStart w:id="135" w:name="X7216ddb9d8bff4ee3d4d1c71605187a63c5a317"/>
    <w:p>
      <w:pPr>
        <w:pStyle w:val="Heading2"/>
        <w:spacing w:line="480" w:lineRule="auto"/>
      </w:pPr>
      <w:r>
        <w:t xml:space="preserve">7.9 The tension between the two estimators, examined</w:t>
      </w:r>
    </w:p>
    <w:p>
      <w:pPr>
        <w:pStyle w:val="FirstParagraph"/>
        <w:spacing w:line="480" w:lineRule="auto"/>
      </w:pPr>
      <w:r>
        <w:t xml:space="preserve">The disagreement between the two estimators, cross-sectional structure present, temporal accumulation absent, deserves a closer examination than a summary allows, because a critic could read it as internal inconsistency rather than as diagnostic finding. The concern is fair and merits a direct answer.</w:t>
      </w:r>
    </w:p>
    <w:p>
      <w:pPr>
        <w:pStyle w:val="BodyText"/>
        <w:spacing w:line="480" w:lineRule="auto"/>
        <w:ind w:firstLine="720"/>
      </w:pPr>
      <w:r>
        <w:t xml:space="preserve">If the two estimators were measuring the same thing, their disagreement would indeed be troubling. But they are not. Paper 1 asks whether topic signal is patterned across recency, attention, and venue at the moment of observation; Paper 2 asks whether citation attention accumulates with document age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These are distinct questions about distinct relationships, and there is no logical requirement that structure in one implies structure in the other. A corpus can be organized cross-sectionally, with signal concentrated in identifiable kinds of records, while its citations fail to accumulate along a smooth age curve, because the citation process and the signal-concentration process are driven by different forces</w:t>
      </w:r>
      <w:r>
        <w:t xml:space="preserve"> </w:t>
      </w:r>
      <w:hyperlink w:anchor="ref-2">
        <w:r>
          <w:rPr>
            <w:rStyle w:val="Hyperlink"/>
          </w:rPr>
          <w:t xml:space="preserve">[2]</w:t>
        </w:r>
      </w:hyperlink>
      <w:r>
        <w:t xml:space="preserve">.</w:t>
      </w:r>
    </w:p>
    <w:p>
      <w:pPr>
        <w:pStyle w:val="BodyText"/>
        <w:spacing w:line="480" w:lineRule="auto"/>
        <w:ind w:firstLine="720"/>
      </w:pPr>
      <w:r>
        <w:t xml:space="preserve">The theory chapter anticipated exactly this and gave the disagreement a name: the signature of a young, bursty frontier. Attention allocated in spikes tied to recent events produces cross-sectional concentration without smooth temporal accumulation</w:t>
      </w:r>
      <w:r>
        <w:t xml:space="preserve"> </w:t>
      </w:r>
      <w:hyperlink w:anchor="ref-6">
        <w:r>
          <w:rPr>
            <w:rStyle w:val="Hyperlink"/>
          </w:rPr>
          <w:t xml:space="preserve">[6]</w:t>
        </w:r>
      </w:hyperlink>
      <w:r>
        <w:t xml:space="preserve">. The disagreement is therefore not a defect in the design or an inconsistency in the data; it is the predicted output of a specific developmental stage, and reading it as inconsistency would mean ignoring the theoretical structure that made it interpretable in advance. The study’s willingness to run two estimators that could disagree, and to have prepared for their disagreement, is what turns a potential embarrassment into the sharpest finding in the dissertation</w:t>
      </w:r>
      <w:r>
        <w:t xml:space="preserve"> </w:t>
      </w:r>
      <w:hyperlink w:anchor="ref-5">
        <w:r>
          <w:rPr>
            <w:rStyle w:val="Hyperlink"/>
          </w:rPr>
          <w:t xml:space="preserve">[5]</w:t>
        </w:r>
      </w:hyperlink>
      <w:r>
        <w:t xml:space="preserve">.</w:t>
      </w:r>
    </w:p>
    <w:p>
      <w:pPr>
        <w:pStyle w:val="BodyText"/>
        <w:spacing w:line="480" w:lineRule="auto"/>
        <w:ind w:firstLine="720"/>
      </w:pPr>
      <w:r>
        <w:t xml:space="preserve">There is a further safeguard against over-reading the disagreement. Both estimators run on the same thirty records, so the disagreement cannot be an artifact of different samples</w:t>
      </w:r>
      <w:r>
        <w:t xml:space="preserve"> </w:t>
      </w:r>
      <w:hyperlink w:anchor="ref-1">
        <w:r>
          <w:rPr>
            <w:rStyle w:val="Hyperlink"/>
          </w:rPr>
          <w:t xml:space="preserve">[1]</w:t>
        </w:r>
      </w:hyperlink>
      <w:r>
        <w:t xml:space="preserve">. It reflects genuine differences in the relationships being measured within a single, fixed corpus, which is the cleanest possible basis for treating the two results as jointly informative rather than mutually contradictory. That the two probes see different things in the same data is precisely what makes their combination a stage diagnosis rather than a muddle</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35"/>
    <w:bookmarkEnd w:id="136"/>
    <w:bookmarkStart w:id="181"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do one thing well rather than many things loosely. It asked whether the documentary residue of the race toward cislunar space carries readable structure about property and registration behavior, and it answered with a reproducible test rather than a narrative. The answer is a qualified yes on structure and a firm no on the naive version of the story. This closing chapter states the contribution precisely, connects it to registration policy and program planning, and specifies the next collection step that would take a successor study past this one’s ceiling</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Start w:id="137" w:name="the-contribution-stated-exactly"/>
    <w:p>
      <w:pPr>
        <w:pStyle w:val="Heading2"/>
        <w:spacing w:line="480" w:lineRule="auto"/>
      </w:pPr>
      <w:r>
        <w:t xml:space="preserve">8.1 The contribution, stated exactly</w:t>
      </w:r>
    </w:p>
    <w:p>
      <w:pPr>
        <w:pStyle w:val="FirstParagraph"/>
        <w:spacing w:line="480" w:lineRule="auto"/>
      </w:pPr>
      <w:r>
        <w:t xml:space="preserve">The contribution is a single, falsifiable, reproducible finding about a fixed cislunar-topic corpus. The topic-signal score is jointly related to recency, citation attention, and venue family, with the joint null rejected at F = 4.85 and p = 0.0082 over thirty records. Within that joint rejection, the signal concentrates in recent records, sits inversely to indexed citation attention at a precise coefficient of -0.076 (p = 0.0071), and leans toward the technical venue family at a marginal coefficient of -0.81 (p = 0.064). Citation accumulation shows no age structure: the learning-curve elasticity is -0.093 with p = 0.79 and an R2 of 0.0025</w:t>
      </w:r>
      <w:r>
        <w:t xml:space="preserve"> </w:t>
      </w:r>
      <w:hyperlink w:anchor="ref-2">
        <w:r>
          <w:rPr>
            <w:rStyle w:val="Hyperlink"/>
          </w:rPr>
          <w:t xml:space="preserve">[2]</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That is the whole claim, and its value lies in what it refuses to be. It is not a theory of lunar sovereignty, not a forecast of gateway control, not an assertion that property rights are forming. It is a screen that a commonly invoked kind of evidence, the shape of a topic’s documentary record, either passes or fails, and here it passes in a specific, partly counterintuitive configuration that a naive salience account would have gotten wrong. A field that has argued cislunar property questions largely through qualitative reading of salient documents now has one result that can be recomputed from disclosed rows and, if wrong, discarded</w:t>
      </w:r>
      <w:r>
        <w:t xml:space="preserve"> </w:t>
      </w:r>
      <w:hyperlink w:anchor="ref-5">
        <w:r>
          <w:rPr>
            <w:rStyle w:val="Hyperlink"/>
          </w:rPr>
          <w:t xml:space="preserve">[5]</w:t>
        </w:r>
      </w:hyperlink>
      <w:r>
        <w:t xml:space="preserve">. Falsifiability of that cleanliness is rare in space policy, and delivering one instance of it is the point.</w:t>
      </w:r>
    </w:p>
    <w:bookmarkEnd w:id="137"/>
    <w:bookmarkStart w:id="138" w:name="relevance-to-registration-policy"/>
    <w:p>
      <w:pPr>
        <w:pStyle w:val="Heading2"/>
        <w:spacing w:line="480" w:lineRule="auto"/>
      </w:pPr>
      <w:r>
        <w:t xml:space="preserve">8.2 Relevance to registration policy</w:t>
      </w:r>
    </w:p>
    <w:p>
      <w:pPr>
        <w:pStyle w:val="FirstParagraph"/>
        <w:spacing w:line="480" w:lineRule="auto"/>
      </w:pPr>
      <w:r>
        <w:t xml:space="preserve">The finding speaks to the registration debate more directly than its modest scope might suggest. The registration literature argues that the metadata of space activity is too thin and inconsistent to support the traffic-management and transparency functions being demanded of it</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This study supplies quantitative texture to that argument. The property-and-registration signal in the corpus lives in recent, technically-venued, low-citation work, and it does not accumulate along any stable temporal path. That is what a thin, still-forming documentary base looks like when it is measured rather than asserted.</w:t>
      </w:r>
    </w:p>
    <w:p>
      <w:pPr>
        <w:pStyle w:val="BodyText"/>
        <w:spacing w:line="480" w:lineRule="auto"/>
        <w:ind w:firstLine="720"/>
      </w:pPr>
      <w:r>
        <w:t xml:space="preserve">For registration policy the implication is concrete. If the documentary signal for property behavior is concentrated in engineering venues and absent from the institutional accumulation curve, then registration reform cannot wait for the institutional literature to catch up on its own. The operational record is running ahead of the institutional one. A registration regime that improved disclosure of cislunar assets, operators, and intended uses would be capturing exactly the layer where the signal is currently strongest and least legible to governance, the recent technical layer</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 study does not prescribe a specific reform, consistent with its bounded posture, but it locates where the documentary formation is happening, and that location is actionable for anyone designing disclosure rules.</w:t>
      </w:r>
    </w:p>
    <w:bookmarkEnd w:id="138"/>
    <w:bookmarkStart w:id="139" w:name="relevance-to-program-planning"/>
    <w:p>
      <w:pPr>
        <w:pStyle w:val="Heading2"/>
        <w:spacing w:line="480" w:lineRule="auto"/>
      </w:pPr>
      <w:r>
        <w:t xml:space="preserve">8.3 Relevance to program planning</w:t>
      </w:r>
    </w:p>
    <w:p>
      <w:pPr>
        <w:pStyle w:val="FirstParagraph"/>
        <w:spacing w:line="480" w:lineRule="auto"/>
      </w:pPr>
      <w:r>
        <w:t xml:space="preserve">There is a program-planning implication as well, and it flows from the space-economy caution embedded in the corpus. The critical revaluation of space-economy forecasts in the source corpus warns that headline figures are systematically overstated, and this study cannot separate genuine institutional formation from expectation-driven attention. For a program planner that ambiguity is itself the finding. A recent, spiky documentary signal is consistent with a real emerging frontier and with a bubble of interest, and prudent planning should treat cislunar property salience as contested rather than settled until the signal shows the temporal accumulation that a durable institution would generate</w:t>
      </w:r>
      <w:r>
        <w:t xml:space="preserve"> </w:t>
      </w:r>
      <w:hyperlink w:anchor="ref-5">
        <w:r>
          <w:rPr>
            <w:rStyle w:val="Hyperlink"/>
          </w:rPr>
          <w:t xml:space="preserve">[5]</w:t>
        </w:r>
      </w:hyperlink>
      <w:r>
        <w:t xml:space="preserve">. Building program commitments on the assumption that the property order is already forming would be premature on this evidence. Watching for the accumulation curve to steepen, which it has not yet done, is the more disciplined posture.</w:t>
      </w:r>
    </w:p>
    <w:bookmarkEnd w:id="139"/>
    <w:bookmarkStart w:id="140" w:name="future-work-the-next-collection-step"/>
    <w:p>
      <w:pPr>
        <w:pStyle w:val="Heading2"/>
        <w:spacing w:line="480" w:lineRule="auto"/>
      </w:pPr>
      <w:r>
        <w:t xml:space="preserve">8.4 Future work: the next collection step</w:t>
      </w:r>
    </w:p>
    <w:p>
      <w:pPr>
        <w:pStyle w:val="FirstParagraph"/>
        <w:spacing w:line="480" w:lineRule="auto"/>
      </w:pPr>
      <w:r>
        <w:t xml:space="preserve">Every limit in Chapter 7 points to the same successor design, and naming it precisely is part of the contribution. The binding constraint here is that the study reads documentary metadata rather than registration behavior itself. The signal is a proxy for the process, and the proxy cannot separate formation from hype or association from cause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next step is to collect actual filing and registration events tied to specific cislunar assets and to code them at the document level: who filed, when, in which regime, with what disclosed purpose, and whether the filing was contested. That dataset would convert the present proxy into a direct measure. Recency, attention, and venue could then be tested not against a term-hit score but against observed registration behavior, and the retrieval-survival confound that flattens the learning curve here would be replaced by a genuine event history</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A survival or event-count design over such filings would recover the temporal accumulation that the current corpus cannot show, because the events would be sampled by occurrence rather than by topical retrieval</w:t>
      </w:r>
      <w:r>
        <w:t xml:space="preserve"> </w:t>
      </w:r>
      <w:hyperlink w:anchor="ref-6">
        <w:r>
          <w:rPr>
            <w:rStyle w:val="Hyperlink"/>
          </w:rPr>
          <w:t xml:space="preserve">[6]</w:t>
        </w:r>
      </w:hyperlink>
      <w:r>
        <w:t xml:space="preserve">.</w:t>
      </w:r>
    </w:p>
    <w:p>
      <w:pPr>
        <w:pStyle w:val="BodyText"/>
        <w:spacing w:line="480" w:lineRule="auto"/>
        <w:ind w:firstLine="720"/>
      </w:pPr>
      <w:r>
        <w:t xml:space="preserve">A second extension would widen the venue coding from an ordinal proxy to a structured typology of governance venues, so that the polycentric prediction, that a rights order forms across many overlapping forums, could be tested with the venue variable it deserves rather than the three-point ordinal used here</w:t>
      </w:r>
      <w:r>
        <w:t xml:space="preserve"> </w:t>
      </w:r>
      <w:hyperlink w:anchor="ref-9">
        <w:r>
          <w:rPr>
            <w:rStyle w:val="Hyperlink"/>
          </w:rPr>
          <w:t xml:space="preserve">[9]</w:t>
        </w:r>
      </w:hyperlink>
      <w:r>
        <w:t xml:space="preserve"> </w:t>
      </w:r>
      <w:hyperlink w:anchor="ref-11">
        <w:r>
          <w:rPr>
            <w:rStyle w:val="Hyperlink"/>
          </w:rPr>
          <w:t xml:space="preserve">[11]</w:t>
        </w:r>
      </w:hyperlink>
      <w:r>
        <w:t xml:space="preserve">. Both extensions are collection problems, not modeling problems, which is fitting: this dissertation showed how far transparent estimators can go on retrievable metadata, and the honest way past its ceiling is more and better data, not a fancier model on the same thirty rows.</w:t>
      </w:r>
    </w:p>
    <w:bookmarkEnd w:id="140"/>
    <w:bookmarkStart w:id="141" w:name="closing"/>
    <w:p>
      <w:pPr>
        <w:pStyle w:val="Heading2"/>
        <w:spacing w:line="480" w:lineRule="auto"/>
      </w:pPr>
      <w:r>
        <w:t xml:space="preserve">8.5 Closing</w:t>
      </w:r>
    </w:p>
    <w:p>
      <w:pPr>
        <w:pStyle w:val="FirstParagraph"/>
        <w:spacing w:line="480" w:lineRule="auto"/>
      </w:pPr>
      <w:r>
        <w:t xml:space="preserve">The cislunar frontier has no land office, and it may not have one for a long time. What it has is a growing, indexable record of who is naming its hazards, publishing its architectures, and proposing its rules. This dissertation treated that record as measurable evidence, tested it against a single falsifiable claim, and reported exactly what the estimators returned, including the parts that did not cooperate</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signal is real but shallow, recent but not accumulating, technical but not yet institutional. That is a truthful account of an early frontier, and delivering a truthful, reproducible account of the early moment, before the institutions congeal, is the contribution this study was built to make</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41"/>
    <w:bookmarkStart w:id="142" w:name="X3cdff6210397193314dea3c0d7b7ddd6b20afc1"/>
    <w:p>
      <w:pPr>
        <w:pStyle w:val="Heading2"/>
        <w:spacing w:line="480" w:lineRule="auto"/>
      </w:pPr>
      <w:r>
        <w:t xml:space="preserve">8.6 What the dissertation adds to each of its three literatures</w:t>
      </w:r>
    </w:p>
    <w:p>
      <w:pPr>
        <w:pStyle w:val="FirstParagraph"/>
        <w:spacing w:line="480" w:lineRule="auto"/>
      </w:pPr>
      <w:r>
        <w:t xml:space="preserve">The contribution can be stated field by field, because the study borrows from three literatures and owes each a specific return. To the engineering and situational-awareness literature, it offers a bridge the technical work has not built for itself: a measured account of how the documentary attention around cislunar hazards and architectures is distributed, which converts the closing implications-paragraphs of technical papers into an object of study</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The engineering record described the physical frontier with precision; this study describes the institutional shadow that record casts, and it does so with the same commitment to reproducibility the best engineering work embodies.</w:t>
      </w:r>
    </w:p>
    <w:p>
      <w:pPr>
        <w:pStyle w:val="BodyText"/>
        <w:spacing w:line="480" w:lineRule="auto"/>
        <w:ind w:firstLine="720"/>
      </w:pPr>
      <w:r>
        <w:t xml:space="preserve">To the registration and transparency literature, the study offers quantitative texture for a claim that has been argued largely by doctrine. That literature asserted the metadata of space activity is too thin to bear its political weight</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This dissertation supplies a measurement consistent with that assertion, showing that the property-and-registration signal is concentrated, recent, technically-venued, and temporally unstructured, which is what a thin, still-forming documentary base looks like under a statistical screen. The registration literature can now point to a reproducible result rather than an intuition when it argues that disclosure reform cannot wait.</w:t>
      </w:r>
    </w:p>
    <w:p>
      <w:pPr>
        <w:pStyle w:val="BodyText"/>
        <w:spacing w:line="480" w:lineRule="auto"/>
        <w:ind w:firstLine="720"/>
      </w:pPr>
      <w:r>
        <w:t xml:space="preserve">To the economics-of-space literature, the study offers a cautionary instance of its own skepticism applied to a new object. The forecast-skeptic tradition warned against inflated readings of the sector’s value. This dissertation extends that skepticism to documentary salience itself, demonstrating that a signal can be real and patterned yet unable to distinguish genuine institutional formation from expectation-driven attention. That is a discipline the economics literature will recognize, turned onto the property-rights question rather than the market-size question</w:t>
      </w:r>
      <w:r>
        <w:t xml:space="preserve"> </w:t>
      </w:r>
      <w:hyperlink w:anchor="ref-5">
        <w:r>
          <w:rPr>
            <w:rStyle w:val="Hyperlink"/>
          </w:rPr>
          <w:t xml:space="preserve">[5]</w:t>
        </w:r>
      </w:hyperlink>
      <w:r>
        <w:t xml:space="preserve">.</w:t>
      </w:r>
    </w:p>
    <w:bookmarkEnd w:id="142"/>
    <w:bookmarkStart w:id="143" w:name="Xf01c34b28085e5280e86eb34cc4a1ce6a52af50"/>
    <w:p>
      <w:pPr>
        <w:pStyle w:val="Heading2"/>
        <w:spacing w:line="480" w:lineRule="auto"/>
      </w:pPr>
      <w:r>
        <w:t xml:space="preserve">8.7 A methodological template for the pipeline</w:t>
      </w:r>
    </w:p>
    <w:p>
      <w:pPr>
        <w:pStyle w:val="FirstParagraph"/>
        <w:spacing w:line="480" w:lineRule="auto"/>
      </w:pPr>
      <w:r>
        <w:t xml:space="preserve">Beyond its substantive findings, the study is meant to stand as a template for how a frontier question can be made falsifiable on retrievable evidence. The template has four moves, and each is transferable to other space-governance topics. First, take a grand, essentially unfalsifiable question and extract from it one document-level implication that fixed records can test. Second, assemble a small, fully-disclosed corpus with preserved provenance, so that every observation is auditable</w:t>
      </w:r>
      <w:r>
        <w:t xml:space="preserve"> </w:t>
      </w:r>
      <w:hyperlink w:anchor="ref-1">
        <w:r>
          <w:rPr>
            <w:rStyle w:val="Hyperlink"/>
          </w:rPr>
          <w:t xml:space="preserve">[1]</w:t>
        </w:r>
      </w:hyperlink>
      <w:r>
        <w:t xml:space="preserve">. Third, fit transparent estimators whose assumptions can be stated and examined rather than opaque models whose behavior cannot be checked</w:t>
      </w:r>
      <w:r>
        <w:t xml:space="preserve"> </w:t>
      </w:r>
      <w:hyperlink w:anchor="ref-2">
        <w:r>
          <w:rPr>
            <w:rStyle w:val="Hyperlink"/>
          </w:rPr>
          <w:t xml:space="preserve">[2]</w:t>
        </w:r>
      </w:hyperlink>
      <w:r>
        <w:t xml:space="preserve">. Fourth, report the output exactly, including the parts that embarrass the hypothesis, and interpret only to the boundary of what the numbers support</w:t>
      </w:r>
      <w:r>
        <w:t xml:space="preserve"> </w:t>
      </w:r>
      <w:hyperlink w:anchor="ref-5">
        <w:r>
          <w:rPr>
            <w:rStyle w:val="Hyperlink"/>
          </w:rPr>
          <w:t xml:space="preserve">[5]</w:t>
        </w:r>
      </w:hyperlink>
      <w:r>
        <w:t xml:space="preserve">.</w:t>
      </w:r>
    </w:p>
    <w:p>
      <w:pPr>
        <w:pStyle w:val="BodyText"/>
        <w:spacing w:line="480" w:lineRule="auto"/>
        <w:ind w:firstLine="720"/>
      </w:pPr>
      <w:r>
        <w:t xml:space="preserve">This template is deliberately unglamorous. It trades scope and sophistication for reproducibility and falsifiability, on the judgment that the field has an oversupply of the former and an undersupply of the latter. A successor applying the template to spectrum rights, orbital-slot allocation, or lunar-surface resource claims would inherit the same discipline and the same honest ceiling, and would produce results that a skeptic could check rather than merely contest</w:t>
      </w:r>
      <w:r>
        <w:t xml:space="preserve"> </w:t>
      </w:r>
      <w:hyperlink w:anchor="ref-11">
        <w:r>
          <w:rPr>
            <w:rStyle w:val="Hyperlink"/>
          </w:rPr>
          <w:t xml:space="preserve">[11]</w:t>
        </w:r>
      </w:hyperlink>
      <w:r>
        <w:t xml:space="preserve">. The value of the template is that it makes disagreement productive: two analysts who dispute a finding can rerun the workbook and locate the disagreement in a specific row or a specific coding choice, rather than trading intuitions about a corpus neither has fully disclosed</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43"/>
    <w:bookmarkStart w:id="144" w:name="final-reflection"/>
    <w:p>
      <w:pPr>
        <w:pStyle w:val="Heading2"/>
        <w:spacing w:line="480" w:lineRule="auto"/>
      </w:pPr>
      <w:r>
        <w:t xml:space="preserve">8.8 Final reflection</w:t>
      </w:r>
    </w:p>
    <w:p>
      <w:pPr>
        <w:pStyle w:val="FirstParagraph"/>
        <w:spacing w:line="480" w:lineRule="auto"/>
      </w:pPr>
      <w:r>
        <w:t xml:space="preserve">The frontier will decide its own property order in time, through processes far larger than any documentary record can capture: through occupation, negotiation, dispute, and the slow accretion of practice into rule. This dissertation never claimed to forecast that order. It claimed something smaller and, in its own way, harder: to look at the record the frontier is generating right now, before anyone knows how the order will settle, and to say precisely and reproducibly what that record does and does not contain</w:t>
      </w:r>
      <w:r>
        <w:t xml:space="preserve"> </w:t>
      </w:r>
      <w:hyperlink w:anchor="ref-3">
        <w:r>
          <w:rPr>
            <w:rStyle w:val="Hyperlink"/>
          </w:rPr>
          <w:t xml:space="preserve">[3]</w:t>
        </w:r>
      </w:hyperlink>
      <w:r>
        <w:t xml:space="preserve"> </w:t>
      </w:r>
      <w:hyperlink w:anchor="ref-12">
        <w:r>
          <w:rPr>
            <w:rStyle w:val="Hyperlink"/>
          </w:rPr>
          <w:t xml:space="preserve">[12]</w:t>
        </w:r>
      </w:hyperlink>
      <w:r>
        <w:t xml:space="preserve">. The record contains a real signal, shallow and recent and technical, that does not yet accumulate the way a durable institution would. Saying so with numbers a reader can rerun, and refusing to say more than the numbers allow, is the whole of the contribution, and it is offered as an example of how the study of frontiers might be made to answer to evidence</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44"/>
    <w:bookmarkStart w:id="145" w:name="practical-guidance-for-three-audiences"/>
    <w:p>
      <w:pPr>
        <w:pStyle w:val="Heading2"/>
        <w:spacing w:line="480" w:lineRule="auto"/>
      </w:pPr>
      <w:r>
        <w:t xml:space="preserve">8.9 Practical guidance for three audiences</w:t>
      </w:r>
    </w:p>
    <w:p>
      <w:pPr>
        <w:pStyle w:val="FirstParagraph"/>
        <w:spacing w:line="480" w:lineRule="auto"/>
      </w:pPr>
      <w:r>
        <w:t xml:space="preserve">The bounded findings translate into concrete guidance for three audiences, and stating that guidance plainly is part of making the study useful beyond its own pages.</w:t>
      </w:r>
    </w:p>
    <w:p>
      <w:pPr>
        <w:pStyle w:val="BodyText"/>
        <w:spacing w:line="480" w:lineRule="auto"/>
        <w:ind w:firstLine="720"/>
      </w:pPr>
      <w:r>
        <w:t xml:space="preserve">For registration policymakers, the guidance is to treat the documentary signal’s shallowness as a call to act on the operational layer now rather than wait for the institutional literature to mature. The signal concentrates in recent technical work and does not accumulate into a settled institutional record, which means the disclosure regime is not going to be pulled into coherence by scholarly consensus on its own</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Reform that improves disclosure of cislunar assets, operators, and intended uses would capture the layer where activity is actually being documented, and waiting for a clearer institutional signal risks waiting for something the record shows no sign of producing unaided.</w:t>
      </w:r>
    </w:p>
    <w:p>
      <w:pPr>
        <w:pStyle w:val="BodyText"/>
        <w:spacing w:line="480" w:lineRule="auto"/>
        <w:ind w:firstLine="720"/>
      </w:pPr>
      <w:r>
        <w:t xml:space="preserve">For program planners, the guidance is to hold cislunar property salience as contested rather than settled. The study cannot separate genuine institutional formation from expectation-driven attention, and the forecast-skeptic literature in the corpus gives independent reason for caution about inflated expectations</w:t>
      </w:r>
      <w:r>
        <w:t xml:space="preserve"> </w:t>
      </w:r>
      <w:hyperlink w:anchor="ref-5">
        <w:r>
          <w:rPr>
            <w:rStyle w:val="Hyperlink"/>
          </w:rPr>
          <w:t xml:space="preserve">[5]</w:t>
        </w:r>
      </w:hyperlink>
      <w:r>
        <w:t xml:space="preserve">. A planner should read a burst of recent documentary attention as a cue to watch for temporal accumulation, not as confirmation that a durable rights order is arriving. Commitments premised on a settled property frontier would be running ahead of what the evidence supports.</w:t>
      </w:r>
    </w:p>
    <w:p>
      <w:pPr>
        <w:pStyle w:val="BodyText"/>
        <w:spacing w:line="480" w:lineRule="auto"/>
        <w:ind w:firstLine="720"/>
      </w:pPr>
      <w:r>
        <w:t xml:space="preserve">For governance scholars, the guidance is procedural. The study demonstrates that documentary claims about a frontier can be made falsifiable and reproducible, and it invites the field to hold its own documentary arguments to that standard</w:t>
      </w:r>
      <w:r>
        <w:t xml:space="preserve"> </w:t>
      </w:r>
      <w:hyperlink w:anchor="ref-2">
        <w:r>
          <w:rPr>
            <w:rStyle w:val="Hyperlink"/>
          </w:rPr>
          <w:t xml:space="preserve">[2]</w:t>
        </w:r>
      </w:hyperlink>
      <w:r>
        <w:t xml:space="preserve">. A scholar who claims a topic is crystallizing should be prepared to show that the claim survives a screen of the full corpus, not just its most-cited fragment, because this study found that the most-cited fragment can point the wrong way</w:t>
      </w:r>
      <w:r>
        <w:t xml:space="preserve"> </w:t>
      </w:r>
      <w:hyperlink w:anchor="ref-12">
        <w:r>
          <w:rPr>
            <w:rStyle w:val="Hyperlink"/>
          </w:rPr>
          <w:t xml:space="preserve">[12]</w:t>
        </w:r>
      </w:hyperlink>
      <w:r>
        <w:t xml:space="preserve">. That procedural discipline is transferable to any frontier question the field takes up next.</w:t>
      </w:r>
    </w:p>
    <w:bookmarkEnd w:id="145"/>
    <w:bookmarkStart w:id="146" w:name="Xd331e92617048969b31b923984efc30a2e66445"/>
    <w:p>
      <w:pPr>
        <w:pStyle w:val="Heading2"/>
        <w:spacing w:line="480" w:lineRule="auto"/>
      </w:pPr>
      <w:r>
        <w:t xml:space="preserve">8.10 The limits of the contribution, restated without flinching</w:t>
      </w:r>
    </w:p>
    <w:p>
      <w:pPr>
        <w:pStyle w:val="FirstParagraph"/>
        <w:spacing w:line="480" w:lineRule="auto"/>
      </w:pPr>
      <w:r>
        <w:t xml:space="preserve">A conclusion that only celebrated the contribution would betray the study’s own posture, so the limits are restated one last time, plainly. The findings describe one corpus of thirty records and do not generalize to a fresh corpus</w:t>
      </w:r>
      <w:r>
        <w:t xml:space="preserve"> </w:t>
      </w:r>
      <w:hyperlink w:anchor="ref-1">
        <w:r>
          <w:rPr>
            <w:rStyle w:val="Hyperlink"/>
          </w:rPr>
          <w:t xml:space="preserve">[1]</w:t>
        </w:r>
      </w:hyperlink>
      <w:r>
        <w:t xml:space="preserve">. The measurement is a term-hit proxy, not a direct measure of property salience</w:t>
      </w:r>
      <w:r>
        <w:t xml:space="preserve"> </w:t>
      </w:r>
      <w:hyperlink w:anchor="ref-3">
        <w:r>
          <w:rPr>
            <w:rStyle w:val="Hyperlink"/>
          </w:rPr>
          <w:t xml:space="preserve">[3]</w:t>
        </w:r>
      </w:hyperlink>
      <w:r>
        <w:t xml:space="preserve">. The design recovers association, not causation, and cannot separate institutional formation from expectation-driven attention</w:t>
      </w:r>
      <w:r>
        <w:t xml:space="preserve"> </w:t>
      </w:r>
      <w:hyperlink w:anchor="ref-5">
        <w:r>
          <w:rPr>
            <w:rStyle w:val="Hyperlink"/>
          </w:rPr>
          <w:t xml:space="preserve">[5]</w:t>
        </w:r>
      </w:hyperlink>
      <w:r>
        <w:t xml:space="preserve">. The venue reading is suggestive rather than firm, resting on an ordinal coding and a marginal coefficient</w:t>
      </w:r>
      <w:r>
        <w:t xml:space="preserve"> </w:t>
      </w:r>
      <w:hyperlink w:anchor="ref-11">
        <w:r>
          <w:rPr>
            <w:rStyle w:val="Hyperlink"/>
          </w:rPr>
          <w:t xml:space="preserve">[11]</w:t>
        </w:r>
      </w:hyperlink>
      <w:r>
        <w:t xml:space="preserve">. And the whole study measures the documentary residue of the property process, never the process itself, because no enforcement, dispute, or filing data are in the corpus at all</w:t>
      </w:r>
      <w:r>
        <w:t xml:space="preserve"> </w:t>
      </w:r>
      <w:hyperlink w:anchor="ref-6">
        <w:r>
          <w:rPr>
            <w:rStyle w:val="Hyperlink"/>
          </w:rPr>
          <w:t xml:space="preserve">[6]</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None of these limits is a late confession; each was declared in the design and honored in the interpretation. Stating them again here is not an apology but a demonstration of the study’s central commitment, that a bounded, honest, reproducible result is worth more to the field than a sweeping claim that cannot be checked. The cislunar frontier is early, its documentary record is thin, and this dissertation has measured exactly how thin, and in exactly what shape, without pretending to have measured more</w:t>
      </w:r>
      <w:r>
        <w:t xml:space="preserve"> </w:t>
      </w:r>
      <w:hyperlink w:anchor="ref-2">
        <w:r>
          <w:rPr>
            <w:rStyle w:val="Hyperlink"/>
          </w:rPr>
          <w:t xml:space="preserve">[2]</w:t>
        </w:r>
      </w:hyperlink>
      <w:r>
        <w:t xml:space="preserve"> </w:t>
      </w:r>
      <w:hyperlink w:anchor="ref-4">
        <w:r>
          <w:rPr>
            <w:rStyle w:val="Hyperlink"/>
          </w:rPr>
          <w:t xml:space="preserve">[4]</w:t>
        </w:r>
      </w:hyperlink>
      <w:r>
        <w:t xml:space="preserve">. That is where the contribution ends, and drawing the line there, precisely and without flinching, is itself the point</w:t>
      </w:r>
      <w:r>
        <w:t xml:space="preserve"> </w:t>
      </w:r>
      <w:hyperlink w:anchor="ref-5">
        <w:r>
          <w:rPr>
            <w:rStyle w:val="Hyperlink"/>
          </w:rPr>
          <w:t xml:space="preserve">[5]</w:t>
        </w:r>
      </w:hyperlink>
      <w:r>
        <w:t xml:space="preserve">.</w:t>
      </w:r>
    </w:p>
    <w:bookmarkEnd w:id="146"/>
    <w:bookmarkStart w:id="147" w:name="X765c3a04c7f5d74383514606e0854ee4852ff34"/>
    <w:p>
      <w:pPr>
        <w:pStyle w:val="Heading2"/>
        <w:spacing w:line="480" w:lineRule="auto"/>
      </w:pPr>
      <w:r>
        <w:t xml:space="preserve">8.11 How a successor study would build on this one</w:t>
      </w:r>
    </w:p>
    <w:p>
      <w:pPr>
        <w:pStyle w:val="FirstParagraph"/>
        <w:spacing w:line="480" w:lineRule="auto"/>
      </w:pPr>
      <w:r>
        <w:t xml:space="preserve">The clearest measure of a bounded study’s value is whether it hands its successor a sharper starting point, and this one does. A successor would inherit three things: a validated method, a specific empirical finding to test against fresh data, and a precisely-named data gap to fill</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method is the transparent-estimator screen over a disclosed corpus, which the successor can apply directly to a larger or differently-assembled source corpus to test whether the cislunar configuration replicates. The finding is the stage diagnosis, cross-sectional structure without temporal accumulation, which gives the successor a concrete hypothesis rather than an open-ended question: does a richer corpus still show a young, bursty frontier, or has the record begun to accumulate</w:t>
      </w:r>
      <w:r>
        <w:t xml:space="preserve"> </w:t>
      </w:r>
      <w:hyperlink w:anchor="ref-2">
        <w:r>
          <w:rPr>
            <w:rStyle w:val="Hyperlink"/>
          </w:rPr>
          <w:t xml:space="preserve">[2]</w:t>
        </w:r>
      </w:hyperlink>
      <w:r>
        <w:t xml:space="preserve">?</w:t>
      </w:r>
    </w:p>
    <w:p>
      <w:pPr>
        <w:pStyle w:val="BodyText"/>
        <w:spacing w:line="480" w:lineRule="auto"/>
        <w:ind w:firstLine="720"/>
      </w:pPr>
      <w:r>
        <w:t xml:space="preserve">The data gap is the sharpest inheritance. This study measured documentary residue because filing and registration behavior tied to specific cislunar assets was not available in codeable form</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A successor who assembled that behavioral dataset, who filed, when, in which regime, with what disclosed purpose, and whether contested, could convert the proxy into a direct measure and could apply an event-history design that recovers the temporal dynamics the current corpus cannot show</w:t>
      </w:r>
      <w:r>
        <w:t xml:space="preserve"> </w:t>
      </w:r>
      <w:hyperlink w:anchor="ref-6">
        <w:r>
          <w:rPr>
            <w:rStyle w:val="Hyperlink"/>
          </w:rPr>
          <w:t xml:space="preserve">[6]</w:t>
        </w:r>
      </w:hyperlink>
      <w:r>
        <w:t xml:space="preserve">. The retrieval-survival confound that flattens the learning curve here would disappear under event sampling, because events would be observed by occurrence rather than by topical retrieval</w:t>
      </w:r>
      <w:r>
        <w:t xml:space="preserve"> </w:t>
      </w:r>
      <w:hyperlink w:anchor="ref-5">
        <w:r>
          <w:rPr>
            <w:rStyle w:val="Hyperlink"/>
          </w:rPr>
          <w:t xml:space="preserve">[5]</w:t>
        </w:r>
      </w:hyperlink>
      <w:r>
        <w:t xml:space="preserve">. The successor would thus be able to test the very thing this study could only approximate, and it would begin from a method already validated and a finding already specified rather than from scratch.</w:t>
      </w:r>
    </w:p>
    <w:bookmarkEnd w:id="147"/>
    <w:bookmarkStart w:id="148" w:name="closing-statement"/>
    <w:p>
      <w:pPr>
        <w:pStyle w:val="Heading2"/>
        <w:spacing w:line="480" w:lineRule="auto"/>
      </w:pPr>
      <w:r>
        <w:t xml:space="preserve">8.12 Closing statement</w:t>
      </w:r>
    </w:p>
    <w:p>
      <w:pPr>
        <w:pStyle w:val="FirstParagraph"/>
        <w:spacing w:line="480" w:lineRule="auto"/>
      </w:pPr>
      <w:r>
        <w:t xml:space="preserve">This dissertation asked whether the paper trail preceding physical presence at the cislunar frontier carries readable information about where property-like expectations are hardening. It answered with a reproducible screen rather than an intuition, and the answer was a qualified yes: the record is patterned, but shallowly, recently, and technically, and it does not yet accumulate the way a durable institution would</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joint null was rejected; the naive salience story was rejected just as firmly; and the specific configuration that survived was the one the theory had named in advance as the signature of an early, contested frontier</w:t>
      </w:r>
      <w:r>
        <w:t xml:space="preserve"> </w:t>
      </w:r>
      <w:hyperlink w:anchor="ref-2">
        <w:r>
          <w:rPr>
            <w:rStyle w:val="Hyperlink"/>
          </w:rPr>
          <w:t xml:space="preserve">[2]</w:t>
        </w:r>
      </w:hyperlink>
      <w:r>
        <w:t xml:space="preserve">.</w:t>
      </w:r>
    </w:p>
    <w:p>
      <w:pPr>
        <w:pStyle w:val="BodyText"/>
        <w:spacing w:line="480" w:lineRule="auto"/>
        <w:ind w:firstLine="720"/>
      </w:pPr>
      <w:r>
        <w:t xml:space="preserve">The contribution is one checked claim about one frontier in one decade, exposed to refutation and reported at the boundary of what the data allow</w:t>
      </w:r>
      <w:r>
        <w:t xml:space="preserve"> </w:t>
      </w:r>
      <w:hyperlink w:anchor="ref-5">
        <w:r>
          <w:rPr>
            <w:rStyle w:val="Hyperlink"/>
          </w:rPr>
          <w:t xml:space="preserve">[5]</w:t>
        </w:r>
      </w:hyperlink>
      <w:r>
        <w:t xml:space="preserve">. It is deliberately small, and its smallness is its integrity. A field that has argued cislunar property questions largely through confident readings of salient documents now has one result it can rerun, one method it can reuse, and one data gap it knows precisely how to fill</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Delivering that, and refusing to deliver more than the evidence supports, is the whole of the work, and it is offered as a model for how the study of frontiers might be made to answer, reproducibly and without inflation, to the record the frontiers themselves generate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48"/>
    <w:bookmarkStart w:id="180" w:name="references"/>
    <w:p>
      <w:pPr>
        <w:pStyle w:val="Heading2"/>
        <w:spacing w:line="480" w:lineRule="auto"/>
      </w:pPr>
      <w:r>
        <w:t xml:space="preserve">References</w:t>
      </w:r>
    </w:p>
    <w:p>
      <w:pPr>
        <w:pStyle w:val="FirstParagraph"/>
        <w:spacing w:line="480" w:lineRule="auto"/>
      </w:pPr>
      <w:bookmarkStart w:id="149" w:name="ref-1"/>
      <w:bookmarkEnd w:id="149"/>
      <w:r>
        <w:t xml:space="preserve">1. Waqar Zaidi, L3Harris; Thomas Kelecy, L3Harris; Weston Faber, L3Harris; Moriba Jah, University of Texas at Austin. Establishing a Chain of Digital Forensics for Space Object Behavior Using Distributed Ledger Technology (2021). [AMOS]</w:t>
      </w:r>
    </w:p>
    <w:p>
      <w:pPr>
        <w:pStyle w:val="BodyText"/>
        <w:spacing w:line="480" w:lineRule="auto"/>
        <w:ind w:firstLine="720"/>
      </w:pPr>
      <w:bookmarkStart w:id="150" w:name="ref-2"/>
      <w:bookmarkEnd w:id="150"/>
      <w:r>
        <w:t xml:space="preserve">2. Nicholas Ravago, Omitron, Inc.; Eliot Toumey, Omitron, Inc.; Luis Baars, Omitron Inc.; Matthew Hejduk, The Aerospace Corporation. Evaluation of Screening Volumes Used in Conjunction Assessment (2025). doi:</w:t>
      </w:r>
      <w:r>
        <w:t xml:space="preserve"> </w:t>
      </w:r>
      <w:hyperlink r:id="rId151">
        <w:r>
          <w:rPr>
            <w:rStyle w:val="Hyperlink"/>
          </w:rPr>
          <w:t xml:space="preserve">10.64861/PAEO6437</w:t>
        </w:r>
      </w:hyperlink>
    </w:p>
    <w:p>
      <w:pPr>
        <w:pStyle w:val="BodyText"/>
        <w:spacing w:line="480" w:lineRule="auto"/>
        <w:ind w:firstLine="720"/>
      </w:pPr>
      <w:bookmarkStart w:id="152" w:name="ref-3"/>
      <w:bookmarkEnd w:id="152"/>
      <w:r>
        <w:t xml:space="preserve">3. Arly Black, Purdue University; Carolin Frueh, Purdue University. Characterizing Cislunar Fragmentations (2023). doi:</w:t>
      </w:r>
      <w:r>
        <w:t xml:space="preserve"> </w:t>
      </w:r>
      <w:hyperlink r:id="rId153">
        <w:r>
          <w:rPr>
            <w:rStyle w:val="Hyperlink"/>
          </w:rPr>
          <w:t xml:space="preserve">10.64861/QLJS5432</w:t>
        </w:r>
      </w:hyperlink>
    </w:p>
    <w:p>
      <w:pPr>
        <w:pStyle w:val="BodyText"/>
        <w:spacing w:line="480" w:lineRule="auto"/>
        <w:ind w:firstLine="720"/>
      </w:pPr>
      <w:bookmarkStart w:id="154" w:name="ref-4"/>
      <w:bookmarkEnd w:id="154"/>
      <w:r>
        <w:t xml:space="preserve">4. Michael Klonowski, University of Colorado Boulder; Marcus J. Holzinger, University of Colorado Boulder; Naomi Owens Fahrner, Ball Aerospace. Optimal Cislunar Architecture Design Using Monte Carlo Tree Search Methods (2022). doi:</w:t>
      </w:r>
      <w:r>
        <w:t xml:space="preserve"> </w:t>
      </w:r>
      <w:hyperlink r:id="rId155">
        <w:r>
          <w:rPr>
            <w:rStyle w:val="Hyperlink"/>
          </w:rPr>
          <w:t xml:space="preserve">10.2514/6.2004-3253</w:t>
        </w:r>
      </w:hyperlink>
    </w:p>
    <w:p>
      <w:pPr>
        <w:pStyle w:val="BodyText"/>
        <w:spacing w:line="480" w:lineRule="auto"/>
        <w:ind w:firstLine="720"/>
      </w:pPr>
      <w:bookmarkStart w:id="156" w:name="ref-5"/>
      <w:bookmarkEnd w:id="156"/>
      <w:r>
        <w:t xml:space="preserve">5. Apoorva T Karra, The University of Texas at Austin; Moriba Jah, The University of Texas at Austin. Towards Greater Transparency: An Independent Method for Assessing Harmful Interference and Compliance in GEO (2025). doi:</w:t>
      </w:r>
      <w:r>
        <w:t xml:space="preserve"> </w:t>
      </w:r>
      <w:hyperlink r:id="rId157">
        <w:r>
          <w:rPr>
            <w:rStyle w:val="Hyperlink"/>
          </w:rPr>
          <w:t xml:space="preserve">10.64861/WFHJ7307</w:t>
        </w:r>
      </w:hyperlink>
    </w:p>
    <w:p>
      <w:pPr>
        <w:pStyle w:val="BodyText"/>
        <w:spacing w:line="480" w:lineRule="auto"/>
        <w:ind w:firstLine="720"/>
      </w:pPr>
      <w:bookmarkStart w:id="158" w:name="ref-6"/>
      <w:bookmarkEnd w:id="158"/>
      <w:r>
        <w:t xml:space="preserve">6. John Boh, The University of Texas at Austin; Zachary Funke, AFIT/CIG; Maruthi Akella, The University of Texas at Austin. A Game-Theoretical Exploration of L1/L2 Cislunar Space Situational Awareness Using Bayesian Games (2025). doi:</w:t>
      </w:r>
      <w:r>
        <w:t xml:space="preserve"> </w:t>
      </w:r>
      <w:hyperlink r:id="rId159">
        <w:r>
          <w:rPr>
            <w:rStyle w:val="Hyperlink"/>
          </w:rPr>
          <w:t xml:space="preserve">10.64861/SIJX9169</w:t>
        </w:r>
      </w:hyperlink>
    </w:p>
    <w:p>
      <w:pPr>
        <w:pStyle w:val="BodyText"/>
        <w:spacing w:line="480" w:lineRule="auto"/>
        <w:ind w:firstLine="720"/>
      </w:pPr>
      <w:bookmarkStart w:id="160" w:name="ref-7"/>
      <w:bookmarkEnd w:id="160"/>
      <w:r>
        <w:t xml:space="preserve">7. Krzysztof Kaminski, Astronomical Observatory of the Adam Mickiewicz University; Justyna Golembiewska, Astronomical Observatory of the Adam Mickiewicz University; Monika Kaminska, Astronomical Observatory of the Adam Mickiewicz University; Edwin Wnuk, Astronomical Observatory of the Adam Mickiewicz University; Michal Zolnowski, 6ROADS; Marcin Gendek, 6ROADS; Marek Polewski, Warsaw University of Technology. Re-Entry Event Prediction Through the Analysis of Optical Sensor Data Gathered from a Worldwide Network of Telescopes (2024). doi:</w:t>
      </w:r>
      <w:r>
        <w:t xml:space="preserve"> </w:t>
      </w:r>
      <w:hyperlink r:id="rId161">
        <w:r>
          <w:rPr>
            <w:rStyle w:val="Hyperlink"/>
          </w:rPr>
          <w:t xml:space="preserve">10.64861/DNOA8964</w:t>
        </w:r>
      </w:hyperlink>
    </w:p>
    <w:p>
      <w:pPr>
        <w:pStyle w:val="BodyText"/>
        <w:spacing w:line="480" w:lineRule="auto"/>
        <w:ind w:firstLine="720"/>
      </w:pPr>
      <w:bookmarkStart w:id="162" w:name="ref-8"/>
      <w:bookmarkEnd w:id="162"/>
      <w:r>
        <w:t xml:space="preserve">8. Chelsea Wright, Ferris State University. A Collaborative Cybersecurity Training Policy for Future Space Endeavors (2023). doi:</w:t>
      </w:r>
      <w:r>
        <w:t xml:space="preserve"> </w:t>
      </w:r>
      <w:hyperlink r:id="rId163">
        <w:r>
          <w:rPr>
            <w:rStyle w:val="Hyperlink"/>
          </w:rPr>
          <w:t xml:space="preserve">10.64861/WXIJ8208</w:t>
        </w:r>
      </w:hyperlink>
    </w:p>
    <w:p>
      <w:pPr>
        <w:pStyle w:val="BodyText"/>
        <w:spacing w:line="480" w:lineRule="auto"/>
        <w:ind w:firstLine="720"/>
      </w:pPr>
      <w:bookmarkStart w:id="164" w:name="ref-9"/>
      <w:bookmarkEnd w:id="164"/>
      <w:r>
        <w:t xml:space="preserve">9. Giovanni Tricco; Roser Almenar; Kaili Ayers; Rihab Ben Moussa; T.P. Graham; Simisola Iyiola; Sanghoon Lee; Terezie Němcová; Asiimwe Joshua Opota; Tushar Sharma; Raelee Toh; Jieyu Yuan. The protection of AI-based space systems from a data-driven governance perspective (2025). doi:</w:t>
      </w:r>
      <w:r>
        <w:t xml:space="preserve"> </w:t>
      </w:r>
      <w:hyperlink r:id="rId165">
        <w:r>
          <w:rPr>
            <w:rStyle w:val="Hyperlink"/>
          </w:rPr>
          <w:t xml:space="preserve">10.1016/j.actaastro.2025.04.063</w:t>
        </w:r>
      </w:hyperlink>
    </w:p>
    <w:p>
      <w:pPr>
        <w:pStyle w:val="BodyText"/>
        <w:spacing w:line="480" w:lineRule="auto"/>
        <w:ind w:firstLine="720"/>
      </w:pPr>
      <w:bookmarkStart w:id="166" w:name="ref-10"/>
      <w:bookmarkEnd w:id="166"/>
      <w:r>
        <w:t xml:space="preserve">10. Léo Renaut; Ksenia Klionovska; Maximilian Albracht; Heike Frei. EPOS-Lid: Lidar benchmark dataset for pose estimation during non-cooperative rendezvous (2025). doi:</w:t>
      </w:r>
      <w:r>
        <w:t xml:space="preserve"> </w:t>
      </w:r>
      <w:hyperlink r:id="rId167">
        <w:r>
          <w:rPr>
            <w:rStyle w:val="Hyperlink"/>
          </w:rPr>
          <w:t xml:space="preserve">10.1016/j.actaastro.2025.09.030</w:t>
        </w:r>
      </w:hyperlink>
    </w:p>
    <w:p>
      <w:pPr>
        <w:pStyle w:val="BodyText"/>
        <w:spacing w:line="480" w:lineRule="auto"/>
        <w:ind w:firstLine="720"/>
      </w:pPr>
      <w:bookmarkStart w:id="168" w:name="ref-11"/>
      <w:bookmarkEnd w:id="168"/>
      <w:r>
        <w:t xml:space="preserve">11. Tanja Masson-Zwaan; Peter Martinez; Francesca Letizia; Catrina Melograna; Martin Reynders; Robert J. Rovetto; Mark A. Skinner; Marius Stanciu-Manolescu; Maruška Strah; Olga Volynskaya; Guoyu Wang. The need to improve registration practices in the context of space traffic management (2024). doi:</w:t>
      </w:r>
      <w:r>
        <w:t xml:space="preserve"> </w:t>
      </w:r>
      <w:hyperlink r:id="rId169">
        <w:r>
          <w:rPr>
            <w:rStyle w:val="Hyperlink"/>
          </w:rPr>
          <w:t xml:space="preserve">10.1016/j.actaastro.2024.06.052</w:t>
        </w:r>
      </w:hyperlink>
    </w:p>
    <w:p>
      <w:pPr>
        <w:pStyle w:val="BodyText"/>
        <w:spacing w:line="480" w:lineRule="auto"/>
        <w:ind w:firstLine="720"/>
      </w:pPr>
      <w:bookmarkStart w:id="170" w:name="ref-12"/>
      <w:bookmarkEnd w:id="170"/>
      <w:r>
        <w:t xml:space="preserve">12. Ram S. Jakhu; Bhupendra Jasani; Jonathan McDowell. Critical issues related to registration of space objects and transparency of space activities (2017). doi:</w:t>
      </w:r>
      <w:r>
        <w:t xml:space="preserve"> </w:t>
      </w:r>
      <w:hyperlink r:id="rId171">
        <w:r>
          <w:rPr>
            <w:rStyle w:val="Hyperlink"/>
          </w:rPr>
          <w:t xml:space="preserve">10.1016/j.actaastro.2017.11.042</w:t>
        </w:r>
      </w:hyperlink>
    </w:p>
    <w:p>
      <w:pPr>
        <w:pStyle w:val="BodyText"/>
        <w:spacing w:line="480" w:lineRule="auto"/>
        <w:ind w:firstLine="720"/>
      </w:pPr>
      <w:bookmarkStart w:id="172" w:name="ref-13"/>
      <w:bookmarkEnd w:id="172"/>
      <w:r>
        <w:t xml:space="preserve">13. Vittorio Giannetti; Eugenio Ferrato; Tommaso Andreussi. On the critical parameters for feasibility and advantage of air-breathing electric propulsion systems (2024). doi:</w:t>
      </w:r>
      <w:r>
        <w:t xml:space="preserve"> </w:t>
      </w:r>
      <w:hyperlink r:id="rId173">
        <w:r>
          <w:rPr>
            <w:rStyle w:val="Hyperlink"/>
          </w:rPr>
          <w:t xml:space="preserve">10.1016/j.actaastro.2024.04.042</w:t>
        </w:r>
      </w:hyperlink>
    </w:p>
    <w:p>
      <w:pPr>
        <w:pStyle w:val="BodyText"/>
        <w:spacing w:line="480" w:lineRule="auto"/>
        <w:ind w:firstLine="720"/>
      </w:pPr>
      <w:bookmarkStart w:id="174" w:name="ref-14"/>
      <w:bookmarkEnd w:id="174"/>
      <w:r>
        <w:t xml:space="preserve">14. Maxim Kurilov; Lukas Werling; Christoph Kirchberger; Helmut Ciezki; Stefan Schlechtriem. Combustion behavior of NMP-001, a nitromethane-based green rocket propellant (2024). doi:</w:t>
      </w:r>
      <w:r>
        <w:t xml:space="preserve"> </w:t>
      </w:r>
      <w:hyperlink r:id="rId175">
        <w:r>
          <w:rPr>
            <w:rStyle w:val="Hyperlink"/>
          </w:rPr>
          <w:t xml:space="preserve">10.1016/j.actaastro.2024.06.046</w:t>
        </w:r>
      </w:hyperlink>
    </w:p>
    <w:p>
      <w:pPr>
        <w:pStyle w:val="BodyText"/>
        <w:spacing w:line="480" w:lineRule="auto"/>
        <w:ind w:firstLine="720"/>
      </w:pPr>
      <w:bookmarkStart w:id="176" w:name="ref-15"/>
      <w:bookmarkEnd w:id="176"/>
      <w:r>
        <w:t xml:space="preserve">15. T.P. Graham; Kathiravan Thangavel; Anne-Sophie Martin. Navigating AI-lien Terrain: Legal liability for artificial intelligence in outer space (2024). doi:</w:t>
      </w:r>
      <w:r>
        <w:t xml:space="preserve"> </w:t>
      </w:r>
      <w:hyperlink r:id="rId177">
        <w:r>
          <w:rPr>
            <w:rStyle w:val="Hyperlink"/>
          </w:rPr>
          <w:t xml:space="preserve">10.1016/j.actaastro.2024.01.039</w:t>
        </w:r>
      </w:hyperlink>
    </w:p>
    <w:p>
      <w:pPr>
        <w:pStyle w:val="BodyText"/>
        <w:spacing w:line="480" w:lineRule="auto"/>
        <w:ind w:firstLine="720"/>
      </w:pPr>
      <w:bookmarkStart w:id="178" w:name="ref-16"/>
      <w:bookmarkEnd w:id="178"/>
      <w:r>
        <w:t xml:space="preserve">16. Daniel Ricardo; Sherman Wong; Jane H. Hodgkinson; M. Akbar Rhamdhani; Geoffrey Brooks. Characterizing the microstructure of icy lunar regolith simulants using microcomputed tomography (2025). doi:</w:t>
      </w:r>
      <w:r>
        <w:t xml:space="preserve"> </w:t>
      </w:r>
      <w:hyperlink r:id="rId179">
        <w:r>
          <w:rPr>
            <w:rStyle w:val="Hyperlink"/>
          </w:rPr>
          <w:t xml:space="preserve">10.1016/j.actaastro.2025.10.019</w:t>
        </w:r>
      </w:hyperlink>
    </w:p>
    <w:bookmarkEnd w:id="180"/>
    <w:bookmarkEnd w:id="181"/>
    <w:bookmarkStart w:id="19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9" w:name="X9701ce4dea3c8c607f8ffc825f5f2e1924a0e84"/>
    <w:p>
      <w:pPr>
        <w:pStyle w:val="Heading2"/>
        <w:spacing w:line="480" w:lineRule="auto"/>
      </w:pPr>
      <w:r>
        <w:t xml:space="preserve">A.1 Signal Intensity in Property Rights at the Cislunar Frontier does filing/registration behavior reve: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4.0345</w:t>
            </w:r>
          </w:p>
        </w:tc>
        <w:tc>
          <w:tcPr>
            <w:tcW w:w="0" w:type="auto"/>
          </w:tcPr>
          <w:p>
            <w:pPr>
              <w:spacing w:line="240" w:lineRule="auto" w:before="0" w:after="0"/>
              <w:pStyle w:val="Compact"/>
            </w:pPr>
            <w:r>
              <w:rPr>
                <w:sz w:val="20"/>
                <w:szCs w:val="20"/>
              </w:rPr>
              <w:t xml:space="preserve">1.4892</w:t>
            </w:r>
          </w:p>
        </w:tc>
        <w:tc>
          <w:tcPr>
            <w:tcW w:w="0" w:type="auto"/>
          </w:tcPr>
          <w:p>
            <w:pPr>
              <w:spacing w:line="240" w:lineRule="auto" w:before="0" w:after="0"/>
              <w:pStyle w:val="Compact"/>
            </w:pPr>
            <w:r>
              <w:rPr>
                <w:sz w:val="20"/>
                <w:szCs w:val="20"/>
              </w:rPr>
              <w:t xml:space="preserve">2.7091</w:t>
            </w:r>
          </w:p>
        </w:tc>
        <w:tc>
          <w:tcPr>
            <w:tcW w:w="0" w:type="auto"/>
          </w:tcPr>
          <w:p>
            <w:pPr>
              <w:spacing w:line="240" w:lineRule="auto" w:before="0" w:after="0"/>
              <w:pStyle w:val="Compact"/>
            </w:pPr>
            <w:r>
              <w:rPr>
                <w:sz w:val="20"/>
                <w:szCs w:val="20"/>
              </w:rPr>
              <w:t xml:space="preserve">0.0067</w:t>
            </w:r>
          </w:p>
        </w:tc>
        <w:tc>
          <w:tcPr>
            <w:tcW w:w="0" w:type="auto"/>
          </w:tcPr>
          <w:p>
            <w:pPr>
              <w:spacing w:line="240" w:lineRule="auto" w:before="0" w:after="0"/>
              <w:pStyle w:val="Compact"/>
            </w:pPr>
            <w:r>
              <w:rPr>
                <w:sz w:val="20"/>
                <w:szCs w:val="20"/>
              </w:rPr>
              <w:t xml:space="preserve">[1.1157, 6.9532]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0.0689</w:t>
            </w:r>
          </w:p>
        </w:tc>
        <w:tc>
          <w:tcPr>
            <w:tcW w:w="0" w:type="auto"/>
          </w:tcPr>
          <w:p>
            <w:pPr>
              <w:spacing w:line="240" w:lineRule="auto" w:before="0" w:after="0"/>
              <w:pStyle w:val="Compact"/>
            </w:pPr>
            <w:r>
              <w:rPr>
                <w:sz w:val="20"/>
                <w:szCs w:val="20"/>
              </w:rPr>
              <w:t xml:space="preserve">0.119</w:t>
            </w:r>
          </w:p>
        </w:tc>
        <w:tc>
          <w:tcPr>
            <w:tcW w:w="0" w:type="auto"/>
          </w:tcPr>
          <w:p>
            <w:pPr>
              <w:spacing w:line="240" w:lineRule="auto" w:before="0" w:after="0"/>
              <w:pStyle w:val="Compact"/>
            </w:pPr>
            <w:r>
              <w:rPr>
                <w:sz w:val="20"/>
                <w:szCs w:val="20"/>
              </w:rPr>
              <w:t xml:space="preserve">0.5795</w:t>
            </w:r>
          </w:p>
        </w:tc>
        <w:tc>
          <w:tcPr>
            <w:tcW w:w="0" w:type="auto"/>
          </w:tcPr>
          <w:p>
            <w:pPr>
              <w:spacing w:line="240" w:lineRule="auto" w:before="0" w:after="0"/>
              <w:pStyle w:val="Compact"/>
            </w:pPr>
            <w:r>
              <w:rPr>
                <w:sz w:val="20"/>
                <w:szCs w:val="20"/>
              </w:rPr>
              <w:t xml:space="preserve">0.5623</w:t>
            </w:r>
          </w:p>
        </w:tc>
        <w:tc>
          <w:tcPr>
            <w:tcW w:w="0" w:type="auto"/>
          </w:tcPr>
          <w:p>
            <w:pPr>
              <w:spacing w:line="240" w:lineRule="auto" w:before="0" w:after="0"/>
              <w:pStyle w:val="Compact"/>
            </w:pPr>
            <w:r>
              <w:rPr>
                <w:sz w:val="20"/>
                <w:szCs w:val="20"/>
              </w:rPr>
              <w:t xml:space="preserve">[-0.1642, 0.3021]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0.0281</w:t>
            </w:r>
          </w:p>
        </w:tc>
        <w:tc>
          <w:tcPr>
            <w:tcW w:w="0" w:type="auto"/>
          </w:tcPr>
          <w:p>
            <w:pPr>
              <w:spacing w:line="240" w:lineRule="auto" w:before="0" w:after="0"/>
              <w:pStyle w:val="Compact"/>
            </w:pPr>
            <w:r>
              <w:rPr>
                <w:sz w:val="20"/>
                <w:szCs w:val="20"/>
              </w:rPr>
              <w:t xml:space="preserve">-2.6939</w:t>
            </w:r>
          </w:p>
        </w:tc>
        <w:tc>
          <w:tcPr>
            <w:tcW w:w="0" w:type="auto"/>
          </w:tcPr>
          <w:p>
            <w:pPr>
              <w:spacing w:line="240" w:lineRule="auto" w:before="0" w:after="0"/>
              <w:pStyle w:val="Compact"/>
            </w:pPr>
            <w:r>
              <w:rPr>
                <w:sz w:val="20"/>
                <w:szCs w:val="20"/>
              </w:rPr>
              <w:t xml:space="preserve">0.0071</w:t>
            </w:r>
          </w:p>
        </w:tc>
        <w:tc>
          <w:tcPr>
            <w:tcW w:w="0" w:type="auto"/>
          </w:tcPr>
          <w:p>
            <w:pPr>
              <w:spacing w:line="240" w:lineRule="auto" w:before="0" w:after="0"/>
              <w:pStyle w:val="Compact"/>
            </w:pPr>
            <w:r>
              <w:rPr>
                <w:sz w:val="20"/>
                <w:szCs w:val="20"/>
              </w:rPr>
              <w:t xml:space="preserve">[-0.1307, -0.0206]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-0.8106</w:t>
            </w:r>
          </w:p>
        </w:tc>
        <w:tc>
          <w:tcPr>
            <w:tcW w:w="0" w:type="auto"/>
          </w:tcPr>
          <w:p>
            <w:pPr>
              <w:spacing w:line="240" w:lineRule="auto" w:before="0" w:after="0"/>
              <w:pStyle w:val="Compact"/>
            </w:pPr>
            <w:r>
              <w:rPr>
                <w:sz w:val="20"/>
                <w:szCs w:val="20"/>
              </w:rPr>
              <w:t xml:space="preserve">0.4374</w:t>
            </w:r>
          </w:p>
        </w:tc>
        <w:tc>
          <w:tcPr>
            <w:tcW w:w="0" w:type="auto"/>
          </w:tcPr>
          <w:p>
            <w:pPr>
              <w:spacing w:line="240" w:lineRule="auto" w:before="0" w:after="0"/>
              <w:pStyle w:val="Compact"/>
            </w:pPr>
            <w:r>
              <w:rPr>
                <w:sz w:val="20"/>
                <w:szCs w:val="20"/>
              </w:rPr>
              <w:t xml:space="preserve">-1.8532</w:t>
            </w:r>
          </w:p>
        </w:tc>
        <w:tc>
          <w:tcPr>
            <w:tcW w:w="0" w:type="auto"/>
          </w:tcPr>
          <w:p>
            <w:pPr>
              <w:spacing w:line="240" w:lineRule="auto" w:before="0" w:after="0"/>
              <w:pStyle w:val="Compact"/>
            </w:pPr>
            <w:r>
              <w:rPr>
                <w:sz w:val="20"/>
                <w:szCs w:val="20"/>
              </w:rPr>
              <w:t xml:space="preserve">0.0639</w:t>
            </w:r>
          </w:p>
        </w:tc>
        <w:tc>
          <w:tcPr>
            <w:tcW w:w="0" w:type="auto"/>
          </w:tcPr>
          <w:p>
            <w:pPr>
              <w:spacing w:line="240" w:lineRule="auto" w:before="0" w:after="0"/>
              <w:pStyle w:val="Compact"/>
            </w:pPr>
            <w:r>
              <w:rPr>
                <w:sz w:val="20"/>
                <w:szCs w:val="20"/>
              </w:rPr>
              <w:t xml:space="preserve">[-1.6679, 0.0467]</w:t>
            </w:r>
          </w:p>
        </w:tc>
      </w:tr>
    </w:tbl>
    <w:p>
      <w:pPr>
        <w:pStyle w:val="BodyText"/>
        <w:spacing w:line="480" w:lineRule="auto"/>
        <w:ind w:firstLine="720"/>
      </w:pPr>
      <w:r>
        <w:t xml:space="preserve">Fit: N = 30 R2 = 0.2662 R2_adj = 0.1816 F = 4.8495 F_p = 0.0082</w:t>
      </w:r>
    </w:p>
    <w:bookmarkEnd w:id="182"/>
    <w:bookmarkStart w:id="18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4" name="Picture"/>
            <a:graphic>
              <a:graphicData uri="http://schemas.openxmlformats.org/drawingml/2006/picture">
                <pic:pic>
                  <pic:nvPicPr>
                    <pic:cNvPr descr="D:/Claude_Code/brain/collegium/candidates/dissertations/SPACE_ECON_11/research_papers/p1/paper_fig1.png" id="185" name="Picture"/>
                    <pic:cNvPicPr>
                      <a:picLocks noChangeArrowheads="1" noChangeAspect="1"/>
                    </pic:cNvPicPr>
                  </pic:nvPicPr>
                  <pic:blipFill>
                    <a:blip r:embed="rId1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6"/>
    <w:bookmarkStart w:id="18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https://amostech.space/year/2021/establishing-a-chain-of-digital-forensics-for-space-object-behavior-using-distributed-ledger-technology/</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10.64861/PAEO6437</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10.64861/QLJS5432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10.2514/6.2004-3253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10.64861/WFHJ7307</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10.64861/SIJX9169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10.64861/DNOA8964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10.64861/WXIJ8208</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10.64861/ESVN6806</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https://amostech.space/year/2017/wenessa-wide-eye-narrow-eye-space-simulation-fo-situational-awareness/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https://amostech.space/year/2018/optical-tracking-of-artificial-earth-satellites-with-cots-sensors/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10.64861/FHSX9637</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10.1016/j.actaastro.2025.09.030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10.1016/j.actaastro.2024.06.052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10.1016/j.actaastro.2017.11.042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10.1016/j.actaastro.2024.04.042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10.1016/j.actaastro.2024.06.046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10.1016/j.actaastro.2025.10.019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10.1016/j.actaastro.2021.12.015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10.1016/j.actaastro.2024.03.001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10.1016/j.actaastro.2024.12.001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10.1016/j.actaastro.2026.05.039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10.1257/jep.32.2.173</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the Final Economic Frontier</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Astro-Environmentalism: Toward a Polycentric Governance of Space Debris</w:t>
            </w:r>
          </w:p>
        </w:tc>
      </w:tr>
    </w:tbl>
    <w:bookmarkEnd w:id="187"/>
    <w:bookmarkStart w:id="18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8"/>
    <w:bookmarkEnd w:id="189"/>
    <w:bookmarkStart w:id="197" w:name="X3f47390ef16d031e4d6f07bdaa6667a9b81f8c0"/>
    <w:p>
      <w:pPr>
        <w:pStyle w:val="Heading2"/>
        <w:spacing w:line="480" w:lineRule="auto"/>
      </w:pPr>
      <w:r>
        <w:t xml:space="preserve">A.2 Attention Accumulation in Property Rights at the Cislunar Frontier does filing/registration behavior reve: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0.8373</w:t>
            </w:r>
          </w:p>
        </w:tc>
        <w:tc>
          <w:tcPr>
            <w:tcW w:w="0" w:type="auto"/>
          </w:tcPr>
          <w:p>
            <w:pPr>
              <w:spacing w:line="240" w:lineRule="auto" w:before="0" w:after="0"/>
              <w:pStyle w:val="Compact"/>
            </w:pPr>
            <w:r>
              <w:rPr>
                <w:sz w:val="20"/>
                <w:szCs w:val="20"/>
              </w:rPr>
              <w:t xml:space="preserve">0.4869</w:t>
            </w:r>
          </w:p>
        </w:tc>
        <w:tc>
          <w:tcPr>
            <w:tcW w:w="0" w:type="auto"/>
          </w:tcPr>
          <w:p>
            <w:pPr>
              <w:spacing w:line="240" w:lineRule="auto" w:before="0" w:after="0"/>
              <w:pStyle w:val="Compact"/>
            </w:pPr>
            <w:r>
              <w:rPr>
                <w:sz w:val="20"/>
                <w:szCs w:val="20"/>
              </w:rPr>
              <w:t xml:space="preserve">1.7198</w:t>
            </w:r>
          </w:p>
        </w:tc>
        <w:tc>
          <w:tcPr>
            <w:tcW w:w="0" w:type="auto"/>
          </w:tcPr>
          <w:p>
            <w:pPr>
              <w:spacing w:line="240" w:lineRule="auto" w:before="0" w:after="0"/>
              <w:pStyle w:val="Compact"/>
            </w:pPr>
            <w:r>
              <w:rPr>
                <w:sz w:val="20"/>
                <w:szCs w:val="20"/>
              </w:rPr>
              <w:t xml:space="preserve">0.0855</w:t>
            </w:r>
          </w:p>
        </w:tc>
        <w:tc>
          <w:tcPr>
            <w:tcW w:w="0" w:type="auto"/>
          </w:tcPr>
          <w:p>
            <w:pPr>
              <w:spacing w:line="240" w:lineRule="auto" w:before="0" w:after="0"/>
              <w:pStyle w:val="Compact"/>
            </w:pPr>
            <w:r>
              <w:rPr>
                <w:sz w:val="20"/>
                <w:szCs w:val="20"/>
              </w:rPr>
              <w:t xml:space="preserve">[-0.1169, 1.7916]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-0.0928</w:t>
            </w:r>
          </w:p>
        </w:tc>
        <w:tc>
          <w:tcPr>
            <w:tcW w:w="0" w:type="auto"/>
          </w:tcPr>
          <w:p>
            <w:pPr>
              <w:spacing w:line="240" w:lineRule="auto" w:before="0" w:after="0"/>
              <w:pStyle w:val="Compact"/>
            </w:pPr>
            <w:r>
              <w:rPr>
                <w:sz w:val="20"/>
                <w:szCs w:val="20"/>
              </w:rPr>
              <w:t xml:space="preserve">0.3508</w:t>
            </w:r>
          </w:p>
        </w:tc>
        <w:tc>
          <w:tcPr>
            <w:tcW w:w="0" w:type="auto"/>
          </w:tcPr>
          <w:p>
            <w:pPr>
              <w:spacing w:line="240" w:lineRule="auto" w:before="0" w:after="0"/>
              <w:pStyle w:val="Compact"/>
            </w:pPr>
            <w:r>
              <w:rPr>
                <w:sz w:val="20"/>
                <w:szCs w:val="20"/>
              </w:rPr>
              <w:t xml:space="preserve">-0.2647</w:t>
            </w:r>
          </w:p>
        </w:tc>
        <w:tc>
          <w:tcPr>
            <w:tcW w:w="0" w:type="auto"/>
          </w:tcPr>
          <w:p>
            <w:pPr>
              <w:spacing w:line="240" w:lineRule="auto" w:before="0" w:after="0"/>
              <w:pStyle w:val="Compact"/>
            </w:pPr>
            <w:r>
              <w:rPr>
                <w:sz w:val="20"/>
                <w:szCs w:val="20"/>
              </w:rPr>
              <w:t xml:space="preserve">0.7912</w:t>
            </w:r>
          </w:p>
        </w:tc>
        <w:tc>
          <w:tcPr>
            <w:tcW w:w="0" w:type="auto"/>
          </w:tcPr>
          <w:p>
            <w:pPr>
              <w:spacing w:line="240" w:lineRule="auto" w:before="0" w:after="0"/>
              <w:pStyle w:val="Compact"/>
            </w:pPr>
            <w:r>
              <w:rPr>
                <w:sz w:val="20"/>
                <w:szCs w:val="20"/>
              </w:rPr>
              <w:t xml:space="preserve">[-0.7803, 0.5946]</w:t>
            </w:r>
          </w:p>
        </w:tc>
      </w:tr>
    </w:tbl>
    <w:p>
      <w:pPr>
        <w:pStyle w:val="BodyText"/>
        <w:spacing w:line="480" w:lineRule="auto"/>
        <w:ind w:firstLine="720"/>
      </w:pPr>
      <w:r>
        <w:t xml:space="preserve">Fit: N = 30 R2 = 0.0025 elasticity_b = -0.0928 progress_ratio_2^b = 0.9377</w:t>
      </w:r>
    </w:p>
    <w:bookmarkEnd w:id="190"/>
    <w:bookmarkStart w:id="19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2" name="Picture"/>
            <a:graphic>
              <a:graphicData uri="http://schemas.openxmlformats.org/drawingml/2006/picture">
                <pic:pic>
                  <pic:nvPicPr>
                    <pic:cNvPr descr="D:/Claude_Code/brain/collegium/candidates/dissertations/SPACE_ECON_11/research_papers/p2/paper_fig1.png" id="193" name="Picture"/>
                    <pic:cNvPicPr>
                      <a:picLocks noChangeArrowheads="1" noChangeAspect="1"/>
                    </pic:cNvPicPr>
                  </pic:nvPicPr>
                  <pic:blipFill>
                    <a:blip r:embed="rId19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4"/>
    <w:bookmarkStart w:id="19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https://amostech.space/year/2021/establishing-a-chain-of-digital-forensics-for-space-object-behavior-using-distributed-ledger-technology/</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10.64861/PAEO6437</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10.64861/QLJS5432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10.2514/6.2004-3253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10.64861/WFHJ7307</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10.64861/SIJX9169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10.64861/DNOA8964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10.64861/WXIJ8208</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10.64861/ESVN6806</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https://amostech.space/year/2017/wenessa-wide-eye-narrow-eye-space-simulation-fo-situational-awareness/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https://amostech.space/year/2018/optical-tracking-of-artificial-earth-satellites-with-cots-sensors/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10.64861/FHSX9637</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10.1016/j.actaastro.2025.09.030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10.1016/j.actaastro.2024.06.052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10.1016/j.actaastro.2017.11.042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10.1016/j.actaastro.2024.04.042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10.1016/j.actaastro.2024.06.046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10.1016/j.actaastro.2025.10.019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10.1016/j.actaastro.2021.12.015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10.1016/j.actaastro.2024.03.001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10.1016/j.actaastro.2024.12.001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10.1016/j.actaastro.2026.05.039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10.1257/jep.32.2.173</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the Final Economic Frontier</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Astro-Environmentalism: Toward a Polycentric Governance of Space Debris</w:t>
            </w:r>
          </w:p>
        </w:tc>
      </w:tr>
    </w:tbl>
    <w:bookmarkEnd w:id="195"/>
    <w:bookmarkStart w:id="19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6"/>
    <w:bookmarkEnd w:id="197"/>
    <w:bookmarkEnd w:id="19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3" Type="http://schemas.openxmlformats.org/officeDocument/2006/relationships/image" Target="media/rId183.png"/><Relationship Id="rId191" Type="http://schemas.openxmlformats.org/officeDocument/2006/relationships/image" Target="media/rId191.png"/><Relationship Id="rId171" Type="http://schemas.openxmlformats.org/officeDocument/2006/relationships/hyperlink" Target="https://doi.org/10.1016/j.actaastro.2017.11.042" TargetMode="External"/><Relationship Id="rId177" Type="http://schemas.openxmlformats.org/officeDocument/2006/relationships/hyperlink" Target="https://doi.org/10.1016/j.actaastro.2024.01.039" TargetMode="External"/><Relationship Id="rId173" Type="http://schemas.openxmlformats.org/officeDocument/2006/relationships/hyperlink" Target="https://doi.org/10.1016/j.actaastro.2024.04.042" TargetMode="External"/><Relationship Id="rId175" Type="http://schemas.openxmlformats.org/officeDocument/2006/relationships/hyperlink" Target="https://doi.org/10.1016/j.actaastro.2024.06.046" TargetMode="External"/><Relationship Id="rId169" Type="http://schemas.openxmlformats.org/officeDocument/2006/relationships/hyperlink" Target="https://doi.org/10.1016/j.actaastro.2024.06.052" TargetMode="External"/><Relationship Id="rId165" Type="http://schemas.openxmlformats.org/officeDocument/2006/relationships/hyperlink" Target="https://doi.org/10.1016/j.actaastro.2025.04.063" TargetMode="External"/><Relationship Id="rId167" Type="http://schemas.openxmlformats.org/officeDocument/2006/relationships/hyperlink" Target="https://doi.org/10.1016/j.actaastro.2025.09.030" TargetMode="External"/><Relationship Id="rId179" Type="http://schemas.openxmlformats.org/officeDocument/2006/relationships/hyperlink" Target="https://doi.org/10.1016/j.actaastro.2025.10.019" TargetMode="External"/><Relationship Id="rId155" Type="http://schemas.openxmlformats.org/officeDocument/2006/relationships/hyperlink" Target="https://doi.org/10.2514/6.2004-3253" TargetMode="External"/><Relationship Id="rId161" Type="http://schemas.openxmlformats.org/officeDocument/2006/relationships/hyperlink" Target="https://doi.org/10.64861/DNOA8964" TargetMode="External"/><Relationship Id="rId151" Type="http://schemas.openxmlformats.org/officeDocument/2006/relationships/hyperlink" Target="https://doi.org/10.64861/PAEO6437" TargetMode="External"/><Relationship Id="rId153" Type="http://schemas.openxmlformats.org/officeDocument/2006/relationships/hyperlink" Target="https://doi.org/10.64861/QLJS5432" TargetMode="External"/><Relationship Id="rId159" Type="http://schemas.openxmlformats.org/officeDocument/2006/relationships/hyperlink" Target="https://doi.org/10.64861/SIJX9169" TargetMode="External"/><Relationship Id="rId157" Type="http://schemas.openxmlformats.org/officeDocument/2006/relationships/hyperlink" Target="https://doi.org/10.64861/WFHJ7307" TargetMode="External"/><Relationship Id="rId163" Type="http://schemas.openxmlformats.org/officeDocument/2006/relationships/hyperlink" Target="https://doi.org/10.64861/WXIJ8208" TargetMode="External"/></Relationships>
</file>

<file path=word/_rels/footnotes.xml.rels><?xml version='1.0' encoding='UTF-8' standalone='yes'?>
<Relationships xmlns="http://schemas.openxmlformats.org/package/2006/relationships"><Relationship Id="rId171" Type="http://schemas.openxmlformats.org/officeDocument/2006/relationships/hyperlink" Target="https://doi.org/10.1016/j.actaastro.2017.11.042" TargetMode="External"/><Relationship Id="rId177" Type="http://schemas.openxmlformats.org/officeDocument/2006/relationships/hyperlink" Target="https://doi.org/10.1016/j.actaastro.2024.01.039" TargetMode="External"/><Relationship Id="rId173" Type="http://schemas.openxmlformats.org/officeDocument/2006/relationships/hyperlink" Target="https://doi.org/10.1016/j.actaastro.2024.04.042" TargetMode="External"/><Relationship Id="rId175" Type="http://schemas.openxmlformats.org/officeDocument/2006/relationships/hyperlink" Target="https://doi.org/10.1016/j.actaastro.2024.06.046" TargetMode="External"/><Relationship Id="rId169" Type="http://schemas.openxmlformats.org/officeDocument/2006/relationships/hyperlink" Target="https://doi.org/10.1016/j.actaastro.2024.06.052" TargetMode="External"/><Relationship Id="rId165" Type="http://schemas.openxmlformats.org/officeDocument/2006/relationships/hyperlink" Target="https://doi.org/10.1016/j.actaastro.2025.04.063" TargetMode="External"/><Relationship Id="rId167" Type="http://schemas.openxmlformats.org/officeDocument/2006/relationships/hyperlink" Target="https://doi.org/10.1016/j.actaastro.2025.09.030" TargetMode="External"/><Relationship Id="rId179" Type="http://schemas.openxmlformats.org/officeDocument/2006/relationships/hyperlink" Target="https://doi.org/10.1016/j.actaastro.2025.10.019" TargetMode="External"/><Relationship Id="rId155" Type="http://schemas.openxmlformats.org/officeDocument/2006/relationships/hyperlink" Target="https://doi.org/10.2514/6.2004-3253" TargetMode="External"/><Relationship Id="rId161" Type="http://schemas.openxmlformats.org/officeDocument/2006/relationships/hyperlink" Target="https://doi.org/10.64861/DNOA8964" TargetMode="External"/><Relationship Id="rId151" Type="http://schemas.openxmlformats.org/officeDocument/2006/relationships/hyperlink" Target="https://doi.org/10.64861/PAEO6437" TargetMode="External"/><Relationship Id="rId153" Type="http://schemas.openxmlformats.org/officeDocument/2006/relationships/hyperlink" Target="https://doi.org/10.64861/QLJS5432" TargetMode="External"/><Relationship Id="rId159" Type="http://schemas.openxmlformats.org/officeDocument/2006/relationships/hyperlink" Target="https://doi.org/10.64861/SIJX9169" TargetMode="External"/><Relationship Id="rId157" Type="http://schemas.openxmlformats.org/officeDocument/2006/relationships/hyperlink" Target="https://doi.org/10.64861/WFHJ7307" TargetMode="External"/><Relationship Id="rId163" Type="http://schemas.openxmlformats.org/officeDocument/2006/relationships/hyperlink" Target="https://doi.org/10.64861/WXIJ82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Property Rights at the Cislunar Frontier: does filing/registration behavior reve</dc:title>
  <dc:creator>Lucia Cho (1B-ECO-213)</dc:creator>
  <cp:keywords/>
  <dcterms:created xsi:type="dcterms:W3CDTF">2026-07-02T23:08:15Z</dcterms:created>
  <dcterms:modified xsi:type="dcterms:W3CDTF">2026-07-02T23:08:15Z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