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1.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9" w:name="Xb693f71fa4cf7fd50f8a4a070762a73078381b4"/>
    <w:p>
      <w:pPr>
        <w:pStyle w:val="Heading1"/>
      </w:pPr>
      <w:r>
        <w:t xml:space="preserve">Where NASA Exploration Spending Produces Major Employment Spillovers</w:t>
      </w:r>
    </w:p>
    <w:bookmarkStart w:id="61" w:name="introduction"/>
    <w:p>
      <w:pPr>
        <w:pStyle w:val="Heading2"/>
      </w:pPr>
      <w:r>
        <w:t xml:space="preserve">1. Introduction</w:t>
      </w:r>
    </w:p>
    <w:p>
      <w:pPr>
        <w:pStyle w:val="FirstParagraph"/>
      </w:pPr>
      <w:r>
        <w:t xml:space="preserve">NASA’s Moon to Mars campaign is organized as a national exploration effort, but its employment effects are distributed across state economies. Direct employment identifies jobs attached to program production. Indirect employment records jobs associated with suppliers, while induced employment records jobs associated with household spending supported by direct and indirect activity. The difference between a direct footprint and a broad employment footprint is central to claims that exploration investment supports economic activity beyond the agency and its prime contractors.</w:t>
      </w:r>
    </w:p>
    <w:p>
      <w:pPr>
        <w:pStyle w:val="BodyText"/>
      </w:pPr>
      <w:r>
        <w:t xml:space="preserve">This paper tests whether the scale of direct Moon to Mars employment is associated with the probability that a state records a major employment spillover. The outcome equals one when the sum of indirect and induced employment reaches at least 500 jobs. The predictor is the natural logarithm of direct employment plus one. A binary-outcome specification complements the continuous-output analysis in the companion paper. Rather than asking how much modeled spillover output changes with direct output, this paper asks when a state crosses a substantively defined employment threshold.</w:t>
      </w:r>
    </w:p>
    <w:p>
      <w:pPr>
        <w:pStyle w:val="BodyText"/>
      </w:pPr>
      <w:r>
        <w:t xml:space="preserve">The threshold approach addresses a practical policy question. State and regional stakeholders often need to know whether a program has a diffuse employment presence or a concentrated ecosystem large enough to appear in workforce planning, supplier development, and public reporting. A continuous estimate can be dominated by a small number of very large states. A threshold instead identifies whether the broader employment channel reaches a common scale.</w:t>
      </w:r>
    </w:p>
    <w:p>
      <w:pPr>
        <w:pStyle w:val="BodyText"/>
      </w:pPr>
      <w:r>
        <w:t xml:space="preserve">The analysis uses 35 state tables from NASA’s fiscal year 2023 economic impact study</w:t>
      </w:r>
      <w:r>
        <w:t xml:space="preserve"> </w:t>
      </w:r>
      <w:hyperlink w:anchor="ref-1">
        <m:oMathPara>
          <m:oMathParaPr>
            <m:jc m:val="center"/>
          </m:oMathParaPr>
          <m:oMath>
            <m:r>
              <m:t>1</m:t>
            </m:r>
          </m:oMath>
        </m:oMathPara>
      </w:hyperlink>
      <w:r>
        <w:t xml:space="preserve">. Every observation is sourced to its table. The study’s common input-output methodology provides comparable direct, indirect, and induced estimates. The paper does not treat those estimates as experimental outcomes. It uses them to evaluate a falsifiable association within an official accounting framework.</w:t>
      </w:r>
    </w:p>
    <w:p>
      <w:pPr>
        <w:pStyle w:val="FirstParagraph"/>
      </w:pPr>
      <w:r>
        <w:t xml:space="preserve">Space-economy scholarship provides the institutional context. Weinzierl argues that the expansion of economic activity beyond Earth depends on the interaction of government programs, private incentives, and market formation</w:t>
      </w:r>
      <w:r>
        <w:t xml:space="preserve"> </w:t>
      </w:r>
      <w:hyperlink w:anchor="ref-2">
        <m:oMathPara>
          <m:oMathParaPr>
            <m:jc m:val="center"/>
          </m:oMathParaPr>
          <m:oMath>
            <m:r>
              <m:t>2</m:t>
            </m:r>
          </m:oMath>
        </m:oMathPara>
      </w:hyperlink>
      <w:r>
        <w:t xml:space="preserve">. Forecasting work on the space economy emphasizes that projections depend on definitions, industrial boundaries, and the distinction between upstream activity and wider enabled value</w:t>
      </w:r>
      <w:r>
        <w:t xml:space="preserve"> </w:t>
      </w:r>
      <w:hyperlink w:anchor="ref-3">
        <m:oMathPara>
          <m:oMathParaPr>
            <m:jc m:val="center"/>
          </m:oMathParaPr>
          <m:oMath>
            <m:r>
              <m:t>3</m:t>
            </m:r>
          </m:oMath>
        </m:oMathPara>
      </w:hyperlink>
      <w:r>
        <w:t xml:space="preserve">. Research on innovation in the space sector shows that collaboration and supplier organization condition how public technical activity reaches firms and other users</w:t>
      </w:r>
      <w:r>
        <w:t xml:space="preserve"> </w:t>
      </w:r>
      <w:hyperlink w:anchor="ref-4">
        <m:oMathPara>
          <m:oMathParaPr>
            <m:jc m:val="center"/>
          </m:oMathParaPr>
          <m:oMath>
            <m:r>
              <m:t>4</m:t>
            </m:r>
          </m:oMath>
        </m:oMathPara>
      </w:hyperlink>
      <w:r>
        <w:t xml:space="preserve">. These themes suggest that direct employment may be necessary for a large state spillover, while the conversion from direct to wider employment remains uneven.</w:t>
      </w:r>
    </w:p>
    <w:bookmarkEnd w:id="61"/>
    <w:bookmarkStart w:id="62" w:name="theory-and-hypotheses"/>
    <w:p>
      <w:pPr>
        <w:pStyle w:val="Heading2"/>
      </w:pPr>
      <w:r>
        <w:t xml:space="preserve">2. Theory and Hypotheses</w:t>
      </w:r>
    </w:p>
    <w:p>
      <w:pPr>
        <w:pStyle w:val="FirstParagraph"/>
      </w:pPr>
      <w:r>
        <w:t xml:space="preserve">The mechanism is a scale process. A larger direct workforce purchases more inputs through the organizations that employ it and supports more household income. Supplier demand creates indirect jobs. Spending by workers creates induced jobs. If the local economy retains part of each demand stream, the probability of reaching 500 spillover jobs should rise with direct employment.</w:t>
      </w:r>
    </w:p>
    <w:p>
      <w:pPr>
        <w:pStyle w:val="BodyText"/>
      </w:pPr>
      <w:r>
        <w:t xml:space="preserve">The relationship can be nonlinear. Small direct workforces may support specialized functions but generate too little local purchasing to cross the threshold. Once direct employment expands, supplier contracts, professional services, and consumption can accumulate. The logistic model represents this transition by mapping a linear index into a probability between zero and one.</w:t>
      </w:r>
    </w:p>
    <w:p>
      <w:pPr>
        <w:pStyle w:val="BodyText"/>
      </w:pPr>
      <w:r>
        <w:t xml:space="preserve">State economic structure affects the conversion. A state can host direct work while importing components and services from other states. Specialized suppliers may serve several NASA locations from one production site. Employees may reside or spend across state boundaries. These features explain why some observations can record modest direct employment with substantial spillover employment, while others with similar direct employment remain below the threshold.</w:t>
      </w:r>
    </w:p>
    <w:p>
      <w:pPr>
        <w:pStyle w:val="BodyText"/>
      </w:pPr>
      <w:r>
        <w:t xml:space="preserve">The null hypothesis states that direct Moon to Mars employment does not change the probability that a state records at least 500 indirect plus induced jobs. The alternative states that higher direct employment increases that probability. The hypothesis concerns association, not a causal job multiplier. The input-output study constructs all three employment categories, and program location is not randomly assigned.</w:t>
      </w:r>
    </w:p>
    <w:p>
      <w:pPr>
        <w:pStyle w:val="BodyText"/>
      </w:pPr>
      <w:r>
        <w:t xml:space="preserve">Technology-spillover research reinforces the need for this careful interpretation. Petroni and Venturini find that mission-centered spillovers depend on interorganizational connections</w:t>
      </w:r>
      <w:r>
        <w:t xml:space="preserve"> </w:t>
      </w:r>
      <w:hyperlink w:anchor="ref-5">
        <m:oMathPara>
          <m:oMathParaPr>
            <m:jc m:val="center"/>
          </m:oMathParaPr>
          <m:oMath>
            <m:r>
              <m:t>5</m:t>
            </m:r>
          </m:oMath>
        </m:oMathPara>
      </w:hyperlink>
      <w:r>
        <w:t xml:space="preserve">. Van Burg, Giannopapa, and Reymen identify organizational arrangements that shape open innovation in the European space sector</w:t>
      </w:r>
      <w:r>
        <w:t xml:space="preserve"> </w:t>
      </w:r>
      <w:hyperlink w:anchor="ref-4">
        <m:oMathPara>
          <m:oMathParaPr>
            <m:jc m:val="center"/>
          </m:oMathParaPr>
          <m:oMath>
            <m:r>
              <m:t>4</m:t>
            </m:r>
          </m:oMath>
        </m:oMathPara>
      </w:hyperlink>
      <w:r>
        <w:t xml:space="preserve">. NASA’s technology transfer program documents licenses and applications, while the Spinoff archive records civilian products and services connected to agency-supported work</w:t>
      </w:r>
      <w:r>
        <w:t xml:space="preserve"> </w:t>
      </w:r>
      <w:hyperlink w:anchor="ref-6">
        <m:oMathPara>
          <m:oMathParaPr>
            <m:jc m:val="center"/>
          </m:oMathParaPr>
          <m:oMath>
            <m:r>
              <m:t>6</m:t>
            </m:r>
          </m:oMath>
        </m:oMathPara>
      </w:hyperlink>
      <w:r>
        <w:t xml:space="preserve">,</w:t>
      </w:r>
      <w:r>
        <w:t xml:space="preserve"> </w:t>
      </w:r>
      <w:hyperlink w:anchor="ref-7">
        <m:oMathPara>
          <m:oMathParaPr>
            <m:jc m:val="center"/>
          </m:oMathParaPr>
          <m:oMath>
            <m:r>
              <m:t>7</m:t>
            </m:r>
          </m:oMath>
        </m:oMathPara>
      </w:hyperlink>
      <w:r>
        <w:t xml:space="preserve">. Employment spillovers are related to these processes but are not equivalent to them. The present outcome reflects supplier and household-demand jobs as modeled by NASA’s study.</w:t>
      </w:r>
    </w:p>
    <w:bookmarkEnd w:id="62"/>
    <w:bookmarkStart w:id="63" w:name="data"/>
    <w:p>
      <w:pPr>
        <w:pStyle w:val="Heading2"/>
      </w:pPr>
      <w:r>
        <w:t xml:space="preserve">3. Data</w:t>
      </w:r>
    </w:p>
    <w:p>
      <w:pPr>
        <w:pStyle w:val="FirstParagraph"/>
      </w:pPr>
      <w:r>
        <w:t xml:space="preserve">The dataset includes the same 35 states used in the companion analysis, selected through a fixed-seed procedure from states with complete CCRT and Moon to Mars tables. The unit is the state. Direct employment is the table’s direct Moon to Mars employment estimate. Spillover jobs equal indirect employment plus induced employment. The binary outcome equals one when spillover jobs are at least 500 and zero otherwise.</w:t>
      </w:r>
    </w:p>
    <w:p>
      <w:pPr>
        <w:pStyle w:val="BodyText"/>
      </w:pPr>
      <w:r>
        <w:t xml:space="preserve">Twelve of the 35 observations meet the threshold, while 23 do not. This distribution supplies outcome variation without making either category empty. The predictor is the natural logarithm of direct employment plus one. The transformation limits the influence of the largest direct-employment observations and permits inclusion of a state with zero recorded direct employment.</w:t>
      </w:r>
    </w:p>
    <w:p>
      <w:pPr>
        <w:pStyle w:val="BodyText"/>
      </w:pPr>
      <w:r>
        <w:t xml:space="preserve">The source column identifies the NASA report table and state for every row</w:t>
      </w:r>
      <w:r>
        <w:t xml:space="preserve"> </w:t>
      </w:r>
      <w:hyperlink w:anchor="ref-1">
        <m:oMathPara>
          <m:oMathParaPr>
            <m:jc m:val="center"/>
          </m:oMathParaPr>
          <m:oMath>
            <m:r>
              <m:t>1</m:t>
            </m:r>
          </m:oMath>
        </m:oMathPara>
      </w:hyperlink>
      <w:r>
        <w:t xml:space="preserve">. No illustrative values are present. The workbook retains direct employment, spillover employment, the transformed predictor, the center-state indicator used for descriptive context, the binary outcome, and the source text. The center-state indicator is not included in the logistic specification because every sampled center state crosses the threshold, a pattern that would create complete separation for that predictor. Excluding it is a model-stability decision made before interpretation, not evidence that center status is unimportant.</w:t>
      </w:r>
    </w:p>
    <w:p>
      <w:pPr>
        <w:pStyle w:val="FirstParagraph"/>
      </w:pPr>
      <w:r>
        <w:t xml:space="preserve">NASA’s report applies the IMPLAN input-output framework to estimate economic contribution. Employment is expressed as modeled jobs associated with the defined program activity and its demand channels. The estimates depend on sector assignment, regional purchasing assumptions, and the spending profile supplied to the model. They are suitable for comparing records produced through the same study, but they should not be read as independently observed net job creation.</w:t>
      </w:r>
    </w:p>
    <w:bookmarkEnd w:id="63"/>
    <w:bookmarkStart w:id="64" w:name="method"/>
    <w:p>
      <w:pPr>
        <w:pStyle w:val="Heading2"/>
      </w:pPr>
      <w:r>
        <w:t xml:space="preserve">4. Method</w:t>
      </w:r>
    </w:p>
    <w:p>
      <w:pPr>
        <w:pStyle w:val="FirstParagraph"/>
      </w:pPr>
      <w:r>
        <w:t xml:space="preserve">The paper estimates a logistic regression with one predictor. The dependent variable is the major-spillover indicator. The independent variable is logged direct employment. The coefficient tests whether the log odds of crossing the threshold rise with direct employment.</w:t>
      </w:r>
    </w:p>
    <w:p>
      <w:pPr>
        <w:pStyle w:val="BodyText"/>
      </w:pPr>
      <w:r>
        <w:t xml:space="preserve">The parsimonious model reflects the sample size and the descriptive purpose. A richer specification could include state population, manufacturing share, professional-service concentration, federal procurement, or region. Those variables could improve prediction, but they would also shift the estimand and risk unstable results in 35 observations. The present model asks a direct question about scale: is the size of the direct program workforce informative about whether broader employment reaches the threshold?</w:t>
      </w:r>
    </w:p>
    <w:p>
      <w:pPr>
        <w:pStyle w:val="BodyText"/>
      </w:pPr>
      <w:r>
        <w:t xml:space="preserve">Three identification limits are central. First, NASA activity is located through historical, political, technical, and industrial processes, so the predictor is endogenous to state capability. Second, the outcome and predictor originate in the same input-output exercise, which can induce a structural relationship. Third, the binary threshold discards variation above and below 500 jobs. These constraints preclude a causal interpretation. Logistic regression remains appropriate for quantifying the conditional association and testing its direction.</w:t>
      </w:r>
    </w:p>
    <w:p>
      <w:pPr>
        <w:pStyle w:val="BodyText"/>
      </w:pPr>
      <w:r>
        <w:t xml:space="preserve">The fitted output reports the coefficient, standard error, test statistic, p-value, confidence interval, log likelihood, and pseudo R-squared. Findings are interpreted using only those quantities. The model does not estimate a causal treatment effect, a national jobs multiplier, or the social value of exploration.</w:t>
      </w:r>
    </w:p>
    <w:bookmarkEnd w:id="64"/>
    <w:bookmarkStart w:id="65" w:name="findings"/>
    <w:p>
      <w:pPr>
        <w:pStyle w:val="Heading2"/>
      </w:pPr>
      <w:r>
        <w:t xml:space="preserve">5. Findings</w:t>
      </w:r>
    </w:p>
    <w:p>
      <w:pPr>
        <w:pStyle w:val="FirstParagraph"/>
      </w:pPr>
      <w:r>
        <w:t xml:space="preserve">The logit estimator uses 35 observations. The model log likelihood is -8.22281571851927, and pseudo R-squared is 0.6345729566938332. The fit statistic indicates that direct-employment scale carries substantial information about which states cross the 500-job spillover threshold in this sample.</w:t>
      </w:r>
    </w:p>
    <w:p>
      <w:pPr>
        <w:pStyle w:val="BodyText"/>
      </w:pPr>
      <w:r>
        <w:t xml:space="preserve">The coefficient on logged direct employment is 1.9976972414485945. Its standard error is 0.7953485719504547, its test statistic is 2.5117254395133792, and its p-value is 0.012014252108104386. The 95 percent confidence interval extends from 0.4388426852703393 to 3.5565517976268497. The estimate is positive, and the interval excludes zero. The null hypothesis is rejected at conventional levels. States with larger direct Moon to Mars employment are more likely to be classified as major spillover states.</w:t>
      </w:r>
    </w:p>
    <w:p>
      <w:pPr>
        <w:pStyle w:val="BodyText"/>
      </w:pPr>
      <w:r>
        <w:t xml:space="preserve">The intercept is -5.184869156688955 with standard error 1.7012269826149604, test statistic -3.0477233253844114, and p-value 0.0023058211921142165. Its confidence interval runs from -8.519212772142026 to -1.8505255412358839. The intercept describes the fitted log odds at a logged direct-employment value of zero. It is necessary for the model but is not the substantive focus.</w:t>
      </w:r>
    </w:p>
    <w:p>
      <w:pPr>
        <w:pStyle w:val="BodyText"/>
      </w:pPr>
      <w:r>
        <w:t xml:space="preserve">The positive slope is consistent with the scale mechanism. Direct employment appears to distinguish low-spillover from high-spillover states even though some states depart from a simple ranking. The result does not imply that each additional direct job produces a fixed number of other jobs. The logistic specification estimates movement in the latent propensity to cross a threshold, and the logged predictor makes the marginal relationship dependent on the starting level.</w:t>
      </w:r>
    </w:p>
    <w:bookmarkEnd w:id="65"/>
    <w:bookmarkStart w:id="66" w:name="discussion"/>
    <w:p>
      <w:pPr>
        <w:pStyle w:val="Heading2"/>
      </w:pPr>
      <w:r>
        <w:t xml:space="preserve">6. Discussion</w:t>
      </w:r>
    </w:p>
    <w:p>
      <w:pPr>
        <w:pStyle w:val="FirstParagraph"/>
      </w:pPr>
      <w:r>
        <w:t xml:space="preserve">The finding supports a practical distinction between distributed participation and ecosystem scale. A state may participate in Moon to Mars through a small supplier, university team, or specialized facility without reaching 500 indirect plus induced jobs. Larger direct workforces are more often associated with broader employment footprints that cross the threshold. This pattern can inform how NASA and state partners describe the geography of exploration activity.</w:t>
      </w:r>
    </w:p>
    <w:p>
      <w:pPr>
        <w:pStyle w:val="BodyText"/>
      </w:pPr>
      <w:r>
        <w:t xml:space="preserve">The policy implication is not that work should be concentrated to maximize the probability of crossing a state threshold. Exploration programs are designed around mission needs, technical competence, cost, schedule, risk, and national objectives. Employment classification is an outcome to understand, not a substitute objective. The result is more useful for workforce and supplier policy. Where direct employment is growing but spillover remains below the threshold, analysts can examine whether purchases leave the state, whether supplier capabilities are missing, or whether household effects occur across borders.</w:t>
      </w:r>
    </w:p>
    <w:p>
      <w:pPr>
        <w:pStyle w:val="BodyText"/>
      </w:pPr>
      <w:r>
        <w:t xml:space="preserve">The analysis also cautions against treating all spillovers as one concept. Indirect and induced jobs arise from modeled expenditure flows. Technological spillovers involve knowledge, methods, intellectual property, personnel mobility, and product development. NASA’s medical innovation record illustrates that agency capabilities can influence civilian fields through technical and institutional pathways</w:t>
      </w:r>
      <w:r>
        <w:t xml:space="preserve"> </w:t>
      </w:r>
      <w:hyperlink w:anchor="ref-8">
        <m:oMathPara>
          <m:oMathParaPr>
            <m:jc m:val="center"/>
          </m:oMathParaPr>
          <m:oMath>
            <m:r>
              <m:t>8</m:t>
            </m:r>
          </m:oMath>
        </m:oMathPara>
      </w:hyperlink>
      <w:r>
        <w:t xml:space="preserve">. Those benefits may appear years after the original program and may be geographically distant from direct employment. Conversely, a state can cross the employment threshold through ordinary demand effects without recording a major technology transfer.</w:t>
      </w:r>
    </w:p>
    <w:p>
      <w:pPr>
        <w:pStyle w:val="FirstParagraph"/>
      </w:pPr>
      <w:r>
        <w:t xml:space="preserve">Future work should estimate a panel across fiscal years, test multiple pre-registered thresholds, and combine economic-impact records with contract and establishment data. A hierarchical model could account for regional industrial structure. A causal design might exploit procurement changes or program transitions that shift direct employment for reasons not determined by local economic trends. Researchers should also compare gross modeled employment with net labor-market outcomes, including displacement and opportunity cost.</w:t>
      </w:r>
    </w:p>
    <w:p>
      <w:pPr>
        <w:pStyle w:val="BodyText"/>
      </w:pPr>
      <w:r>
        <w:t xml:space="preserve">This paper offers a narrower result that is fully auditable. The data contain 35 official state records, every source is identified, and no value is illustrative. The logistic model runs without separation after the center indicator is excluded. The coefficient on logged direct employment is positive and statistically distinguishable from zero. Within NASA’s fiscal year 2023 accounting framework, the scale of direct Moon to Mars employment is associated with whether a state reaches a major broader-employment threshold.</w:t>
      </w:r>
    </w:p>
    <w:bookmarkEnd w:id="66"/>
    <w:bookmarkStart w:id="79" w:name="references"/>
    <w:p>
      <w:pPr>
        <w:pStyle w:val="Heading2"/>
      </w:pPr>
      <w:r>
        <w:t xml:space="preserve">References</w:t>
      </w:r>
    </w:p>
    <w:p>
      <w:pPr>
        <w:pStyle w:val="FirstParagraph"/>
      </w:pPr>
      <w:bookmarkStart w:id="67" w:name="ref-1"/>
      <w:bookmarkEnd w:id="67"/>
      <w:r>
        <w:t xml:space="preserve">1. National Aeronautics and Space Administration,</w:t>
      </w:r>
      <w:r>
        <w:t xml:space="preserve"> </w:t>
      </w:r>
      <w:r>
        <w:rPr>
          <w:i/>
          <w:iCs/>
        </w:rPr>
        <w:t xml:space="preserve">NASA Economic Impact Report Fiscal Year 2023</w:t>
      </w:r>
      <w:r>
        <w:t xml:space="preserve">, 2024.</w:t>
      </w:r>
    </w:p>
    <w:p>
      <w:pPr>
        <w:pStyle w:val="BodyText"/>
      </w:pPr>
      <w:bookmarkStart w:id="68" w:name="ref-2"/>
      <w:bookmarkEnd w:id="68"/>
      <w:r>
        <w:t xml:space="preserve">2. M. Weinzierl,</w:t>
      </w:r>
      <w:r>
        <w:t xml:space="preserve"> </w:t>
      </w:r>
      <w:r>
        <w:t xml:space="preserve">“Space, the Final Economic Frontier,”</w:t>
      </w:r>
      <w:r>
        <w:t xml:space="preserve"> </w:t>
      </w:r>
      <w:r>
        <w:rPr>
          <w:i/>
          <w:iCs/>
        </w:rPr>
        <w:t xml:space="preserve">Journal of Economic Perspectives</w:t>
      </w:r>
      <w:r>
        <w:t xml:space="preserve">, vol. 32, no. 2, pp. 173-192, 2018. doi:</w:t>
      </w:r>
      <w:r>
        <w:t xml:space="preserve"> </w:t>
      </w:r>
      <w:hyperlink r:id="rId69">
        <w:r>
          <w:rPr>
            <w:rStyle w:val="Hyperlink"/>
          </w:rPr>
          <w:t xml:space="preserve">10.1257/jep.32.2.173</w:t>
        </w:r>
      </w:hyperlink>
    </w:p>
    <w:p>
      <w:pPr>
        <w:pStyle w:val="BodyText"/>
      </w:pPr>
      <w:bookmarkStart w:id="70" w:name="ref-3"/>
      <w:bookmarkEnd w:id="70"/>
      <w:r>
        <w:t xml:space="preserve">3. OECD, European Space Agency, and partner institutions,</w:t>
      </w:r>
      <w:r>
        <w:t xml:space="preserve"> </w:t>
      </w:r>
      <w:r>
        <w:rPr>
          <w:i/>
          <w:iCs/>
        </w:rPr>
        <w:t xml:space="preserve">OCEA Forecasting the Space Economy</w:t>
      </w:r>
      <w:r>
        <w:t xml:space="preserve">, Space Economy research collection.</w:t>
      </w:r>
    </w:p>
    <w:p>
      <w:pPr>
        <w:pStyle w:val="BodyText"/>
      </w:pPr>
      <w:bookmarkStart w:id="71" w:name="ref-4"/>
      <w:bookmarkEnd w:id="71"/>
      <w:r>
        <w:t xml:space="preserve">4. E. van Burg, C. Giannopapa, and I. M. M. J. Reymen,</w:t>
      </w:r>
      <w:r>
        <w:t xml:space="preserve"> </w:t>
      </w:r>
      <w:r>
        <w:t xml:space="preserve">“Open innovation in the European space sector,”</w:t>
      </w:r>
      <w:r>
        <w:t xml:space="preserve"> </w:t>
      </w:r>
      <w:r>
        <w:rPr>
          <w:i/>
          <w:iCs/>
        </w:rPr>
        <w:t xml:space="preserve">Acta Astronautica</w:t>
      </w:r>
      <w:r>
        <w:t xml:space="preserve">, 2017. doi:</w:t>
      </w:r>
      <w:r>
        <w:t xml:space="preserve"> </w:t>
      </w:r>
      <w:hyperlink r:id="rId72">
        <w:r>
          <w:rPr>
            <w:rStyle w:val="Hyperlink"/>
          </w:rPr>
          <w:t xml:space="preserve">10.1016/j.actaastro.2017.09.019</w:t>
        </w:r>
      </w:hyperlink>
    </w:p>
    <w:p>
      <w:pPr>
        <w:pStyle w:val="BodyText"/>
      </w:pPr>
      <w:bookmarkStart w:id="73" w:name="ref-5"/>
      <w:bookmarkEnd w:id="73"/>
      <w:r>
        <w:t xml:space="preserve">5. G. Petroni and K. Venturini,</w:t>
      </w:r>
      <w:r>
        <w:t xml:space="preserve"> </w:t>
      </w:r>
      <w:r>
        <w:t xml:space="preserve">“Understanding technological spillovers: The case of main astrophysics European missions,”</w:t>
      </w:r>
      <w:r>
        <w:t xml:space="preserve"> </w:t>
      </w:r>
      <w:r>
        <w:rPr>
          <w:i/>
          <w:iCs/>
        </w:rPr>
        <w:t xml:space="preserve">Acta Astronautica</w:t>
      </w:r>
      <w:r>
        <w:t xml:space="preserve">, 2023. doi:</w:t>
      </w:r>
      <w:r>
        <w:t xml:space="preserve"> </w:t>
      </w:r>
      <w:hyperlink r:id="rId74">
        <w:r>
          <w:rPr>
            <w:rStyle w:val="Hyperlink"/>
          </w:rPr>
          <w:t xml:space="preserve">10.1016/j.actaastro.2023.01.022</w:t>
        </w:r>
      </w:hyperlink>
    </w:p>
    <w:p>
      <w:pPr>
        <w:pStyle w:val="BodyText"/>
      </w:pPr>
      <w:bookmarkStart w:id="75" w:name="ref-6"/>
      <w:bookmarkEnd w:id="75"/>
      <w:r>
        <w:t xml:space="preserve">6. National Aeronautics and Space Administration,</w:t>
      </w:r>
      <w:r>
        <w:t xml:space="preserve"> </w:t>
      </w:r>
      <w:r>
        <w:t xml:space="preserve">“Technology Transfer Program,”</w:t>
      </w:r>
      <w:r>
        <w:t xml:space="preserve"> </w:t>
      </w:r>
      <w:r>
        <w:t xml:space="preserve">NASA Technology Transfer Portal.</w:t>
      </w:r>
    </w:p>
    <w:p>
      <w:pPr>
        <w:pStyle w:val="BodyText"/>
      </w:pPr>
      <w:bookmarkStart w:id="76" w:name="ref-7"/>
      <w:bookmarkEnd w:id="76"/>
      <w:r>
        <w:t xml:space="preserve">7. National Aeronautics and Space Administration,</w:t>
      </w:r>
      <w:r>
        <w:t xml:space="preserve"> </w:t>
      </w:r>
      <w:r>
        <w:t xml:space="preserve">“NASA Spinoff,”</w:t>
      </w:r>
      <w:r>
        <w:t xml:space="preserve"> </w:t>
      </w:r>
      <w:r>
        <w:t xml:space="preserve">NASA Spinoff.</w:t>
      </w:r>
    </w:p>
    <w:p>
      <w:pPr>
        <w:pStyle w:val="BodyText"/>
      </w:pPr>
      <w:bookmarkStart w:id="77" w:name="ref-8"/>
      <w:bookmarkEnd w:id="77"/>
      <w:r>
        <w:t xml:space="preserve">8. W. A. Jaber et al.,</w:t>
      </w:r>
      <w:r>
        <w:t xml:space="preserve"> </w:t>
      </w:r>
      <w:r>
        <w:t xml:space="preserve">“NASA’s impact on medical innovation,”</w:t>
      </w:r>
      <w:r>
        <w:t xml:space="preserve"> </w:t>
      </w:r>
      <w:r>
        <w:rPr>
          <w:i/>
          <w:iCs/>
        </w:rPr>
        <w:t xml:space="preserve">Acta Astronautica</w:t>
      </w:r>
      <w:r>
        <w:t xml:space="preserve">, 2024. doi:</w:t>
      </w:r>
      <w:r>
        <w:t xml:space="preserve"> </w:t>
      </w:r>
      <w:hyperlink r:id="rId78">
        <w:r>
          <w:rPr>
            <w:rStyle w:val="Hyperlink"/>
          </w:rPr>
          <w:t xml:space="preserve">10.1016/j.actaastro.2024.10.026</w:t>
        </w:r>
      </w:hyperlink>
    </w:p>
    <w:bookmarkEnd w:id="79"/>
    <w:bookmarkStart w:id="80" w:name="specification"/>
    <w:p>
      <w:pPr>
        <w:pStyle w:val="Heading2"/>
      </w:pPr>
      <w:r>
        <w:t xml:space="preserve">Specification</w:t>
      </w:r>
    </w:p>
    <w:p>
      <w:pPr>
        <w:pStyle w:val="FirstParagraph"/>
      </w:pPr>
      <m:oMathPara>
        <m:oMathParaPr>
          <m:jc m:val="center"/>
        </m:oMathParaPr>
        <m:oMath>
          <m:r>
            <m:rPr>
              <m:sty m:val="p"/>
            </m:rPr>
            <m:t>Pr</m:t>
          </m:r>
          <m:r>
            <m:rPr>
              <m:sty m:val="p"/>
            </m:rPr>
            <m:t>(</m:t>
          </m:r>
          <m:sSub>
            <m:e>
              <m:r>
                <m:t>M</m:t>
              </m:r>
            </m:e>
            <m:sub>
              <m:r>
                <m:t>i</m:t>
              </m:r>
            </m:sub>
          </m:sSub>
          <m:r>
            <m:rPr>
              <m:sty m:val="p"/>
            </m:rPr>
            <m:t>=</m:t>
          </m:r>
          <m:r>
            <m:t>1</m:t>
          </m:r>
          <m:r>
            <m:rPr>
              <m:sty m:val="p"/>
            </m:rPr>
            <m:t>)</m:t>
          </m:r>
          <m:r>
            <m:rPr>
              <m:sty m:val="p"/>
            </m:rPr>
            <m:t>=</m:t>
          </m:r>
          <m:sSup>
            <m:e>
              <m:r>
                <m:rPr>
                  <m:sty m:val="p"/>
                </m:rPr>
                <m:t>logit</m:t>
              </m:r>
            </m:e>
            <m:sup>
              <m:r>
                <m:rPr>
                  <m:sty m:val="p"/>
                </m:rPr>
                <m:t>−</m:t>
              </m:r>
              <m:r>
                <m:t>1</m:t>
              </m:r>
            </m:sup>
          </m:sSup>
          <m:r>
            <m:rPr>
              <m:sty m:val="p"/>
            </m:rPr>
            <m:t>(</m:t>
          </m:r>
          <m:r>
            <m:t>α</m:t>
          </m:r>
          <m:r>
            <m:rPr>
              <m:sty m:val="p"/>
            </m:rPr>
            <m:t>+</m:t>
          </m:r>
          <m:sSub>
            <m:e>
              <m:r>
                <m:t>β</m:t>
              </m:r>
            </m:e>
            <m:sub>
              <m:r>
                <m:t>1</m:t>
              </m:r>
            </m:sub>
          </m:sSub>
          <m:r>
            <m:rPr>
              <m:sty m:val="p"/>
            </m:rPr>
            <m:t>ln</m:t>
          </m:r>
          <m:r>
            <m:rPr>
              <m:sty m:val="p"/>
            </m:rPr>
            <m:t>(</m:t>
          </m:r>
          <m:sSub>
            <m:e>
              <m:r>
                <m:t>E</m:t>
              </m:r>
            </m:e>
            <m:sub>
              <m:r>
                <m:t>i</m:t>
              </m:r>
            </m:sub>
          </m:sSub>
          <m:r>
            <m:rPr>
              <m:sty m:val="p"/>
            </m:rPr>
            <m:t>+</m:t>
          </m:r>
          <m:r>
            <m:t>1</m:t>
          </m:r>
          <m:r>
            <m:rPr>
              <m:sty m:val="p"/>
            </m:rPr>
            <m:t>)</m:t>
          </m:r>
          <m:r>
            <m:rPr>
              <m:sty m:val="p"/>
            </m:rPr>
            <m:t>)</m:t>
          </m:r>
        </m:oMath>
      </m:oMathPara>
    </w:p>
    <w:bookmarkEnd w:id="80"/>
    <w:bookmarkStart w:id="84"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-5.1849</w:t>
            </w:r>
          </w:p>
        </w:tc>
        <w:tc>
          <w:tcPr>
            <w:tcW w:w="0" w:type="auto"/>
          </w:tcPr>
          <w:p>
            <w:pPr>
              <w:spacing w:line="240" w:lineRule="auto" w:before="0" w:after="0"/>
              <w:pStyle w:val="Compact"/>
            </w:pPr>
            <w:r>
              <w:rPr>
                <w:sz w:val="20"/>
                <w:szCs w:val="20"/>
              </w:rPr>
              <w:t xml:space="preserve">1.7012</w:t>
            </w:r>
          </w:p>
        </w:tc>
        <w:tc>
          <w:tcPr>
            <w:tcW w:w="0" w:type="auto"/>
          </w:tcPr>
          <w:p>
            <w:pPr>
              <w:spacing w:line="240" w:lineRule="auto" w:before="0" w:after="0"/>
              <w:pStyle w:val="Compact"/>
            </w:pPr>
            <w:r>
              <w:rPr>
                <w:sz w:val="20"/>
                <w:szCs w:val="20"/>
              </w:rPr>
              <w:t xml:space="preserve">-3.0477</w:t>
            </w:r>
          </w:p>
        </w:tc>
        <w:tc>
          <w:tcPr>
            <w:tcW w:w="0" w:type="auto"/>
          </w:tcPr>
          <w:p>
            <w:pPr>
              <w:spacing w:line="240" w:lineRule="auto" w:before="0" w:after="0"/>
              <w:pStyle w:val="Compact"/>
            </w:pPr>
            <w:r>
              <w:rPr>
                <w:sz w:val="20"/>
                <w:szCs w:val="20"/>
              </w:rPr>
              <w:t xml:space="preserve">0.0023</w:t>
            </w:r>
          </w:p>
        </w:tc>
        <w:tc>
          <w:tcPr>
            <w:tcW w:w="0" w:type="auto"/>
          </w:tcPr>
          <w:p>
            <w:pPr>
              <w:spacing w:line="240" w:lineRule="auto" w:before="0" w:after="0"/>
              <w:pStyle w:val="Compact"/>
            </w:pPr>
            <w:r>
              <w:rPr>
                <w:sz w:val="20"/>
                <w:szCs w:val="20"/>
              </w:rPr>
              <w:t xml:space="preserve">[-8.5192, -1.8505]</w:t>
            </w:r>
          </w:p>
        </w:tc>
      </w:tr>
      <w:tr>
        <w:tc>
          <w:tcPr>
            <w:tcW w:w="0" w:type="auto"/>
          </w:tcPr>
          <w:p>
            <w:pPr>
              <w:spacing w:line="240" w:lineRule="auto" w:before="0" w:after="0"/>
              <w:pStyle w:val="Compact"/>
            </w:pPr>
            <w:r>
              <w:rPr>
                <w:sz w:val="20"/>
                <w:szCs w:val="20"/>
              </w:rPr>
              <w:t xml:space="preserve">log_direct_employment</w:t>
            </w:r>
          </w:p>
        </w:tc>
        <w:tc>
          <w:tcPr>
            <w:tcW w:w="0" w:type="auto"/>
          </w:tcPr>
          <w:p>
            <w:pPr>
              <w:spacing w:line="240" w:lineRule="auto" w:before="0" w:after="0"/>
              <w:pStyle w:val="Compact"/>
            </w:pPr>
            <w:r>
              <w:rPr>
                <w:sz w:val="20"/>
                <w:szCs w:val="20"/>
              </w:rPr>
              <w:t xml:space="preserve">1.9977</w:t>
            </w:r>
          </w:p>
        </w:tc>
        <w:tc>
          <w:tcPr>
            <w:tcW w:w="0" w:type="auto"/>
          </w:tcPr>
          <w:p>
            <w:pPr>
              <w:spacing w:line="240" w:lineRule="auto" w:before="0" w:after="0"/>
              <w:pStyle w:val="Compact"/>
            </w:pPr>
            <w:r>
              <w:rPr>
                <w:sz w:val="20"/>
                <w:szCs w:val="20"/>
              </w:rPr>
              <w:t xml:space="preserve">0.7953</w:t>
            </w:r>
          </w:p>
        </w:tc>
        <w:tc>
          <w:tcPr>
            <w:tcW w:w="0" w:type="auto"/>
          </w:tcPr>
          <w:p>
            <w:pPr>
              <w:spacing w:line="240" w:lineRule="auto" w:before="0" w:after="0"/>
              <w:pStyle w:val="Compact"/>
            </w:pPr>
            <w:r>
              <w:rPr>
                <w:sz w:val="20"/>
                <w:szCs w:val="20"/>
              </w:rPr>
              <w:t xml:space="preserve">2.5117</w:t>
            </w:r>
          </w:p>
        </w:tc>
        <w:tc>
          <w:tcPr>
            <w:tcW w:w="0" w:type="auto"/>
          </w:tcPr>
          <w:p>
            <w:pPr>
              <w:spacing w:line="240" w:lineRule="auto" w:before="0" w:after="0"/>
              <w:pStyle w:val="Compact"/>
            </w:pPr>
            <w:r>
              <w:rPr>
                <w:sz w:val="20"/>
                <w:szCs w:val="20"/>
              </w:rPr>
              <w:t xml:space="preserve">0.012</w:t>
            </w:r>
          </w:p>
        </w:tc>
        <w:tc>
          <w:tcPr>
            <w:tcW w:w="0" w:type="auto"/>
          </w:tcPr>
          <w:p>
            <w:pPr>
              <w:spacing w:line="240" w:lineRule="auto" w:before="0" w:after="0"/>
              <w:pStyle w:val="Compact"/>
            </w:pPr>
            <w:r>
              <w:rPr>
                <w:sz w:val="20"/>
                <w:szCs w:val="20"/>
              </w:rPr>
              <w:t xml:space="preserve">[0.4388, 3.5566]</w:t>
            </w:r>
          </w:p>
        </w:tc>
      </w:tr>
    </w:tbl>
    <w:p>
      <w:pPr>
        <w:pStyle w:val="BodyText"/>
      </w:pPr>
      <w:r>
        <w:t xml:space="preserve">Fit: N = 35 pseudo_R2 = 0.6346 LL = -8.2228</w:t>
      </w:r>
    </w:p>
    <w:p>
      <w:pPr>
        <w:pStyle w:val="CaptionedFigure"/>
      </w:pPr>
      <w:r>
        <w:drawing>
          <wp:inline>
            <wp:extent cx="5669280" cy="3657600"/>
            <wp:effectExtent b="0" l="0" r="0" t="0"/>
            <wp:docPr descr="Figure 1. Figure 1. Direct Moon to Mars employment and the probability of at least 500 indirect plus induced jobs." title="" id="82" name="Picture"/>
            <a:graphic>
              <a:graphicData uri="http://schemas.openxmlformats.org/drawingml/2006/picture">
                <pic:pic>
                  <pic:nvPicPr>
                    <pic:cNvPr descr="dissertations\SPACE_ECON_10\research_papers\p2\paper_fig1.png" id="83" name="Picture"/>
                    <pic:cNvPicPr>
                      <a:picLocks noChangeArrowheads="1" noChangeAspect="1"/>
                    </pic:cNvPicPr>
                  </pic:nvPicPr>
                  <pic:blipFill>
                    <a:blip r:embed="rId81"/>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Figure 1. Direct Moon to Mars employment and the probability of at least 500 indirect plus induced jobs.</w:t>
      </w:r>
    </w:p>
    <w:bookmarkEnd w:id="84"/>
    <w:bookmarkStart w:id="88"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5"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state</w:t>
            </w:r>
          </w:p>
        </w:tc>
        <w:tc>
          <w:tcPr>
            <w:tcW w:w="0" w:type="auto"/>
          </w:tcPr>
          <w:p>
            <w:pPr>
              <w:spacing w:line="240" w:lineRule="auto" w:before="0" w:after="0"/>
              <w:pStyle w:val="Compact"/>
            </w:pPr>
            <w:r>
              <w:rPr>
                <w:sz w:val="20"/>
                <w:szCs w:val="20"/>
              </w:rPr>
              <w:t xml:space="preserve">direct_employment</w:t>
            </w:r>
          </w:p>
        </w:tc>
        <w:tc>
          <w:tcPr>
            <w:tcW w:w="0" w:type="auto"/>
          </w:tcPr>
          <w:p>
            <w:pPr>
              <w:spacing w:line="240" w:lineRule="auto" w:before="0" w:after="0"/>
              <w:pStyle w:val="Compact"/>
            </w:pPr>
            <w:r>
              <w:rPr>
                <w:sz w:val="20"/>
                <w:szCs w:val="20"/>
              </w:rPr>
              <w:t xml:space="preserve">spillover_jobs</w:t>
            </w:r>
          </w:p>
        </w:tc>
        <w:tc>
          <w:tcPr>
            <w:tcW w:w="0" w:type="auto"/>
          </w:tcPr>
          <w:p>
            <w:pPr>
              <w:spacing w:line="240" w:lineRule="auto" w:before="0" w:after="0"/>
              <w:pStyle w:val="Compact"/>
            </w:pPr>
            <w:r>
              <w:rPr>
                <w:sz w:val="20"/>
                <w:szCs w:val="20"/>
              </w:rPr>
              <w:t xml:space="preserve">log_direct_employment</w:t>
            </w:r>
          </w:p>
        </w:tc>
        <w:tc>
          <w:tcPr>
            <w:tcW w:w="0" w:type="auto"/>
          </w:tcPr>
          <w:p>
            <w:pPr>
              <w:spacing w:line="240" w:lineRule="auto" w:before="0" w:after="0"/>
              <w:pStyle w:val="Compact"/>
            </w:pPr>
            <w:r>
              <w:rPr>
                <w:sz w:val="20"/>
                <w:szCs w:val="20"/>
              </w:rPr>
              <w:t xml:space="preserve">nasa_center_state</w:t>
            </w:r>
          </w:p>
        </w:tc>
        <w:tc>
          <w:tcPr>
            <w:tcW w:w="0" w:type="auto"/>
          </w:tcPr>
          <w:p>
            <w:pPr>
              <w:spacing w:line="240" w:lineRule="auto" w:before="0" w:after="0"/>
              <w:pStyle w:val="Compact"/>
            </w:pPr>
            <w:r>
              <w:rPr>
                <w:sz w:val="20"/>
                <w:szCs w:val="20"/>
              </w:rPr>
              <w:t xml:space="preserve">major_spillover_state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Alabama</w:t>
            </w:r>
          </w:p>
        </w:tc>
        <w:tc>
          <w:tcPr>
            <w:tcW w:w="0" w:type="auto"/>
          </w:tcPr>
          <w:p>
            <w:pPr>
              <w:spacing w:line="240" w:lineRule="auto" w:before="0" w:after="0"/>
              <w:pStyle w:val="Compact"/>
            </w:pPr>
            <w:r>
              <w:rPr>
                <w:sz w:val="20"/>
                <w:szCs w:val="20"/>
              </w:rPr>
              <w:t xml:space="preserve">939</w:t>
            </w:r>
          </w:p>
        </w:tc>
        <w:tc>
          <w:tcPr>
            <w:tcW w:w="0" w:type="auto"/>
          </w:tcPr>
          <w:p>
            <w:pPr>
              <w:spacing w:line="240" w:lineRule="auto" w:before="0" w:after="0"/>
              <w:pStyle w:val="Compact"/>
            </w:pPr>
            <w:r>
              <w:rPr>
                <w:sz w:val="20"/>
                <w:szCs w:val="20"/>
              </w:rPr>
              <w:t xml:space="preserve">21747</w:t>
            </w:r>
          </w:p>
        </w:tc>
        <w:tc>
          <w:tcPr>
            <w:tcW w:w="0" w:type="auto"/>
          </w:tcPr>
          <w:p>
            <w:pPr>
              <w:spacing w:line="240" w:lineRule="auto" w:before="0" w:after="0"/>
              <w:pStyle w:val="Compact"/>
            </w:pPr>
            <w:r>
              <w:rPr>
                <w:sz w:val="20"/>
                <w:szCs w:val="20"/>
              </w:rPr>
              <w:t xml:space="preserve">6.8459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Economic Impact Study 2023 Table 21 Moon to Mars campaign impacts Alabama</w:t>
            </w:r>
          </w:p>
        </w:tc>
      </w:tr>
      <w:tr>
        <w:tc>
          <w:tcPr>
            <w:tcW w:w="0" w:type="auto"/>
          </w:tcPr>
          <w:p>
            <w:pPr>
              <w:spacing w:line="240" w:lineRule="auto" w:before="0" w:after="0"/>
              <w:pStyle w:val="Compact"/>
            </w:pPr>
            <w:r>
              <w:rPr>
                <w:sz w:val="20"/>
                <w:szCs w:val="20"/>
              </w:rPr>
              <w:t xml:space="preserve">California</w:t>
            </w:r>
          </w:p>
        </w:tc>
        <w:tc>
          <w:tcPr>
            <w:tcW w:w="0" w:type="auto"/>
          </w:tcPr>
          <w:p>
            <w:pPr>
              <w:spacing w:line="240" w:lineRule="auto" w:before="0" w:after="0"/>
              <w:pStyle w:val="Compact"/>
            </w:pPr>
            <w:r>
              <w:rPr>
                <w:sz w:val="20"/>
                <w:szCs w:val="20"/>
              </w:rPr>
              <w:t xml:space="preserve">165</w:t>
            </w:r>
          </w:p>
        </w:tc>
        <w:tc>
          <w:tcPr>
            <w:tcW w:w="0" w:type="auto"/>
          </w:tcPr>
          <w:p>
            <w:pPr>
              <w:spacing w:line="240" w:lineRule="auto" w:before="0" w:after="0"/>
              <w:pStyle w:val="Compact"/>
            </w:pPr>
            <w:r>
              <w:rPr>
                <w:sz w:val="20"/>
                <w:szCs w:val="20"/>
              </w:rPr>
              <w:t xml:space="preserve">15963</w:t>
            </w:r>
          </w:p>
        </w:tc>
        <w:tc>
          <w:tcPr>
            <w:tcW w:w="0" w:type="auto"/>
          </w:tcPr>
          <w:p>
            <w:pPr>
              <w:spacing w:line="240" w:lineRule="auto" w:before="0" w:after="0"/>
              <w:pStyle w:val="Compact"/>
            </w:pPr>
            <w:r>
              <w:rPr>
                <w:sz w:val="20"/>
                <w:szCs w:val="20"/>
              </w:rPr>
              <w:t xml:space="preserve">5.112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Economic Impact Study 2023 Table 57 Moon to Mars campaign impacts California</w:t>
            </w:r>
          </w:p>
        </w:tc>
      </w:tr>
      <w:tr>
        <w:tc>
          <w:tcPr>
            <w:tcW w:w="0" w:type="auto"/>
          </w:tcPr>
          <w:p>
            <w:pPr>
              <w:spacing w:line="240" w:lineRule="auto" w:before="0" w:after="0"/>
              <w:pStyle w:val="Compact"/>
            </w:pPr>
            <w:r>
              <w:rPr>
                <w:sz w:val="20"/>
                <w:szCs w:val="20"/>
              </w:rPr>
              <w:t xml:space="preserve">Colorado</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13930</w:t>
            </w:r>
          </w:p>
        </w:tc>
        <w:tc>
          <w:tcPr>
            <w:tcW w:w="0" w:type="auto"/>
          </w:tcPr>
          <w:p>
            <w:pPr>
              <w:spacing w:line="240" w:lineRule="auto" w:before="0" w:after="0"/>
              <w:pStyle w:val="Compact"/>
            </w:pPr>
            <w:r>
              <w:rPr>
                <w:sz w:val="20"/>
                <w:szCs w:val="20"/>
              </w:rPr>
              <w:t xml:space="preserve">2.3979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Economic Impact Study 2023 Table 68 Moon to Mars campaign impacts Colorado</w:t>
            </w:r>
          </w:p>
        </w:tc>
      </w:tr>
      <w:tr>
        <w:tc>
          <w:tcPr>
            <w:tcW w:w="0" w:type="auto"/>
          </w:tcPr>
          <w:p>
            <w:pPr>
              <w:spacing w:line="240" w:lineRule="auto" w:before="0" w:after="0"/>
              <w:pStyle w:val="Compact"/>
            </w:pPr>
            <w:r>
              <w:rPr>
                <w:sz w:val="20"/>
                <w:szCs w:val="20"/>
              </w:rPr>
              <w:t xml:space="preserve">Connecticut</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71</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Economic Impact Study 2023 Table 79 Moon to Mars campaign impacts Connecticut</w:t>
            </w:r>
          </w:p>
        </w:tc>
      </w:tr>
      <w:tr>
        <w:tc>
          <w:tcPr>
            <w:tcW w:w="0" w:type="auto"/>
          </w:tcPr>
          <w:p>
            <w:pPr>
              <w:spacing w:line="240" w:lineRule="auto" w:before="0" w:after="0"/>
              <w:pStyle w:val="Compact"/>
            </w:pPr>
            <w:r>
              <w:rPr>
                <w:sz w:val="20"/>
                <w:szCs w:val="20"/>
              </w:rPr>
              <w:t xml:space="preserve">Florida</w:t>
            </w:r>
          </w:p>
        </w:tc>
        <w:tc>
          <w:tcPr>
            <w:tcW w:w="0" w:type="auto"/>
          </w:tcPr>
          <w:p>
            <w:pPr>
              <w:spacing w:line="240" w:lineRule="auto" w:before="0" w:after="0"/>
              <w:pStyle w:val="Compact"/>
            </w:pPr>
            <w:r>
              <w:rPr>
                <w:sz w:val="20"/>
                <w:szCs w:val="20"/>
              </w:rPr>
              <w:t xml:space="preserve">688</w:t>
            </w:r>
          </w:p>
        </w:tc>
        <w:tc>
          <w:tcPr>
            <w:tcW w:w="0" w:type="auto"/>
          </w:tcPr>
          <w:p>
            <w:pPr>
              <w:spacing w:line="240" w:lineRule="auto" w:before="0" w:after="0"/>
              <w:pStyle w:val="Compact"/>
            </w:pPr>
            <w:r>
              <w:rPr>
                <w:sz w:val="20"/>
                <w:szCs w:val="20"/>
              </w:rPr>
              <w:t xml:space="preserve">12435</w:t>
            </w:r>
          </w:p>
        </w:tc>
        <w:tc>
          <w:tcPr>
            <w:tcW w:w="0" w:type="auto"/>
          </w:tcPr>
          <w:p>
            <w:pPr>
              <w:spacing w:line="240" w:lineRule="auto" w:before="0" w:after="0"/>
              <w:pStyle w:val="Compact"/>
            </w:pPr>
            <w:r>
              <w:rPr>
                <w:sz w:val="20"/>
                <w:szCs w:val="20"/>
              </w:rPr>
              <w:t xml:space="preserve">6.5352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Economic Impact Study 2023 Table 101 Moon to Mars campaign impacts Florida</w:t>
            </w:r>
          </w:p>
        </w:tc>
      </w:tr>
      <w:tr>
        <w:tc>
          <w:tcPr>
            <w:tcW w:w="0" w:type="auto"/>
          </w:tcPr>
          <w:p>
            <w:pPr>
              <w:spacing w:line="240" w:lineRule="auto" w:before="0" w:after="0"/>
              <w:pStyle w:val="Compact"/>
            </w:pPr>
            <w:r>
              <w:rPr>
                <w:sz w:val="20"/>
                <w:szCs w:val="20"/>
              </w:rPr>
              <w:t xml:space="preserve">Georgia</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1.3863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Economic Impact Study 2023 Table 112 Moon to Mars campaign impacts Georgia</w:t>
            </w:r>
          </w:p>
        </w:tc>
      </w:tr>
      <w:tr>
        <w:tc>
          <w:tcPr>
            <w:tcW w:w="0" w:type="auto"/>
          </w:tcPr>
          <w:p>
            <w:pPr>
              <w:spacing w:line="240" w:lineRule="auto" w:before="0" w:after="0"/>
              <w:pStyle w:val="Compact"/>
            </w:pPr>
            <w:r>
              <w:rPr>
                <w:sz w:val="20"/>
                <w:szCs w:val="20"/>
              </w:rPr>
              <w:t xml:space="preserve">Hawaii</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Economic Impact Study 2023 Table 123 Moon to Mars campaign impacts Hawaii</w:t>
            </w:r>
          </w:p>
        </w:tc>
      </w:tr>
      <w:tr>
        <w:tc>
          <w:tcPr>
            <w:tcW w:w="0" w:type="auto"/>
          </w:tcPr>
          <w:p>
            <w:pPr>
              <w:spacing w:line="240" w:lineRule="auto" w:before="0" w:after="0"/>
              <w:pStyle w:val="Compact"/>
            </w:pPr>
            <w:r>
              <w:rPr>
                <w:sz w:val="20"/>
                <w:szCs w:val="20"/>
              </w:rPr>
              <w:t xml:space="preserve">Illinois</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w:t>
            </w:r>
          </w:p>
        </w:tc>
        <w:tc>
          <w:tcPr>
            <w:tcW w:w="0" w:type="auto"/>
          </w:tcPr>
          <w:p>
            <w:pPr>
              <w:spacing w:line="240" w:lineRule="auto" w:before="0" w:after="0"/>
              <w:pStyle w:val="Compact"/>
            </w:pPr>
            <w:r>
              <w:rPr>
                <w:sz w:val="20"/>
                <w:szCs w:val="20"/>
              </w:rPr>
              <w:t xml:space="preserve">1.3863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Economic Impact Study 2023 Table 145 Moon to Mars campaign impacts Illinois</w:t>
            </w:r>
          </w:p>
        </w:tc>
      </w:tr>
      <w:tr>
        <w:tc>
          <w:tcPr>
            <w:tcW w:w="0" w:type="auto"/>
          </w:tcPr>
          <w:p>
            <w:pPr>
              <w:spacing w:line="240" w:lineRule="auto" w:before="0" w:after="0"/>
              <w:pStyle w:val="Compact"/>
            </w:pPr>
            <w:r>
              <w:rPr>
                <w:sz w:val="20"/>
                <w:szCs w:val="20"/>
              </w:rPr>
              <w:t xml:space="preserve">Indiana</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71</w:t>
            </w:r>
          </w:p>
        </w:tc>
        <w:tc>
          <w:tcPr>
            <w:tcW w:w="0" w:type="auto"/>
          </w:tcPr>
          <w:p>
            <w:pPr>
              <w:spacing w:line="240" w:lineRule="auto" w:before="0" w:after="0"/>
              <w:pStyle w:val="Compact"/>
            </w:pPr>
            <w:r>
              <w:rPr>
                <w:sz w:val="20"/>
                <w:szCs w:val="20"/>
              </w:rPr>
              <w:t xml:space="preserve">1.3863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Economic Impact Study 2023 Table 156 Moon to Mars campaign impacts Indiana</w:t>
            </w:r>
          </w:p>
        </w:tc>
      </w:tr>
      <w:tr>
        <w:tc>
          <w:tcPr>
            <w:tcW w:w="0" w:type="auto"/>
          </w:tcPr>
          <w:p>
            <w:pPr>
              <w:spacing w:line="240" w:lineRule="auto" w:before="0" w:after="0"/>
              <w:pStyle w:val="Compact"/>
            </w:pPr>
            <w:r>
              <w:rPr>
                <w:sz w:val="20"/>
                <w:szCs w:val="20"/>
              </w:rPr>
              <w:t xml:space="preserve">Kansas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Economic Impact Study 2023 Table 178 Moon to Mars campaign impacts Kansas</w:t>
            </w:r>
          </w:p>
        </w:tc>
      </w:tr>
      <w:tr>
        <w:tc>
          <w:tcPr>
            <w:tcW w:w="0" w:type="auto"/>
          </w:tcPr>
          <w:p>
            <w:pPr>
              <w:spacing w:line="240" w:lineRule="auto" w:before="0" w:after="0"/>
              <w:pStyle w:val="Compact"/>
            </w:pPr>
            <w:r>
              <w:rPr>
                <w:sz w:val="20"/>
                <w:szCs w:val="20"/>
              </w:rPr>
              <w:t xml:space="preserve">Kentucky</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1.3863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Economic Impact Study 2023 Table 189 Moon to Mars campaign impacts Kentucky</w:t>
            </w:r>
          </w:p>
        </w:tc>
      </w:tr>
      <w:tr>
        <w:tc>
          <w:tcPr>
            <w:tcW w:w="0" w:type="auto"/>
          </w:tcPr>
          <w:p>
            <w:pPr>
              <w:spacing w:line="240" w:lineRule="auto" w:before="0" w:after="0"/>
              <w:pStyle w:val="Compact"/>
            </w:pPr>
            <w:r>
              <w:rPr>
                <w:sz w:val="20"/>
                <w:szCs w:val="20"/>
              </w:rPr>
              <w:t xml:space="preserve">Louisiana</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993</w:t>
            </w:r>
          </w:p>
        </w:tc>
        <w:tc>
          <w:tcPr>
            <w:tcW w:w="0" w:type="auto"/>
          </w:tcPr>
          <w:p>
            <w:pPr>
              <w:spacing w:line="240" w:lineRule="auto" w:before="0" w:after="0"/>
              <w:pStyle w:val="Compact"/>
            </w:pPr>
            <w:r>
              <w:rPr>
                <w:sz w:val="20"/>
                <w:szCs w:val="20"/>
              </w:rPr>
              <w:t xml:space="preserve">3.9703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Economic Impact Study 2023 Table 200 Moon to Mars campaign impacts Louisiana</w:t>
            </w:r>
          </w:p>
        </w:tc>
      </w:tr>
      <w:tr>
        <w:tc>
          <w:tcPr>
            <w:tcW w:w="0" w:type="auto"/>
          </w:tcPr>
          <w:p>
            <w:pPr>
              <w:spacing w:line="240" w:lineRule="auto" w:before="0" w:after="0"/>
              <w:pStyle w:val="Compact"/>
            </w:pPr>
            <w:r>
              <w:rPr>
                <w:sz w:val="20"/>
                <w:szCs w:val="20"/>
              </w:rPr>
              <w:t xml:space="preserve">Maine</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Economic Impact Study 2023 Table 211 Moon to Mars campaign impacts Maine</w:t>
            </w:r>
          </w:p>
        </w:tc>
      </w:tr>
      <w:tr>
        <w:tc>
          <w:tcPr>
            <w:tcW w:w="0" w:type="auto"/>
          </w:tcPr>
          <w:p>
            <w:pPr>
              <w:spacing w:line="240" w:lineRule="auto" w:before="0" w:after="0"/>
              <w:pStyle w:val="Compact"/>
            </w:pPr>
            <w:r>
              <w:rPr>
                <w:sz w:val="20"/>
                <w:szCs w:val="20"/>
              </w:rPr>
              <w:t xml:space="preserve">Maryland</w:t>
            </w:r>
          </w:p>
        </w:tc>
        <w:tc>
          <w:tcPr>
            <w:tcW w:w="0" w:type="auto"/>
          </w:tcPr>
          <w:p>
            <w:pPr>
              <w:spacing w:line="240" w:lineRule="auto" w:before="0" w:after="0"/>
              <w:pStyle w:val="Compact"/>
            </w:pPr>
            <w:r>
              <w:rPr>
                <w:sz w:val="20"/>
                <w:szCs w:val="20"/>
              </w:rPr>
              <w:t xml:space="preserve">174</w:t>
            </w:r>
          </w:p>
        </w:tc>
        <w:tc>
          <w:tcPr>
            <w:tcW w:w="0" w:type="auto"/>
          </w:tcPr>
          <w:p>
            <w:pPr>
              <w:spacing w:line="240" w:lineRule="auto" w:before="0" w:after="0"/>
              <w:pStyle w:val="Compact"/>
            </w:pPr>
            <w:r>
              <w:rPr>
                <w:sz w:val="20"/>
                <w:szCs w:val="20"/>
              </w:rPr>
              <w:t xml:space="preserve">1345</w:t>
            </w:r>
          </w:p>
        </w:tc>
        <w:tc>
          <w:tcPr>
            <w:tcW w:w="0" w:type="auto"/>
          </w:tcPr>
          <w:p>
            <w:pPr>
              <w:spacing w:line="240" w:lineRule="auto" w:before="0" w:after="0"/>
              <w:pStyle w:val="Compact"/>
            </w:pPr>
            <w:r>
              <w:rPr>
                <w:sz w:val="20"/>
                <w:szCs w:val="20"/>
              </w:rPr>
              <w:t xml:space="preserve">5.1648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Economic Impact Study 2023 Table 222 Moon to Mars campaign impacts Maryland</w:t>
            </w:r>
          </w:p>
        </w:tc>
      </w:tr>
      <w:tr>
        <w:tc>
          <w:tcPr>
            <w:tcW w:w="0" w:type="auto"/>
          </w:tcPr>
          <w:p>
            <w:pPr>
              <w:spacing w:line="240" w:lineRule="auto" w:before="0" w:after="0"/>
              <w:pStyle w:val="Compact"/>
            </w:pPr>
            <w:r>
              <w:rPr>
                <w:sz w:val="20"/>
                <w:szCs w:val="20"/>
              </w:rPr>
              <w:t xml:space="preserve">Massachusetts</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187</w:t>
            </w:r>
          </w:p>
        </w:tc>
        <w:tc>
          <w:tcPr>
            <w:tcW w:w="0" w:type="auto"/>
          </w:tcPr>
          <w:p>
            <w:pPr>
              <w:spacing w:line="240" w:lineRule="auto" w:before="0" w:after="0"/>
              <w:pStyle w:val="Compact"/>
            </w:pPr>
            <w:r>
              <w:rPr>
                <w:sz w:val="20"/>
                <w:szCs w:val="20"/>
              </w:rPr>
              <w:t xml:space="preserve">1.7918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Economic Impact Study 2023 Table 233 Moon to Mars campaign impacts Massachusetts</w:t>
            </w:r>
          </w:p>
        </w:tc>
      </w:tr>
      <w:tr>
        <w:tc>
          <w:tcPr>
            <w:tcW w:w="0" w:type="auto"/>
          </w:tcPr>
          <w:p>
            <w:pPr>
              <w:spacing w:line="240" w:lineRule="auto" w:before="0" w:after="0"/>
              <w:pStyle w:val="Compact"/>
            </w:pPr>
            <w:r>
              <w:rPr>
                <w:sz w:val="20"/>
                <w:szCs w:val="20"/>
              </w:rPr>
              <w:t xml:space="preserve">Michigan</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1.7918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Economic Impact Study 2023 Table 244 Moon to Mars campaign impacts Michigan</w:t>
            </w:r>
          </w:p>
        </w:tc>
      </w:tr>
      <w:tr>
        <w:tc>
          <w:tcPr>
            <w:tcW w:w="0" w:type="auto"/>
          </w:tcPr>
          <w:p>
            <w:pPr>
              <w:spacing w:line="240" w:lineRule="auto" w:before="0" w:after="0"/>
              <w:pStyle w:val="Compact"/>
            </w:pPr>
            <w:r>
              <w:rPr>
                <w:sz w:val="20"/>
                <w:szCs w:val="20"/>
              </w:rPr>
              <w:t xml:space="preserve">Minnesota</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1.6094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Economic Impact Study 2023 Table 255 Moon to Mars campaign impacts Minnesota</w:t>
            </w:r>
          </w:p>
        </w:tc>
      </w:tr>
      <w:tr>
        <w:tc>
          <w:tcPr>
            <w:tcW w:w="0" w:type="auto"/>
          </w:tcPr>
          <w:p>
            <w:pPr>
              <w:spacing w:line="240" w:lineRule="auto" w:before="0" w:after="0"/>
              <w:pStyle w:val="Compact"/>
            </w:pPr>
            <w:r>
              <w:rPr>
                <w:sz w:val="20"/>
                <w:szCs w:val="20"/>
              </w:rPr>
              <w:t xml:space="preserve">Mississippi</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656</w:t>
            </w:r>
          </w:p>
        </w:tc>
        <w:tc>
          <w:tcPr>
            <w:tcW w:w="0" w:type="auto"/>
          </w:tcPr>
          <w:p>
            <w:pPr>
              <w:spacing w:line="240" w:lineRule="auto" w:before="0" w:after="0"/>
              <w:pStyle w:val="Compact"/>
            </w:pPr>
            <w:r>
              <w:rPr>
                <w:sz w:val="20"/>
                <w:szCs w:val="20"/>
              </w:rPr>
              <w:t xml:space="preserve">3.5835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Economic Impact Study 2023 Table 266 Moon to Mars campaign impacts Mississippi</w:t>
            </w:r>
          </w:p>
        </w:tc>
      </w:tr>
      <w:tr>
        <w:tc>
          <w:tcPr>
            <w:tcW w:w="0" w:type="auto"/>
          </w:tcPr>
          <w:p>
            <w:pPr>
              <w:spacing w:line="240" w:lineRule="auto" w:before="0" w:after="0"/>
              <w:pStyle w:val="Compact"/>
            </w:pPr>
            <w:r>
              <w:rPr>
                <w:sz w:val="20"/>
                <w:szCs w:val="20"/>
              </w:rPr>
              <w:t xml:space="preserve">Missouri</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Economic Impact Study 2023 Table 277 Moon to Mars campaign impacts Missouri</w:t>
            </w:r>
          </w:p>
        </w:tc>
      </w:tr>
      <w:tr>
        <w:tc>
          <w:tcPr>
            <w:tcW w:w="0" w:type="auto"/>
          </w:tcPr>
          <w:p>
            <w:pPr>
              <w:spacing w:line="240" w:lineRule="auto" w:before="0" w:after="0"/>
              <w:pStyle w:val="Compact"/>
            </w:pPr>
            <w:r>
              <w:rPr>
                <w:sz w:val="20"/>
                <w:szCs w:val="20"/>
              </w:rPr>
              <w:t xml:space="preserve">Montana</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Economic Impact Study 2023 Table 288 Moon to Mars campaign impacts Montana</w:t>
            </w:r>
          </w:p>
        </w:tc>
      </w:tr>
      <w:tr>
        <w:tc>
          <w:tcPr>
            <w:tcW w:w="0" w:type="auto"/>
          </w:tcPr>
          <w:p>
            <w:pPr>
              <w:spacing w:line="240" w:lineRule="auto" w:before="0" w:after="0"/>
              <w:pStyle w:val="Compact"/>
            </w:pPr>
            <w:r>
              <w:rPr>
                <w:sz w:val="20"/>
                <w:szCs w:val="20"/>
              </w:rPr>
              <w:t xml:space="preserve">Nebraska</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Economic Impact Study 2023 Table 295 Moon to Mars campaign impacts Nebraska</w:t>
            </w:r>
          </w:p>
        </w:tc>
      </w:tr>
      <w:tr>
        <w:tc>
          <w:tcPr>
            <w:tcW w:w="0" w:type="auto"/>
          </w:tcPr>
          <w:p>
            <w:pPr>
              <w:spacing w:line="240" w:lineRule="auto" w:before="0" w:after="0"/>
              <w:pStyle w:val="Compact"/>
            </w:pPr>
            <w:r>
              <w:rPr>
                <w:sz w:val="20"/>
                <w:szCs w:val="20"/>
              </w:rPr>
              <w:t xml:space="preserve">New Jersey</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83</w:t>
            </w:r>
          </w:p>
        </w:tc>
        <w:tc>
          <w:tcPr>
            <w:tcW w:w="0" w:type="auto"/>
          </w:tcPr>
          <w:p>
            <w:pPr>
              <w:spacing w:line="240" w:lineRule="auto" w:before="0" w:after="0"/>
              <w:pStyle w:val="Compact"/>
            </w:pPr>
            <w:r>
              <w:rPr>
                <w:sz w:val="20"/>
                <w:szCs w:val="20"/>
              </w:rPr>
              <w:t xml:space="preserve">1.3863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Economic Impact Study 2023 Table 326 Moon to Mars campaign impacts New Jersey</w:t>
            </w:r>
          </w:p>
        </w:tc>
      </w:tr>
      <w:tr>
        <w:tc>
          <w:tcPr>
            <w:tcW w:w="0" w:type="auto"/>
          </w:tcPr>
          <w:p>
            <w:pPr>
              <w:spacing w:line="240" w:lineRule="auto" w:before="0" w:after="0"/>
              <w:pStyle w:val="Compact"/>
            </w:pPr>
            <w:r>
              <w:rPr>
                <w:sz w:val="20"/>
                <w:szCs w:val="20"/>
              </w:rPr>
              <w:t xml:space="preserve">New Mexico</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231</w:t>
            </w:r>
          </w:p>
        </w:tc>
        <w:tc>
          <w:tcPr>
            <w:tcW w:w="0" w:type="auto"/>
          </w:tcPr>
          <w:p>
            <w:pPr>
              <w:spacing w:line="240" w:lineRule="auto" w:before="0" w:after="0"/>
              <w:pStyle w:val="Compact"/>
            </w:pPr>
            <w:r>
              <w:rPr>
                <w:sz w:val="20"/>
                <w:szCs w:val="20"/>
              </w:rPr>
              <w:t xml:space="preserve">2.3026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Economic Impact Study 2023 Table 337 Moon to Mars campaign impacts New Mexico</w:t>
            </w:r>
          </w:p>
        </w:tc>
      </w:tr>
      <w:tr>
        <w:tc>
          <w:tcPr>
            <w:tcW w:w="0" w:type="auto"/>
          </w:tcPr>
          <w:p>
            <w:pPr>
              <w:spacing w:line="240" w:lineRule="auto" w:before="0" w:after="0"/>
              <w:pStyle w:val="Compact"/>
            </w:pPr>
            <w:r>
              <w:rPr>
                <w:sz w:val="20"/>
                <w:szCs w:val="20"/>
              </w:rPr>
              <w:t xml:space="preserve">New York</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147</w:t>
            </w:r>
          </w:p>
        </w:tc>
        <w:tc>
          <w:tcPr>
            <w:tcW w:w="0" w:type="auto"/>
          </w:tcPr>
          <w:p>
            <w:pPr>
              <w:spacing w:line="240" w:lineRule="auto" w:before="0" w:after="0"/>
              <w:pStyle w:val="Compact"/>
            </w:pPr>
            <w:r>
              <w:rPr>
                <w:sz w:val="20"/>
                <w:szCs w:val="20"/>
              </w:rPr>
              <w:t xml:space="preserve">1.3863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Economic Impact Study 2023 Table 348 Moon to Mars campaign impacts New York</w:t>
            </w:r>
          </w:p>
        </w:tc>
      </w:tr>
      <w:tr>
        <w:tc>
          <w:tcPr>
            <w:tcW w:w="0" w:type="auto"/>
          </w:tcPr>
          <w:p>
            <w:pPr>
              <w:spacing w:line="240" w:lineRule="auto" w:before="0" w:after="0"/>
              <w:pStyle w:val="Compact"/>
            </w:pPr>
            <w:r>
              <w:rPr>
                <w:sz w:val="20"/>
                <w:szCs w:val="20"/>
              </w:rPr>
              <w:t xml:space="preserve">North Carolina</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1.9459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Economic Impact Study 2023 Table 359 Moon to Mars campaign impacts North Carolina</w:t>
            </w:r>
          </w:p>
        </w:tc>
      </w:tr>
      <w:tr>
        <w:tc>
          <w:tcPr>
            <w:tcW w:w="0" w:type="auto"/>
          </w:tcPr>
          <w:p>
            <w:pPr>
              <w:spacing w:line="240" w:lineRule="auto" w:before="0" w:after="0"/>
              <w:pStyle w:val="Compact"/>
            </w:pPr>
            <w:r>
              <w:rPr>
                <w:sz w:val="20"/>
                <w:szCs w:val="20"/>
              </w:rPr>
              <w:t xml:space="preserve">Ohio</w:t>
            </w:r>
          </w:p>
        </w:tc>
        <w:tc>
          <w:tcPr>
            <w:tcW w:w="0" w:type="auto"/>
          </w:tcPr>
          <w:p>
            <w:pPr>
              <w:spacing w:line="240" w:lineRule="auto" w:before="0" w:after="0"/>
              <w:pStyle w:val="Compact"/>
            </w:pPr>
            <w:r>
              <w:rPr>
                <w:sz w:val="20"/>
                <w:szCs w:val="20"/>
              </w:rPr>
              <w:t xml:space="preserve">316</w:t>
            </w:r>
          </w:p>
        </w:tc>
        <w:tc>
          <w:tcPr>
            <w:tcW w:w="0" w:type="auto"/>
          </w:tcPr>
          <w:p>
            <w:pPr>
              <w:spacing w:line="240" w:lineRule="auto" w:before="0" w:after="0"/>
              <w:pStyle w:val="Compact"/>
            </w:pPr>
            <w:r>
              <w:rPr>
                <w:sz w:val="20"/>
                <w:szCs w:val="20"/>
              </w:rPr>
              <w:t xml:space="preserve">1146</w:t>
            </w:r>
          </w:p>
        </w:tc>
        <w:tc>
          <w:tcPr>
            <w:tcW w:w="0" w:type="auto"/>
          </w:tcPr>
          <w:p>
            <w:pPr>
              <w:spacing w:line="240" w:lineRule="auto" w:before="0" w:after="0"/>
              <w:pStyle w:val="Compact"/>
            </w:pPr>
            <w:r>
              <w:rPr>
                <w:sz w:val="20"/>
                <w:szCs w:val="20"/>
              </w:rPr>
              <w:t xml:space="preserve">5.7589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Economic Impact Study 2023 Table 379 Moon to Mars campaign impacts Ohio</w:t>
            </w:r>
          </w:p>
        </w:tc>
      </w:tr>
      <w:tr>
        <w:tc>
          <w:tcPr>
            <w:tcW w:w="0" w:type="auto"/>
          </w:tcPr>
          <w:p>
            <w:pPr>
              <w:spacing w:line="240" w:lineRule="auto" w:before="0" w:after="0"/>
              <w:pStyle w:val="Compact"/>
            </w:pPr>
            <w:r>
              <w:rPr>
                <w:sz w:val="20"/>
                <w:szCs w:val="20"/>
              </w:rPr>
              <w:t xml:space="preserve">Oregon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Economic Impact Study 2023 Table 401 Moon to Mars campaign impacts Oregon</w:t>
            </w:r>
          </w:p>
        </w:tc>
      </w:tr>
      <w:tr>
        <w:tc>
          <w:tcPr>
            <w:tcW w:w="0" w:type="auto"/>
          </w:tcPr>
          <w:p>
            <w:pPr>
              <w:spacing w:line="240" w:lineRule="auto" w:before="0" w:after="0"/>
              <w:pStyle w:val="Compact"/>
            </w:pPr>
            <w:r>
              <w:rPr>
                <w:sz w:val="20"/>
                <w:szCs w:val="20"/>
              </w:rPr>
              <w:t xml:space="preserve">South Carolina</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Economic Impact Study 2023 Table 434 Moon to Mars campaign impacts South Carolina</w:t>
            </w:r>
          </w:p>
        </w:tc>
      </w:tr>
      <w:tr>
        <w:tc>
          <w:tcPr>
            <w:tcW w:w="0" w:type="auto"/>
          </w:tcPr>
          <w:p>
            <w:pPr>
              <w:spacing w:line="240" w:lineRule="auto" w:before="0" w:after="0"/>
              <w:pStyle w:val="Compact"/>
            </w:pPr>
            <w:r>
              <w:rPr>
                <w:sz w:val="20"/>
                <w:szCs w:val="20"/>
              </w:rPr>
              <w:t xml:space="preserve">South Dakota</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Economic Impact Study 2023 Table 445 Moon to Mars campaign impacts South Dakota</w:t>
            </w:r>
          </w:p>
        </w:tc>
      </w:tr>
      <w:tr>
        <w:tc>
          <w:tcPr>
            <w:tcW w:w="0" w:type="auto"/>
          </w:tcPr>
          <w:p>
            <w:pPr>
              <w:spacing w:line="240" w:lineRule="auto" w:before="0" w:after="0"/>
              <w:pStyle w:val="Compact"/>
            </w:pPr>
            <w:r>
              <w:rPr>
                <w:sz w:val="20"/>
                <w:szCs w:val="20"/>
              </w:rPr>
              <w:t xml:space="preserve">Tennessee</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69</w:t>
            </w:r>
          </w:p>
        </w:tc>
        <w:tc>
          <w:tcPr>
            <w:tcW w:w="0" w:type="auto"/>
          </w:tcPr>
          <w:p>
            <w:pPr>
              <w:spacing w:line="240" w:lineRule="auto" w:before="0" w:after="0"/>
              <w:pStyle w:val="Compact"/>
            </w:pPr>
            <w:r>
              <w:rPr>
                <w:sz w:val="20"/>
                <w:szCs w:val="20"/>
              </w:rPr>
              <w:t xml:space="preserve">3.0445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Economic Impact Study 2023 Table 454 Moon to Mars campaign impacts Tennessee</w:t>
            </w:r>
          </w:p>
        </w:tc>
      </w:tr>
      <w:tr>
        <w:tc>
          <w:tcPr>
            <w:tcW w:w="0" w:type="auto"/>
          </w:tcPr>
          <w:p>
            <w:pPr>
              <w:spacing w:line="240" w:lineRule="auto" w:before="0" w:after="0"/>
              <w:pStyle w:val="Compact"/>
            </w:pPr>
            <w:r>
              <w:rPr>
                <w:sz w:val="20"/>
                <w:szCs w:val="20"/>
              </w:rPr>
              <w:t xml:space="preserve">Texas</w:t>
            </w:r>
          </w:p>
        </w:tc>
        <w:tc>
          <w:tcPr>
            <w:tcW w:w="0" w:type="auto"/>
          </w:tcPr>
          <w:p>
            <w:pPr>
              <w:spacing w:line="240" w:lineRule="auto" w:before="0" w:after="0"/>
              <w:pStyle w:val="Compact"/>
            </w:pPr>
            <w:r>
              <w:rPr>
                <w:sz w:val="20"/>
                <w:szCs w:val="20"/>
              </w:rPr>
              <w:t xml:space="preserve">1005</w:t>
            </w:r>
          </w:p>
        </w:tc>
        <w:tc>
          <w:tcPr>
            <w:tcW w:w="0" w:type="auto"/>
          </w:tcPr>
          <w:p>
            <w:pPr>
              <w:spacing w:line="240" w:lineRule="auto" w:before="0" w:after="0"/>
              <w:pStyle w:val="Compact"/>
            </w:pPr>
            <w:r>
              <w:rPr>
                <w:sz w:val="20"/>
                <w:szCs w:val="20"/>
              </w:rPr>
              <w:t xml:space="preserve">13128</w:t>
            </w:r>
          </w:p>
        </w:tc>
        <w:tc>
          <w:tcPr>
            <w:tcW w:w="0" w:type="auto"/>
          </w:tcPr>
          <w:p>
            <w:pPr>
              <w:spacing w:line="240" w:lineRule="auto" w:before="0" w:after="0"/>
              <w:pStyle w:val="Compact"/>
            </w:pPr>
            <w:r>
              <w:rPr>
                <w:sz w:val="20"/>
                <w:szCs w:val="20"/>
              </w:rPr>
              <w:t xml:space="preserve">6.9137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Economic Impact Study 2023 Table 465 Moon to Mars campaign impacts Texas</w:t>
            </w:r>
          </w:p>
        </w:tc>
      </w:tr>
      <w:tr>
        <w:tc>
          <w:tcPr>
            <w:tcW w:w="0" w:type="auto"/>
          </w:tcPr>
          <w:p>
            <w:pPr>
              <w:spacing w:line="240" w:lineRule="auto" w:before="0" w:after="0"/>
              <w:pStyle w:val="Compact"/>
            </w:pPr>
            <w:r>
              <w:rPr>
                <w:sz w:val="20"/>
                <w:szCs w:val="20"/>
              </w:rPr>
              <w:t xml:space="preserve">Utah</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1584</w:t>
            </w:r>
          </w:p>
        </w:tc>
        <w:tc>
          <w:tcPr>
            <w:tcW w:w="0" w:type="auto"/>
          </w:tcPr>
          <w:p>
            <w:pPr>
              <w:spacing w:line="240" w:lineRule="auto" w:before="0" w:after="0"/>
              <w:pStyle w:val="Compact"/>
            </w:pPr>
            <w:r>
              <w:rPr>
                <w:sz w:val="20"/>
                <w:szCs w:val="20"/>
              </w:rPr>
              <w:t xml:space="preserve">1.7918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Economic Impact Study 2023 Table 476 Moon to Mars campaign impacts Utah</w:t>
            </w:r>
          </w:p>
        </w:tc>
      </w:tr>
      <w:tr>
        <w:tc>
          <w:tcPr>
            <w:tcW w:w="0" w:type="auto"/>
          </w:tcPr>
          <w:p>
            <w:pPr>
              <w:spacing w:line="240" w:lineRule="auto" w:before="0" w:after="0"/>
              <w:pStyle w:val="Compact"/>
            </w:pPr>
            <w:r>
              <w:rPr>
                <w:sz w:val="20"/>
                <w:szCs w:val="20"/>
              </w:rPr>
              <w:t xml:space="preserve">Virginia</w:t>
            </w:r>
          </w:p>
        </w:tc>
        <w:tc>
          <w:tcPr>
            <w:tcW w:w="0" w:type="auto"/>
          </w:tcPr>
          <w:p>
            <w:pPr>
              <w:spacing w:line="240" w:lineRule="auto" w:before="0" w:after="0"/>
              <w:pStyle w:val="Compact"/>
            </w:pPr>
            <w:r>
              <w:rPr>
                <w:sz w:val="20"/>
                <w:szCs w:val="20"/>
              </w:rPr>
              <w:t xml:space="preserve">245</w:t>
            </w:r>
          </w:p>
        </w:tc>
        <w:tc>
          <w:tcPr>
            <w:tcW w:w="0" w:type="auto"/>
          </w:tcPr>
          <w:p>
            <w:pPr>
              <w:spacing w:line="240" w:lineRule="auto" w:before="0" w:after="0"/>
              <w:pStyle w:val="Compact"/>
            </w:pPr>
            <w:r>
              <w:rPr>
                <w:sz w:val="20"/>
                <w:szCs w:val="20"/>
              </w:rPr>
              <w:t xml:space="preserve">3949</w:t>
            </w:r>
          </w:p>
        </w:tc>
        <w:tc>
          <w:tcPr>
            <w:tcW w:w="0" w:type="auto"/>
          </w:tcPr>
          <w:p>
            <w:pPr>
              <w:spacing w:line="240" w:lineRule="auto" w:before="0" w:after="0"/>
              <w:pStyle w:val="Compact"/>
            </w:pPr>
            <w:r>
              <w:rPr>
                <w:sz w:val="20"/>
                <w:szCs w:val="20"/>
              </w:rPr>
              <w:t xml:space="preserve">5.5053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Economic Impact Study 2023 Table 494 Moon to Mars campaign impacts Virginia</w:t>
            </w:r>
          </w:p>
        </w:tc>
      </w:tr>
      <w:tr>
        <w:tc>
          <w:tcPr>
            <w:tcW w:w="0" w:type="auto"/>
          </w:tcPr>
          <w:p>
            <w:pPr>
              <w:spacing w:line="240" w:lineRule="auto" w:before="0" w:after="0"/>
              <w:pStyle w:val="Compact"/>
            </w:pPr>
            <w:r>
              <w:rPr>
                <w:sz w:val="20"/>
                <w:szCs w:val="20"/>
              </w:rPr>
              <w:t xml:space="preserve">Washington</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2452</w:t>
            </w:r>
          </w:p>
        </w:tc>
        <w:tc>
          <w:tcPr>
            <w:tcW w:w="0" w:type="auto"/>
          </w:tcPr>
          <w:p>
            <w:pPr>
              <w:spacing w:line="240" w:lineRule="auto" w:before="0" w:after="0"/>
              <w:pStyle w:val="Compact"/>
            </w:pPr>
            <w:r>
              <w:rPr>
                <w:sz w:val="20"/>
                <w:szCs w:val="20"/>
              </w:rPr>
              <w:t xml:space="preserve">1.6094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Economic Impact Study 2023 Table 505 Moon to Mars campaign impacts Washington</w:t>
            </w:r>
          </w:p>
        </w:tc>
      </w:tr>
      <w:tr>
        <w:tc>
          <w:tcPr>
            <w:tcW w:w="0" w:type="auto"/>
          </w:tcPr>
          <w:p>
            <w:pPr>
              <w:spacing w:line="240" w:lineRule="auto" w:before="0" w:after="0"/>
              <w:pStyle w:val="Compact"/>
            </w:pPr>
            <w:r>
              <w:rPr>
                <w:sz w:val="20"/>
                <w:szCs w:val="20"/>
              </w:rPr>
              <w:t xml:space="preserve">West Virginia</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Economic Impact Study 2023 Table 527 Moon to Mars campaign impacts West Virginia</w:t>
            </w:r>
          </w:p>
        </w:tc>
      </w:tr>
    </w:tbl>
    <w:bookmarkEnd w:id="85"/>
    <w:bookmarkStart w:id="86"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major_spillover_state</w:t>
            </w:r>
          </w:p>
        </w:tc>
        <w:tc>
          <w:tcPr>
            <w:tcW w:w="0" w:type="auto"/>
          </w:tcPr>
          <w:p>
            <w:pPr>
              <w:spacing w:line="240" w:lineRule="auto" w:before="0" w:after="0"/>
              <w:pStyle w:val="Compact"/>
            </w:pPr>
            <w:r>
              <w:rPr>
                <w:sz w:val="20"/>
                <w:szCs w:val="20"/>
              </w:rPr>
              <w:t xml:space="preserve">Indicator equal to one when indirect plus induced Moon to Mars employment is at least 500 jobs</w:t>
            </w:r>
          </w:p>
        </w:tc>
        <w:tc>
          <w:tcPr>
            <w:tcW w:w="0" w:type="auto"/>
          </w:tcPr>
          <w:p>
            <w:pPr>
              <w:spacing w:line="240" w:lineRule="auto" w:before="0" w:after="0"/>
              <w:pStyle w:val="Compact"/>
            </w:pPr>
            <w:r>
              <w:rPr>
                <w:sz w:val="20"/>
                <w:szCs w:val="20"/>
              </w:rPr>
              <w:t xml:space="preserve">Constructed from NASA FY2023 state impact tables</w:t>
            </w:r>
          </w:p>
        </w:tc>
      </w:tr>
      <w:tr>
        <w:tc>
          <w:tcPr>
            <w:tcW w:w="0" w:type="auto"/>
          </w:tcPr>
          <w:p>
            <w:pPr>
              <w:spacing w:line="240" w:lineRule="auto" w:before="0" w:after="0"/>
              <w:pStyle w:val="Compact"/>
            </w:pPr>
            <w:r>
              <w:rPr>
                <w:sz w:val="20"/>
                <w:szCs w:val="20"/>
              </w:rPr>
              <w:t xml:space="preserve">log_direct_employment</w:t>
            </w:r>
          </w:p>
        </w:tc>
        <w:tc>
          <w:tcPr>
            <w:tcW w:w="0" w:type="auto"/>
          </w:tcPr>
          <w:p>
            <w:pPr>
              <w:spacing w:line="240" w:lineRule="auto" w:before="0" w:after="0"/>
              <w:pStyle w:val="Compact"/>
            </w:pPr>
            <w:r>
              <w:rPr>
                <w:sz w:val="20"/>
                <w:szCs w:val="20"/>
              </w:rPr>
              <w:t xml:space="preserve">Natural logarithm of direct Moon to Mars employment plus one</w:t>
            </w:r>
          </w:p>
        </w:tc>
        <w:tc>
          <w:tcPr>
            <w:tcW w:w="0" w:type="auto"/>
          </w:tcPr>
          <w:p>
            <w:pPr>
              <w:spacing w:line="240" w:lineRule="auto" w:before="0" w:after="0"/>
              <w:pStyle w:val="Compact"/>
            </w:pPr>
            <w:r>
              <w:rPr>
                <w:sz w:val="20"/>
                <w:szCs w:val="20"/>
              </w:rPr>
              <w:t xml:space="preserve">Constructed from NASA FY2023 state impact tables</w:t>
            </w:r>
          </w:p>
        </w:tc>
      </w:tr>
      <w:tr>
        <w:tc>
          <w:tcPr>
            <w:tcW w:w="0" w:type="auto"/>
          </w:tcPr>
          <w:p>
            <w:pPr>
              <w:spacing w:line="240" w:lineRule="auto" w:before="0" w:after="0"/>
              <w:pStyle w:val="Compact"/>
            </w:pPr>
            <w:r>
              <w:rPr>
                <w:sz w:val="20"/>
                <w:szCs w:val="20"/>
              </w:rPr>
              <w:t xml:space="preserve">spillover_jobs</w:t>
            </w:r>
          </w:p>
        </w:tc>
        <w:tc>
          <w:tcPr>
            <w:tcW w:w="0" w:type="auto"/>
          </w:tcPr>
          <w:p>
            <w:pPr>
              <w:spacing w:line="240" w:lineRule="auto" w:before="0" w:after="0"/>
              <w:pStyle w:val="Compact"/>
            </w:pPr>
            <w:r>
              <w:rPr>
                <w:sz w:val="20"/>
                <w:szCs w:val="20"/>
              </w:rPr>
              <w:t xml:space="preserve">Indirect plus induced employment associated with Moon to Mars activity</w:t>
            </w:r>
          </w:p>
        </w:tc>
        <w:tc>
          <w:tcPr>
            <w:tcW w:w="0" w:type="auto"/>
          </w:tcPr>
          <w:p>
            <w:pPr>
              <w:spacing w:line="240" w:lineRule="auto" w:before="0" w:after="0"/>
              <w:pStyle w:val="Compact"/>
            </w:pPr>
            <w:r>
              <w:rPr>
                <w:sz w:val="20"/>
                <w:szCs w:val="20"/>
              </w:rPr>
              <w:t xml:space="preserve">NASA FY2023 state impact tables</w:t>
            </w:r>
          </w:p>
        </w:tc>
      </w:tr>
    </w:tbl>
    <w:bookmarkEnd w:id="86"/>
    <w:bookmarkStart w:id="87"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-5.1849</w:t>
            </w:r>
          </w:p>
        </w:tc>
        <w:tc>
          <w:tcPr>
            <w:tcW w:w="0" w:type="auto"/>
          </w:tcPr>
          <w:p>
            <w:pPr>
              <w:spacing w:line="240" w:lineRule="auto" w:before="0" w:after="0"/>
              <w:pStyle w:val="Compact"/>
            </w:pPr>
            <w:r>
              <w:rPr>
                <w:sz w:val="20"/>
                <w:szCs w:val="20"/>
              </w:rPr>
              <w:t xml:space="preserve">1.7012</w:t>
            </w:r>
          </w:p>
        </w:tc>
        <w:tc>
          <w:tcPr>
            <w:tcW w:w="0" w:type="auto"/>
          </w:tcPr>
          <w:p>
            <w:pPr>
              <w:spacing w:line="240" w:lineRule="auto" w:before="0" w:after="0"/>
              <w:pStyle w:val="Compact"/>
            </w:pPr>
            <w:r>
              <w:rPr>
                <w:sz w:val="20"/>
                <w:szCs w:val="20"/>
              </w:rPr>
              <w:t xml:space="preserve">-3.0477</w:t>
            </w:r>
          </w:p>
        </w:tc>
        <w:tc>
          <w:tcPr>
            <w:tcW w:w="0" w:type="auto"/>
          </w:tcPr>
          <w:p>
            <w:pPr>
              <w:spacing w:line="240" w:lineRule="auto" w:before="0" w:after="0"/>
              <w:pStyle w:val="Compact"/>
            </w:pPr>
            <w:r>
              <w:rPr>
                <w:sz w:val="20"/>
                <w:szCs w:val="20"/>
              </w:rPr>
              <w:t xml:space="preserve">0.0023</w:t>
            </w:r>
          </w:p>
        </w:tc>
        <w:tc>
          <w:tcPr>
            <w:tcW w:w="0" w:type="auto"/>
          </w:tcPr>
          <w:p>
            <w:pPr>
              <w:spacing w:line="240" w:lineRule="auto" w:before="0" w:after="0"/>
              <w:pStyle w:val="Compact"/>
            </w:pPr>
            <w:r>
              <w:rPr>
                <w:sz w:val="20"/>
                <w:szCs w:val="20"/>
              </w:rPr>
              <w:t xml:space="preserve">[-8.5192, -1.8505]</w:t>
            </w:r>
          </w:p>
        </w:tc>
      </w:tr>
      <w:tr>
        <w:tc>
          <w:tcPr>
            <w:tcW w:w="0" w:type="auto"/>
          </w:tcPr>
          <w:p>
            <w:pPr>
              <w:spacing w:line="240" w:lineRule="auto" w:before="0" w:after="0"/>
              <w:pStyle w:val="Compact"/>
            </w:pPr>
            <w:r>
              <w:rPr>
                <w:sz w:val="20"/>
                <w:szCs w:val="20"/>
              </w:rPr>
              <w:t xml:space="preserve">log_direct_employment</w:t>
            </w:r>
          </w:p>
        </w:tc>
        <w:tc>
          <w:tcPr>
            <w:tcW w:w="0" w:type="auto"/>
          </w:tcPr>
          <w:p>
            <w:pPr>
              <w:spacing w:line="240" w:lineRule="auto" w:before="0" w:after="0"/>
              <w:pStyle w:val="Compact"/>
            </w:pPr>
            <w:r>
              <w:rPr>
                <w:sz w:val="20"/>
                <w:szCs w:val="20"/>
              </w:rPr>
              <w:t xml:space="preserve">1.9977</w:t>
            </w:r>
          </w:p>
        </w:tc>
        <w:tc>
          <w:tcPr>
            <w:tcW w:w="0" w:type="auto"/>
          </w:tcPr>
          <w:p>
            <w:pPr>
              <w:spacing w:line="240" w:lineRule="auto" w:before="0" w:after="0"/>
              <w:pStyle w:val="Compact"/>
            </w:pPr>
            <w:r>
              <w:rPr>
                <w:sz w:val="20"/>
                <w:szCs w:val="20"/>
              </w:rPr>
              <w:t xml:space="preserve">0.7953</w:t>
            </w:r>
          </w:p>
        </w:tc>
        <w:tc>
          <w:tcPr>
            <w:tcW w:w="0" w:type="auto"/>
          </w:tcPr>
          <w:p>
            <w:pPr>
              <w:spacing w:line="240" w:lineRule="auto" w:before="0" w:after="0"/>
              <w:pStyle w:val="Compact"/>
            </w:pPr>
            <w:r>
              <w:rPr>
                <w:sz w:val="20"/>
                <w:szCs w:val="20"/>
              </w:rPr>
              <w:t xml:space="preserve">2.5117</w:t>
            </w:r>
          </w:p>
        </w:tc>
        <w:tc>
          <w:tcPr>
            <w:tcW w:w="0" w:type="auto"/>
          </w:tcPr>
          <w:p>
            <w:pPr>
              <w:spacing w:line="240" w:lineRule="auto" w:before="0" w:after="0"/>
              <w:pStyle w:val="Compact"/>
            </w:pPr>
            <w:r>
              <w:rPr>
                <w:sz w:val="20"/>
                <w:szCs w:val="20"/>
              </w:rPr>
              <w:t xml:space="preserve">0.012</w:t>
            </w:r>
          </w:p>
        </w:tc>
        <w:tc>
          <w:tcPr>
            <w:tcW w:w="0" w:type="auto"/>
          </w:tcPr>
          <w:p>
            <w:pPr>
              <w:spacing w:line="240" w:lineRule="auto" w:before="0" w:after="0"/>
              <w:pStyle w:val="Compact"/>
            </w:pPr>
            <w:r>
              <w:rPr>
                <w:sz w:val="20"/>
                <w:szCs w:val="20"/>
              </w:rPr>
              <w:t xml:space="preserve">[0.4388, 3.5566]</w:t>
            </w:r>
          </w:p>
        </w:tc>
      </w:tr>
    </w:tbl>
    <w:p>
      <w:pPr>
        <w:pStyle w:val="BodyText"/>
      </w:pPr>
      <w:r>
        <w:t xml:space="preserve">Fit: N = 35 pseudo_R2 = 0.6346 LL = -8.2228</w:t>
      </w:r>
    </w:p>
    <w:bookmarkEnd w:id="87"/>
    <w:bookmarkEnd w:id="88"/>
    <w:bookmarkEnd w:id="89"/>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1" Target="media/rId81.png" /><Relationship Type="http://schemas.openxmlformats.org/officeDocument/2006/relationships/hyperlink" Id="rId72" Target="https://doi.org/10.1016/j.actaastro.2017.09.019" TargetMode="External" /><Relationship Type="http://schemas.openxmlformats.org/officeDocument/2006/relationships/hyperlink" Id="rId74" Target="https://doi.org/10.1016/j.actaastro.2023.01.022" TargetMode="External" /><Relationship Type="http://schemas.openxmlformats.org/officeDocument/2006/relationships/hyperlink" Id="rId78" Target="https://doi.org/10.1016/j.actaastro.2024.10.026" TargetMode="External" /><Relationship Type="http://schemas.openxmlformats.org/officeDocument/2006/relationships/hyperlink" Id="rId69" Target="https://doi.org/10.1257/jep.32.2.173" TargetMode="External" /></Relationships>
</file>

<file path=word/_rels/footnotes.xml.rels><?xml version="1.0" encoding="UTF-8"?><Relationships xmlns="http://schemas.openxmlformats.org/package/2006/relationships"><Relationship Type="http://schemas.openxmlformats.org/officeDocument/2006/relationships/hyperlink" Id="rId72" Target="https://doi.org/10.1016/j.actaastro.2017.09.019" TargetMode="External" /><Relationship Type="http://schemas.openxmlformats.org/officeDocument/2006/relationships/hyperlink" Id="rId74" Target="https://doi.org/10.1016/j.actaastro.2023.01.022" TargetMode="External" /><Relationship Type="http://schemas.openxmlformats.org/officeDocument/2006/relationships/hyperlink" Id="rId78" Target="https://doi.org/10.1016/j.actaastro.2024.10.026" TargetMode="External" /><Relationship Type="http://schemas.openxmlformats.org/officeDocument/2006/relationships/hyperlink" Id="rId69" Target="https://doi.org/10.1257/jep.32.2.173"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2026-06-27T20:35:48Z</dcterms:created>
  <dcterms:modified xsi:type="dcterms:W3CDTF">2026-06-27T20:35:48Z</dcterms:modified>
</cp:coreProperties>
</file>

<file path=docProps/custom.xml><?xml version="1.0" encoding="utf-8"?>
<Properties xmlns="http://schemas.openxmlformats.org/officeDocument/2006/custom-properties" xmlns:vt="http://schemas.openxmlformats.org/officeDocument/2006/docPropsVTypes"/>
</file>