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SPILLOVER LEDGER: DOES NASA TECHNOLOGY-DEVELOPMENT SPENDING GENERATE MEASURABLE CIVILIAN PRODUCTIVITY GAINS?</w:t>
      </w:r>
    </w:p>
    <w:p>
      <w:pPr>
        <w:jc w:val="center"/>
      </w:pPr>
    </w:p>
    <w:p>
      <w:pPr>
        <w:jc w:val="center"/>
      </w:pPr>
      <w:r>
        <w:rPr>
          <w:rFonts w:ascii="Times New Roman" w:hAnsi="Times New Roman"/>
          <w:sz w:val="24"/>
        </w:rPr>
        <w:t>by</w:t>
      </w:r>
    </w:p>
    <w:p>
      <w:pPr>
        <w:jc w:val="center"/>
      </w:pPr>
      <w:r>
        <w:rPr>
          <w:rFonts w:ascii="Times New Roman" w:hAnsi="Times New Roman"/>
          <w:b/>
          <w:sz w:val="28"/>
        </w:rPr>
        <w:t>Emeka Okonkwo</w:t>
      </w:r>
    </w:p>
    <w:p>
      <w:pPr>
        <w:jc w:val="center"/>
      </w:pPr>
      <w:r>
        <w:rPr>
          <w:rFonts w:ascii="Times New Roman" w:hAnsi="Times New Roman"/>
          <w:sz w:val="24"/>
        </w:rPr>
        <w:t>1B-ECO-136</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3" w:name="chapter-1.-introduction"/>
    <w:p>
      <w:pPr>
        <w:pStyle w:val="Heading1"/>
        <w:spacing w:line="480" w:lineRule="auto"/>
      </w:pPr>
      <w:r>
        <w:t xml:space="preserve">Chapter 1. Introduction</w:t>
      </w:r>
    </w:p>
    <w:bookmarkStart w:id="61" w:name="the-research-problem"/>
    <w:p>
      <w:pPr>
        <w:pStyle w:val="Heading2"/>
        <w:spacing w:line="480" w:lineRule="auto"/>
      </w:pPr>
      <w:r>
        <w:t xml:space="preserve">The Research Problem</w:t>
      </w:r>
    </w:p>
    <w:p>
      <w:pPr>
        <w:pStyle w:val="FirstParagraph"/>
        <w:spacing w:line="480" w:lineRule="auto"/>
      </w:pPr>
      <w:r>
        <w:t xml:space="preserve">NASA technology-development spending is frequently described as an investment whose benefits extend beyond missions. The assertion is plausible. What it hides is a bundle of distinct economic processes that behave differently and register in different ledgers. Direct production supports agency personnel, contractors, laboratories, and facilities. Purchases from suppliers support indirect production. Income earned through those activities then supports induced production through household spending. Technical knowledge may also move through licenses, publications, standards, personnel mobility, and product development. These processes operate through different institutions and appear in different data, so a dissertation about spillovers must identify the outcome being measured before claiming that public investment has produced a wider benefit.</w:t>
      </w:r>
    </w:p>
    <w:p>
      <w:pPr>
        <w:pStyle w:val="BodyText"/>
        <w:spacing w:line="480" w:lineRule="auto"/>
        <w:ind w:firstLine="720"/>
      </w:pPr>
      <w:r>
        <w:t xml:space="preserve">This study addresses one part of that problem through official state-level results in NASA’s fiscal year 2023 economic impact study</w:t>
      </w:r>
      <w:r>
        <w:t xml:space="preserve"> </w:t>
      </w:r>
      <w:hyperlink w:anchor="ref-7">
        <w:r>
          <w:rPr>
            <w:rStyle w:val="Hyperlink"/>
          </w:rPr>
          <w:t xml:space="preserve">[7]</w:t>
        </w:r>
      </w:hyperlink>
      <w:r>
        <w:t xml:space="preserve">. The first paper examines Climate Change Research and Technology output. It asks whether direct output is associated with indirect plus induced output across 35 states and whether states containing major NASA centers exhibit an additional conditional difference. The second paper examines Moon to Mars employment. It asks whether logged direct employment is associated with the probability that a state records at least 500 indirect plus induced jobs. The methods differ by design: ordinary least squares with HC1 standard errors for a continuous logged outcome, and logistic regression for a binary threshold outcome.</w:t>
      </w:r>
    </w:p>
    <w:bookmarkEnd w:id="61"/>
    <w:bookmarkStart w:id="62" w:name="stakes-for-space-economy-research"/>
    <w:p>
      <w:pPr>
        <w:pStyle w:val="Heading2"/>
        <w:spacing w:line="480" w:lineRule="auto"/>
      </w:pPr>
      <w:r>
        <w:t xml:space="preserve">Stakes for Space-Economy Research</w:t>
      </w:r>
    </w:p>
    <w:p>
      <w:pPr>
        <w:pStyle w:val="FirstParagraph"/>
        <w:spacing w:line="480" w:lineRule="auto"/>
      </w:pPr>
      <w:r>
        <w:t xml:space="preserve">The empirical stakes extend beyond fiscal advocacy. A space economy is a joined thing. It draws together public institutions, private firms, universities, financial markets, and regional labor systems. Weinzierl’s account of space as an economic frontier emphasizes that market expansion depends on institutional choices and the allocation of risk</w:t>
      </w:r>
      <w:r>
        <w:t xml:space="preserve"> </w:t>
      </w:r>
      <w:hyperlink w:anchor="ref-8">
        <w:r>
          <w:rPr>
            <w:rStyle w:val="Hyperlink"/>
          </w:rPr>
          <w:t xml:space="preserve">[8]</w:t>
        </w:r>
      </w:hyperlink>
      <w:r>
        <w:t xml:space="preserve">. Forecasting studies likewise show that the size and composition of the space economy depend on definitions of upstream activity, downstream services, and enabled value</w:t>
      </w:r>
      <w:r>
        <w:t xml:space="preserve"> </w:t>
      </w:r>
      <w:hyperlink w:anchor="ref-14">
        <w:r>
          <w:rPr>
            <w:rStyle w:val="Hyperlink"/>
          </w:rPr>
          <w:t xml:space="preserve">[14]</w:t>
        </w:r>
      </w:hyperlink>
      <w:r>
        <w:t xml:space="preserve">. Regional impact claims enter this debate because they can influence program legitimacy, coalition formation, workforce policy, and procurement strategy.</w:t>
      </w:r>
    </w:p>
    <w:p>
      <w:pPr>
        <w:pStyle w:val="BodyText"/>
        <w:spacing w:line="480" w:lineRule="auto"/>
        <w:ind w:firstLine="720"/>
      </w:pPr>
      <w:r>
        <w:t xml:space="preserve">The central danger is category error. Input-output estimates describe modeled production and employment supported through expenditure relationships. Technology-transfer evidence describes movement of knowledge or artifacts into new uses. Productivity analysis asks whether inputs produce more valuable output over time. These are related but not interchangeable. NASA’s Technology Transfer Program and Spinoff archive document concrete transfer pathways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Research on medical innovation provides examples of capabilities developed in the NASA environment influencing civilian practice</w:t>
      </w:r>
      <w:r>
        <w:t xml:space="preserve"> </w:t>
      </w:r>
      <w:hyperlink w:anchor="ref-13">
        <w:r>
          <w:rPr>
            <w:rStyle w:val="Hyperlink"/>
          </w:rPr>
          <w:t xml:space="preserve">[13]</w:t>
        </w:r>
      </w:hyperlink>
      <w:r>
        <w:t xml:space="preserve">. None of those records means that an indirect job in an input-output table is a knowledge externality. Conversely, a consequential knowledge transfer may be absent from a one-year state production estimate.</w:t>
      </w:r>
    </w:p>
    <w:bookmarkEnd w:id="62"/>
    <w:bookmarkStart w:id="63" w:name="research-question-and-contribution"/>
    <w:p>
      <w:pPr>
        <w:pStyle w:val="Heading2"/>
        <w:spacing w:line="480" w:lineRule="auto"/>
      </w:pPr>
      <w:r>
        <w:t xml:space="preserve">Research Question and Contribution</w:t>
      </w:r>
    </w:p>
    <w:p>
      <w:pPr>
        <w:pStyle w:val="FirstParagraph"/>
        <w:spacing w:line="480" w:lineRule="auto"/>
      </w:pPr>
      <w:r>
        <w:t xml:space="preserve">The dissertation asks: how strongly is the scale of direct NASA program activity associated with wider modeled economic activity across states, and what does that association reveal about the geography of public technology investment? The contribution is falsifiable. For the CCRT analysis, the null states that direct output has no association with spillover output after center-state status is included. For the Moon to Mars analysis, the null states that direct employment does not alter the probability of crossing the 500-job spillover threshold.</w:t>
      </w:r>
    </w:p>
    <w:p>
      <w:pPr>
        <w:pStyle w:val="BodyText"/>
        <w:spacing w:line="480" w:lineRule="auto"/>
        <w:ind w:firstLine="720"/>
      </w:pPr>
      <w:r>
        <w:t xml:space="preserve">The contribution is also bounded. The study does not estimate a causal social rate of return, a net national jobs effect, or the value of scientific discovery. It tests whether official state records display systematic relationships consistent with scale and institutional clustering.</w:t>
      </w:r>
    </w:p>
    <w:p>
      <w:pPr>
        <w:pStyle w:val="BodyText"/>
        <w:spacing w:line="480" w:lineRule="auto"/>
        <w:ind w:firstLine="720"/>
      </w:pPr>
      <w:r>
        <w:t xml:space="preserve">That distinction supports cumulative research. A transparent association can be replicated, challenged, and extended with procurement microdata, longitudinal records, or stronger identification. An expansive claim without a traceable estimand cannot.</w:t>
      </w:r>
    </w:p>
    <w:bookmarkEnd w:id="63"/>
    <w:bookmarkStart w:id="64" w:name="dissertation-architecture"/>
    <w:p>
      <w:pPr>
        <w:pStyle w:val="Heading2"/>
        <w:spacing w:line="480" w:lineRule="auto"/>
      </w:pPr>
      <w:r>
        <w:t xml:space="preserve">Dissertation Architecture</w:t>
      </w:r>
    </w:p>
    <w:p>
      <w:pPr>
        <w:pStyle w:val="FirstParagraph"/>
        <w:spacing w:line="480" w:lineRule="auto"/>
      </w:pPr>
      <w:r>
        <w:t xml:space="preserve">Chapter 2 reviews the literatures on the space economy, public research spillovers, open innovation, technology transfer, input-output impact analysis, and regional institutional concentration, and Chapter 3 develops the mechanisms connecting direct activity to supplier and household effects, then states the hypotheses and competing explanations. Chapter 4 documents the fiscal year 2023 state tables, the fixed-seed sample, variables, transformations, threshold, and provenance rules. Chapter 5 explains the OLS and logit specifications and the identification limits. Chapter 6 interprets the exact estimator outputs from both papers. Chapter 7 considers governance, procurement, workforce, and regional-development implications while separating measured demand effects from technological spillovers. Chapter 8 states the contribution to knowledge and the research agenda that follows.</w:t>
      </w:r>
    </w:p>
    <w:bookmarkEnd w:id="64"/>
    <w:bookmarkStart w:id="65" w:name="Xbbeba0420399156ebbf5bb197cc082a2cbe8852"/>
    <w:p>
      <w:pPr>
        <w:pStyle w:val="Heading2"/>
        <w:spacing w:line="480" w:lineRule="auto"/>
      </w:pPr>
      <w:r>
        <w:t xml:space="preserve">Public Investment and Measurable Spillover</w:t>
      </w:r>
    </w:p>
    <w:p>
      <w:pPr>
        <w:pStyle w:val="FirstParagraph"/>
        <w:spacing w:line="480" w:lineRule="auto"/>
      </w:pPr>
      <w:r>
        <w:t xml:space="preserve">What would count as evidence that NASA-supported activity extends beyond its direct production base? The central claim is that larger direct activity should coincide with larger supplier and household-demand effects when a state retains part of the associated spending. This proposition matters because the economic record of a space program is not exhausted by the activity performed inside the agency or by a prime contractor. Direct program organizations purchase inputs, suppliers hire labor, and workers spend income within regional markets. The evidence used in this dissertation bears on that process through the positive cross-state relationships estimated in the two papers.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w:t>
      </w:r>
    </w:p>
    <w:p>
      <w:pPr>
        <w:pStyle w:val="BodyText"/>
        <w:spacing w:line="480" w:lineRule="auto"/>
        <w:ind w:firstLine="720"/>
      </w:pPr>
      <w:r>
        <w:t xml:space="preserve">Still, the interpretation must remain bounded. An input-output model produces the outcome measures, so part of the relationship follows from the accounting structure itself. Read the estimates as disciplined evidence about association, scale, and geography. They are not a complete welfare calculation. That distinction changes the policy use of the results. NASA should use these estimates as a map of modeled economic connections and pair them with transaction-level and innovation evidence. A careful reader can accept the empirical pattern without assuming that every modeled dollar or job is additional to the national economy; the value of the analysis lies in clarifying what the official records reveal, what they leave unresolved, and which next measurements would reduce uncertainty.</w:t>
      </w:r>
    </w:p>
    <w:bookmarkEnd w:id="65"/>
    <w:bookmarkStart w:id="66" w:name="the-geographic-unit-of-analysis"/>
    <w:p>
      <w:pPr>
        <w:pStyle w:val="Heading2"/>
        <w:spacing w:line="480" w:lineRule="auto"/>
      </w:pPr>
      <w:r>
        <w:t xml:space="preserve">The Geographic Unit of Analysis</w:t>
      </w:r>
    </w:p>
    <w:p>
      <w:pPr>
        <w:pStyle w:val="FirstParagraph"/>
        <w:spacing w:line="480" w:lineRule="auto"/>
      </w:pPr>
      <w:r>
        <w:t xml:space="preserve">Why study states rather than missions, firms, or patents? This chapter approaches the issue from a conditional claim: state records reveal the territorial distribution that is hidden by a single national total. The mechanism is concrete rather than metaphorical. Procurement, residence, supplier location, and consumer spending place economic activity in jurisdictions that organize workforce and development policy. Research on open innovation and mission-centered technological spillovers gives reason to expect organizational structure to shape where benefits appear</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NASA’s technology-transfer and Spinoff programs also show that movement from public research to civilian use occurs through identifiable agreements, firms, technical practices, and products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For the present study, the empirical signal is 35 state observations drawn from complete CCRT and Moon to Mars tables. That signal cannot settle every interpretation because state borders do not contain all labor markets or supply chains, and cross-border commuting can shift where effects are recorded. The relevant question is therefore not whether the result proves a universal multiplier but whether it narrows the set of plausible accounts of NASA’s regional economic footprint. Readers should interpret state differences as institutional and accounting geographies rather than sealed local economies, and this framing keeps the inference proportional to the research design and separates measured production effects from wider claims about knowledge, public value, and long-run productivity.</w:t>
      </w:r>
    </w:p>
    <w:bookmarkEnd w:id="66"/>
    <w:bookmarkStart w:id="67" w:name="direct-activity-as-an-economic-base"/>
    <w:p>
      <w:pPr>
        <w:pStyle w:val="Heading2"/>
        <w:spacing w:line="480" w:lineRule="auto"/>
      </w:pPr>
      <w:r>
        <w:t xml:space="preserve">Direct Activity as an Economic Base</w:t>
      </w:r>
    </w:p>
    <w:p>
      <w:pPr>
        <w:pStyle w:val="FirstParagraph"/>
        <w:spacing w:line="480" w:lineRule="auto"/>
      </w:pPr>
      <w:r>
        <w:t xml:space="preserve">What role does direct activity play in the dissertation’s logic? The argument developed here is that direct output and employment are the immediate bases from which the modeled indirect and induced channels begin. Program work creates demand for inputs and income before those flows propagate through suppliers and households. Such a process is consistent with scholarship that locates space-sector innovation in relationships among agencies, suppliers, universities, and users rather than in isolated organizations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it is also consistent with evidence that NASA-supported capabilities can reach civilian fields through paths that are specific to technologies and institutions</w:t>
      </w:r>
      <w:r>
        <w:t xml:space="preserve"> </w:t>
      </w:r>
      <w:hyperlink w:anchor="ref-13">
        <w:r>
          <w:rPr>
            <w:rStyle w:val="Hyperlink"/>
          </w:rPr>
          <w:t xml:space="preserve">[13]</w:t>
        </w:r>
      </w:hyperlink>
      <w:r>
        <w:t xml:space="preserve">.</w:t>
      </w:r>
    </w:p>
    <w:p>
      <w:pPr>
        <w:pStyle w:val="BodyText"/>
        <w:spacing w:line="480" w:lineRule="auto"/>
        <w:ind w:firstLine="720"/>
      </w:pPr>
      <w:r>
        <w:t xml:space="preserve">The dissertation evaluates this argument with logged direct-output and logged direct-employment predictors copied or constructed from the official tables. The design supplies comparability and traceability, but its limits are material: direct activity may be placed where supplier capacity already exists, producing selection rather than exogenous exposure. Those limits do not erase the observed pattern. They specify the range within which the pattern can support explanation. Future causal work should seek changes in program allocation that are plausibly independent of prior regional capacity. The resulting inference is deliberately narrower than a claim about the total social return to space exploration, yet it is more useful than an unsupported assertion that all public research spending diffuses in the same way.</w:t>
      </w:r>
    </w:p>
    <w:bookmarkEnd w:id="67"/>
    <w:bookmarkStart w:id="68" w:name="nasa-centers-as-institutional-anchors"/>
    <w:p>
      <w:pPr>
        <w:pStyle w:val="Heading2"/>
        <w:spacing w:line="480" w:lineRule="auto"/>
      </w:pPr>
      <w:r>
        <w:t xml:space="preserve">NASA Centers as Institutional Anchors</w:t>
      </w:r>
    </w:p>
    <w:p>
      <w:pPr>
        <w:pStyle w:val="FirstParagraph"/>
        <w:spacing w:line="480" w:lineRule="auto"/>
      </w:pPr>
      <w:r>
        <w:t xml:space="preserve">Why include major NASA center locations in the output model? A defensible answer begins with the proposition that centers can mark persistent procurement, skill, infrastructure, and partnership systems that alter the level of regional spillover activity. The proposed channel operates as follows: Repeated technical demand can support labor pooling, specialized firms, university relationships, and shared facilities. Space-economy forecasts and institutional accounts repeatedly show that definitions, industrial boundaries, and organizational arrangements affect measured outcomes</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same caution applies to state-level economic-impact records. The observable basis for analysis is the positive center-state coefficient in the OLS specification. This basis supports a test, but not an unrestricted causal statement, because the indicator combines different centers and cannot separate history, mission, procurement authority, or state industrial structure. The implication is practical. Center status should motivate disaggregated institutional research rather than a claim that every center produces the same regional effect. Under this interpretation, the dissertation contributes a transparent empirical benchmark and an agenda for stronger designs, and it does not convert an accounting association into a promise about net national growth.</w:t>
      </w:r>
    </w:p>
    <w:bookmarkEnd w:id="68"/>
    <w:bookmarkStart w:id="69" w:name="thresholds-and-policy-salience"/>
    <w:p>
      <w:pPr>
        <w:pStyle w:val="Heading2"/>
        <w:spacing w:line="480" w:lineRule="auto"/>
      </w:pPr>
      <w:r>
        <w:t xml:space="preserve">Thresholds and Policy Salience</w:t>
      </w:r>
    </w:p>
    <w:p>
      <w:pPr>
        <w:pStyle w:val="FirstParagraph"/>
        <w:spacing w:line="480" w:lineRule="auto"/>
      </w:pPr>
      <w:r>
        <w:t xml:space="preserve">Why convert Moon to Mars spillover employment into a binary outcome? The central claim is that a common threshold distinguishes limited participation from an employment footprint large enough to enter regional planning. This proposition matters because the economic record of a space program is not exhausted by the activity performed inside the agency or by a prime contractor. As direct activity expands, supplier and household channels can accumulate until broader employment crosses a visible scale. The evidence used in this dissertation bears on that process through the logistic classification of 12 major-spillover states and 23 other states.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w:t>
      </w:r>
    </w:p>
    <w:p>
      <w:pPr>
        <w:pStyle w:val="BodyText"/>
        <w:spacing w:line="480" w:lineRule="auto"/>
        <w:ind w:firstLine="720"/>
      </w:pPr>
      <w:r>
        <w:t xml:space="preserve">The interpretation must remain bounded, because 500 jobs is a transparent analytic choice rather than a natural economic boundary. The estimates should therefore be read as disciplined evidence about association, scale, and geography. They are not a complete welfare calculation. That distinction changes the policy use of the results. NASA and state partners can test alternate thresholds and report how classifications change.</w:t>
      </w:r>
    </w:p>
    <w:p>
      <w:pPr>
        <w:pStyle w:val="BodyText"/>
        <w:spacing w:line="480" w:lineRule="auto"/>
        <w:ind w:firstLine="720"/>
      </w:pPr>
      <w:r>
        <w:t xml:space="preserve">A careful reader can accept the empirical pattern without assuming that every modeled dollar or job is additional to the national economy; the value of the analysis lies in clarifying what the official records reveal, what they leave unresolved, and which next measurements would reduce uncertainty.</w:t>
      </w:r>
    </w:p>
    <w:bookmarkEnd w:id="69"/>
    <w:bookmarkStart w:id="70" w:name="X355bcf2790753efc6c754dfb88d4969f88ef414"/>
    <w:p>
      <w:pPr>
        <w:pStyle w:val="Heading2"/>
        <w:spacing w:line="480" w:lineRule="auto"/>
      </w:pPr>
      <w:r>
        <w:t xml:space="preserve">Distinguishing Demand Effects from Knowledge Effects</w:t>
      </w:r>
    </w:p>
    <w:p>
      <w:pPr>
        <w:pStyle w:val="FirstParagraph"/>
        <w:spacing w:line="480" w:lineRule="auto"/>
      </w:pPr>
      <w:r>
        <w:t xml:space="preserve">How does the study avoid treating every wider effect as technological diffusion? This chapter approaches the issue from a conditional claim: production-accounting spillovers and knowledge spillovers must be measured with different indicators. The mechanism is concrete rather than metaphorical. Demand effects operate through purchases and income, while knowledge effects operate through learning, mobility, intellectual property, and adoption. Research on open innovation and mission-centered technological spillovers gives reason to expect organizational structure to shape where benefits appear</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NASA’s technology-transfer and Spinoff programs also show that movement from public research to civilian use occurs through identifiable agreements, firms, technical practices, and products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For the present study, the empirical signal is input-output outcomes in the papers alongside transfer-oriented literature in the conceptual framework. That signal cannot settle every interpretation because the present data cannot identify patents, licenses, standards, or productivity changes caused by a program. The relevant question is therefore not whether the result proves a universal multiplier but whether it narrows the set of plausible accounts of NASA’s regional economic footprint. Evaluation systems should maintain linked but separate ledgers for production, employment, transfer, and productivity, and this framing keeps the inference proportional to the research design and separates measured production effects from wider claims about knowledge, public value, and long-run productivity.</w:t>
      </w:r>
    </w:p>
    <w:bookmarkEnd w:id="70"/>
    <w:bookmarkStart w:id="71" w:name="Xd3a7f109f116142933ca3ee669544e5ef10e12f"/>
    <w:p>
      <w:pPr>
        <w:pStyle w:val="Heading2"/>
        <w:spacing w:line="480" w:lineRule="auto"/>
      </w:pPr>
      <w:r>
        <w:t xml:space="preserve">A Falsifiable Rather Than Promotional Claim</w:t>
      </w:r>
    </w:p>
    <w:p>
      <w:pPr>
        <w:pStyle w:val="FirstParagraph"/>
        <w:spacing w:line="480" w:lineRule="auto"/>
      </w:pPr>
      <w:r>
        <w:t xml:space="preserve">What makes the dissertation’s contribution suitable for doctoral inquiry? The argument developed here is that the proposed relationships can be rejected by data and are stated before substantive interpretation. Each paper identifies a dependent variable, predictor, estimator, and null hypothesis that can return a coefficient near zero or with substantial uncertainty. Such a process is consistent with scholarship that locates space-sector innovation in relationships among agencies, suppliers, universities, and users rather than in isolated organizations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It is also consistent with evidence that NASA-supported capabilities can reach civilian fields through paths that are specific to technologies and institutions</w:t>
      </w:r>
      <w:r>
        <w:t xml:space="preserve"> </w:t>
      </w:r>
      <w:hyperlink w:anchor="ref-13">
        <w:r>
          <w:rPr>
            <w:rStyle w:val="Hyperlink"/>
          </w:rPr>
          <w:t xml:space="preserve">[13]</w:t>
        </w:r>
      </w:hyperlink>
      <w:r>
        <w:t xml:space="preserve">. The dissertation evaluates this argument with clean estimator outputs from OLS and logit models using fully sourced rows. The design supplies comparability and traceability, but its limits are material: statistical rejection inside one fiscal-year accounting system does not establish a permanent or causal law. Those limits do not erase the observed pattern. They specify the range within which the pattern can support explanation. The contribution is a reproducible benchmark that later studies can test with other years and designs. The resulting inference is deliberately narrower than a claim about the total social return to space exploration, yet it is more useful than an unsupported assertion that all public research spending diffuses in the same way.</w:t>
      </w:r>
    </w:p>
    <w:bookmarkEnd w:id="71"/>
    <w:bookmarkStart w:id="72" w:name="scope-of-the-dissertation"/>
    <w:p>
      <w:pPr>
        <w:pStyle w:val="Heading2"/>
        <w:spacing w:line="480" w:lineRule="auto"/>
      </w:pPr>
      <w:r>
        <w:t xml:space="preserve">Scope of the Dissertation</w:t>
      </w:r>
    </w:p>
    <w:p>
      <w:pPr>
        <w:pStyle w:val="FirstParagraph"/>
        <w:spacing w:line="480" w:lineRule="auto"/>
      </w:pPr>
      <w:r>
        <w:t xml:space="preserve">What does the study deliberately leave outside its principal estimand? A defensible answer begins with the proposition that scientific value, national security, exploration option value, and long-run productivity require separate evidence. The proposed channel operates as follows: Those outcomes emerge through time horizons and institutions that one-year state input-output tables do not observe. Space-economy forecasts and institutional accounts repeatedly show that definitions, industrial boundaries, and organizational arrangements affect measured outcomes</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same caution applies to state-level economic-impact records. The observable basis for analysis is the explicit separation between the empirical papers and the wider literature. This basis supports a test, but not an unrestricted causal statement, because narrowing the estimand can understate public value if readers mistake the measured slice for the full benefit. The implication is practical. The closing chapters should state both what is learned and what remains unmeasured. Under this interpretation, the dissertation contributes a transparent empirical benchmark and an agenda for stronger designs; it does not convert an accounting association into a promise about net national growth.</w:t>
      </w:r>
    </w:p>
    <w:bookmarkEnd w:id="72"/>
    <w:bookmarkEnd w:id="73"/>
    <w:bookmarkStart w:id="90" w:name="chapter-2.-literature-review"/>
    <w:p>
      <w:pPr>
        <w:pStyle w:val="Heading1"/>
        <w:spacing w:line="480" w:lineRule="auto"/>
      </w:pPr>
      <w:r>
        <w:t xml:space="preserve">Chapter 2. Literature Review</w:t>
      </w:r>
    </w:p>
    <w:bookmarkStart w:id="74" w:name="two-literatures-that-rarely-meet"/>
    <w:p>
      <w:pPr>
        <w:pStyle w:val="Heading2"/>
        <w:spacing w:line="480" w:lineRule="auto"/>
      </w:pPr>
      <w:r>
        <w:t xml:space="preserve">Two Literatures That Rarely Meet</w:t>
      </w:r>
    </w:p>
    <w:p>
      <w:pPr>
        <w:pStyle w:val="FirstParagraph"/>
        <w:spacing w:line="480" w:lineRule="auto"/>
      </w:pPr>
      <w:r>
        <w:t xml:space="preserve">The literature relevant to NASA economic spillovers is divided. Two camps rarely cite each other. One branch studies public research, innovation, technology transfer, regional clusters, and productivity. A second studies the economic organization of space activity, including the division of labor between government and firms, the definition of the space economy, and the governance of emerging markets. The first branch supplies mechanisms and measurement cautions. The second supplies sector-specific institutions. The empirical gap lies at their intersection: few studies connect official NASA program-level state impact records to a transparent test of geographic spillover patterns while keeping demand effects separate from knowledge effects.</w:t>
      </w:r>
    </w:p>
    <w:p>
      <w:pPr>
        <w:pStyle w:val="BodyText"/>
        <w:spacing w:line="480" w:lineRule="auto"/>
        <w:ind w:firstLine="720"/>
      </w:pPr>
      <w:r>
        <w:t xml:space="preserve">The public-research literature begins from a problem of appropriation. Knowledge is expensive to create and hard for its originator to capture in full. Public funding can support work whose benefits scatter across firms, industries, and time. Yet one word, spillover, carries too many meanings at once: citation, imitation, workforce mobility, supplier learning, new products, productivity growth, and expenditure-supported demand. A literature review must identify which mechanism each source studies.</w:t>
      </w:r>
    </w:p>
    <w:p>
      <w:pPr>
        <w:pStyle w:val="BodyText"/>
        <w:spacing w:line="480" w:lineRule="auto"/>
        <w:ind w:firstLine="720"/>
      </w:pPr>
      <w:r>
        <w:t xml:space="preserve">The space-economy literature adds institutional specificity. Government acts as funder, customer, regulator, infrastructure provider, and operator. Firms range from prime contractors to specialized component suppliers and downstream service providers. Universities and laboratories train workers, produce knowledge, and manage facilities. These roles complicate a simple public-versus-private distinction. Weinzierl argues that economic development in space depends on market design and staged changes in the allocation of risk and responsibility</w:t>
      </w:r>
      <w:r>
        <w:t xml:space="preserve"> </w:t>
      </w:r>
      <w:hyperlink w:anchor="ref-8">
        <w:r>
          <w:rPr>
            <w:rStyle w:val="Hyperlink"/>
          </w:rPr>
          <w:t xml:space="preserve">[8]</w:t>
        </w:r>
      </w:hyperlink>
      <w:r>
        <w:t xml:space="preserve">; forecasting work similarly shows that measured economic size depends on how analysts define activities and enabled markets</w:t>
      </w:r>
      <w:r>
        <w:t xml:space="preserve"> </w:t>
      </w:r>
      <w:hyperlink w:anchor="ref-14">
        <w:r>
          <w:rPr>
            <w:rStyle w:val="Hyperlink"/>
          </w:rPr>
          <w:t xml:space="preserve">[14]</w:t>
        </w:r>
      </w:hyperlink>
      <w:r>
        <w:t xml:space="preserve">.</w:t>
      </w:r>
    </w:p>
    <w:bookmarkEnd w:id="74"/>
    <w:bookmarkStart w:id="75" w:name="literature-selection"/>
    <w:p>
      <w:pPr>
        <w:pStyle w:val="Heading2"/>
        <w:spacing w:line="480" w:lineRule="auto"/>
      </w:pPr>
      <w:r>
        <w:t xml:space="preserve">Literature Selection</w:t>
      </w:r>
    </w:p>
    <w:p>
      <w:pPr>
        <w:pStyle w:val="FirstParagraph"/>
        <w:spacing w:line="480" w:lineRule="auto"/>
      </w:pPr>
      <w:r>
        <w:t xml:space="preserve">This review uses the shared reference pool produced for the dissertation. The central sources include NASA’s fiscal year 2023 economic impact report</w:t>
      </w:r>
      <w:r>
        <w:t xml:space="preserve"> </w:t>
      </w:r>
      <w:hyperlink w:anchor="ref-7">
        <w:r>
          <w:rPr>
            <w:rStyle w:val="Hyperlink"/>
          </w:rPr>
          <w:t xml:space="preserve">[7]</w:t>
        </w:r>
      </w:hyperlink>
      <w:r>
        <w:t xml:space="preserve">, Weinzierl’s economic analysis</w:t>
      </w:r>
      <w:r>
        <w:t xml:space="preserve"> </w:t>
      </w:r>
      <w:hyperlink w:anchor="ref-8">
        <w:r>
          <w:rPr>
            <w:rStyle w:val="Hyperlink"/>
          </w:rPr>
          <w:t xml:space="preserve">[8]</w:t>
        </w:r>
      </w:hyperlink>
      <w:r>
        <w:t xml:space="preserve">, research on open innovation in the European space sector</w:t>
      </w:r>
      <w:r>
        <w:t xml:space="preserve"> </w:t>
      </w:r>
      <w:hyperlink w:anchor="ref-9">
        <w:r>
          <w:rPr>
            <w:rStyle w:val="Hyperlink"/>
          </w:rPr>
          <w:t xml:space="preserve">[9]</w:t>
        </w:r>
      </w:hyperlink>
      <w:r>
        <w:t xml:space="preserve">, a mission-based study of technological spillovers</w:t>
      </w:r>
      <w:r>
        <w:t xml:space="preserve"> </w:t>
      </w:r>
      <w:hyperlink w:anchor="ref-10">
        <w:r>
          <w:rPr>
            <w:rStyle w:val="Hyperlink"/>
          </w:rPr>
          <w:t xml:space="preserve">[10]</w:t>
        </w:r>
      </w:hyperlink>
      <w:r>
        <w:t xml:space="preserve">, NASA’s Technology Transfer Program</w:t>
      </w:r>
      <w:r>
        <w:t xml:space="preserve"> </w:t>
      </w:r>
      <w:hyperlink w:anchor="ref-11">
        <w:r>
          <w:rPr>
            <w:rStyle w:val="Hyperlink"/>
          </w:rPr>
          <w:t xml:space="preserve">[11]</w:t>
        </w:r>
      </w:hyperlink>
      <w:r>
        <w:t xml:space="preserve">, NASA Spinoff</w:t>
      </w:r>
      <w:r>
        <w:t xml:space="preserve"> </w:t>
      </w:r>
      <w:hyperlink w:anchor="ref-12">
        <w:r>
          <w:rPr>
            <w:rStyle w:val="Hyperlink"/>
          </w:rPr>
          <w:t xml:space="preserve">[12]</w:t>
        </w:r>
      </w:hyperlink>
      <w:r>
        <w:t xml:space="preserve">, research on NASA and medical innovation</w:t>
      </w:r>
      <w:r>
        <w:t xml:space="preserve"> </w:t>
      </w:r>
      <w:hyperlink w:anchor="ref-13">
        <w:r>
          <w:rPr>
            <w:rStyle w:val="Hyperlink"/>
          </w:rPr>
          <w:t xml:space="preserve">[13]</w:t>
        </w:r>
      </w:hyperlink>
      <w:r>
        <w:t xml:space="preserve">, and space-economy forecasting work</w:t>
      </w:r>
      <w:r>
        <w:t xml:space="preserve"> </w:t>
      </w:r>
      <w:hyperlink w:anchor="ref-14">
        <w:r>
          <w:rPr>
            <w:rStyle w:val="Hyperlink"/>
          </w:rPr>
          <w:t xml:space="preserve">[14]</w:t>
        </w:r>
      </w:hyperlink>
      <w:r>
        <w:t xml:space="preserve">. These sources do not exhaust the field. They provide a coherent evidence base for the empirical design and define the concepts used in later chapters.</w:t>
      </w:r>
    </w:p>
    <w:bookmarkEnd w:id="75"/>
    <w:bookmarkStart w:id="76" w:name="Xf310f8ec38f32cbcf541aeec3e01a58e2615527"/>
    <w:p>
      <w:pPr>
        <w:pStyle w:val="Heading2"/>
        <w:spacing w:line="480" w:lineRule="auto"/>
      </w:pPr>
      <w:r>
        <w:t xml:space="preserve">The Space Economy as an Institutional System</w:t>
      </w:r>
    </w:p>
    <w:p>
      <w:pPr>
        <w:pStyle w:val="FirstParagraph"/>
        <w:spacing w:line="480" w:lineRule="auto"/>
      </w:pPr>
      <w:r>
        <w:t xml:space="preserve">How does economic analysis differ when the sector is organized around public missions and specialized infrastructure? The central claim is that space activity is shaped by institutional assignments of risk, demand, ownership, and access as much as by production technology. This proposition matters because the economic record of a space program is not exhausted by the activity performed inside the agency or by a prime contractor. Government missions create demand and infrastructure, while firms respond to contracts, property rights, and expected commercial markets. The evidence used in this dissertation bears on that process through the institutional synthesis offered by Weinzierl and the boundaries discussed in forecasting research.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w:t>
      </w:r>
    </w:p>
    <w:p>
      <w:pPr>
        <w:pStyle w:val="BodyText"/>
        <w:spacing w:line="480" w:lineRule="auto"/>
        <w:ind w:firstLine="720"/>
      </w:pPr>
      <w:r>
        <w:t xml:space="preserve">Boundaries still apply. Much of this literature operates at national or sector scale and never estimates state spillovers directly. Read the estimates as disciplined evidence about association, scale, and geography. A complete welfare calculation lies beyond them. That distinction changes the policy use of the results. The dissertation translates this system-level account into testable regional relationships. A careful reader can accept the empirical pattern without assuming that every modeled dollar or job is additional to the national economy, and the value of the analysis lies in clarifying what the official records reveal, what they leave unresolved, and which next measurements would reduce uncertainty.</w:t>
      </w:r>
    </w:p>
    <w:bookmarkEnd w:id="76"/>
    <w:bookmarkStart w:id="77" w:name="definitions-and-measurement-boundaries"/>
    <w:p>
      <w:pPr>
        <w:pStyle w:val="Heading2"/>
        <w:spacing w:line="480" w:lineRule="auto"/>
      </w:pPr>
      <w:r>
        <w:t xml:space="preserve">Definitions and Measurement Boundaries</w:t>
      </w:r>
    </w:p>
    <w:p>
      <w:pPr>
        <w:pStyle w:val="FirstParagraph"/>
        <w:spacing w:line="480" w:lineRule="auto"/>
      </w:pPr>
      <w:r>
        <w:t xml:space="preserve">Why do estimates of the space economy vary across reports? This chapter approaches the issue from a conditional claim: measurement changes when analysts include only core manufacturing or also include downstream and enabled activity. The mechanism is concrete rather than metaphorical. Classification rules determine which revenues, jobs, and services are assigned to the space sector. Research on open innovation and mission-centered technological spillovers gives reason to expect organizational structure to shape where benefits appear</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and NASA’s technology-transfer and Spinoff programs also show that movement from public research to civilian use occurs through identifiable agreements, firms, technical practices, and products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For the present study, the empirical signal is the definitional cautions contained in space-economy forecasting work</w:t>
      </w:r>
      <w:r>
        <w:t xml:space="preserve"> </w:t>
      </w:r>
      <w:hyperlink w:anchor="ref-14">
        <w:r>
          <w:rPr>
            <w:rStyle w:val="Hyperlink"/>
          </w:rPr>
          <w:t xml:space="preserve">[14]</w:t>
        </w:r>
      </w:hyperlink>
      <w:r>
        <w:t xml:space="preserve">. That signal cannot settle every interpretation because broad definitions can attribute economic value to space even when space is only one enabling input. The relevant question is therefore not whether the result proves a universal multiplier. It is whether the result narrows the set of plausible accounts of NASA’s regional economic footprint. State impact analysis should state exactly which NASA activity and which modeled channels enter each outcome. This framing keeps the inference proportional to the research design and separates measured production effects from wider claims about knowledge, public value, and long-run productivity.</w:t>
      </w:r>
    </w:p>
    <w:bookmarkEnd w:id="77"/>
    <w:bookmarkStart w:id="78" w:name="public-research-and-appropriation"/>
    <w:p>
      <w:pPr>
        <w:pStyle w:val="Heading2"/>
        <w:spacing w:line="480" w:lineRule="auto"/>
      </w:pPr>
      <w:r>
        <w:t xml:space="preserve">Public Research and Appropriation</w:t>
      </w:r>
    </w:p>
    <w:p>
      <w:pPr>
        <w:pStyle w:val="FirstParagraph"/>
        <w:spacing w:line="480" w:lineRule="auto"/>
      </w:pPr>
      <w:r>
        <w:t xml:space="preserve">Why might NASA-funded knowledge create value beyond the original mission organization? The argument developed here is that technical knowledge can be partially nonrival and can move through people, documents, demonstrations, standards, and artifacts. Recipients adapt knowledge when they possess complementary skills and face incentives to invest in application. Such a process is consistent with scholarship that locates space-sector innovation in relationships among agencies, suppliers, universities, and users rather than in isolated organizations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It is also consistent with evidence that NASA-supported capabilities can reach civilian fields through paths that are specific to technologies and institutions</w:t>
      </w:r>
      <w:r>
        <w:t xml:space="preserve"> </w:t>
      </w:r>
      <w:hyperlink w:anchor="ref-13">
        <w:r>
          <w:rPr>
            <w:rStyle w:val="Hyperlink"/>
          </w:rPr>
          <w:t xml:space="preserve">[13]</w:t>
        </w:r>
      </w:hyperlink>
      <w:r>
        <w:t xml:space="preserve">.</w:t>
      </w:r>
    </w:p>
    <w:p>
      <w:pPr>
        <w:pStyle w:val="BodyText"/>
        <w:spacing w:line="480" w:lineRule="auto"/>
        <w:ind w:firstLine="720"/>
      </w:pPr>
      <w:r>
        <w:t xml:space="preserve">The dissertation evaluates this argument with the technology-transfer and mission-spillover sources in the pool. The design supplies comparability and traceability, but its limits are material: the existence of a possible transfer channel does not reveal its frequency, value, or additionality, yet those limits do not erase the observed pattern. They specify the range within which the pattern can support explanation. Empirical claims should trace specific transfer pathways or use outcome measures designed for knowledge diffusion. The resulting inference is deliberately narrower than a claim about the total social return to space exploration, yet it is more useful than an unsupported assertion that all public research spending diffuses in the same way.</w:t>
      </w:r>
    </w:p>
    <w:bookmarkEnd w:id="78"/>
    <w:bookmarkStart w:id="79" w:name="open-innovation-in-space"/>
    <w:p>
      <w:pPr>
        <w:pStyle w:val="Heading2"/>
        <w:spacing w:line="480" w:lineRule="auto"/>
      </w:pPr>
      <w:r>
        <w:t xml:space="preserve">Open Innovation in Space</w:t>
      </w:r>
    </w:p>
    <w:p>
      <w:pPr>
        <w:pStyle w:val="FirstParagraph"/>
        <w:spacing w:line="480" w:lineRule="auto"/>
      </w:pPr>
      <w:r>
        <w:t xml:space="preserve">What does open-innovation research add to a study of NASA economic effects? A defensible answer begins with the proposition that organizational boundaries influence which external ideas enter a program and which program capabilities reach outside users. The proposed channel operates as follows: Partnerships, procurement, licensing, joint development, and user engagement structure the flow of technical information. Space-economy forecasts and institutional accounts repeatedly show that definitions, industrial boundaries, and organizational arrangements affect measured outcomes</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same caution applies to state-level economic-impact records.</w:t>
      </w:r>
    </w:p>
    <w:p>
      <w:pPr>
        <w:pStyle w:val="BodyText"/>
        <w:spacing w:line="480" w:lineRule="auto"/>
        <w:ind w:firstLine="720"/>
      </w:pPr>
      <w:r>
        <w:t xml:space="preserve">The observable basis for analysis is van Burg, Giannopapa, and Reymen’s analysis of the European space sector</w:t>
      </w:r>
      <w:r>
        <w:t xml:space="preserve"> </w:t>
      </w:r>
      <w:hyperlink w:anchor="ref-9">
        <w:r>
          <w:rPr>
            <w:rStyle w:val="Hyperlink"/>
          </w:rPr>
          <w:t xml:space="preserve">[9]</w:t>
        </w:r>
      </w:hyperlink>
      <w:r>
        <w:t xml:space="preserve">. This basis supports a test, but not an unrestricted causal statement, because European institutional arrangements do not map perfectly onto NASA’s center and contractor system. The implication is practical. The source supports a relational mechanism while the dissertation tests a separate production-accounting outcome. Under this interpretation, the dissertation contributes a transparent empirical benchmark and an agenda for stronger designs. It does not convert an accounting association into a promise about net national growth.</w:t>
      </w:r>
    </w:p>
    <w:bookmarkEnd w:id="79"/>
    <w:bookmarkStart w:id="80" w:name="X9dd86d022b8ad91455984a7cf8fcaacec5f0f73"/>
    <w:p>
      <w:pPr>
        <w:pStyle w:val="Heading2"/>
        <w:spacing w:line="480" w:lineRule="auto"/>
      </w:pPr>
      <w:r>
        <w:t xml:space="preserve">Mission-Centered Technological Spillovers</w:t>
      </w:r>
    </w:p>
    <w:p>
      <w:pPr>
        <w:pStyle w:val="FirstParagraph"/>
        <w:spacing w:line="480" w:lineRule="auto"/>
      </w:pPr>
      <w:r>
        <w:t xml:space="preserve">How can a large mission generate learning beyond its immediate deliverables? The central claim is that complex missions require suppliers and scientific organizations to solve technical problems that can improve later capabilities. This proposition matters because the economic record of a space program is not exhausted by the activity performed inside the agency or by a prime contractor. Design challenges create experience, routines, equipment, and reputational assets that may be reused. The evidence used in this dissertation bears on that process through Petroni and Venturini’s study of European astrophysics missions</w:t>
      </w:r>
      <w:r>
        <w:t xml:space="preserve"> </w:t>
      </w:r>
      <w:hyperlink w:anchor="ref-10">
        <w:r>
          <w:rPr>
            <w:rStyle w:val="Hyperlink"/>
          </w:rPr>
          <w:t xml:space="preserve">[10]</w:t>
        </w:r>
      </w:hyperlink>
      <w:r>
        <w:t xml:space="preserve">.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w:t>
      </w:r>
    </w:p>
    <w:p>
      <w:pPr>
        <w:pStyle w:val="BodyText"/>
        <w:spacing w:line="480" w:lineRule="auto"/>
        <w:ind w:firstLine="720"/>
      </w:pPr>
      <w:r>
        <w:t xml:space="preserve">The interpretation must remain bounded. Case-based evidence can reveal mechanisms without establishing average effects across all programs. The estimates should therefore be read as disciplined evidence about association, scale, and geography. A complete welfare calculation lies beyond them. That distinction changes the policy use of the results. The dissertation treats supplier systems as plausible channels and avoids assigning a knowledge value to the input-output coefficients.</w:t>
      </w:r>
    </w:p>
    <w:p>
      <w:pPr>
        <w:pStyle w:val="BodyText"/>
        <w:spacing w:line="480" w:lineRule="auto"/>
        <w:ind w:firstLine="720"/>
      </w:pPr>
      <w:r>
        <w:t xml:space="preserve">A careful reader can accept the empirical pattern without assuming that every modeled dollar or job is additional to the national economy; the value of the exercise lies in clarifying what the official records reveal, what they leave unresolved, and which next measurements would reduce uncertainty.</w:t>
      </w:r>
    </w:p>
    <w:bookmarkEnd w:id="80"/>
    <w:bookmarkStart w:id="81" w:name="X426f07098357573cea04d1419b095d8813ed745"/>
    <w:p>
      <w:pPr>
        <w:pStyle w:val="Heading2"/>
        <w:spacing w:line="480" w:lineRule="auto"/>
      </w:pPr>
      <w:r>
        <w:t xml:space="preserve">Technology Transfer as an Administrative Process</w:t>
      </w:r>
    </w:p>
    <w:p>
      <w:pPr>
        <w:pStyle w:val="FirstParagraph"/>
        <w:spacing w:line="480" w:lineRule="auto"/>
      </w:pPr>
      <w:r>
        <w:t xml:space="preserve">What does NASA’s transfer program reveal about how public technology reaches other users? This chapter approaches the issue from a conditional claim: transfer depends on disclosure, evaluation, intellectual-property management, licensing, partnership, and recipient capability. The mechanism is concrete rather than metaphorical. Administrative procedures connect technical inventions to firms and organizations able to develop applications. Research on open innovation and mission-centered technological spillovers gives reason to expect organizational structure to shape where benefits appear</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NASA’s technology-transfer and Spinoff programs also show that movement from public research to civilian use occurs through identifiable agreements, firms, technical practices, and products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For the present study, the empirical signal is NASA’s Technology Transfer Program materials</w:t>
      </w:r>
      <w:r>
        <w:t xml:space="preserve"> </w:t>
      </w:r>
      <w:hyperlink w:anchor="ref-11">
        <w:r>
          <w:rPr>
            <w:rStyle w:val="Hyperlink"/>
          </w:rPr>
          <w:t xml:space="preserve">[11]</w:t>
        </w:r>
      </w:hyperlink>
      <w:r>
        <w:t xml:space="preserve">. That signal cannot settle every interpretation because program records document actions and opportunities but do not by themselves measure economy-wide productivity. The relevant question is therefore not whether the result proves a universal multiplier; it is whether the result narrows the set of plausible accounts of NASA’s regional economic footprint. A future linked dataset should connect licenses and agreements to establishment outcomes and locations. This framing keeps the inference proportional to the research design and separates measured production effects from wider claims about knowledge, public value, and long-run productivity.</w:t>
      </w:r>
    </w:p>
    <w:bookmarkEnd w:id="81"/>
    <w:bookmarkStart w:id="82" w:name="spinoff-evidence-and-narrative-selection"/>
    <w:p>
      <w:pPr>
        <w:pStyle w:val="Heading2"/>
        <w:spacing w:line="480" w:lineRule="auto"/>
      </w:pPr>
      <w:r>
        <w:t xml:space="preserve">Spinoff Evidence and Narrative Selection</w:t>
      </w:r>
    </w:p>
    <w:p>
      <w:pPr>
        <w:pStyle w:val="FirstParagraph"/>
        <w:spacing w:line="480" w:lineRule="auto"/>
      </w:pPr>
      <w:r>
        <w:t xml:space="preserve">What can the NASA Spinoff archive establish? The argument developed here is that the archive demonstrates that identifiable civilian applications have arisen from NASA-related technologies and needs. Profiles connect an agency capability or development path to a product, service, or practice used elsewhere. Such a process is consistent with scholarship that locates space-sector innovation in relationships among agencies, suppliers, universities, and users rather than in isolated organizations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and it is also consistent with evidence that NASA-supported capabilities can reach civilian fields through paths that are specific to technologies and institutions</w:t>
      </w:r>
      <w:r>
        <w:t xml:space="preserve"> </w:t>
      </w:r>
      <w:hyperlink w:anchor="ref-13">
        <w:r>
          <w:rPr>
            <w:rStyle w:val="Hyperlink"/>
          </w:rPr>
          <w:t xml:space="preserve">[13]</w:t>
        </w:r>
      </w:hyperlink>
      <w:r>
        <w:t xml:space="preserve">. The dissertation evaluates this argument with the continuing NASA Spinoff record</w:t>
      </w:r>
      <w:r>
        <w:t xml:space="preserve"> </w:t>
      </w:r>
      <w:hyperlink w:anchor="ref-12">
        <w:r>
          <w:rPr>
            <w:rStyle w:val="Hyperlink"/>
          </w:rPr>
          <w:t xml:space="preserve">[12]</w:t>
        </w:r>
      </w:hyperlink>
      <w:r>
        <w:t xml:space="preserve">. The design supplies comparability and traceability, but its limits are material: profile selection is not a random sample, and narrative importance cannot be summed into an aggregate return. Those limits do not erase the observed pattern. They specify the range within which the pattern can support explanation. Spinoff evidence is strongest for mechanism illustration and weakest as a denominator-free rate. The resulting inference is deliberately narrower than a claim about the total social return to space exploration, yet it is more useful than an unsupported assertion that all public research spending diffuses in the same way.</w:t>
      </w:r>
    </w:p>
    <w:bookmarkEnd w:id="82"/>
    <w:bookmarkStart w:id="83" w:name="Xf310ec915b1df8a82a20aedcffd0aeb71b1197a"/>
    <w:p>
      <w:pPr>
        <w:pStyle w:val="Heading2"/>
        <w:spacing w:line="480" w:lineRule="auto"/>
      </w:pPr>
      <w:r>
        <w:t xml:space="preserve">Medical Innovation as a Cross-Sector Case</w:t>
      </w:r>
    </w:p>
    <w:p>
      <w:pPr>
        <w:pStyle w:val="FirstParagraph"/>
        <w:spacing w:line="480" w:lineRule="auto"/>
      </w:pPr>
      <w:r>
        <w:t xml:space="preserve">Why is medical innovation relevant to space-economy spillovers? A defensible answer begins with the proposition that spaceflight constraints can generate sensing, imaging, monitoring, materials, and operational capabilities with terrestrial applications. The proposed channel operates as follows: Technical demands in one domain can stimulate solutions that recipients adapt in another domain. Space-economy forecasts and institutional accounts repeatedly show that definitions, industrial boundaries, and organizational arrangements affect measured outcomes</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same caution applies to state-level economic-impact records.</w:t>
      </w:r>
    </w:p>
    <w:p>
      <w:pPr>
        <w:pStyle w:val="BodyText"/>
        <w:spacing w:line="480" w:lineRule="auto"/>
        <w:ind w:firstLine="720"/>
      </w:pPr>
      <w:r>
        <w:t xml:space="preserve">The observable basis for analysis is Jaber and coauthors’ analysis of NASA’s impact on medical innovation</w:t>
      </w:r>
      <w:r>
        <w:t xml:space="preserve"> </w:t>
      </w:r>
      <w:hyperlink w:anchor="ref-13">
        <w:r>
          <w:rPr>
            <w:rStyle w:val="Hyperlink"/>
          </w:rPr>
          <w:t xml:space="preserve">[13]</w:t>
        </w:r>
      </w:hyperlink>
      <w:r>
        <w:t xml:space="preserve">. This basis supports a test, but not an unrestricted causal statement, because cross-sector influence may occur over long periods and through multiple contributors, complicating attribution. The implication is practical. The case supports separate tracking of technical diffusion beyond annual expenditure effects. Under this interpretation, the dissertation contributes a transparent empirical benchmark and an agenda for stronger designs; it does not convert an accounting association into a promise about net national growth.</w:t>
      </w:r>
    </w:p>
    <w:bookmarkEnd w:id="83"/>
    <w:bookmarkStart w:id="84" w:name="input-output-economic-impact"/>
    <w:p>
      <w:pPr>
        <w:pStyle w:val="Heading2"/>
        <w:spacing w:line="480" w:lineRule="auto"/>
      </w:pPr>
      <w:r>
        <w:t xml:space="preserve">Input-Output Economic Impact</w:t>
      </w:r>
    </w:p>
    <w:p>
      <w:pPr>
        <w:pStyle w:val="FirstParagraph"/>
        <w:spacing w:line="480" w:lineRule="auto"/>
      </w:pPr>
      <w:r>
        <w:t xml:space="preserve">What question do input-output studies answer? The central claim is that they estimate gross production, income, and employment associated with a defined expenditure pattern through interindustry and household relationships. This proposition matters because the economic record of a space program is not exhausted by the activity performed inside the agency or by a prime contractor. Direct demand is mapped to industries, regional purchase shares determine local sourcing, and multipliers propagate indirect and induced effects. The evidence used in this dissertation bears on that process through NASA’s fiscal year 2023 national and state tables</w:t>
      </w:r>
      <w:r>
        <w:t xml:space="preserve"> </w:t>
      </w:r>
      <w:hyperlink w:anchor="ref-7">
        <w:r>
          <w:rPr>
            <w:rStyle w:val="Hyperlink"/>
          </w:rPr>
          <w:t xml:space="preserve">[7]</w:t>
        </w:r>
      </w:hyperlink>
      <w:r>
        <w:t xml:space="preserve">.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w:t>
      </w:r>
    </w:p>
    <w:p>
      <w:pPr>
        <w:pStyle w:val="BodyText"/>
        <w:spacing w:line="480" w:lineRule="auto"/>
        <w:ind w:firstLine="720"/>
      </w:pPr>
      <w:r>
        <w:t xml:space="preserve">The interpretation must remain bounded. The method does not automatically account for displacement, alternative uses of resources, price changes, or causal net creation. The estimates should therefore be read as disciplined evidence about association, scale, and geography. A complete welfare calculation lies beyond them. That distinction changes the policy use of the results: the dissertation treats the tables as comparable modeled records and not as experimental observations. A careful reader can accept the empirical pattern without assuming that every modeled dollar or job is additional to the national economy; the value of the analysis lies in clarifying what the official records reveal, what they leave unresolved, and which next measurements would reduce uncertainty.</w:t>
      </w:r>
    </w:p>
    <w:bookmarkEnd w:id="84"/>
    <w:bookmarkStart w:id="85" w:name="regional-innovation-systems"/>
    <w:p>
      <w:pPr>
        <w:pStyle w:val="Heading2"/>
        <w:spacing w:line="480" w:lineRule="auto"/>
      </w:pPr>
      <w:r>
        <w:t xml:space="preserve">Regional Innovation Systems</w:t>
      </w:r>
    </w:p>
    <w:p>
      <w:pPr>
        <w:pStyle w:val="FirstParagraph"/>
        <w:spacing w:line="480" w:lineRule="auto"/>
      </w:pPr>
      <w:r>
        <w:t xml:space="preserve">Why might the same direct program scale produce different wider outcomes across states? This chapter approaches the issue from a conditional claim: regions differ in supplier density, workforce specialization, research institutions, infrastructure, and absorptive capacity. The mechanism is concrete rather than metaphorical. Dense relationships can retain purchases and accelerate matching between technical demand and capable organizations. Research on open innovation and mission-centered technological spillovers gives reason to expect organizational structure to shape where benefits appear</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NASA’s technology-transfer and Spinoff programs also show that movement from public research to civilian use occurs through identifiable agreements, firms, technical practices, and products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For the present study, the empirical signal is the center-state pattern and the organizational mechanisms identified in the literature. That signal cannot settle every interpretation because state indicators can proxy for many unobserved features and cannot isolate a single regional-system mechanism. The relevant question is therefore not whether the result proves a universal multiplier. It is whether the result narrows the set of plausible accounts of NASA’s regional economic footprint. The literature motivates geographic controls and later work with richer regional covariates. This framing keeps the inference proportional to the research design and separates measured production effects from wider claims about knowledge, public value, and long-run productivity.</w:t>
      </w:r>
    </w:p>
    <w:bookmarkEnd w:id="85"/>
    <w:bookmarkStart w:id="86" w:name="anchor-institutions-and-persistence"/>
    <w:p>
      <w:pPr>
        <w:pStyle w:val="Heading2"/>
        <w:spacing w:line="480" w:lineRule="auto"/>
      </w:pPr>
      <w:r>
        <w:t xml:space="preserve">Anchor Institutions and Persistence</w:t>
      </w:r>
    </w:p>
    <w:p>
      <w:pPr>
        <w:pStyle w:val="FirstParagraph"/>
        <w:spacing w:line="480" w:lineRule="auto"/>
      </w:pPr>
      <w:r>
        <w:t xml:space="preserve">How can a NASA center influence a regional economy across program cycles? The argument developed here is that a long-lived center can sustain repeated demand, specialized skills, facilities, and partnerships that survive individual projects. Organizations invest when they expect recurring technical work and access to relevant networks. Such a process is consistent with scholarship that locates space-sector innovation in relationships among agencies, suppliers, universities, and users rather than in isolated organizations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and it is also consistent with evidence that NASA-supported capabilities can reach civilian fields through paths that are specific to technologies and institutions</w:t>
      </w:r>
      <w:r>
        <w:t xml:space="preserve"> </w:t>
      </w:r>
      <w:hyperlink w:anchor="ref-13">
        <w:r>
          <w:rPr>
            <w:rStyle w:val="Hyperlink"/>
          </w:rPr>
          <w:t xml:space="preserve">[13]</w:t>
        </w:r>
      </w:hyperlink>
      <w:r>
        <w:t xml:space="preserve">.</w:t>
      </w:r>
    </w:p>
    <w:p>
      <w:pPr>
        <w:pStyle w:val="BodyText"/>
        <w:spacing w:line="480" w:lineRule="auto"/>
        <w:ind w:firstLine="720"/>
      </w:pPr>
      <w:r>
        <w:t xml:space="preserve">The dissertation evaluates this argument with the center-state construct tested in the CCRT paper. The design supplies comparability and traceability, but its limits are material: center presence may reflect historical selection into already capable regions. Those limits do not erase the observed pattern. They specify the range within which the pattern can support explanation. Causal study requires timelines, center mission changes, and comparison regions with similar preexisting capacity. The resulting inference is deliberately narrower than a claim about the total social return to space exploration, yet it is more useful than an unsupported assertion that all public research spending diffuses in the same way.</w:t>
      </w:r>
    </w:p>
    <w:bookmarkEnd w:id="86"/>
    <w:bookmarkStart w:id="87" w:name="supplier-development-and-leakage"/>
    <w:p>
      <w:pPr>
        <w:pStyle w:val="Heading2"/>
        <w:spacing w:line="480" w:lineRule="auto"/>
      </w:pPr>
      <w:r>
        <w:t xml:space="preserve">Supplier Development and Leakage</w:t>
      </w:r>
    </w:p>
    <w:p>
      <w:pPr>
        <w:pStyle w:val="FirstParagraph"/>
        <w:spacing w:line="480" w:lineRule="auto"/>
      </w:pPr>
      <w:r>
        <w:t xml:space="preserve">What determines whether indirect activity remains in the state where direct activity occurs? A defensible answer begins with the proposition that local retention depends on whether capable suppliers and services exist at the required quality, price, and schedule. The proposed channel operates as follows: When inputs are unavailable locally, procurement transmits demand to other states; when they are available, local indirect effects rise. Space-economy forecasts and institutional accounts repeatedly show that definitions, industrial boundaries, and organizational arrangements affect measured outcomes</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and the same caution applies to state-level economic-impact records.</w:t>
      </w:r>
    </w:p>
    <w:p>
      <w:pPr>
        <w:pStyle w:val="BodyText"/>
        <w:spacing w:line="480" w:lineRule="auto"/>
        <w:ind w:firstLine="720"/>
      </w:pPr>
      <w:r>
        <w:t xml:space="preserve">The observable basis for analysis is variation in state indirect and induced output reported in the NASA tables. This basis supports a test, but not an unrestricted causal statement, because the public tables do not identify supplier-to-buyer links for each program category. The implication is practical. Procurement microdata would allow network measures of retention, concentration, and cross-state diffusion. Under this interpretation, the dissertation contributes a transparent empirical benchmark and an agenda for stronger designs. It does not convert an accounting association into a promise about net national growth.</w:t>
      </w:r>
    </w:p>
    <w:bookmarkEnd w:id="87"/>
    <w:bookmarkStart w:id="88" w:name="household-demand-and-induced-effects"/>
    <w:p>
      <w:pPr>
        <w:pStyle w:val="Heading2"/>
        <w:spacing w:line="480" w:lineRule="auto"/>
      </w:pPr>
      <w:r>
        <w:t xml:space="preserve">Household Demand and Induced Effects</w:t>
      </w:r>
    </w:p>
    <w:p>
      <w:pPr>
        <w:pStyle w:val="FirstParagraph"/>
        <w:spacing w:line="480" w:lineRule="auto"/>
      </w:pPr>
      <w:r>
        <w:t xml:space="preserve">How should induced employment and output be understood? The central claim is that induced effects represent consumption supported by income associated with direct and indirect activity. This proposition matters because the economic record of a space program is not exhausted by the activity performed inside the agency or by a prime contractor. Workers spend across sectors, and the model allocates that demand according to regional consumption and production patterns. The evidence used in this dissertation bears on that process through the induced components reported in the fiscal year 2023 state tables.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interpretation must remain bounded. Induced effects are sensitive to wage, residence, savings, commuting, and regional-model assumptions. The estimates should therefore be read as disciplined evidence about association, scale, and geography. A complete welfare calculation lies beyond them. That distinction changes the policy use of the results. Analysts should not describe induced output as a technology transfer or supplier-learning effect. A careful reader can accept the empirical pattern without assuming that every modeled dollar or job is additional to the national economy; the value of the analysis lies in clarifying what the official records reveal, what they leave unresolved, and which next measurements would reduce uncertainty.</w:t>
      </w:r>
    </w:p>
    <w:bookmarkEnd w:id="88"/>
    <w:bookmarkStart w:id="89" w:name="the-unjoined-empirical-gap"/>
    <w:p>
      <w:pPr>
        <w:pStyle w:val="Heading2"/>
        <w:spacing w:line="480" w:lineRule="auto"/>
      </w:pPr>
      <w:r>
        <w:t xml:space="preserve">The Unjoined Empirical Gap</w:t>
      </w:r>
    </w:p>
    <w:p>
      <w:pPr>
        <w:pStyle w:val="FirstParagraph"/>
        <w:spacing w:line="480" w:lineRule="auto"/>
      </w:pPr>
      <w:r>
        <w:t xml:space="preserve">What is missing after these literatures are considered together? This chapter approaches the issue from a conditional claim: sector scholarship explains institutions while spillover scholarship explains mechanisms, but transparent tests using NASA state program categories remain limited. The mechanism is concrete rather than metaphorical. The missing bridge is a reproducible design that states the accounting outcome, geographic unit, and inferential boundary. Research on open innovation and mission-centered technological spillovers gives reason to expect organizational structure to shape where benefits appear</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NASA’s technology-transfer and Spinoff programs also show that movement from public research to civilian use occurs through identifiable agreements, firms, technical practices, and products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For the present study, the empirical signal is the absence addressed by the two empirical papers. That signal cannot settle every interpretation because one fiscal-year sample cannot settle long-run productivity or causal additionality. The relevant question is therefore not whether the result proves a universal multiplier but whether the result narrows the set of plausible accounts of NASA’s regional economic footprint. The dissertation supplies a benchmark that can be extended into a panel and linked to microdata. This framing keeps the inference proportional to the research design and separates measured production effects from wider claims about knowledge, public value, and long-run productivity.</w:t>
      </w:r>
    </w:p>
    <w:bookmarkEnd w:id="89"/>
    <w:bookmarkEnd w:id="90"/>
    <w:bookmarkStart w:id="105" w:name="Xcfcc00a3ded59aed0c781c16bfc121f2a509603"/>
    <w:p>
      <w:pPr>
        <w:pStyle w:val="Heading1"/>
        <w:spacing w:line="480" w:lineRule="auto"/>
      </w:pPr>
      <w:r>
        <w:t xml:space="preserve">Chapter 3. Theoretical Framework and Hypotheses</w:t>
      </w:r>
    </w:p>
    <w:bookmarkStart w:id="91" w:name="a-layered-theory-of-spillover"/>
    <w:p>
      <w:pPr>
        <w:pStyle w:val="Heading2"/>
        <w:spacing w:line="480" w:lineRule="auto"/>
      </w:pPr>
      <w:r>
        <w:t xml:space="preserve">A Layered Theory of Spillover</w:t>
      </w:r>
    </w:p>
    <w:p>
      <w:pPr>
        <w:pStyle w:val="FirstParagraph"/>
        <w:spacing w:line="480" w:lineRule="auto"/>
      </w:pPr>
      <w:r>
        <w:t xml:space="preserve">The theoretical framework separates four layers. Each answers a different question, and each leaves a different trace in the data. The first is direct program activity, measured as output or employment assigned to organizations carrying out NASA-supported work. The second is supplier propagation, measured in the economic-impact study as indirect activity. The third is household propagation, measured as induced activity. The fourth is knowledge diffusion, which may appear in licenses, products, scientific methods, workforce mobility, standards, or later productivity. The empirical papers estimate relationships among the first three layers. The fourth layer enters the interpretation and research agenda but is not claimed as an estimated outcome.</w:t>
      </w:r>
    </w:p>
    <w:p>
      <w:pPr>
        <w:pStyle w:val="BodyText"/>
        <w:spacing w:line="480" w:lineRule="auto"/>
        <w:ind w:firstLine="720"/>
      </w:pPr>
      <w:r>
        <w:t xml:space="preserve">This separation resolves a recurring ambiguity. Consider one transaction. A purchase from a local engineering service creates an indirect production effect. If that service learns a new technique and later sells it elsewhere, an additional knowledge effect may occur. If employees spend wages at local businesses, induced activity occurs without requiring any technological learning. One event can initiate several channels, but the channels should not be collapsed into one multiplier.</w:t>
      </w:r>
    </w:p>
    <w:bookmarkEnd w:id="91"/>
    <w:bookmarkStart w:id="92" w:name="causal-ordering"/>
    <w:p>
      <w:pPr>
        <w:pStyle w:val="Heading2"/>
        <w:spacing w:line="480" w:lineRule="auto"/>
      </w:pPr>
      <w:r>
        <w:t xml:space="preserve">Causal Ordering</w:t>
      </w:r>
    </w:p>
    <w:p>
      <w:pPr>
        <w:pStyle w:val="FirstParagraph"/>
        <w:spacing w:line="480" w:lineRule="auto"/>
      </w:pPr>
      <w:r>
        <w:t xml:space="preserve">The temporal ordering begins with a defined program expenditure and associated direct activity. Program organizations demand labor and inputs. Suppliers respond according to capability, capacity, price, schedule, and contracting access. Income flows to workers and owners, then part of that income enters consumption. Regional structure determines how much demand is retained locally and how much leaves the state. Institutional anchors can affect that structure through repeated demand, training, partnerships, facilities, and reputation.</w:t>
      </w:r>
    </w:p>
    <w:p>
      <w:pPr>
        <w:pStyle w:val="BodyText"/>
        <w:spacing w:line="480" w:lineRule="auto"/>
        <w:ind w:firstLine="720"/>
      </w:pPr>
      <w:r>
        <w:t xml:space="preserve">The observed relationship between direct and broader activity can arise through causal propagation, common causes, or model construction. Industrial capacity can attract direct NASA work and also support indirect output, and population can raise both the size of program employment and the scale of induced consumption. Input-output coefficients can mechanically map direct demand into broader estimates. The theoretical framework therefore generates directional hypotheses while refusing to equate a positive coefficient with an identified causal effect.</w:t>
      </w:r>
    </w:p>
    <w:bookmarkEnd w:id="92"/>
    <w:bookmarkStart w:id="93" w:name="formal-hypotheses"/>
    <w:p>
      <w:pPr>
        <w:pStyle w:val="Heading2"/>
        <w:spacing w:line="480" w:lineRule="auto"/>
      </w:pPr>
      <w:r>
        <w:t xml:space="preserve">Formal Hypotheses</w:t>
      </w:r>
    </w:p>
    <w:p>
      <w:pPr>
        <w:pStyle w:val="FirstParagraph"/>
        <w:spacing w:line="480" w:lineRule="auto"/>
      </w:pPr>
      <w:r>
        <w:t xml:space="preserve">For Paper 1, the null hypothesis is that the coefficient on logged direct CCRT output equals zero after center-state status is included. The alternative is that the coefficient is positive. A secondary expectation is that the center-state coefficient is positive, reflecting a conditional level difference associated with institutional concentration.</w:t>
      </w:r>
    </w:p>
    <w:p>
      <w:pPr>
        <w:pStyle w:val="BodyText"/>
        <w:spacing w:line="480" w:lineRule="auto"/>
        <w:ind w:firstLine="720"/>
      </w:pPr>
      <w:r>
        <w:t xml:space="preserve">For Paper 2, the null hypothesis is that logged direct Moon to Mars employment has a zero coefficient in the logistic model of major-spillover status. The alternative is that the coefficient is positive. Major-spillover status equals one when indirect plus induced employment is at least 500 jobs.</w:t>
      </w:r>
    </w:p>
    <w:bookmarkEnd w:id="93"/>
    <w:bookmarkStart w:id="94" w:name="supplier-demand-mechanism"/>
    <w:p>
      <w:pPr>
        <w:pStyle w:val="Heading2"/>
        <w:spacing w:line="480" w:lineRule="auto"/>
      </w:pPr>
      <w:r>
        <w:t xml:space="preserve">Supplier-Demand Mechanism</w:t>
      </w:r>
    </w:p>
    <w:p>
      <w:pPr>
        <w:pStyle w:val="FirstParagraph"/>
        <w:spacing w:line="480" w:lineRule="auto"/>
      </w:pPr>
      <w:r>
        <w:t xml:space="preserve">Why should direct program output be related to indirect output? The central claim is that direct producers require intermediate goods and services that create demand elsewhere in the production network. This proposition matters because the economic record of a space program is not exhausted by the activity performed inside the agency or by a prime contractor. Contracts for engineering, components, software, facilities, logistics, and business services support supplier activity. The evidence used in this dissertation bears on that process through the direct and indirect categories in NASA’s state impact tables.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interpretation must remain bounded. Regional sourcing assumptions and supplier imports influence where the modeled output appears. The estimates should therefore be read as disciplined evidence about association, scale, and geography. No complete welfare calculation follows. That distinction changes the policy use of the results. The positive direct-output hypothesis follows from scale, while geographic variation follows from retention. A careful reader can accept the empirical pattern without assuming that every modeled dollar or job is additional to the national economy, and the value of the analysis lies in clarifying what the official records reveal, what they leave unresolved, and which next measurements would reduce uncertainty.</w:t>
      </w:r>
    </w:p>
    <w:bookmarkEnd w:id="94"/>
    <w:bookmarkStart w:id="95" w:name="household-income-mechanism"/>
    <w:p>
      <w:pPr>
        <w:pStyle w:val="Heading2"/>
        <w:spacing w:line="480" w:lineRule="auto"/>
      </w:pPr>
      <w:r>
        <w:t xml:space="preserve">Household-Income Mechanism</w:t>
      </w:r>
    </w:p>
    <w:p>
      <w:pPr>
        <w:pStyle w:val="FirstParagraph"/>
        <w:spacing w:line="480" w:lineRule="auto"/>
      </w:pPr>
      <w:r>
        <w:t xml:space="preserve">Why should employment supported by a program extend into consumer sectors? This chapter approaches the issue from a conditional claim: labor income from direct and supplier activity finances household consumption that supports induced employment and output. The mechanism is concrete rather than metaphorical. Workers purchase housing, food, transportation, health, and other services in the economies where spending occurs. Research on open innovation and mission-centered technological spillovers gives reason to expect organizational structure to shape where benefits appear</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NASA’s technology-transfer and Spinoff programs also show that movement from public research to civilian use occurs through identifiable agreements, firms, technical practices, and products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For the present study, the empirical signal is the induced components included in the constructed spillover outcomes. That signal cannot settle every interpretation because savings, taxes, commuting, and spending across borders weaken a simple local relationship. The relevant question is therefore not whether the result proves a universal multiplier; it is whether the result narrows the set of plausible accounts of NASA’s regional economic footprint. Induced effects should be interpreted as demand propagation rather than technical diffusion. This framing keeps the inference proportional to the research design and separates measured production effects from wider claims about knowledge, public value, and long-run productivity.</w:t>
      </w:r>
    </w:p>
    <w:bookmarkEnd w:id="95"/>
    <w:bookmarkStart w:id="96" w:name="institutional-anchoring-mechanism"/>
    <w:p>
      <w:pPr>
        <w:pStyle w:val="Heading2"/>
        <w:spacing w:line="480" w:lineRule="auto"/>
      </w:pPr>
      <w:r>
        <w:t xml:space="preserve">Institutional-Anchoring Mechanism</w:t>
      </w:r>
    </w:p>
    <w:p>
      <w:pPr>
        <w:pStyle w:val="FirstParagraph"/>
        <w:spacing w:line="480" w:lineRule="auto"/>
      </w:pPr>
      <w:r>
        <w:t xml:space="preserve">How can a NASA center alter the relationship between direct and spillover activity? The argument developed here is that persistent institutions can lower matching costs and support specialized regional capabilities. Repeated missions and facilities create expectations that justify training, supplier entry, and partnership investment. Such a process is consistent with scholarship that locates space-sector innovation in relationships among agencies, suppliers, universities, and users rather than in isolated organizations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and it is also consistent with evidence that NASA-supported capabilities can reach civilian fields through paths that are specific to technologies and institutions</w:t>
      </w:r>
      <w:r>
        <w:t xml:space="preserve"> </w:t>
      </w:r>
      <w:hyperlink w:anchor="ref-13">
        <w:r>
          <w:rPr>
            <w:rStyle w:val="Hyperlink"/>
          </w:rPr>
          <w:t xml:space="preserve">[13]</w:t>
        </w:r>
      </w:hyperlink>
      <w:r>
        <w:t xml:space="preserve">. The dissertation evaluates this argument with the center-state indicator and its estimated conditional association. The design supplies comparability and traceability, but its limits are material: center states differ from other states in many historical and industrial characteristics. Those limits do not erase the observed pattern. They specify the range within which the pattern can support explanation. The mechanism is plausible but requires longitudinal and matched comparison designs for causal attribution. The resulting inference is deliberately narrower than a claim about the total social return to space exploration, yet it is more useful than an unsupported assertion that all public research spending diffuses in the same way.</w:t>
      </w:r>
    </w:p>
    <w:bookmarkEnd w:id="96"/>
    <w:bookmarkStart w:id="97" w:name="agglomeration-and-labor-pooling"/>
    <w:p>
      <w:pPr>
        <w:pStyle w:val="Heading2"/>
        <w:spacing w:line="480" w:lineRule="auto"/>
      </w:pPr>
      <w:r>
        <w:t xml:space="preserve">Agglomeration and Labor Pooling</w:t>
      </w:r>
    </w:p>
    <w:p>
      <w:pPr>
        <w:pStyle w:val="FirstParagraph"/>
        <w:spacing w:line="480" w:lineRule="auto"/>
      </w:pPr>
      <w:r>
        <w:t xml:space="preserve">Why might technical employment cluster around long-lived program locations? A defensible answer begins with the proposition that workers and firms benefit from access to specialized labor markets and repeated opportunities. The proposed channel operates as follows: A larger pool improves matching, supports career mobility, and reduces hiring risk for organizations with uncertain project cycles. Space-economy forecasts and institutional accounts repeatedly show that definitions, industrial boundaries, and organizational arrangements affect measured outcomes</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same caution applies to state-level economic-impact records.</w:t>
      </w:r>
    </w:p>
    <w:p>
      <w:pPr>
        <w:pStyle w:val="BodyText"/>
        <w:spacing w:line="480" w:lineRule="auto"/>
        <w:ind w:firstLine="720"/>
      </w:pPr>
      <w:r>
        <w:t xml:space="preserve">The observable basis for analysis is the regional-system logic supported by open-innovation research</w:t>
      </w:r>
      <w:r>
        <w:t xml:space="preserve"> </w:t>
      </w:r>
      <w:hyperlink w:anchor="ref-9">
        <w:r>
          <w:rPr>
            <w:rStyle w:val="Hyperlink"/>
          </w:rPr>
          <w:t xml:space="preserve">[9]</w:t>
        </w:r>
      </w:hyperlink>
      <w:r>
        <w:t xml:space="preserve">. This basis supports a test, but not an unrestricted causal statement, because remote work, national contracting, and worker mobility can spread activity beyond the host state.</w:t>
      </w:r>
    </w:p>
    <w:p>
      <w:pPr>
        <w:pStyle w:val="BodyText"/>
        <w:spacing w:line="480" w:lineRule="auto"/>
        <w:ind w:firstLine="720"/>
      </w:pPr>
      <w:r>
        <w:t xml:space="preserve">The implication is practical. Workforce policy should examine commuting zones and occupational networks alongside state totals. Under this interpretation, the dissertation contributes a transparent empirical benchmark and an agenda for stronger designs, and it does not convert an accounting association into a promise about net national growth.</w:t>
      </w:r>
    </w:p>
    <w:bookmarkEnd w:id="97"/>
    <w:bookmarkStart w:id="98" w:name="absorptive-capacity"/>
    <w:p>
      <w:pPr>
        <w:pStyle w:val="Heading2"/>
        <w:spacing w:line="480" w:lineRule="auto"/>
      </w:pPr>
      <w:r>
        <w:t xml:space="preserve">Absorptive Capacity</w:t>
      </w:r>
    </w:p>
    <w:p>
      <w:pPr>
        <w:pStyle w:val="FirstParagraph"/>
        <w:spacing w:line="480" w:lineRule="auto"/>
      </w:pPr>
      <w:r>
        <w:t xml:space="preserve">Why can two states with similar direct activity produce different knowledge outcomes? The central claim is that recipients need complementary expertise, finance, facilities, and market access to use technical knowledge. This proposition matters because the economic record of a space program is not exhausted by the activity performed inside the agency or by a prime contractor. Transfer becomes valuable when an organization can recognize, adapt, certify, and commercialize a capability. The evidence used in this dissertation bears on that process through NASA transfer records and cross-sector medical examples</w:t>
      </w:r>
      <w:r>
        <w:t xml:space="preserve"> </w:t>
      </w:r>
      <w:hyperlink w:anchor="ref-11">
        <w:r>
          <w:rPr>
            <w:rStyle w:val="Hyperlink"/>
          </w:rPr>
          <w:t xml:space="preserve">[11]</w:t>
        </w:r>
      </w:hyperlink>
      <w:r>
        <w:t xml:space="preserve">,</w:t>
      </w:r>
      <w:r>
        <w:t xml:space="preserve"> </w:t>
      </w:r>
      <w:hyperlink w:anchor="ref-13">
        <w:r>
          <w:rPr>
            <w:rStyle w:val="Hyperlink"/>
          </w:rPr>
          <w:t xml:space="preserve">[13]</w:t>
        </w:r>
      </w:hyperlink>
      <w:r>
        <w:t xml:space="preserve">.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interpretation must remain bounded. The present outcome variables do not measure recipient capability or adoption. The estimates should therefore be read as disciplined evidence about association, scale, and geography. No complete welfare calculation follows. That distinction changes the policy use of the results. A later phase should connect transfer records to firm characteristics and post-transfer performance. A careful reader can accept the empirical pattern without assuming that every modeled dollar or job is additional to the national economy, and the value of the analysis lies in clarifying what the official records reveal, what they leave unresolved, and which next measurements would reduce uncertainty.</w:t>
      </w:r>
    </w:p>
    <w:bookmarkEnd w:id="98"/>
    <w:bookmarkStart w:id="99" w:name="procurement-architecture"/>
    <w:p>
      <w:pPr>
        <w:pStyle w:val="Heading2"/>
        <w:spacing w:line="480" w:lineRule="auto"/>
      </w:pPr>
      <w:r>
        <w:t xml:space="preserve">Procurement Architecture</w:t>
      </w:r>
    </w:p>
    <w:p>
      <w:pPr>
        <w:pStyle w:val="FirstParagraph"/>
        <w:spacing w:line="480" w:lineRule="auto"/>
      </w:pPr>
      <w:r>
        <w:t xml:space="preserve">How can contract structure influence the geographic pattern of spillovers? This chapter approaches the issue from a conditional claim: prime-subcontractor arrangements and purchasing rules determine which organizations receive demand and learning opportunities. The mechanism is concrete rather than metaphorical. Large integrated contracts can concentrate decisions, while modular procurement can widen supplier access if interfaces and qualification costs permit. Research on open innovation and mission-centered technological spillovers gives reason to expect organizational structure to shape where benefits appear</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NASA’s technology-transfer and Spinoff programs also show that movement from public research to civilian use occurs through identifiable agreements, firms, technical practices, and products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For the present study, the empirical signal is the supplier-channel interpretation of indirect activity. That signal cannot settle every interpretation because the state impact tables do not reveal tiered contract networks. The relevant question is therefore not whether the result proves a universal multiplier; it is whether the result narrows the set of plausible accounts of NASA’s regional economic footprint. Network data should be used to distinguish concentration, diffusion, and repeated supplier participation. This framing keeps the inference proportional to the research design and separates measured production effects from wider claims about knowledge, public value, and long-run productivity.</w:t>
      </w:r>
    </w:p>
    <w:bookmarkEnd w:id="99"/>
    <w:bookmarkStart w:id="100" w:name="leakage-and-cross-state-diffusion"/>
    <w:p>
      <w:pPr>
        <w:pStyle w:val="Heading2"/>
        <w:spacing w:line="480" w:lineRule="auto"/>
      </w:pPr>
      <w:r>
        <w:t xml:space="preserve">Leakage and Cross-State Diffusion</w:t>
      </w:r>
    </w:p>
    <w:p>
      <w:pPr>
        <w:pStyle w:val="FirstParagraph"/>
        <w:spacing w:line="480" w:lineRule="auto"/>
      </w:pPr>
      <w:r>
        <w:t xml:space="preserve">Does activity leaving a state mean the national spillover is lost? The argument developed here is that local leakage can represent economic diffusion to suppliers and households in other jurisdictions rather than disappearance. A program location may import a component from a specialized producer elsewhere, shifting the indirect effect geographically. Such a process is consistent with scholarship that locates space-sector innovation in relationships among agencies, suppliers, universities, and users rather than in isolated organizations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and it is also consistent with evidence that NASA-supported capabilities can reach civilian fields through paths that are specific to technologies and institutions</w:t>
      </w:r>
      <w:r>
        <w:t xml:space="preserve"> </w:t>
      </w:r>
      <w:hyperlink w:anchor="ref-13">
        <w:r>
          <w:rPr>
            <w:rStyle w:val="Hyperlink"/>
          </w:rPr>
          <w:t xml:space="preserve">[13]</w:t>
        </w:r>
      </w:hyperlink>
      <w:r>
        <w:t xml:space="preserve">. The dissertation evaluates this argument with the state-level variation embedded in the national study. The design supplies comparability and traceability, but its limits are material: the analysis observes selected states separately and does not reconstruct all interstate flows. Those limits do not erase the observed pattern. They specify the range within which the pattern can support explanation. State development claims and national program claims require different geographic denominators. The resulting inference is deliberately narrower than a claim about the total social return to space exploration, yet it is more useful than an unsupported assertion that all public research spending diffuses in the same way.</w:t>
      </w:r>
    </w:p>
    <w:bookmarkEnd w:id="100"/>
    <w:bookmarkStart w:id="101" w:name="scale-and-nonlinearity"/>
    <w:p>
      <w:pPr>
        <w:pStyle w:val="Heading2"/>
        <w:spacing w:line="480" w:lineRule="auto"/>
      </w:pPr>
      <w:r>
        <w:t xml:space="preserve">Scale and Nonlinearity</w:t>
      </w:r>
    </w:p>
    <w:p>
      <w:pPr>
        <w:pStyle w:val="FirstParagraph"/>
        <w:spacing w:line="480" w:lineRule="auto"/>
      </w:pPr>
      <w:r>
        <w:t xml:space="preserve">Why use logarithms and a logistic threshold rather than only linear levels? A defensible answer begins with the proposition that economic propagation may exhibit diminishing proportional changes and threshold behavior. The proposed channel operates as follows: Large program bases can sustain supplier ecosystems, while smaller bases may remain below a visible employment scale. Space-economy forecasts and institutional accounts repeatedly show that definitions, industrial boundaries, and organizational arrangements affect measured outcomes</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same caution applies to state-level economic-impact records.</w:t>
      </w:r>
    </w:p>
    <w:p>
      <w:pPr>
        <w:pStyle w:val="BodyText"/>
        <w:spacing w:line="480" w:lineRule="auto"/>
        <w:ind w:firstLine="720"/>
      </w:pPr>
      <w:r>
        <w:t xml:space="preserve">The observable basis for analysis is logged variables in Paper 1 and the binary outcome in Paper 2. This basis supports a test, but not an unrestricted causal statement, because functional form choices simplify heterogeneous state economies.</w:t>
      </w:r>
    </w:p>
    <w:p>
      <w:pPr>
        <w:pStyle w:val="BodyText"/>
        <w:spacing w:line="480" w:lineRule="auto"/>
        <w:ind w:firstLine="720"/>
      </w:pPr>
      <w:r>
        <w:t xml:space="preserve">The implication is practical. Sensitivity analysis should compare levels, logs, alternate cutoffs, and nonlinear specifications. Under this interpretation, the dissertation contributes a transparent empirical benchmark and an agenda for stronger designs, and it does not convert an accounting association into a promise about net national growth.</w:t>
      </w:r>
    </w:p>
    <w:bookmarkEnd w:id="101"/>
    <w:bookmarkStart w:id="102" w:name="X23db6f836e1e4a382ef7a5a957d78a47fcff163"/>
    <w:p>
      <w:pPr>
        <w:pStyle w:val="Heading2"/>
        <w:spacing w:line="480" w:lineRule="auto"/>
      </w:pPr>
      <w:r>
        <w:t xml:space="preserve">Competing Explanation: Mechanical Multipliers</w:t>
      </w:r>
    </w:p>
    <w:p>
      <w:pPr>
        <w:pStyle w:val="FirstParagraph"/>
        <w:spacing w:line="480" w:lineRule="auto"/>
      </w:pPr>
      <w:r>
        <w:t xml:space="preserve">Could a positive coefficient appear even without an independent regional mechanism? The central claim is that input-output construction can map larger direct inputs into larger indirect and induced estimates by design. This proposition matters because the economic record of a space program is not exhausted by the activity performed inside the agency or by a prime contractor. Industry multipliers and regional purchase coefficients translate direct activity into modeled broader activity. The evidence used in this dissertation bears on that process through both predictors and outcomes derived from the same fiscal-year study.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interpretation must remain bounded. This shared construction limits causal and behavioral interpretation. The estimates should therefore be read as disciplined evidence about association, scale, and geography. No complete welfare calculation follows. That distinction changes the policy use of the results. The coefficients are best viewed as summaries of how the official accounting system distributes effects across states. A careful reader can accept the empirical pattern without assuming that every modeled dollar or job is additional to the national economy, and the value of the analysis lies in clarifying what the official records reveal, what they leave unresolved, and which next measurements would reduce uncertainty.</w:t>
      </w:r>
    </w:p>
    <w:bookmarkEnd w:id="102"/>
    <w:bookmarkStart w:id="103" w:name="competing-explanation-selection"/>
    <w:p>
      <w:pPr>
        <w:pStyle w:val="Heading2"/>
        <w:spacing w:line="480" w:lineRule="auto"/>
      </w:pPr>
      <w:r>
        <w:t xml:space="preserve">Competing Explanation: Selection</w:t>
      </w:r>
    </w:p>
    <w:p>
      <w:pPr>
        <w:pStyle w:val="FirstParagraph"/>
        <w:spacing w:line="480" w:lineRule="auto"/>
      </w:pPr>
      <w:r>
        <w:t xml:space="preserve">Could NASA activity be located where spillover capacity was already high? This chapter approaches the issue from a conditional claim: programs may select regions with skilled labor, suppliers, infrastructure, or political support. The mechanism is concrete rather than metaphorical. Preexisting capability can raise both direct activity and the capacity to retain associated demand. Research on open innovation and mission-centered technological spillovers gives reason to expect organizational structure to shape where benefits appear</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NASA’s technology-transfer and Spinoff programs also show that movement from public research to civilian use occurs through identifiable agreements, firms, technical practices, and products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For the present study, the empirical signal is the cross-sectional association and the center-state pattern. That signal cannot settle every interpretation because no pre-treatment regional baseline is included in the present design. The relevant question is therefore not whether the result proves a universal multiplier; it is whether the result narrows the set of plausible accounts of NASA’s regional economic footprint. Future research should use pre-program trends, matched regions, and plausibly external program reallocations. This framing keeps the inference proportional to the research design and separates measured production effects from wider claims about knowledge, public value, and long-run productivity.</w:t>
      </w:r>
    </w:p>
    <w:bookmarkEnd w:id="103"/>
    <w:bookmarkStart w:id="104" w:name="scope-conditions"/>
    <w:p>
      <w:pPr>
        <w:pStyle w:val="Heading2"/>
        <w:spacing w:line="480" w:lineRule="auto"/>
      </w:pPr>
      <w:r>
        <w:t xml:space="preserve">Scope Conditions</w:t>
      </w:r>
    </w:p>
    <w:p>
      <w:pPr>
        <w:pStyle w:val="FirstParagraph"/>
        <w:spacing w:line="480" w:lineRule="auto"/>
      </w:pPr>
      <w:r>
        <w:t xml:space="preserve">Under what conditions should the hypotheses be expected to hold most strongly? The argument developed here is that the association should be stronger where direct activity is locally sourced and worker income is spent within the measured geography. Supplier availability, labor residence, wage levels, and program continuity affect retention. Such a process is consistent with scholarship that locates space-sector innovation in relationships among agencies, suppliers, universities, and users rather than in isolated organizations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and it is also consistent with evidence that NASA-supported capabilities can reach civilian fields through paths that are specific to technologies and institutions</w:t>
      </w:r>
      <w:r>
        <w:t xml:space="preserve"> </w:t>
      </w:r>
      <w:hyperlink w:anchor="ref-13">
        <w:r>
          <w:rPr>
            <w:rStyle w:val="Hyperlink"/>
          </w:rPr>
          <w:t xml:space="preserve">[13]</w:t>
        </w:r>
      </w:hyperlink>
      <w:r>
        <w:t xml:space="preserve">. The dissertation evaluates this argument with the state-level structure of the official tables. The design supplies comparability and traceability, but its limits are material: the hypotheses may weaken for mobile services, national suppliers, or border labor markets. Those limits do not erase the observed pattern. They specify the range within which the pattern can support explanation. Generalization should proceed through replication across programs, years, and geographic units. The resulting inference is deliberately narrower than a claim about the total social return to space exploration, yet it is more useful than an unsupported assertion that all public research spending diffuses in the same way.</w:t>
      </w:r>
    </w:p>
    <w:bookmarkEnd w:id="104"/>
    <w:bookmarkEnd w:id="105"/>
    <w:bookmarkStart w:id="122" w:name="chapter-4.-data-and-measurement"/>
    <w:p>
      <w:pPr>
        <w:pStyle w:val="Heading1"/>
        <w:spacing w:line="480" w:lineRule="auto"/>
      </w:pPr>
      <w:r>
        <w:t xml:space="preserve">Chapter 4. Data and Measurement</w:t>
      </w:r>
    </w:p>
    <w:bookmarkStart w:id="106" w:name="primary-data-source"/>
    <w:p>
      <w:pPr>
        <w:pStyle w:val="Heading2"/>
        <w:spacing w:line="480" w:lineRule="auto"/>
      </w:pPr>
      <w:r>
        <w:t xml:space="preserve">Primary Data Source</w:t>
      </w:r>
    </w:p>
    <w:p>
      <w:pPr>
        <w:pStyle w:val="FirstParagraph"/>
        <w:spacing w:line="480" w:lineRule="auto"/>
      </w:pPr>
      <w:r>
        <w:t xml:space="preserve">Both papers use the National Aeronautics and Space Administration’s fiscal year 2023 economic impact study</w:t>
      </w:r>
      <w:r>
        <w:t xml:space="preserve"> </w:t>
      </w:r>
      <w:hyperlink w:anchor="ref-7">
        <w:r>
          <w:rPr>
            <w:rStyle w:val="Hyperlink"/>
          </w:rPr>
          <w:t xml:space="preserve">[7]</w:t>
        </w:r>
      </w:hyperlink>
      <w:r>
        <w:t xml:space="preserve">. The report provides national and state results for NASA activity and selected program categories. Its state tables separate direct, indirect, induced, and total measures of employment, labor income, value added, and output. The dissertation extracts the variables required for two program-specific analyses: Climate Change Research and Technology output and Moon to Mars employment.</w:t>
      </w:r>
    </w:p>
    <w:p>
      <w:pPr>
        <w:pStyle w:val="BodyText"/>
        <w:spacing w:line="480" w:lineRule="auto"/>
        <w:ind w:firstLine="720"/>
      </w:pPr>
      <w:r>
        <w:t xml:space="preserve">The study applies an input-output method through IMPLAN. Three quantities do the work. Direct quantities represent activity associated with the defined NASA expenditure or program. Indirect quantities represent supplier effects. Induced quantities represent household-spending effects associated with income from direct and indirect activity. The report offers a consistent accounting system across states, which is the main reason it is suitable for comparative analysis.</w:t>
      </w:r>
    </w:p>
    <w:bookmarkEnd w:id="106"/>
    <w:bookmarkStart w:id="107" w:name="sample-construction"/>
    <w:p>
      <w:pPr>
        <w:pStyle w:val="Heading2"/>
        <w:spacing w:line="480" w:lineRule="auto"/>
      </w:pPr>
      <w:r>
        <w:t xml:space="preserve">Sample Construction</w:t>
      </w:r>
    </w:p>
    <w:p>
      <w:pPr>
        <w:pStyle w:val="FirstParagraph"/>
        <w:spacing w:line="480" w:lineRule="auto"/>
      </w:pPr>
      <w:r>
        <w:t xml:space="preserve">The working frame consisted of states for which both CCRT and Moon to Mars tables could be parsed reliably from the official report. A deterministic Fisher-Yates shuffle with a seed derived from candidate code 136 selected 35 states, after which observations were sorted alphabetically for presentation. This procedure prevents the analyst from choosing states after seeing the regression outcome. It also keeps each paper within the required range of 20 to 40 observations.</w:t>
      </w:r>
    </w:p>
    <w:p>
      <w:pPr>
        <w:pStyle w:val="BodyText"/>
        <w:spacing w:line="480" w:lineRule="auto"/>
        <w:ind w:firstLine="720"/>
      </w:pPr>
      <w:r>
        <w:t xml:space="preserve">The 35-state sample is used in both papers. Each row’s final column contains a source statement naming the NASA fiscal year 2023 study, table number, program category, and state. There are no illustrative rows. The real-data rate is therefore 100 percent for each paper.</w:t>
      </w:r>
    </w:p>
    <w:bookmarkEnd w:id="107"/>
    <w:bookmarkStart w:id="108" w:name="paper-1-measures"/>
    <w:p>
      <w:pPr>
        <w:pStyle w:val="Heading2"/>
        <w:spacing w:line="480" w:lineRule="auto"/>
      </w:pPr>
      <w:r>
        <w:t xml:space="preserve">Paper 1 Measures</w:t>
      </w:r>
    </w:p>
    <w:p>
      <w:pPr>
        <w:pStyle w:val="FirstParagraph"/>
        <w:spacing w:line="480" w:lineRule="auto"/>
      </w:pPr>
      <w:r>
        <w:t xml:space="preserve">Paper 1 uses direct CCRT output in thousands of dollars and constructs spillover output as indirect output plus induced output. The dependent variable is the natural logarithm of spillover output plus one. The principal predictor is the natural logarithm of direct output plus one. The plus-one rule preserves observations with zero recorded direct output.</w:t>
      </w:r>
    </w:p>
    <w:p>
      <w:pPr>
        <w:pStyle w:val="BodyText"/>
        <w:spacing w:line="480" w:lineRule="auto"/>
        <w:ind w:firstLine="720"/>
      </w:pPr>
      <w:r>
        <w:t xml:space="preserve">The second predictor is a NASA center-state indicator. It equals one for Alabama, California, Florida, Maryland, Mississippi, Ohio, Texas, and Virginia in the sample. The variable records the presence of a major NASA center, not the amount of center spending or the center’s mission. It is a coarse institutional marker.</w:t>
      </w:r>
    </w:p>
    <w:bookmarkEnd w:id="108"/>
    <w:bookmarkStart w:id="109" w:name="paper-2-measures"/>
    <w:p>
      <w:pPr>
        <w:pStyle w:val="Heading2"/>
        <w:spacing w:line="480" w:lineRule="auto"/>
      </w:pPr>
      <w:r>
        <w:t xml:space="preserve">Paper 2 Measures</w:t>
      </w:r>
    </w:p>
    <w:p>
      <w:pPr>
        <w:pStyle w:val="FirstParagraph"/>
        <w:spacing w:line="480" w:lineRule="auto"/>
      </w:pPr>
      <w:r>
        <w:t xml:space="preserve">Paper 2 uses direct Moon to Mars employment and constructs spillover jobs as indirect employment plus induced employment. The outcome equals one when spillover jobs are at least 500 and zero otherwise. Twelve states meet that criterion, and 23 do not. The predictor is the natural logarithm of direct employment plus one.</w:t>
      </w:r>
    </w:p>
    <w:p>
      <w:pPr>
        <w:pStyle w:val="BodyText"/>
        <w:spacing w:line="480" w:lineRule="auto"/>
        <w:ind w:firstLine="720"/>
      </w:pPr>
      <w:r>
        <w:t xml:space="preserve">The dataset retains a center-state indicator for transparency, but the logistic specification does not include it. Every sampled center state meets the outcome threshold. Including that variable would create complete separation, preventing a stable finite coefficient under the pipeline’s standard logit estimator. The exclusion is disclosed as a design decision.</w:t>
      </w:r>
    </w:p>
    <w:bookmarkEnd w:id="109"/>
    <w:bookmarkStart w:id="110" w:name="authority-and-provenance"/>
    <w:p>
      <w:pPr>
        <w:pStyle w:val="Heading2"/>
        <w:spacing w:line="480" w:lineRule="auto"/>
      </w:pPr>
      <w:r>
        <w:t xml:space="preserve">Authority and Provenance</w:t>
      </w:r>
    </w:p>
    <w:p>
      <w:pPr>
        <w:pStyle w:val="FirstParagraph"/>
        <w:spacing w:line="480" w:lineRule="auto"/>
      </w:pPr>
      <w:r>
        <w:t xml:space="preserve">Why use the NASA study rather than an unsourced compilation? The central claim is that an official report supplies a documented definition, common model, and state-specific tables. This proposition matters because the economic record of a space program is not exhausted by the activity performed inside the agency or by a prime contractor. Consistent categories reduce ambiguity about whether direct, indirect, and induced values were constructed under different assumptions. The evidence used in this dissertation bears on that process through exact table-level citations in the source column for all 70 paper rows.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w:t>
      </w:r>
    </w:p>
    <w:p>
      <w:pPr>
        <w:pStyle w:val="BodyText"/>
        <w:spacing w:line="480" w:lineRule="auto"/>
        <w:ind w:firstLine="720"/>
      </w:pPr>
      <w:r>
        <w:t xml:space="preserve">The interpretation must remain bounded. Official status does not make a modeled estimate causal or immune to specification choices. The estimates should therefore be read as disciplined evidence about association, scale, and geography. They are not a complete welfare calculation. That distinction changes the policy use of the results. Provenance supports auditability while methodological critique remains necessary.</w:t>
      </w:r>
    </w:p>
    <w:p>
      <w:pPr>
        <w:pStyle w:val="BodyText"/>
        <w:spacing w:line="480" w:lineRule="auto"/>
        <w:ind w:firstLine="720"/>
      </w:pPr>
      <w:r>
        <w:t xml:space="preserve">A careful reader can accept the empirical pattern without assuming that every modeled dollar or job is additional to the national economy. The value of the analysis lies in clarifying what the official records reveal, what they leave unresolved, and which next measurements would reduce uncertainty.</w:t>
      </w:r>
    </w:p>
    <w:bookmarkEnd w:id="110"/>
    <w:bookmarkStart w:id="111" w:name="the-state-as-observation"/>
    <w:p>
      <w:pPr>
        <w:pStyle w:val="Heading2"/>
        <w:spacing w:line="480" w:lineRule="auto"/>
      </w:pPr>
      <w:r>
        <w:t xml:space="preserve">The State as Observation</w:t>
      </w:r>
    </w:p>
    <w:p>
      <w:pPr>
        <w:pStyle w:val="FirstParagraph"/>
        <w:spacing w:line="480" w:lineRule="auto"/>
      </w:pPr>
      <w:r>
        <w:t xml:space="preserve">What is gained and lost by treating each state as one observation? This chapter approaches the issue from a conditional claim: states align with the report’s published units and with many workforce and development decisions. The mechanism is concrete rather than metaphorical. The design can compare program footprints using records that are consistently available. Research on open innovation and mission-centered technological spillovers gives reason to expect organizational structure to shape where benefits appear</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NASA’s technology-transfer and Spinoff programs also show that movement from public research to civilian use occurs through identifiable agreements, firms, technical practices, and products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For the present study, the empirical signal is 35 state rows per paper. That signal cannot settle every interpretation because within-state variation is hidden, and metropolitan labor markets can cross state boundaries. The relevant question is therefore not whether the result proves a universal multiplier but whether it narrows the set of plausible accounts of NASA’s regional economic footprint. Future work should use counties, commuting zones, establishments, or contract locations when data permit. This framing keeps the inference proportional to the research design and separates measured production effects from wider claims about knowledge, public value, and long-run productivity.</w:t>
      </w:r>
    </w:p>
    <w:bookmarkEnd w:id="111"/>
    <w:bookmarkStart w:id="112" w:name="deterministic-sampling"/>
    <w:p>
      <w:pPr>
        <w:pStyle w:val="Heading2"/>
        <w:spacing w:line="480" w:lineRule="auto"/>
      </w:pPr>
      <w:r>
        <w:t xml:space="preserve">Deterministic Sampling</w:t>
      </w:r>
    </w:p>
    <w:p>
      <w:pPr>
        <w:pStyle w:val="FirstParagraph"/>
        <w:spacing w:line="480" w:lineRule="auto"/>
      </w:pPr>
      <w:r>
        <w:t xml:space="preserve">Why select a fixed sample instead of using analyst discretion? The argument developed here is that a reproducible selection rule reduces outcome-aware case choice. The same seed yields the same observations and permits independent reconstruction. Such a process is consistent with scholarship that locates space-sector innovation in relationships among agencies, suppliers, universities, and users rather than in isolated organizations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It is also consistent with evidence that NASA-supported capabilities can reach civilian fields through paths that are specific to technologies and institutions</w:t>
      </w:r>
      <w:r>
        <w:t xml:space="preserve"> </w:t>
      </w:r>
      <w:hyperlink w:anchor="ref-13">
        <w:r>
          <w:rPr>
            <w:rStyle w:val="Hyperlink"/>
          </w:rPr>
          <w:t xml:space="preserve">[13]</w:t>
        </w:r>
      </w:hyperlink>
      <w:r>
        <w:t xml:space="preserve">.</w:t>
      </w:r>
    </w:p>
    <w:p>
      <w:pPr>
        <w:pStyle w:val="BodyText"/>
        <w:spacing w:line="480" w:lineRule="auto"/>
        <w:ind w:firstLine="720"/>
      </w:pPr>
      <w:r>
        <w:t xml:space="preserve">The dissertation evaluates this argument with the candidate-code-based fixed-seed procedure. The design supplies comparability and traceability, but its limits are material: the frame excludes states whose paired tables were not parsed, so the sample is not a probability sample of all jurisdictions. Those limits do not erase the observed pattern. They specify the range within which the pattern can support explanation. Replication should report both the frame and the selection algorithm. The resulting inference is deliberately narrower than a claim about the total social return to space exploration, yet it is more useful than an unsupported assertion that all public research spending diffuses in the same way.</w:t>
      </w:r>
    </w:p>
    <w:bookmarkEnd w:id="112"/>
    <w:bookmarkStart w:id="113" w:name="direct-output-measurement"/>
    <w:p>
      <w:pPr>
        <w:pStyle w:val="Heading2"/>
        <w:spacing w:line="480" w:lineRule="auto"/>
      </w:pPr>
      <w:r>
        <w:t xml:space="preserve">Direct Output Measurement</w:t>
      </w:r>
    </w:p>
    <w:p>
      <w:pPr>
        <w:pStyle w:val="FirstParagraph"/>
        <w:spacing w:line="480" w:lineRule="auto"/>
      </w:pPr>
      <w:r>
        <w:t xml:space="preserve">What does the direct-output variable represent? A defensible answer begins with the proposition that it records modeled production assigned to organizations carrying out CCRT-related activity. The proposed channel operates as follows: Program expenditures are allocated to industries and translated into output within the economic-impact framework. Space-economy forecasts and institutional accounts repeatedly show that definitions, industrial boundaries, and organizational arrangements affect measured outcomes</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same caution applies to state-level economic-impact records. The observable basis for analysis is the direct output entries in the selected state CCRT tables. This basis supports a test, but not an unrestricted causal statement, because the variable is not a measure of scientific quality, climate benefit, or private productivity. The implication is practical. Interpretation should remain tied to production scale. Under this interpretation, the dissertation contributes a transparent empirical benchmark and an agenda for stronger designs; it does not convert an accounting association into a promise about net national growth.</w:t>
      </w:r>
    </w:p>
    <w:bookmarkEnd w:id="113"/>
    <w:bookmarkStart w:id="114" w:name="spillover-output-measurement"/>
    <w:p>
      <w:pPr>
        <w:pStyle w:val="Heading2"/>
        <w:spacing w:line="480" w:lineRule="auto"/>
      </w:pPr>
      <w:r>
        <w:t xml:space="preserve">Spillover Output Measurement</w:t>
      </w:r>
    </w:p>
    <w:p>
      <w:pPr>
        <w:pStyle w:val="FirstParagraph"/>
        <w:spacing w:line="480" w:lineRule="auto"/>
      </w:pPr>
      <w:r>
        <w:t xml:space="preserve">Why sum indirect and induced output? The central claim is that the sum captures modeled production beyond the direct program organizations through supplier and household channels. This proposition matters because the economic record of a space program is not exhausted by the activity performed inside the agency or by a prime contractor. Indirect output follows intermediate demand, while induced output follows consumption supported by associated income. The evidence used in this dissertation bears on that process through the two reported components in each CCRT state table.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w:t>
      </w:r>
    </w:p>
    <w:p>
      <w:pPr>
        <w:pStyle w:val="BodyText"/>
        <w:spacing w:line="480" w:lineRule="auto"/>
        <w:ind w:firstLine="720"/>
      </w:pPr>
      <w:r>
        <w:t xml:space="preserve">The interpretation must remain bounded. The sum combines mechanisms that may respond differently to regional structure. The estimates should therefore be read as disciplined evidence about association, scale, and geography. They are not a complete welfare calculation. That distinction changes the policy use of the results. A later analysis should estimate the components separately.</w:t>
      </w:r>
    </w:p>
    <w:p>
      <w:pPr>
        <w:pStyle w:val="BodyText"/>
        <w:spacing w:line="480" w:lineRule="auto"/>
        <w:ind w:firstLine="720"/>
      </w:pPr>
      <w:r>
        <w:t xml:space="preserve">A careful reader can accept the empirical pattern without assuming that every modeled dollar or job is additional to the national economy. The analysis earns its value by clarifying what the official records reveal, what they leave unresolved, and which next measurements would reduce uncertainty.</w:t>
      </w:r>
    </w:p>
    <w:bookmarkEnd w:id="114"/>
    <w:bookmarkStart w:id="115" w:name="employment-measurement"/>
    <w:p>
      <w:pPr>
        <w:pStyle w:val="Heading2"/>
        <w:spacing w:line="480" w:lineRule="auto"/>
      </w:pPr>
      <w:r>
        <w:t xml:space="preserve">Employment Measurement</w:t>
      </w:r>
    </w:p>
    <w:p>
      <w:pPr>
        <w:pStyle w:val="FirstParagraph"/>
        <w:spacing w:line="480" w:lineRule="auto"/>
      </w:pPr>
      <w:r>
        <w:t xml:space="preserve">How should Moon to Mars employment be read? This chapter approaches the issue from a conditional claim: the values are modeled jobs associated with the program’s direct, supplier, and household-demand channels. The mechanism is concrete rather than metaphorical. IMPLAN translates expenditure patterns into employment using industry and regional relationships. Research on open innovation and mission-centered technological spillovers gives reason to expect organizational structure to shape where benefits appear</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NASA’s technology-transfer and Spinoff programs also show that movement from public research to civilian use occurs through identifiable agreements, firms, technical practices, and products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For the present study, the empirical signal is direct, indirect, and induced entries in the Moon to Mars tables. That signal cannot settle every interpretation because the measure is gross associated employment rather than observed net job creation. The relevant question is therefore not whether the result proves a universal multiplier but whether it narrows the set of plausible accounts of NASA’s regional economic footprint. Claims should avoid implying that all modeled jobs would vanish in an alternative policy scenario. This framing keeps the inference proportional to the research design and separates measured production effects from wider claims about knowledge, public value, and long-run productivity.</w:t>
      </w:r>
    </w:p>
    <w:bookmarkEnd w:id="115"/>
    <w:bookmarkStart w:id="116" w:name="logarithmic-transformations"/>
    <w:p>
      <w:pPr>
        <w:pStyle w:val="Heading2"/>
        <w:spacing w:line="480" w:lineRule="auto"/>
      </w:pPr>
      <w:r>
        <w:t xml:space="preserve">Logarithmic Transformations</w:t>
      </w:r>
    </w:p>
    <w:p>
      <w:pPr>
        <w:pStyle w:val="FirstParagraph"/>
        <w:spacing w:line="480" w:lineRule="auto"/>
      </w:pPr>
      <w:r>
        <w:t xml:space="preserve">Why transform direct and spillover variables? The argument developed here is that logs reduce scale dominance and allow proportional interpretation across highly unequal state values. A one-unit difference in a logged predictor corresponds to a multiplicative difference in the underlying measure. Such a process is consistent with scholarship that locates space-sector innovation in relationships among agencies, suppliers, universities, and users rather than in isolated organizations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It is also consistent with evidence that NASA-supported capabilities can reach civilian fields through paths that are specific to technologies and institutions</w:t>
      </w:r>
      <w:r>
        <w:t xml:space="preserve"> </w:t>
      </w:r>
      <w:hyperlink w:anchor="ref-13">
        <w:r>
          <w:rPr>
            <w:rStyle w:val="Hyperlink"/>
          </w:rPr>
          <w:t xml:space="preserve">[13]</w:t>
        </w:r>
      </w:hyperlink>
      <w:r>
        <w:t xml:space="preserve">.</w:t>
      </w:r>
    </w:p>
    <w:p>
      <w:pPr>
        <w:pStyle w:val="BodyText"/>
        <w:spacing w:line="480" w:lineRule="auto"/>
        <w:ind w:firstLine="720"/>
      </w:pPr>
      <w:r>
        <w:t xml:space="preserve">The dissertation evaluates this argument with the transformed columns stored in each CSV and workbook. The design supplies comparability and traceability, but its limits are material: the plus-one adjustment changes interpretation near zero. Those limits do not erase the observed pattern. They specify the range within which the pattern can support explanation. Results should be interpreted primarily over the observed range rather than at the transformation boundary. The resulting inference is deliberately narrower than a claim about the total social return to space exploration, yet it is more useful than an unsupported assertion that all public research spending diffuses in the same way.</w:t>
      </w:r>
    </w:p>
    <w:bookmarkEnd w:id="116"/>
    <w:bookmarkStart w:id="117" w:name="threshold-construction"/>
    <w:p>
      <w:pPr>
        <w:pStyle w:val="Heading2"/>
        <w:spacing w:line="480" w:lineRule="auto"/>
      </w:pPr>
      <w:r>
        <w:t xml:space="preserve">Threshold Construction</w:t>
      </w:r>
    </w:p>
    <w:p>
      <w:pPr>
        <w:pStyle w:val="FirstParagraph"/>
        <w:spacing w:line="480" w:lineRule="auto"/>
      </w:pPr>
      <w:r>
        <w:t xml:space="preserve">What does the 500-job outcome capture? A defensible answer begins with the proposition that it distinguishes states with a broader employment footprint from states with smaller modeled spillovers. The proposed channel operates as follows: Indirect and induced employment are summed before classification. Space-economy forecasts and institutional accounts repeatedly show that definitions, industrial boundaries, and organizational arrangements affect measured outcomes</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same caution applies to state-level economic-impact records. The observable basis for analysis is 12 positive and 23 negative observations. This basis supports a test, but not an unrestricted causal statement, because the cutoff is analyst-defined and loses information about distance from the threshold. The implication is practical. Alternate thresholds and continuous count models are appropriate sensitivity checks. Under this interpretation, the dissertation contributes a transparent empirical benchmark and an agenda for stronger designs; it does not convert an accounting association into a promise about net national growth.</w:t>
      </w:r>
    </w:p>
    <w:bookmarkEnd w:id="117"/>
    <w:bookmarkStart w:id="118" w:name="center-state-indicator"/>
    <w:p>
      <w:pPr>
        <w:pStyle w:val="Heading2"/>
        <w:spacing w:line="480" w:lineRule="auto"/>
      </w:pPr>
      <w:r>
        <w:t xml:space="preserve">Center-State Indicator</w:t>
      </w:r>
    </w:p>
    <w:p>
      <w:pPr>
        <w:pStyle w:val="FirstParagraph"/>
        <w:spacing w:line="480" w:lineRule="auto"/>
      </w:pPr>
      <w:r>
        <w:t xml:space="preserve">What information is encoded in the institutional indicator? The central claim is that it identifies states that contain a major NASA center and may host persistent technical infrastructure and relationships. This proposition matters because the economic record of a space program is not exhausted by the activity performed inside the agency or by a prime contractor. The indicator is matched from known center locations to state records. The evidence used in this dissertation bears on that process through eight center states in the sample.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w:t>
      </w:r>
    </w:p>
    <w:p>
      <w:pPr>
        <w:pStyle w:val="BodyText"/>
        <w:spacing w:line="480" w:lineRule="auto"/>
        <w:ind w:firstLine="720"/>
      </w:pPr>
      <w:r>
        <w:t xml:space="preserve">The interpretation must remain bounded. It pools heterogeneous centers and correlates with unmeasured state characteristics. The estimates should therefore be read as disciplined evidence about association, scale, and geography. They are not a complete welfare calculation. That distinction changes the policy use of the results. The coefficient is descriptive evidence of conditional geographic difference.</w:t>
      </w:r>
    </w:p>
    <w:p>
      <w:pPr>
        <w:pStyle w:val="BodyText"/>
        <w:spacing w:line="480" w:lineRule="auto"/>
        <w:ind w:firstLine="720"/>
      </w:pPr>
      <w:r>
        <w:t xml:space="preserve">A careful reader can accept the empirical pattern without assuming that every modeled dollar or job is additional to the national economy; the value of the analysis lies in clarifying what the official records reveal, what they leave unresolved, and which next measurements would reduce uncertainty.</w:t>
      </w:r>
    </w:p>
    <w:bookmarkEnd w:id="118"/>
    <w:bookmarkStart w:id="119" w:name="source-column-audit-trail"/>
    <w:p>
      <w:pPr>
        <w:pStyle w:val="Heading2"/>
        <w:spacing w:line="480" w:lineRule="auto"/>
      </w:pPr>
      <w:r>
        <w:t xml:space="preserve">Source-Column Audit Trail</w:t>
      </w:r>
    </w:p>
    <w:p>
      <w:pPr>
        <w:pStyle w:val="FirstParagraph"/>
        <w:spacing w:line="480" w:lineRule="auto"/>
      </w:pPr>
      <w:r>
        <w:t xml:space="preserve">Why require a source entry on every row? This chapter approaches the issue from a conditional claim: row-level provenance prevents a dataset from appearing more authoritative than its underlying records. The mechanism is concrete rather than metaphorical. An auditor can return from any observation to the exact program and state table. Research on open innovation and mission-centered technological spillovers gives reason to expect organizational structure to shape where benefits appear</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NASA’s technology-transfer and Spinoff programs also show that movement from public research to civilian use occurs through identifiable agreements, firms, technical practices, and products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For the present study, the empirical signal is 70 table-specific source strings across both papers. That signal cannot settle every interpretation because source strings identify origin but do not independently verify transcription. The relevant question is therefore not whether the result proves a universal multiplier but whether it narrows the set of plausible accounts of NASA’s regional economic footprint. Automated and manual spot checks should accompany future updates. This framing keeps the inference proportional to the research design and separates measured production effects from wider claims about knowledge, public value, and long-run productivity.</w:t>
      </w:r>
    </w:p>
    <w:bookmarkEnd w:id="119"/>
    <w:bookmarkStart w:id="120" w:name="illustrative-value-rule"/>
    <w:p>
      <w:pPr>
        <w:pStyle w:val="Heading2"/>
        <w:spacing w:line="480" w:lineRule="auto"/>
      </w:pPr>
      <w:r>
        <w:t xml:space="preserve">Illustrative-Value Rule</w:t>
      </w:r>
    </w:p>
    <w:p>
      <w:pPr>
        <w:pStyle w:val="FirstParagraph"/>
        <w:spacing w:line="480" w:lineRule="auto"/>
      </w:pPr>
      <w:r>
        <w:t xml:space="preserve">How does the dissertation handle unavailable values? The argument developed here is that it uses no substituted values because every required observation is present in the official tables. The analysis preserves the reported data and declares transformations separately. Such a process is consistent with scholarship that locates space-sector innovation in relationships among agencies, suppliers, universities, and users rather than in isolated organizations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It is also consistent with evidence that NASA-supported capabilities can reach civilian fields through paths that are specific to technologies and institutions</w:t>
      </w:r>
      <w:r>
        <w:t xml:space="preserve"> </w:t>
      </w:r>
      <w:hyperlink w:anchor="ref-13">
        <w:r>
          <w:rPr>
            <w:rStyle w:val="Hyperlink"/>
          </w:rPr>
          <w:t xml:space="preserve">[13]</w:t>
        </w:r>
      </w:hyperlink>
      <w:r>
        <w:t xml:space="preserve">.</w:t>
      </w:r>
    </w:p>
    <w:p>
      <w:pPr>
        <w:pStyle w:val="BodyText"/>
        <w:spacing w:line="480" w:lineRule="auto"/>
        <w:ind w:firstLine="720"/>
      </w:pPr>
      <w:r>
        <w:t xml:space="preserve">The dissertation evaluates this argument with zero source cells marked illustrative. The design supplies comparability and traceability, but its limits are material: complete sourcing does not remove uncertainty in the underlying economic model. Those limits do not erase the observed pattern. They specify the range within which the pattern can support explanation. The 100 percent real-data rate satisfies provenance without overstating precision. The resulting inference is deliberately narrower than a claim about the total social return to space exploration, yet it is more useful than an unsupported assertion that all public research spending diffuses in the same way.</w:t>
      </w:r>
    </w:p>
    <w:bookmarkEnd w:id="120"/>
    <w:bookmarkStart w:id="121" w:name="measurement-validity"/>
    <w:p>
      <w:pPr>
        <w:pStyle w:val="Heading2"/>
        <w:spacing w:line="480" w:lineRule="auto"/>
      </w:pPr>
      <w:r>
        <w:t xml:space="preserve">Measurement Validity</w:t>
      </w:r>
    </w:p>
    <w:p>
      <w:pPr>
        <w:pStyle w:val="FirstParagraph"/>
        <w:spacing w:line="480" w:lineRule="auto"/>
      </w:pPr>
      <w:r>
        <w:t xml:space="preserve">Do the variables measure the dissertation’s stated constructs? A defensible answer begins with the proposition that they measure production and employment spillovers in an input-output sense, not all forms of technological or social benefit. The proposed channel operates as follows: Construct validity follows from matching labels, transformations, and hypotheses to the report’s categories. Space-economy forecasts and institutional accounts repeatedly show that definitions, industrial boundaries, and organizational arrangements affect measured outcomes</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same caution applies to state-level economic-impact records. The observable basis for analysis is the explicit definitions in configs, prose, and workbooks. This basis supports a test, but not an unrestricted causal statement, because knowledge diffusion and productivity remain outside the observed outcome. The implication is practical. The dissertation maintains separate conceptual categories throughout interpretation. Under this interpretation, the dissertation contributes a transparent empirical benchmark and an agenda for stronger designs; it does not convert an accounting association into a promise about net national growth.</w:t>
      </w:r>
    </w:p>
    <w:bookmarkEnd w:id="121"/>
    <w:bookmarkEnd w:id="122"/>
    <w:bookmarkStart w:id="138" w:name="chapter-5.-methods-and-identification"/>
    <w:p>
      <w:pPr>
        <w:pStyle w:val="Heading1"/>
        <w:spacing w:line="480" w:lineRule="auto"/>
      </w:pPr>
      <w:r>
        <w:t xml:space="preserve">Chapter 5. Methods and Identification</w:t>
      </w:r>
    </w:p>
    <w:bookmarkStart w:id="123" w:name="estimation-strategy"/>
    <w:p>
      <w:pPr>
        <w:pStyle w:val="Heading2"/>
        <w:spacing w:line="480" w:lineRule="auto"/>
      </w:pPr>
      <w:r>
        <w:t xml:space="preserve">Estimation Strategy</w:t>
      </w:r>
    </w:p>
    <w:p>
      <w:pPr>
        <w:pStyle w:val="FirstParagraph"/>
        <w:spacing w:line="480" w:lineRule="auto"/>
      </w:pPr>
      <w:r>
        <w:t xml:space="preserve">Two estimators, two outcome structures. Paper 1 applies ordinary least squares to logged CCRT spillover output. Paper 2 applies logistic regression to a binary Moon to Mars employment threshold. The choice of different methods is substantive rather than procedural. The first outcome preserves continuous variation in broader output. The second asks whether a state crosses a policy-salient employment classification.</w:t>
      </w:r>
    </w:p>
    <w:p>
      <w:pPr>
        <w:pStyle w:val="BodyText"/>
        <w:spacing w:line="480" w:lineRule="auto"/>
        <w:ind w:firstLine="720"/>
      </w:pPr>
      <w:r>
        <w:t xml:space="preserve">Paper 1 includes logged direct output and a center-state indicator. Standard errors use the HC1 heteroskedasticity-consistent correction because state residual variance may differ with economic scale and structure. Paper 2 includes logged direct employment as its sole predictor. The center-state indicator is excluded from that model because all sampled center states have positive outcomes, which creates complete separation.</w:t>
      </w:r>
    </w:p>
    <w:bookmarkEnd w:id="123"/>
    <w:bookmarkStart w:id="124" w:name="estimand-and-inference"/>
    <w:p>
      <w:pPr>
        <w:pStyle w:val="Heading2"/>
        <w:spacing w:line="480" w:lineRule="auto"/>
      </w:pPr>
      <w:r>
        <w:t xml:space="preserve">Estimand and Inference</w:t>
      </w:r>
    </w:p>
    <w:p>
      <w:pPr>
        <w:pStyle w:val="FirstParagraph"/>
        <w:spacing w:line="480" w:lineRule="auto"/>
      </w:pPr>
      <w:r>
        <w:t xml:space="preserve">The OLS slope on logged direct output is a conditional association between proportional differences in direct and spillover output. The center coefficient is a conditional level difference in the logged outcome. The logit slope is an association between logged direct employment and the log odds of reaching at least 500 spillover jobs.</w:t>
      </w:r>
    </w:p>
    <w:p>
      <w:pPr>
        <w:pStyle w:val="BodyText"/>
        <w:spacing w:line="480" w:lineRule="auto"/>
        <w:ind w:firstLine="720"/>
      </w:pPr>
      <w:r>
        <w:t xml:space="preserve">Neither model estimates a causal treatment effect. The reasons stack up. Direct activity is not randomly assigned. Predictors and outcomes derive from the same economic-impact model. State characteristics are incompletely observed. The estimators answer whether a pattern is present under a declared specification, not whether reallocating NASA work would reproduce the coefficient.</w:t>
      </w:r>
    </w:p>
    <w:bookmarkEnd w:id="124"/>
    <w:bookmarkStart w:id="125" w:name="reproducibility"/>
    <w:p>
      <w:pPr>
        <w:pStyle w:val="Heading2"/>
        <w:spacing w:line="480" w:lineRule="auto"/>
      </w:pPr>
      <w:r>
        <w:t xml:space="preserve">Reproducibility</w:t>
      </w:r>
    </w:p>
    <w:p>
      <w:pPr>
        <w:pStyle w:val="FirstParagraph"/>
        <w:spacing w:line="480" w:lineRule="auto"/>
      </w:pPr>
      <w:r>
        <w:t xml:space="preserve">Each paper directory contains the raw analytical CSV, a JSON specification, prose, a Word paper, an Excel workbook, and a chart. The workbook records inputs, transformations, terms, fit measures, and sources. The deterministic assembly pipeline runs the estimator before producing the result table. The dissertation’s results chapter uses only values returned by that pipeline.</w:t>
      </w:r>
    </w:p>
    <w:bookmarkEnd w:id="125"/>
    <w:bookmarkStart w:id="126" w:name="why-ordinary-least-squares"/>
    <w:p>
      <w:pPr>
        <w:pStyle w:val="Heading2"/>
        <w:spacing w:line="480" w:lineRule="auto"/>
      </w:pPr>
      <w:r>
        <w:t xml:space="preserve">Why Ordinary Least Squares</w:t>
      </w:r>
    </w:p>
    <w:p>
      <w:pPr>
        <w:pStyle w:val="FirstParagraph"/>
        <w:spacing w:line="480" w:lineRule="auto"/>
      </w:pPr>
      <w:r>
        <w:t xml:space="preserve">Why is OLS suitable for Paper 1? The central claim is that the logged spillover-output outcome is continuous and the research question concerns its conditional mean. This proposition matters because the economic record of a space program is not exhausted by the activity performed inside the agency or by a prime contractor. OLS estimates the linear projection of the outcome on logged direct output and center-state status. The evidence used in this dissertation bears on that process through 35 complete observations and a specification with two predictors plus an intercept.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interpretation must remain bounded. Linearity in logs is an approximation and residuals can reflect omitted state structure. The estimates should therefore be read as disciplined evidence about association, scale, and geography. Nothing in them amounts to a complete welfare calculation. That distinction changes the policy use of the results. The model is a transparent baseline that can be compared with nonlinear and component-specific extensions. A careful reader can accept the empirical pattern without assuming that every modeled dollar or job is additional to the national economy; the value of the analysis lies in clarifying what the official records reveal, what they leave unresolved, and which next measurements would reduce uncertainty.</w:t>
      </w:r>
    </w:p>
    <w:bookmarkEnd w:id="126"/>
    <w:bookmarkStart w:id="127" w:name="hc1-standard-errors"/>
    <w:p>
      <w:pPr>
        <w:pStyle w:val="Heading2"/>
        <w:spacing w:line="480" w:lineRule="auto"/>
      </w:pPr>
      <w:r>
        <w:t xml:space="preserve">HC1 Standard Errors</w:t>
      </w:r>
    </w:p>
    <w:p>
      <w:pPr>
        <w:pStyle w:val="FirstParagraph"/>
        <w:spacing w:line="480" w:lineRule="auto"/>
      </w:pPr>
      <w:r>
        <w:t xml:space="preserve">Why depart from conventional homoskedastic standard errors? This chapter approaches the issue from a conditional claim: states with different economic scales may exhibit different residual variance. The mechanism is concrete rather than metaphorical. HC1 uses squared residual information with a finite-sample degrees adjustment. Research on open innovation and mission-centered technological spillovers gives reason to expect organizational structure to shape where benefits appear</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NASA’s technology-transfer and Spinoff programs also show that movement from public research to civilian use occurs through identifiable agreements, firms, technical practices, and products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For the present study, the empirical signal is the robust standard errors reported by the approved estimator. That signal cannot settle every interpretation because HC1 does not repair bias from endogeneity, measurement construction, or misspecified functional form. The relevant question is therefore not whether the result proves a universal multiplier; it is whether the result narrows the set of plausible accounts of NASA’s regional economic footprint. Inference improves for heteroskedasticity while causal limits remain. This framing keeps the inference proportional to the research design and separates measured production effects from wider claims about knowledge, public value, and long-run productivity.</w:t>
      </w:r>
    </w:p>
    <w:bookmarkEnd w:id="127"/>
    <w:bookmarkStart w:id="128" w:name="why-logistic-regression"/>
    <w:p>
      <w:pPr>
        <w:pStyle w:val="Heading2"/>
        <w:spacing w:line="480" w:lineRule="auto"/>
      </w:pPr>
      <w:r>
        <w:t xml:space="preserve">Why Logistic Regression</w:t>
      </w:r>
    </w:p>
    <w:p>
      <w:pPr>
        <w:pStyle w:val="FirstParagraph"/>
        <w:spacing w:line="480" w:lineRule="auto"/>
      </w:pPr>
      <w:r>
        <w:t xml:space="preserve">Why use logit for the major-spillover outcome? The argument developed here is that the dependent variable takes values zero and one, requiring a probability model. The logistic link maps the predictor index into valid probabilities and estimates changes in log odds. Such a process is consistent with scholarship that locates space-sector innovation in relationships among agencies, suppliers, universities, and users rather than in isolated organizations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It is also consistent with evidence that NASA-supported capabilities can reach civilian fields through paths that are specific to technologies and institutions</w:t>
      </w:r>
      <w:r>
        <w:t xml:space="preserve"> </w:t>
      </w:r>
      <w:hyperlink w:anchor="ref-13">
        <w:r>
          <w:rPr>
            <w:rStyle w:val="Hyperlink"/>
          </w:rPr>
          <w:t xml:space="preserve">[13]</w:t>
        </w:r>
      </w:hyperlink>
      <w:r>
        <w:t xml:space="preserve">. The dissertation evaluates this argument with 12 positive and 23 negative classifications. The design supplies comparability and traceability, but its limits are material: a binary model discards variation in the employment count. Those limits do not erase the observed pattern. They specify the range within which the pattern can support explanation. The method answers a threshold question and complements the continuous-output paper. The resulting inference is deliberately narrower than a claim about the total social return to space exploration, yet it is more useful than an unsupported assertion that all public research spending diffuses in the same way.</w:t>
      </w:r>
    </w:p>
    <w:bookmarkEnd w:id="128"/>
    <w:bookmarkStart w:id="129" w:name="avoiding-complete-separation"/>
    <w:p>
      <w:pPr>
        <w:pStyle w:val="Heading2"/>
        <w:spacing w:line="480" w:lineRule="auto"/>
      </w:pPr>
      <w:r>
        <w:t xml:space="preserve">Avoiding Complete Separation</w:t>
      </w:r>
    </w:p>
    <w:p>
      <w:pPr>
        <w:pStyle w:val="FirstParagraph"/>
        <w:spacing w:line="480" w:lineRule="auto"/>
      </w:pPr>
      <w:r>
        <w:t xml:space="preserve">Why is center-state status absent from Paper 2? A defensible answer begins with the proposition that a predictor that perfectly identifies positive cases prevents a stable finite maximum-likelihood estimate in standard logit. The proposed channel operates as follows: All sampled center states cross the 500-job threshold, so the likelihood can increase as the center coefficient grows. Space-economy forecasts and institutional accounts repeatedly show that definitions, industrial boundaries, and organizational arrangements affect measured outcomes</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same caution applies to state-level economic-impact records.</w:t>
      </w:r>
    </w:p>
    <w:p>
      <w:pPr>
        <w:pStyle w:val="BodyText"/>
        <w:spacing w:line="480" w:lineRule="auto"/>
        <w:ind w:firstLine="720"/>
      </w:pPr>
      <w:r>
        <w:t xml:space="preserve">The observable basis for analysis is the observed classification pattern in the analytical CSV. This basis supports a test, but not an unrestricted causal statement, because excluding the indicator may leave institutional geography in the residual relationship.</w:t>
      </w:r>
    </w:p>
    <w:p>
      <w:pPr>
        <w:pStyle w:val="BodyText"/>
        <w:spacing w:line="480" w:lineRule="auto"/>
        <w:ind w:firstLine="720"/>
      </w:pPr>
      <w:r>
        <w:t xml:space="preserve">The implication is practical. Penalized logit or a larger multi-year sample could estimate center effects without the same instability. Under this interpretation, the dissertation contributes a transparent empirical benchmark and an agenda for stronger designs, and it does not convert an accounting association into a promise about net national growth.</w:t>
      </w:r>
    </w:p>
    <w:bookmarkEnd w:id="129"/>
    <w:bookmarkStart w:id="130" w:name="parsimonious-specification"/>
    <w:p>
      <w:pPr>
        <w:pStyle w:val="Heading2"/>
        <w:spacing w:line="480" w:lineRule="auto"/>
      </w:pPr>
      <w:r>
        <w:t xml:space="preserve">Parsimonious Specification</w:t>
      </w:r>
    </w:p>
    <w:p>
      <w:pPr>
        <w:pStyle w:val="FirstParagraph"/>
        <w:spacing w:line="480" w:lineRule="auto"/>
      </w:pPr>
      <w:r>
        <w:t xml:space="preserve">Why not add many state controls? The central claim is that 35 observations cannot support an expansive covariate set without unstable estimates and post hoc choices. This proposition matters because the economic record of a space program is not exhausted by the activity performed inside the agency or by a prime contractor. Each additional variable consumes information and can alter interpretation when selected after inspecting outcomes. The evidence used in this dissertation bears on that process through the predeclared compact models.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interpretation must remain bounded. Parsimony leaves confounding by population, industry, wages, and procurement structure. The estimates should therefore be read as disciplined evidence about association, scale, and geography. Nothing in them amounts to a complete welfare calculation. That distinction changes the policy use of the results. The dissertation prefers a clear descriptive estimand to an overfit causal appearance. A careful reader can accept the empirical pattern without assuming that every modeled dollar or job is additional to the national economy; the value of the analysis lies in clarifying what the official records reveal, what they leave unresolved, and which next measurements would reduce uncertainty.</w:t>
      </w:r>
    </w:p>
    <w:bookmarkEnd w:id="130"/>
    <w:bookmarkStart w:id="131" w:name="functional-form"/>
    <w:p>
      <w:pPr>
        <w:pStyle w:val="Heading2"/>
        <w:spacing w:line="480" w:lineRule="auto"/>
      </w:pPr>
      <w:r>
        <w:t xml:space="preserve">Functional Form</w:t>
      </w:r>
    </w:p>
    <w:p>
      <w:pPr>
        <w:pStyle w:val="FirstParagraph"/>
        <w:spacing w:line="480" w:lineRule="auto"/>
      </w:pPr>
      <w:r>
        <w:t xml:space="preserve">What assumptions follow from the log transformations? This chapter approaches the issue from a conditional claim: the OLS model treats proportional differences as linearly related, while the logit model treats logged direct employment as linear in log odds. The mechanism is concrete rather than metaphorical. Transformations compress high values and represent scale differences across states. Research on open innovation and mission-centered technological spillovers gives reason to expect organizational structure to shape where benefits appear</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NASA’s technology-transfer and Spinoff programs also show that movement from public research to civilian use occurs through identifiable agreements, firms, technical practices, and products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For the present study, the empirical signal is the constructed log columns and estimator formulas. That signal cannot settle every interpretation because relationships may contain thresholds, plateaus, or interactions not represented by one slope. The relevant question is therefore not whether the result proves a universal multiplier; it is whether the result narrows the set of plausible accounts of NASA’s regional economic footprint. Plots and future flexible models should assess departures from the chosen forms. This framing keeps the inference proportional to the research design and separates measured production effects from wider claims about knowledge, public value, and long-run productivity.</w:t>
      </w:r>
    </w:p>
    <w:bookmarkEnd w:id="131"/>
    <w:bookmarkStart w:id="132" w:name="threshold-sensitivity"/>
    <w:p>
      <w:pPr>
        <w:pStyle w:val="Heading2"/>
        <w:spacing w:line="480" w:lineRule="auto"/>
      </w:pPr>
      <w:r>
        <w:t xml:space="preserve">Threshold Sensitivity</w:t>
      </w:r>
    </w:p>
    <w:p>
      <w:pPr>
        <w:pStyle w:val="FirstParagraph"/>
        <w:spacing w:line="480" w:lineRule="auto"/>
      </w:pPr>
      <w:r>
        <w:t xml:space="preserve">How dependent is Paper 2 on the 500-job cutoff? The argument developed here is that classification can change when the cutoff changes even if underlying employment values do not. The threshold converts a count into a policy category. Such a process is consistent with scholarship that locates space-sector innovation in relationships among agencies, suppliers, universities, and users rather than in isolated organizations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It is also consistent with evidence that NASA-supported capabilities can reach civilian fields through paths that are specific to technologies and institutions</w:t>
      </w:r>
      <w:r>
        <w:t xml:space="preserve"> </w:t>
      </w:r>
      <w:hyperlink w:anchor="ref-13">
        <w:r>
          <w:rPr>
            <w:rStyle w:val="Hyperlink"/>
          </w:rPr>
          <w:t xml:space="preserve">[13]</w:t>
        </w:r>
      </w:hyperlink>
      <w:r>
        <w:t xml:space="preserve">. The dissertation evaluates this argument with the declared outcome construction and observed balance. The design supplies comparability and traceability, but its limits are material: no alternate-cutoff estimates are reported in the current pipeline. Those limits do not erase the observed pattern. They specify the range within which the pattern can support explanation. Replication should preregister a threshold grid and report coefficient stability. The resulting inference is deliberately narrower than a claim about the total social return to space exploration, yet it is more useful than an unsupported assertion that all public research spending diffuses in the same way.</w:t>
      </w:r>
    </w:p>
    <w:bookmarkEnd w:id="132"/>
    <w:bookmarkStart w:id="133" w:name="shared-model-endogeneity"/>
    <w:p>
      <w:pPr>
        <w:pStyle w:val="Heading2"/>
        <w:spacing w:line="480" w:lineRule="auto"/>
      </w:pPr>
      <w:r>
        <w:t xml:space="preserve">Shared-Model Endogeneity</w:t>
      </w:r>
    </w:p>
    <w:p>
      <w:pPr>
        <w:pStyle w:val="FirstParagraph"/>
        <w:spacing w:line="480" w:lineRule="auto"/>
      </w:pPr>
      <w:r>
        <w:t xml:space="preserve">What follows from deriving direct and spillover values from one input-output system? A defensible answer begins with the proposition that some positive association can be embedded in the model that generates both sides of the regression. The proposed channel operates as follows: Industry multipliers and regional purchase assumptions propagate direct activity into indirect and induced estimates. Space-economy forecasts and institutional accounts repeatedly show that definitions, industrial boundaries, and organizational arrangements affect measured outcomes</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same caution applies to state-level economic-impact records.</w:t>
      </w:r>
    </w:p>
    <w:p>
      <w:pPr>
        <w:pStyle w:val="BodyText"/>
        <w:spacing w:line="480" w:lineRule="auto"/>
        <w:ind w:firstLine="720"/>
      </w:pPr>
      <w:r>
        <w:t xml:space="preserve">The observable basis for analysis is the common fiscal year 2023 source</w:t>
      </w:r>
      <w:r>
        <w:t xml:space="preserve"> </w:t>
      </w:r>
      <w:hyperlink w:anchor="ref-7">
        <w:r>
          <w:rPr>
            <w:rStyle w:val="Hyperlink"/>
          </w:rPr>
          <w:t xml:space="preserve">[7]</w:t>
        </w:r>
      </w:hyperlink>
      <w:r>
        <w:t xml:space="preserve">. This basis supports a test, but not an unrestricted causal statement, because statistical significance may partly summarize accounting structure rather than independent market behavior.</w:t>
      </w:r>
    </w:p>
    <w:p>
      <w:pPr>
        <w:pStyle w:val="BodyText"/>
        <w:spacing w:line="480" w:lineRule="auto"/>
        <w:ind w:firstLine="720"/>
      </w:pPr>
      <w:r>
        <w:t xml:space="preserve">The implication is practical. The result is best used to characterize the official model and generate hypotheses for transaction data. Under this interpretation, the dissertation contributes a transparent empirical benchmark and an agenda for stronger designs, and it does not convert an accounting association into a promise about net national growth.</w:t>
      </w:r>
    </w:p>
    <w:bookmarkEnd w:id="133"/>
    <w:bookmarkStart w:id="134" w:name="omitted-variables"/>
    <w:p>
      <w:pPr>
        <w:pStyle w:val="Heading2"/>
        <w:spacing w:line="480" w:lineRule="auto"/>
      </w:pPr>
      <w:r>
        <w:t xml:space="preserve">Omitted Variables</w:t>
      </w:r>
    </w:p>
    <w:p>
      <w:pPr>
        <w:pStyle w:val="FirstParagraph"/>
        <w:spacing w:line="480" w:lineRule="auto"/>
      </w:pPr>
      <w:r>
        <w:t xml:space="preserve">Which unmeasured factors could affect the coefficients? The central claim is that population, industrial diversity, wages, urbanization, procurement concentration, and prior NASA infrastructure may influence both predictors and outcomes. This proposition matters because the economic record of a space program is not exhausted by the activity performed inside the agency or by a prime contractor. These factors shape the placement of direct activity and the capacity to retain supplier and consumer demand. The evidence used in this dissertation bears on that process through the cross-sectional state design.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interpretation must remain bounded. The compact models cannot isolate their effects. The estimates should therefore be read as disciplined evidence about association, scale, and geography. Nothing in them amounts to a complete welfare calculation. That distinction changes the policy use of the results. A panel with fixed effects and program shocks would improve identification. A careful reader can accept the empirical pattern without assuming that every modeled dollar or job is additional to the national economy; the value of the analysis lies in clarifying what the official records reveal, what they leave unresolved, and which next measurements would reduce uncertainty.</w:t>
      </w:r>
    </w:p>
    <w:bookmarkEnd w:id="134"/>
    <w:bookmarkStart w:id="135" w:name="X28c4c5cd7d7378e007a92b3f1a2d12d45552b31"/>
    <w:p>
      <w:pPr>
        <w:pStyle w:val="Heading2"/>
        <w:spacing w:line="480" w:lineRule="auto"/>
      </w:pPr>
      <w:r>
        <w:t xml:space="preserve">Statistical Versus Substantive Significance</w:t>
      </w:r>
    </w:p>
    <w:p>
      <w:pPr>
        <w:pStyle w:val="FirstParagraph"/>
        <w:spacing w:line="480" w:lineRule="auto"/>
      </w:pPr>
      <w:r>
        <w:t xml:space="preserve">How should p-values enter interpretation? This chapter approaches the issue from a conditional claim: p-values summarize compatibility with a null under model assumptions and do not establish policy value. The mechanism is concrete rather than metaphorical. Coefficient size, uncertainty, fit, measurement, and decision context must be considered together. Research on open innovation and mission-centered technological spillovers gives reason to expect organizational structure to shape where benefits appear</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NASA’s technology-transfer and Spinoff programs also show that movement from public research to civilian use occurs through identifiable agreements, firms, technical practices, and products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For the present study, the empirical signal is the exact terms and fit measures reported in Chapter 6. That signal cannot settle every interpretation because small samples and constructed outcomes make mechanical thresholds especially misleading. The relevant question is therefore not whether the result proves a universal multiplier; it is whether the result narrows the set of plausible accounts of NASA’s regional economic footprint. The dissertation reports complete estimator quantities and avoids binary declarations of importance. This framing keeps the inference proportional to the research design and separates measured production effects from wider claims about knowledge, public value, and long-run productivity.</w:t>
      </w:r>
    </w:p>
    <w:bookmarkEnd w:id="135"/>
    <w:bookmarkStart w:id="136" w:name="external-validity"/>
    <w:p>
      <w:pPr>
        <w:pStyle w:val="Heading2"/>
        <w:spacing w:line="480" w:lineRule="auto"/>
      </w:pPr>
      <w:r>
        <w:t xml:space="preserve">External Validity</w:t>
      </w:r>
    </w:p>
    <w:p>
      <w:pPr>
        <w:pStyle w:val="FirstParagraph"/>
        <w:spacing w:line="480" w:lineRule="auto"/>
      </w:pPr>
      <w:r>
        <w:t xml:space="preserve">Can the estimates be generalized beyond fiscal year 2023? The argument developed here is that program composition, supply chains, wages, and regional multipliers change over time. A cross-section captures one configuration of exploration and climate-related activity. Such a process is consistent with scholarship that locates space-sector innovation in relationships among agencies, suppliers, universities, and users rather than in isolated organizations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It is also consistent with evidence that NASA-supported capabilities can reach civilian fields through paths that are specific to technologies and institutions</w:t>
      </w:r>
      <w:r>
        <w:t xml:space="preserve"> </w:t>
      </w:r>
      <w:hyperlink w:anchor="ref-13">
        <w:r>
          <w:rPr>
            <w:rStyle w:val="Hyperlink"/>
          </w:rPr>
          <w:t xml:space="preserve">[13]</w:t>
        </w:r>
      </w:hyperlink>
      <w:r>
        <w:t xml:space="preserve">. The dissertation evaluates this argument with one fiscal year and 35 selected states. The design supplies comparability and traceability, but its limits are material: the sample does not establish stability across years, countries, or NASA program categories. Those limits do not erase the observed pattern. They specify the range within which the pattern can support explanation. Generalization requires replication rather than rhetorical extension. The resulting inference is deliberately narrower than a claim about the total social return to space exploration, yet it is more useful than an unsupported assertion that all public research spending diffuses in the same way.</w:t>
      </w:r>
    </w:p>
    <w:bookmarkEnd w:id="136"/>
    <w:bookmarkStart w:id="137" w:name="identification-roadmap"/>
    <w:p>
      <w:pPr>
        <w:pStyle w:val="Heading2"/>
        <w:spacing w:line="480" w:lineRule="auto"/>
      </w:pPr>
      <w:r>
        <w:t xml:space="preserve">Identification Roadmap</w:t>
      </w:r>
    </w:p>
    <w:p>
      <w:pPr>
        <w:pStyle w:val="FirstParagraph"/>
        <w:spacing w:line="480" w:lineRule="auto"/>
      </w:pPr>
      <w:r>
        <w:t xml:space="preserve">What design would support a stronger causal claim? A defensible answer begins with the proposition that credible identification requires variation in direct activity that is not itself caused by expected regional spillovers. The proposed channel operates as follows: Program transitions, external budget shocks, procurement-rule changes, or facility mission changes could create quasi-experimental variation. Space-economy forecasts and institutional accounts repeatedly show that definitions, industrial boundaries, and organizational arrangements affect measured outcomes</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same caution applies to state-level economic-impact records.</w:t>
      </w:r>
    </w:p>
    <w:p>
      <w:pPr>
        <w:pStyle w:val="BodyText"/>
        <w:spacing w:line="480" w:lineRule="auto"/>
        <w:ind w:firstLine="720"/>
      </w:pPr>
      <w:r>
        <w:t xml:space="preserve">The observable basis for analysis is the limitations revealed by the present baseline. This basis supports a test, but not an unrestricted causal statement, because candidate instruments must satisfy exclusion and relevance in the specific institutional setting.</w:t>
      </w:r>
    </w:p>
    <w:p>
      <w:pPr>
        <w:pStyle w:val="BodyText"/>
        <w:spacing w:line="480" w:lineRule="auto"/>
        <w:ind w:firstLine="720"/>
      </w:pPr>
      <w:r>
        <w:t xml:space="preserve">The implication is practical. The current work defines outcomes and data pipelines needed for that next stage. Under this interpretation, the dissertation contributes a transparent empirical benchmark and an agenda for stronger designs, and it does not convert an accounting association into a promise about net national growth.</w:t>
      </w:r>
    </w:p>
    <w:bookmarkEnd w:id="137"/>
    <w:bookmarkEnd w:id="138"/>
    <w:bookmarkStart w:id="156" w:name="chapter-6.-results"/>
    <w:p>
      <w:pPr>
        <w:pStyle w:val="Heading1"/>
        <w:spacing w:line="480" w:lineRule="auto"/>
      </w:pPr>
      <w:r>
        <w:t xml:space="preserve">Chapter 6. Results</w:t>
      </w:r>
    </w:p>
    <w:bookmarkStart w:id="139" w:name="overview"/>
    <w:p>
      <w:pPr>
        <w:pStyle w:val="Heading2"/>
        <w:spacing w:line="480" w:lineRule="auto"/>
      </w:pPr>
      <w:r>
        <w:t xml:space="preserve">Overview</w:t>
      </w:r>
    </w:p>
    <w:p>
      <w:pPr>
        <w:pStyle w:val="FirstParagraph"/>
        <w:spacing w:line="480" w:lineRule="auto"/>
      </w:pPr>
      <w:r>
        <w:t xml:space="preserve">This chapter interprets the exact outputs returned by the deterministic estimator for both papers. It does not reproduce the result tables, formulas, or figures. Two models carry the analysis. The first is OLS with HC1 standard errors and a continuous logged outcome. The second is a logit model with a binary outcome. Each uses 35 state observations.</w:t>
      </w:r>
    </w:p>
    <w:bookmarkEnd w:id="139"/>
    <w:bookmarkStart w:id="140" w:name="paper-1-model-fit"/>
    <w:p>
      <w:pPr>
        <w:pStyle w:val="Heading2"/>
        <w:spacing w:line="480" w:lineRule="auto"/>
      </w:pPr>
      <w:r>
        <w:t xml:space="preserve">Paper 1 Model Fit</w:t>
      </w:r>
    </w:p>
    <w:p>
      <w:pPr>
        <w:pStyle w:val="FirstParagraph"/>
        <w:spacing w:line="480" w:lineRule="auto"/>
      </w:pPr>
      <w:r>
        <w:t xml:space="preserve">The CCRT output model reports R-squared of 0.5291439797124493 and adjusted R-squared of 0.4997154784444774. Its F statistic is 34.16073379161136 with p-value 1.1484117444386872e-08. Within this sample and specification, logged direct output and center-state status jointly account for a substantial portion of cross-state variation in logged indirect plus induced output.</w:t>
      </w:r>
    </w:p>
    <w:p>
      <w:pPr>
        <w:pStyle w:val="BodyText"/>
        <w:spacing w:line="480" w:lineRule="auto"/>
        <w:ind w:firstLine="720"/>
      </w:pPr>
      <w:r>
        <w:t xml:space="preserve">The fit measure is not a causal share. Predictor and outcome values are derived from the same economic-impact study, and state-scale factors can affect both. R-squared describes the in-sample linear projection. It does not identify what portion of broader output would disappear if direct activity were moved or removed.</w:t>
      </w:r>
    </w:p>
    <w:bookmarkEnd w:id="140"/>
    <w:bookmarkStart w:id="141" w:name="paper-1-coefficients"/>
    <w:p>
      <w:pPr>
        <w:pStyle w:val="Heading2"/>
        <w:spacing w:line="480" w:lineRule="auto"/>
      </w:pPr>
      <w:r>
        <w:t xml:space="preserve">Paper 1 Coefficients</w:t>
      </w:r>
    </w:p>
    <w:p>
      <w:pPr>
        <w:pStyle w:val="FirstParagraph"/>
        <w:spacing w:line="480" w:lineRule="auto"/>
      </w:pPr>
      <w:r>
        <w:t xml:space="preserve">The coefficient on logged direct output is 0.2552179258545175. Its HC1 standard error is 0.10297079928262651, test statistic is 2.4785466135308374, and p-value is 0.013191887261131317. The 95 percent confidence interval extends from 0.053398867801266736 to 0.4570369839077683. The coefficient is positive and the interval excludes zero. The evidence rejects the stated null at conventional levels.</w:t>
      </w:r>
    </w:p>
    <w:p>
      <w:pPr>
        <w:pStyle w:val="BodyText"/>
        <w:spacing w:line="480" w:lineRule="auto"/>
        <w:ind w:firstLine="720"/>
      </w:pPr>
      <w:r>
        <w:t xml:space="preserve">The center-state coefficient is 1.6633516488740778. Its HC1 standard error is 0.6386647215548322, test statistic is 2.604420743366943, and p-value is 0.009202970330391334. The 95 percent confidence interval runs from 0.41159179643030464 to 2.915111501317851. Conditional on logged direct output, sampled center states exhibit a higher logged spillover-output level.</w:t>
      </w:r>
    </w:p>
    <w:p>
      <w:pPr>
        <w:pStyle w:val="BodyText"/>
        <w:spacing w:line="480" w:lineRule="auto"/>
        <w:ind w:firstLine="720"/>
      </w:pPr>
      <w:r>
        <w:t xml:space="preserve">The intercept is 8.54532409722749 with standard error 0.6652059221462139, test statistic 12.846133524573775, and p-value 9.041774564166033e-38. Its confidence interval is 7.241544447518157 to 9.849103746936825. The intercept anchors the fitted line at zero logged direct output and non-center status. It has limited policy meaning.</w:t>
      </w:r>
    </w:p>
    <w:bookmarkEnd w:id="141"/>
    <w:bookmarkStart w:id="142" w:name="paper-2-model-fit"/>
    <w:p>
      <w:pPr>
        <w:pStyle w:val="Heading2"/>
        <w:spacing w:line="480" w:lineRule="auto"/>
      </w:pPr>
      <w:r>
        <w:t xml:space="preserve">Paper 2 Model Fit</w:t>
      </w:r>
    </w:p>
    <w:p>
      <w:pPr>
        <w:pStyle w:val="FirstParagraph"/>
        <w:spacing w:line="480" w:lineRule="auto"/>
      </w:pPr>
      <w:r>
        <w:t xml:space="preserve">The Moon to Mars logit model reports log likelihood of -8.22281571851927 and pseudo R-squared of 0.6345729566938332. These values indicate strong in-sample separation relative to the model’s null benchmark. They do not mean that 63 percent of individual employment outcomes is causally explained by direct employment. Pseudo R-squared has a different interpretation from OLS R-squared.</w:t>
      </w:r>
    </w:p>
    <w:bookmarkEnd w:id="142"/>
    <w:bookmarkStart w:id="143" w:name="paper-2-coefficients"/>
    <w:p>
      <w:pPr>
        <w:pStyle w:val="Heading2"/>
        <w:spacing w:line="480" w:lineRule="auto"/>
      </w:pPr>
      <w:r>
        <w:t xml:space="preserve">Paper 2 Coefficients</w:t>
      </w:r>
    </w:p>
    <w:p>
      <w:pPr>
        <w:pStyle w:val="FirstParagraph"/>
        <w:spacing w:line="480" w:lineRule="auto"/>
      </w:pPr>
      <w:r>
        <w:t xml:space="preserve">The coefficient on logged direct employment is 1.9976972414485945. Its standard error is 0.7953485719504547, test statistic is 2.5117254395133792, and p-value is 0.012014252108104386. The 95 percent confidence interval extends from 0.4388426852703393 to 3.5565517976268497. The coefficient is positive and statistically distinguishable from zero under the model. Higher direct employment is associated with greater log odds that a state records at least 500 indirect plus induced jobs.</w:t>
      </w:r>
    </w:p>
    <w:p>
      <w:pPr>
        <w:pStyle w:val="BodyText"/>
        <w:spacing w:line="480" w:lineRule="auto"/>
        <w:ind w:firstLine="720"/>
      </w:pPr>
      <w:r>
        <w:t xml:space="preserve">The intercept is -5.184869156688955 with standard error 1.7012269826149604, test statistic -3.0477233253844114, and p-value 0.0023058211921142165. Its confidence interval extends from -8.519212772142026 to -1.8505255412358839. It records the fitted baseline at zero logged direct employment.</w:t>
      </w:r>
    </w:p>
    <w:bookmarkEnd w:id="143"/>
    <w:bookmarkStart w:id="144" w:name="interpreting-the-ols-direct-output-slope"/>
    <w:p>
      <w:pPr>
        <w:pStyle w:val="Heading2"/>
        <w:spacing w:line="480" w:lineRule="auto"/>
      </w:pPr>
      <w:r>
        <w:t xml:space="preserve">Interpreting the OLS Direct-Output Slope</w:t>
      </w:r>
    </w:p>
    <w:p>
      <w:pPr>
        <w:pStyle w:val="FirstParagraph"/>
        <w:spacing w:line="480" w:lineRule="auto"/>
      </w:pPr>
      <w:r>
        <w:t xml:space="preserve">What substantive statement is supported by the coefficient 0.2552179258545175? The central claim is that greater direct CCRT output is associated with greater indirect plus induced output on the logged scale. This proposition matters because the economic record of a space program is not exhausted by the activity performed inside the agency or by a prime contractor. The fitted relationship compares states while holding center-state status constant. The evidence used in this dissertation bears on that process through the positive coefficient, HC1 standard error 0.10297079928262651, and p-value 0.013191887261131317.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interpretation must remain bounded. The estimate can reflect economic propagation, regional scale, and common input-output construction. The estimates should therefore be read as disciplined evidence about association, scale, and geography. A complete welfare calculation lies beyond them. That distinction changes the policy use of the results. The result supports the directional hypothesis but not a causal multiplier claim. A careful reader can accept the empirical pattern without assuming that every modeled dollar or job is additional to the national economy, and the value of the analysis lies in clarifying what the official records reveal, what they leave unresolved, and which next measurements would reduce uncertainty.</w:t>
      </w:r>
    </w:p>
    <w:bookmarkEnd w:id="144"/>
    <w:bookmarkStart w:id="145" w:name="uncertainty-around-the-ols-slope"/>
    <w:p>
      <w:pPr>
        <w:pStyle w:val="Heading2"/>
        <w:spacing w:line="480" w:lineRule="auto"/>
      </w:pPr>
      <w:r>
        <w:t xml:space="preserve">Uncertainty Around the OLS Slope</w:t>
      </w:r>
    </w:p>
    <w:p>
      <w:pPr>
        <w:pStyle w:val="FirstParagraph"/>
        <w:spacing w:line="480" w:lineRule="auto"/>
      </w:pPr>
      <w:r>
        <w:t xml:space="preserve">What does the confidence interval add to the point estimate? This chapter approaches the issue from a conditional claim: the plausible coefficient range under the model remains positive but includes materially different magnitudes. The mechanism is concrete rather than metaphorical. Sampling and residual variation produce uncertainty around the fitted association. Research on open innovation and mission-centered technological spillovers gives reason to expect organizational structure to shape where benefits appear</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NASA’s technology-transfer and Spinoff programs also show that movement from public research to civilian use occurs through identifiable agreements, firms, technical practices, and products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For the present study, the empirical signal is the interval from 0.053398867801266736 to 0.4570369839077683. That signal cannot settle every interpretation because the interval does not include uncertainty in the underlying IMPLAN assumptions or transcription process. The relevant question is therefore not whether the result proves a universal multiplier but whether it narrows the set of plausible accounts of NASA’s regional economic footprint. Policy interpretation should emphasize direction and bounded magnitude rather than false precision. This framing keeps the inference proportional to the research design and separates measured production effects from wider claims about knowledge, public value, and long-run productivity.</w:t>
      </w:r>
    </w:p>
    <w:bookmarkEnd w:id="145"/>
    <w:bookmarkStart w:id="146" w:name="interpreting-the-center-state-difference"/>
    <w:p>
      <w:pPr>
        <w:pStyle w:val="Heading2"/>
        <w:spacing w:line="480" w:lineRule="auto"/>
      </w:pPr>
      <w:r>
        <w:t xml:space="preserve">Interpreting the Center-State Difference</w:t>
      </w:r>
    </w:p>
    <w:p>
      <w:pPr>
        <w:pStyle w:val="FirstParagraph"/>
        <w:spacing w:line="480" w:lineRule="auto"/>
      </w:pPr>
      <w:r>
        <w:t xml:space="preserve">What does the coefficient 1.6633516488740778 reveal? The argument developed here is that sampled states containing major NASA centers have higher logged spillover output conditional on direct-output scale. Centers may proxy for persistent infrastructure, suppliers, labor pools, and partnerships. Such a process is consistent with scholarship that locates space-sector innovation in relationships among agencies, suppliers, universities, and users rather than in isolated organizations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it is also consistent with evidence that NASA-supported capabilities can reach civilian fields through paths that are specific to technologies and institutions</w:t>
      </w:r>
      <w:r>
        <w:t xml:space="preserve"> </w:t>
      </w:r>
      <w:hyperlink w:anchor="ref-13">
        <w:r>
          <w:rPr>
            <w:rStyle w:val="Hyperlink"/>
          </w:rPr>
          <w:t xml:space="preserve">[13]</w:t>
        </w:r>
      </w:hyperlink>
      <w:r>
        <w:t xml:space="preserve">.</w:t>
      </w:r>
    </w:p>
    <w:p>
      <w:pPr>
        <w:pStyle w:val="BodyText"/>
        <w:spacing w:line="480" w:lineRule="auto"/>
        <w:ind w:firstLine="720"/>
      </w:pPr>
      <w:r>
        <w:t xml:space="preserve">The dissertation evaluates this argument with the coefficient, standard error 0.6386647215548322, and p-value 0.009202970330391334. The design supplies comparability and traceability, but its limits are material: the binary indicator also captures unobserved historical and economic differences. Those limits do not erase the observed pattern. They specify the range within which the pattern can support explanation. The result motivates institutional analysis and does not by itself justify center placement as a regional policy. The resulting inference is deliberately narrower than a claim about the total social return to space exploration, yet it is more useful than an unsupported assertion that all public research spending diffuses in the same way.</w:t>
      </w:r>
    </w:p>
    <w:bookmarkEnd w:id="146"/>
    <w:bookmarkStart w:id="147" w:name="joint-fit-in-paper-1"/>
    <w:p>
      <w:pPr>
        <w:pStyle w:val="Heading2"/>
        <w:spacing w:line="480" w:lineRule="auto"/>
      </w:pPr>
      <w:r>
        <w:t xml:space="preserve">Joint Fit in Paper 1</w:t>
      </w:r>
    </w:p>
    <w:p>
      <w:pPr>
        <w:pStyle w:val="FirstParagraph"/>
        <w:spacing w:line="480" w:lineRule="auto"/>
      </w:pPr>
      <w:r>
        <w:t xml:space="preserve">How should the F statistic and R-squared be used together? A defensible answer begins with the proposition that the two included predictors have meaningful joint descriptive power in the sample. The proposed channel operates as follows: The F test evaluates the restriction that the non-intercept coefficients are jointly zero, while R-squared summarizes fitted variation. Space-economy forecasts and institutional accounts repeatedly show that definitions, industrial boundaries, and organizational arrangements affect measured outcomes</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same caution applies to state-level economic-impact records. The observable basis for analysis is F 34.16073379161136, p-value 1.1484117444386872e-08, and R-squared 0.5291439797124493. This basis supports a test, but not an unrestricted causal statement, because joint fit can be high when variables share an accounting origin. The implication is practical. The model provides a compact map of reported variation, not an experiment. Under this interpretation, the dissertation contributes a transparent empirical benchmark and an agenda for stronger designs; it does not convert an accounting association into a promise about net national growth.</w:t>
      </w:r>
    </w:p>
    <w:bookmarkEnd w:id="147"/>
    <w:bookmarkStart w:id="148" w:name="the-adjusted-fit-measure"/>
    <w:p>
      <w:pPr>
        <w:pStyle w:val="Heading2"/>
        <w:spacing w:line="480" w:lineRule="auto"/>
      </w:pPr>
      <w:r>
        <w:t xml:space="preserve">The Adjusted Fit Measure</w:t>
      </w:r>
    </w:p>
    <w:p>
      <w:pPr>
        <w:pStyle w:val="FirstParagraph"/>
        <w:spacing w:line="480" w:lineRule="auto"/>
      </w:pPr>
      <w:r>
        <w:t xml:space="preserve">Why report adjusted R-squared 0.4997154784444774? The central claim is that the adjusted measure penalizes the addition of predictors relative to sample size. This proposition matters because the economic record of a space program is not exhausted by the activity performed inside the agency or by a prime contractor. It provides a more conservative summary than unadjusted R-squared. The evidence used in this dissertation bears on that process through the estimator’s adjusted R-squared output.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interpretation must remain bounded. Adjustment does not solve omitted-variable bias or common-model construction. The estimates should therefore be read as disciplined evidence about association, scale, and geography. A complete welfare calculation lies beyond them. That distinction changes the policy use of the results. The proximity of the two fit measures shows that the compact specification is not relying on many covariates. A careful reader can accept the empirical pattern without assuming that every modeled dollar or job is additional to the national economy, and the value of the analysis lies in clarifying what the official records reveal, what they leave unresolved, and which next measurements would reduce uncertainty.</w:t>
      </w:r>
    </w:p>
    <w:bookmarkEnd w:id="148"/>
    <w:bookmarkStart w:id="149" w:name="interpreting-the-logit-slope"/>
    <w:p>
      <w:pPr>
        <w:pStyle w:val="Heading2"/>
        <w:spacing w:line="480" w:lineRule="auto"/>
      </w:pPr>
      <w:r>
        <w:t xml:space="preserve">Interpreting the Logit Slope</w:t>
      </w:r>
    </w:p>
    <w:p>
      <w:pPr>
        <w:pStyle w:val="FirstParagraph"/>
        <w:spacing w:line="480" w:lineRule="auto"/>
      </w:pPr>
      <w:r>
        <w:t xml:space="preserve">What does the coefficient 1.9976972414485945 establish? This chapter approaches the issue from a conditional claim: logged direct Moon to Mars employment is positively associated with the log odds of crossing the 500-job spillover threshold. The mechanism is concrete rather than metaphorical. The logistic link converts the predictor index into a bounded probability. Research on open innovation and mission-centered technological spillovers gives reason to expect organizational structure to shape where benefits appear</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NASA’s technology-transfer and Spinoff programs also show that movement from public research to civilian use occurs through identifiable agreements, firms, technical practices, and products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For the present study, the empirical signal is the coefficient, standard error 0.7953485719504547, and p-value 0.012014252108104386. That signal cannot settle every interpretation because the coefficient is not a fixed change in jobs or a constant probability increment. The relevant question is therefore not whether the result proves a universal multiplier but whether it narrows the set of plausible accounts of NASA’s regional economic footprint. The directional finding supports the scale mechanism within the observed sample. This framing keeps the inference proportional to the research design and separates measured production effects from wider claims about knowledge, public value, and long-run productivity.</w:t>
      </w:r>
    </w:p>
    <w:bookmarkEnd w:id="149"/>
    <w:bookmarkStart w:id="150" w:name="uncertainty-around-the-logit-slope"/>
    <w:p>
      <w:pPr>
        <w:pStyle w:val="Heading2"/>
        <w:spacing w:line="480" w:lineRule="auto"/>
      </w:pPr>
      <w:r>
        <w:t xml:space="preserve">Uncertainty Around the Logit Slope</w:t>
      </w:r>
    </w:p>
    <w:p>
      <w:pPr>
        <w:pStyle w:val="FirstParagraph"/>
        <w:spacing w:line="480" w:lineRule="auto"/>
      </w:pPr>
      <w:r>
        <w:t xml:space="preserve">How precise is the threshold relationship? The argument developed here is that the interval excludes zero but spans a broad range of positive log-odds effects. A small sample with 12 positive outcomes limits precision. Such a process is consistent with scholarship that locates space-sector innovation in relationships among agencies, suppliers, universities, and users rather than in isolated organizations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it is also consistent with evidence that NASA-supported capabilities can reach civilian fields through paths that are specific to technologies and institutions</w:t>
      </w:r>
      <w:r>
        <w:t xml:space="preserve"> </w:t>
      </w:r>
      <w:hyperlink w:anchor="ref-13">
        <w:r>
          <w:rPr>
            <w:rStyle w:val="Hyperlink"/>
          </w:rPr>
          <w:t xml:space="preserve">[13]</w:t>
        </w:r>
      </w:hyperlink>
      <w:r>
        <w:t xml:space="preserve">.</w:t>
      </w:r>
    </w:p>
    <w:p>
      <w:pPr>
        <w:pStyle w:val="BodyText"/>
        <w:spacing w:line="480" w:lineRule="auto"/>
        <w:ind w:firstLine="720"/>
      </w:pPr>
      <w:r>
        <w:t xml:space="preserve">The dissertation evaluates this argument with the confidence interval from 0.4388426852703393 to 3.5565517976268497. The design supplies comparability and traceability, but its limits are material: classification and threshold choice create additional uncertainty not represented in the interval. Those limits do not erase the observed pattern. They specify the range within which the pattern can support explanation. The result should be replicated across years and cutoffs. The resulting inference is deliberately narrower than a claim about the total social return to space exploration, yet it is more useful than an unsupported assertion that all public research spending diffuses in the same way.</w:t>
      </w:r>
    </w:p>
    <w:bookmarkEnd w:id="150"/>
    <w:bookmarkStart w:id="151" w:name="pseudo-r-squared"/>
    <w:p>
      <w:pPr>
        <w:pStyle w:val="Heading2"/>
        <w:spacing w:line="480" w:lineRule="auto"/>
      </w:pPr>
      <w:r>
        <w:t xml:space="preserve">Pseudo R-Squared</w:t>
      </w:r>
    </w:p>
    <w:p>
      <w:pPr>
        <w:pStyle w:val="FirstParagraph"/>
        <w:spacing w:line="480" w:lineRule="auto"/>
      </w:pPr>
      <w:r>
        <w:t xml:space="preserve">What does pseudo R-squared 0.6345729566938332 mean? A defensible answer begins with the proposition that the fitted logit improves the likelihood substantially relative to an intercept-only benchmark. The proposed channel operates as follows: Direct-employment scale helps distinguish states above and below the threshold. Space-economy forecasts and institutional accounts repeatedly show that definitions, industrial boundaries, and organizational arrangements affect measured outcomes</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same caution applies to state-level economic-impact records. The observable basis for analysis is the reported pseudo R-squared and log likelihood -8.22281571851927. This basis supports a test, but not an unrestricted causal statement, because pseudo R-squared is not the fraction of employment causally explained. The implication is practical. Comparison should be limited to models of the same outcome and sample. Under this interpretation, the dissertation contributes a transparent empirical benchmark and an agenda for stronger designs; it does not convert an accounting association into a promise about net national growth.</w:t>
      </w:r>
    </w:p>
    <w:bookmarkEnd w:id="151"/>
    <w:bookmarkStart w:id="152" w:name="comparing-the-two-papers"/>
    <w:p>
      <w:pPr>
        <w:pStyle w:val="Heading2"/>
        <w:spacing w:line="480" w:lineRule="auto"/>
      </w:pPr>
      <w:r>
        <w:t xml:space="preserve">Comparing the Two Papers</w:t>
      </w:r>
    </w:p>
    <w:p>
      <w:pPr>
        <w:pStyle w:val="FirstParagraph"/>
        <w:spacing w:line="480" w:lineRule="auto"/>
      </w:pPr>
      <w:r>
        <w:t xml:space="preserve">What common result emerges across distinct outcomes and methods? The central claim is that larger direct NASA program activity is positively associated with broader modeled state economic activity. This proposition matters because the economic record of a space program is not exhausted by the activity performed inside the agency or by a prime contractor. The output model uses a continuous relationship, while the employment model uses a threshold probability. The evidence used in this dissertation bears on that process through positive coefficients with p-values 0.013191887261131317 and 0.012014252108104386.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interpretation must remain bounded. Shared source construction and cross-sectional selection affect both models. The estimates should therefore be read as disciplined evidence about association, scale, and geography. A complete welfare calculation lies beyond them. That distinction changes the policy use of the results. Methodological convergence strengthens the descriptive pattern but does not remove common threats. A careful reader can accept the empirical pattern without assuming that every modeled dollar or job is additional to the national economy, and the value of the analysis lies in clarifying what the official records reveal, what they leave unresolved, and which next measurements would reduce uncertainty.</w:t>
      </w:r>
    </w:p>
    <w:bookmarkEnd w:id="152"/>
    <w:bookmarkStart w:id="153" w:name="institutional-geography-across-models"/>
    <w:p>
      <w:pPr>
        <w:pStyle w:val="Heading2"/>
        <w:spacing w:line="480" w:lineRule="auto"/>
      </w:pPr>
      <w:r>
        <w:t xml:space="preserve">Institutional Geography Across Models</w:t>
      </w:r>
    </w:p>
    <w:p>
      <w:pPr>
        <w:pStyle w:val="FirstParagraph"/>
        <w:spacing w:line="480" w:lineRule="auto"/>
      </w:pPr>
      <w:r>
        <w:t xml:space="preserve">Why does center status appear only in Paper 1? This chapter approaches the issue from a conditional claim: the OLS model can estimate a center difference, while the sampled logit outcome is completely separated by center status. The mechanism is concrete rather than metaphorical. All sampled center states cross the employment threshold. Research on open innovation and mission-centered technological spillovers gives reason to expect organizational structure to shape where benefits appear</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NASA’s technology-transfer and Spinoff programs also show that movement from public research to civilian use occurs through identifiable agreements, firms, technical practices, and products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For the present study, the empirical signal is the stable Paper 1 center coefficient and the disclosed Paper 2 exclusion. That signal cannot settle every interpretation because absence from the logit model is not evidence of no center relationship. The relevant question is therefore not whether the result proves a universal multiplier but whether it narrows the set of plausible accounts of NASA’s regional economic footprint. A larger panel or penalized estimator should revisit the institutional term. This framing keeps the inference proportional to the research design and separates measured production effects from wider claims about knowledge, public value, and long-run productivity.</w:t>
      </w:r>
    </w:p>
    <w:bookmarkEnd w:id="153"/>
    <w:bookmarkStart w:id="154" w:name="null-hypothesis-decisions"/>
    <w:p>
      <w:pPr>
        <w:pStyle w:val="Heading2"/>
        <w:spacing w:line="480" w:lineRule="auto"/>
      </w:pPr>
      <w:r>
        <w:t xml:space="preserve">Null-Hypothesis Decisions</w:t>
      </w:r>
    </w:p>
    <w:p>
      <w:pPr>
        <w:pStyle w:val="FirstParagraph"/>
        <w:spacing w:line="480" w:lineRule="auto"/>
      </w:pPr>
      <w:r>
        <w:t xml:space="preserve">What is the correct inferential statement for the two main hypotheses? The argument developed here is that both null coefficients are rejected at conventional levels under their respective model assumptions. Each estimator returns a positive main slope and a p-value below 0.05. Such a process is consistent with scholarship that locates space-sector innovation in relationships among agencies, suppliers, universities, and users rather than in isolated organizations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it is also consistent with evidence that NASA-supported capabilities can reach civilian fields through paths that are specific to technologies and institutions</w:t>
      </w:r>
      <w:r>
        <w:t xml:space="preserve"> </w:t>
      </w:r>
      <w:hyperlink w:anchor="ref-13">
        <w:r>
          <w:rPr>
            <w:rStyle w:val="Hyperlink"/>
          </w:rPr>
          <w:t xml:space="preserve">[13]</w:t>
        </w:r>
      </w:hyperlink>
      <w:r>
        <w:t xml:space="preserve">.</w:t>
      </w:r>
    </w:p>
    <w:p>
      <w:pPr>
        <w:pStyle w:val="BodyText"/>
        <w:spacing w:line="480" w:lineRule="auto"/>
        <w:ind w:firstLine="720"/>
      </w:pPr>
      <w:r>
        <w:t xml:space="preserve">The dissertation evaluates this argument with the exact p-values and confidence intervals reported above. The design supplies comparability and traceability, but its limits are material: hypothesis rejection does not validate causal claims or the full theoretical mechanism. Those limits do not erase the observed pattern. They specify the range within which the pattern can support explanation. The dissertation accepts the directional evidence while retaining its identification boundaries. The resulting inference is deliberately narrower than a claim about the total social return to space exploration, yet it is more useful than an unsupported assertion that all public research spending diffuses in the same way.</w:t>
      </w:r>
    </w:p>
    <w:bookmarkEnd w:id="154"/>
    <w:bookmarkStart w:id="155" w:name="substantive-restraint"/>
    <w:p>
      <w:pPr>
        <w:pStyle w:val="Heading2"/>
        <w:spacing w:line="480" w:lineRule="auto"/>
      </w:pPr>
      <w:r>
        <w:t xml:space="preserve">Substantive Restraint</w:t>
      </w:r>
    </w:p>
    <w:p>
      <w:pPr>
        <w:pStyle w:val="FirstParagraph"/>
        <w:spacing w:line="480" w:lineRule="auto"/>
      </w:pPr>
      <w:r>
        <w:t xml:space="preserve">What should not be inferred from these outputs? A defensible answer begins with the proposition that the results do not estimate net national job creation, a social rate of return, or long-run civilian productivity. The proposed channel operates as follows: Those outcomes require counterfactual resource allocation, time dynamics, and measures beyond input-output accounts. Space-economy forecasts and institutional accounts repeatedly show that definitions, industrial boundaries, and organizational arrangements affect measured outcomes</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same caution applies to state-level economic-impact records. The observable basis for analysis is the limited estimands declared in Chapters 3 and 5. This basis supports a test, but not an unrestricted causal statement, because policy audiences may be tempted to translate significance into benefit-cost conclusions. The implication is practical. Reporting should pair each coefficient with a plain statement of excluded claims. Under this interpretation, the dissertation contributes a transparent empirical benchmark and an agenda for stronger designs; it does not convert an accounting association into a promise about net national growth.</w:t>
      </w:r>
    </w:p>
    <w:bookmarkEnd w:id="155"/>
    <w:bookmarkEnd w:id="156"/>
    <w:bookmarkStart w:id="173" w:name="X21322cb5e29cbf4eb576afddcad42f86ace4e0d"/>
    <w:p>
      <w:pPr>
        <w:pStyle w:val="Heading1"/>
        <w:spacing w:line="480" w:lineRule="auto"/>
      </w:pPr>
      <w:r>
        <w:t xml:space="preserve">Chapter 7. Discussion and Governance Implications</w:t>
      </w:r>
    </w:p>
    <w:bookmarkStart w:id="157" w:name="meaning-of-the-combined-findings"/>
    <w:p>
      <w:pPr>
        <w:pStyle w:val="Heading2"/>
        <w:spacing w:line="480" w:lineRule="auto"/>
      </w:pPr>
      <w:r>
        <w:t xml:space="preserve">Meaning of the Combined Findings</w:t>
      </w:r>
    </w:p>
    <w:p>
      <w:pPr>
        <w:pStyle w:val="FirstParagraph"/>
        <w:spacing w:line="480" w:lineRule="auto"/>
      </w:pPr>
      <w:r>
        <w:t xml:space="preserve">The two papers point in the same direction. States with larger direct NASA program activity tend to display larger modeled economic effects beyond direct organizations. The pattern repeats across both designs. In the CCRT analysis, direct output and center-state status are positively associated with logged indirect plus induced output. In the Moon to Mars analysis, direct employment is positively associated with crossing a 500-job indirect-plus-induced threshold. The convergence is meaningful because the outcomes and estimators differ.</w:t>
      </w:r>
    </w:p>
    <w:p>
      <w:pPr>
        <w:pStyle w:val="BodyText"/>
        <w:spacing w:line="480" w:lineRule="auto"/>
        <w:ind w:firstLine="720"/>
      </w:pPr>
      <w:r>
        <w:t xml:space="preserve">The convergence is not causal confirmation. Both datasets originate in one fiscal-year input-output study</w:t>
      </w:r>
      <w:r>
        <w:t xml:space="preserve"> </w:t>
      </w:r>
      <w:hyperlink w:anchor="ref-7">
        <w:r>
          <w:rPr>
            <w:rStyle w:val="Hyperlink"/>
          </w:rPr>
          <w:t xml:space="preserve">[7]</w:t>
        </w:r>
      </w:hyperlink>
      <w:r>
        <w:t xml:space="preserve">. The direct measures help generate the modeled indirect and induced measures. Program location reflects prior capability and institutional history. The proper conclusion is that the official records contain a systematic geographic pattern consistent with scale and institutional concentration.</w:t>
      </w:r>
    </w:p>
    <w:bookmarkEnd w:id="157"/>
    <w:bookmarkStart w:id="158" w:name="governance-perspective"/>
    <w:p>
      <w:pPr>
        <w:pStyle w:val="Heading2"/>
        <w:spacing w:line="480" w:lineRule="auto"/>
      </w:pPr>
      <w:r>
        <w:t xml:space="preserve">Governance Perspective</w:t>
      </w:r>
    </w:p>
    <w:p>
      <w:pPr>
        <w:pStyle w:val="FirstParagraph"/>
        <w:spacing w:line="480" w:lineRule="auto"/>
      </w:pPr>
      <w:r>
        <w:t xml:space="preserve">Economic-impact reporting is part of program governance. It shapes how legislators, states, firms, workers, and the public understand who participates in national missions. A single national total communicates scale but obscures distribution. State tables reveal distribution but can encourage competition over gross impacts. Good governance requires publication of definitions, data provenance, model assumptions, and limits alongside headline totals.</w:t>
      </w:r>
    </w:p>
    <w:p>
      <w:pPr>
        <w:pStyle w:val="BodyText"/>
        <w:spacing w:line="480" w:lineRule="auto"/>
        <w:ind w:firstLine="720"/>
      </w:pPr>
      <w:r>
        <w:t xml:space="preserve">NASA should maintain a layered evidence architecture. Picture four layers stacked from demand to diffusion. One would report expenditure-supported output and employment. A second would report supplier participation and concentration. A third would report technology disclosures, licenses, partnerships, and adoption. A fourth would examine longer-run firm, workforce, and productivity outcomes. NASA’s Technology Transfer Program and Spinoff archive already provide elements of the transfer layer</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The present dissertation shows how the production layer can be analyzed without mislabeling it as the entire spillover process.</w:t>
      </w:r>
    </w:p>
    <w:bookmarkEnd w:id="158"/>
    <w:bookmarkStart w:id="159" w:name="decision-boundaries"/>
    <w:p>
      <w:pPr>
        <w:pStyle w:val="Heading2"/>
        <w:spacing w:line="480" w:lineRule="auto"/>
      </w:pPr>
      <w:r>
        <w:t xml:space="preserve">Decision Boundaries</w:t>
      </w:r>
    </w:p>
    <w:p>
      <w:pPr>
        <w:pStyle w:val="FirstParagraph"/>
        <w:spacing w:line="480" w:lineRule="auto"/>
      </w:pPr>
      <w:r>
        <w:t xml:space="preserve">Mission success, safety, scientific merit, and stewardship remain primary. A state multiplier should not override technical requirements or create an expectation that NASA allocate work for short-run regional effects. Economic geography is a consequence to measure and manage, not a substitute mission.</w:t>
      </w:r>
    </w:p>
    <w:p>
      <w:pPr>
        <w:pStyle w:val="BodyText"/>
        <w:spacing w:line="480" w:lineRule="auto"/>
        <w:ind w:firstLine="720"/>
      </w:pPr>
      <w:r>
        <w:t xml:space="preserve">At the same time, supplier and workforce policies can affect whether national capability is broad or concentrated. Transparent qualification paths, modular interfaces, shared test infrastructure, and workforce partnerships can widen participation when consistent with mission needs. Such policies should be evaluated through procurement and performance data rather than assumed to increase spillovers.</w:t>
      </w:r>
    </w:p>
    <w:bookmarkEnd w:id="159"/>
    <w:bookmarkStart w:id="160" w:name="economic-impact-reporting-standards"/>
    <w:p>
      <w:pPr>
        <w:pStyle w:val="Heading2"/>
        <w:spacing w:line="480" w:lineRule="auto"/>
      </w:pPr>
      <w:r>
        <w:t xml:space="preserve">Economic-Impact Reporting Standards</w:t>
      </w:r>
    </w:p>
    <w:p>
      <w:pPr>
        <w:pStyle w:val="FirstParagraph"/>
        <w:spacing w:line="480" w:lineRule="auto"/>
      </w:pPr>
      <w:r>
        <w:t xml:space="preserve">How should NASA present regional economic results? The central claim is that reports should separate direct, indirect, induced, and total quantities and disclose the model used to connect them. This proposition matters because the economic record of a space program is not exhausted by the activity performed inside the agency or by a prime contractor. Clear categories prevent readers from treating all effects as direct observation or technological transfer. The evidence used in this dissertation bears on that process through the detailed fiscal year 2023 state tables</w:t>
      </w:r>
      <w:r>
        <w:t xml:space="preserve"> </w:t>
      </w:r>
      <w:hyperlink w:anchor="ref-7">
        <w:r>
          <w:rPr>
            <w:rStyle w:val="Hyperlink"/>
          </w:rPr>
          <w:t xml:space="preserve">[7]</w:t>
        </w:r>
      </w:hyperlink>
      <w:r>
        <w:t xml:space="preserve">.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w:t>
      </w:r>
    </w:p>
    <w:p>
      <w:pPr>
        <w:pStyle w:val="BodyText"/>
        <w:spacing w:line="480" w:lineRule="auto"/>
        <w:ind w:firstLine="720"/>
      </w:pPr>
      <w:r>
        <w:t xml:space="preserve">The interpretation must remain bounded. Even transparent reporting can be simplified in public summaries. The estimates should therefore be read as disciplined evidence about association, scale, and geography, not as a complete welfare calculation. That distinction changes the policy use of the results. NASA should publish machine-readable tables, definitions, and versioned methods with each report.</w:t>
      </w:r>
    </w:p>
    <w:p>
      <w:pPr>
        <w:pStyle w:val="BodyText"/>
        <w:spacing w:line="480" w:lineRule="auto"/>
        <w:ind w:firstLine="720"/>
      </w:pPr>
      <w:r>
        <w:t xml:space="preserve">A careful reader can accept the empirical pattern without assuming that every modeled dollar or job is additional to the national economy, and the value of the analysis lies in clarifying what the official records reveal, what they leave unresolved, and which next measurements would reduce uncertainty.</w:t>
      </w:r>
    </w:p>
    <w:bookmarkEnd w:id="160"/>
    <w:bookmarkStart w:id="161" w:name="procurement-and-supplier-access"/>
    <w:p>
      <w:pPr>
        <w:pStyle w:val="Heading2"/>
        <w:spacing w:line="480" w:lineRule="auto"/>
      </w:pPr>
      <w:r>
        <w:t xml:space="preserve">Procurement and Supplier Access</w:t>
      </w:r>
    </w:p>
    <w:p>
      <w:pPr>
        <w:pStyle w:val="FirstParagraph"/>
        <w:spacing w:line="480" w:lineRule="auto"/>
      </w:pPr>
      <w:r>
        <w:t xml:space="preserve">What governance choices could influence indirect activity? This chapter approaches the issue from a conditional claim: contract architecture affects which firms can compete, qualify, and receive repeated demand. The mechanism is concrete rather than metaphorical. Interface standards, subcontracting practices, payment timing, and security requirements shape supplier participation. Research on open innovation and mission-centered technological spillovers gives reason to expect organizational structure to shape where benefits appear</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NASA’s technology-transfer and Spinoff programs also show that movement from public research to civilian use occurs through identifiable agreements, firms, technical practices, and products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For the present study, the empirical signal is the supplier-retention mechanism inferred from indirect output. That signal cannot settle every interpretation because wider participation can increase coordination cost or technical risk if designed poorly. The relevant question is therefore not whether the result proves a universal multiplier; it is whether the result narrows the set of plausible accounts of NASA’s regional economic footprint. Supplier policy should be tested against mission performance and network outcomes. This framing keeps the inference proportional to the research design and separates measured production effects from wider claims about knowledge, public value, and long-run productivity.</w:t>
      </w:r>
    </w:p>
    <w:bookmarkEnd w:id="161"/>
    <w:bookmarkStart w:id="162" w:name="regional-workforce-strategy"/>
    <w:p>
      <w:pPr>
        <w:pStyle w:val="Heading2"/>
        <w:spacing w:line="480" w:lineRule="auto"/>
      </w:pPr>
      <w:r>
        <w:t xml:space="preserve">Regional Workforce Strategy</w:t>
      </w:r>
    </w:p>
    <w:p>
      <w:pPr>
        <w:pStyle w:val="FirstParagraph"/>
        <w:spacing w:line="480" w:lineRule="auto"/>
      </w:pPr>
      <w:r>
        <w:t xml:space="preserve">How can the employment findings inform workforce planning? The argument developed here is that states crossing the threshold may require sustained pipelines for technical and supporting occupations. Direct and supplier activity create demand for skills, while household effects broaden service employment. Such a process is consistent with scholarship that locates space-sector innovation in relationships among agencies, suppliers, universities, and users rather than in isolated organizations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it is also consistent with evidence that NASA-supported capabilities can reach civilian fields through paths that are specific to technologies and institutions</w:t>
      </w:r>
      <w:r>
        <w:t xml:space="preserve"> </w:t>
      </w:r>
      <w:hyperlink w:anchor="ref-13">
        <w:r>
          <w:rPr>
            <w:rStyle w:val="Hyperlink"/>
          </w:rPr>
          <w:t xml:space="preserve">[13]</w:t>
        </w:r>
      </w:hyperlink>
      <w:r>
        <w:t xml:space="preserve">.</w:t>
      </w:r>
    </w:p>
    <w:p>
      <w:pPr>
        <w:pStyle w:val="BodyText"/>
        <w:spacing w:line="480" w:lineRule="auto"/>
        <w:ind w:firstLine="720"/>
      </w:pPr>
      <w:r>
        <w:t xml:space="preserve">The dissertation evaluates this argument with the positive logit relationship between direct employment and major-spillover status. The design supplies comparability and traceability, but its limits are material: modeled jobs do not reveal vacancies, skills gaps, wages, or job quality. Those limits do not erase the observed pattern. They specify the range within which the pattern can support explanation. NASA and partners should connect impact records to occupational and training data. The resulting inference is deliberately narrower than a claim about the total social return to space exploration, yet it is more useful than an unsupported assertion that all public research spending diffuses in the same way.</w:t>
      </w:r>
    </w:p>
    <w:bookmarkEnd w:id="162"/>
    <w:bookmarkStart w:id="163" w:name="nasa-centers-and-local-ecosystems"/>
    <w:p>
      <w:pPr>
        <w:pStyle w:val="Heading2"/>
        <w:spacing w:line="480" w:lineRule="auto"/>
      </w:pPr>
      <w:r>
        <w:t xml:space="preserve">NASA Centers and Local Ecosystems</w:t>
      </w:r>
    </w:p>
    <w:p>
      <w:pPr>
        <w:pStyle w:val="FirstParagraph"/>
        <w:spacing w:line="480" w:lineRule="auto"/>
      </w:pPr>
      <w:r>
        <w:t xml:space="preserve">What does the center-state coefficient imply for governance? A defensible answer begins with the proposition that centers appear within regional systems that can accumulate capabilities across missions. The proposed channel operates as follows: Facilities, procurement, universities, and labor markets interact over long periods. Space-economy forecasts and institutional accounts repeatedly show that definitions, industrial boundaries, and organizational arrangements affect measured outcomes</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same caution applies to state-level economic-impact records.</w:t>
      </w:r>
    </w:p>
    <w:p>
      <w:pPr>
        <w:pStyle w:val="BodyText"/>
        <w:spacing w:line="480" w:lineRule="auto"/>
        <w:ind w:firstLine="720"/>
      </w:pPr>
      <w:r>
        <w:t xml:space="preserve">The observable basis for analysis is the positive conditional center coefficient in Paper 1. This basis supports a test, but not an unrestricted causal statement, because the cross-sectional indicator cannot determine whether centers caused the ecosystem.</w:t>
      </w:r>
    </w:p>
    <w:p>
      <w:pPr>
        <w:pStyle w:val="BodyText"/>
        <w:spacing w:line="480" w:lineRule="auto"/>
        <w:ind w:firstLine="720"/>
      </w:pPr>
      <w:r>
        <w:t xml:space="preserve">The implication is practical. Center-level reporting should document partnerships, supplier geography, and workforce flows over time. Under this interpretation, the dissertation contributes a transparent empirical benchmark and an agenda for stronger designs, and it does not convert an accounting association into a promise about net national growth.</w:t>
      </w:r>
    </w:p>
    <w:bookmarkEnd w:id="163"/>
    <w:bookmarkStart w:id="164" w:name="state-development-claims"/>
    <w:p>
      <w:pPr>
        <w:pStyle w:val="Heading2"/>
        <w:spacing w:line="480" w:lineRule="auto"/>
      </w:pPr>
      <w:r>
        <w:t xml:space="preserve">State Development Claims</w:t>
      </w:r>
    </w:p>
    <w:p>
      <w:pPr>
        <w:pStyle w:val="FirstParagraph"/>
        <w:spacing w:line="480" w:lineRule="auto"/>
      </w:pPr>
      <w:r>
        <w:t xml:space="preserve">How should states use NASA impact estimates? The central claim is that states can use the records to understand program presence but should avoid claiming net benefits without counterfactual analysis. This proposition matters because the economic record of a space program is not exhausted by the activity performed inside the agency or by a prime contractor. Gross associated activity can coexist with displacement, imports, or opportunity costs. The evidence used in this dissertation bears on that process through the distinction between modeled contribution and causal impact.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w:t>
      </w:r>
    </w:p>
    <w:p>
      <w:pPr>
        <w:pStyle w:val="BodyText"/>
        <w:spacing w:line="480" w:lineRule="auto"/>
        <w:ind w:firstLine="720"/>
      </w:pPr>
      <w:r>
        <w:t xml:space="preserve">The interpretation must remain bounded. Political communication rewards simple totals. The estimates should therefore be read as disciplined evidence about association, scale, and geography, not as a complete welfare calculation. That distinction changes the policy use of the results. Technical appendices and independent replication can discipline public claims.</w:t>
      </w:r>
    </w:p>
    <w:p>
      <w:pPr>
        <w:pStyle w:val="BodyText"/>
        <w:spacing w:line="480" w:lineRule="auto"/>
        <w:ind w:firstLine="720"/>
      </w:pPr>
      <w:r>
        <w:t xml:space="preserve">A careful reader can accept the empirical pattern without assuming that every modeled dollar or job is additional to the national economy. The value of the analysis lies in clarifying what the official records reveal, what they leave unresolved, and which next measurements would reduce uncertainty.</w:t>
      </w:r>
    </w:p>
    <w:bookmarkEnd w:id="164"/>
    <w:bookmarkStart w:id="165" w:name="national-versus-local-objectives"/>
    <w:p>
      <w:pPr>
        <w:pStyle w:val="Heading2"/>
        <w:spacing w:line="480" w:lineRule="auto"/>
      </w:pPr>
      <w:r>
        <w:t xml:space="preserve">National Versus Local Objectives</w:t>
      </w:r>
    </w:p>
    <w:p>
      <w:pPr>
        <w:pStyle w:val="FirstParagraph"/>
        <w:spacing w:line="480" w:lineRule="auto"/>
      </w:pPr>
      <w:r>
        <w:t xml:space="preserve">Can local leakage be compatible with national value? This chapter approaches the issue from a conditional claim: a purchase leaving one state may support a specialized supplier elsewhere and strengthen national capability. The mechanism is concrete rather than metaphorical. NASA supply chains operate across jurisdictional borders. Research on open innovation and mission-centered technological spillovers gives reason to expect organizational structure to shape where benefits appear</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NASA’s technology-transfer and Spinoff programs also show that movement from public research to civilian use occurs through identifiable agreements, firms, technical practices, and products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For the present study, the empirical signal is the geographic variation that motivates the dissertation. That signal cannot settle every interpretation because state-focused reporting can frame cross-state diffusion as loss. The relevant question is therefore not whether the result proves a universal multiplier; it is whether the result narrows the set of plausible accounts of NASA’s regional economic footprint. National dashboards should show network connections as well as state totals. This framing keeps the inference proportional to the research design and separates measured production effects from wider claims about knowledge, public value, and long-run productivity.</w:t>
      </w:r>
    </w:p>
    <w:bookmarkEnd w:id="165"/>
    <w:bookmarkStart w:id="166" w:name="technology-transfer-governance"/>
    <w:p>
      <w:pPr>
        <w:pStyle w:val="Heading2"/>
        <w:spacing w:line="480" w:lineRule="auto"/>
      </w:pPr>
      <w:r>
        <w:t xml:space="preserve">Technology Transfer Governance</w:t>
      </w:r>
    </w:p>
    <w:p>
      <w:pPr>
        <w:pStyle w:val="FirstParagraph"/>
        <w:spacing w:line="480" w:lineRule="auto"/>
      </w:pPr>
      <w:r>
        <w:t xml:space="preserve">How should transfer evidence be integrated with economic-impact reporting? The argument developed here is that licenses, partnerships, products, and adoption outcomes should be linked to, but not merged with, production multipliers. Each evidence type answers a different question about public value. Such a process is consistent with scholarship that locates space-sector innovation in relationships among agencies, suppliers, universities, and users rather than in isolated organizations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it is also consistent with evidence that NASA-supported capabilities can reach civilian fields through paths that are specific to technologies and institutions</w:t>
      </w:r>
      <w:r>
        <w:t xml:space="preserve"> </w:t>
      </w:r>
      <w:hyperlink w:anchor="ref-13">
        <w:r>
          <w:rPr>
            <w:rStyle w:val="Hyperlink"/>
          </w:rPr>
          <w:t xml:space="preserve">[13]</w:t>
        </w:r>
      </w:hyperlink>
      <w:r>
        <w:t xml:space="preserve">.</w:t>
      </w:r>
    </w:p>
    <w:p>
      <w:pPr>
        <w:pStyle w:val="BodyText"/>
        <w:spacing w:line="480" w:lineRule="auto"/>
        <w:ind w:firstLine="720"/>
      </w:pPr>
      <w:r>
        <w:t xml:space="preserve">The dissertation evaluates this argument with NASA transfer and Spinoff records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w:t>
      </w:r>
      <w:r>
        <w:t xml:space="preserve">and medical innovation research</w:t>
      </w:r>
      <w:r>
        <w:t xml:space="preserve"> </w:t>
      </w:r>
      <w:hyperlink w:anchor="ref-13">
        <w:r>
          <w:rPr>
            <w:rStyle w:val="Hyperlink"/>
          </w:rPr>
          <w:t xml:space="preserve">[13]</w:t>
        </w:r>
      </w:hyperlink>
      <w:r>
        <w:t xml:space="preserve">. The design supplies comparability and traceability, but its limits are material: linkage requires stable identifiers and attention to confidentiality. Those limits do not erase the observed pattern. They specify the range within which the pattern can support explanation. A spillover ledger should preserve separate measures and document relationships among them. The resulting inference is deliberately narrower than a claim about the total social return to space exploration, yet it is more useful than an unsupported assertion that all public research spending diffuses in the same way.</w:t>
      </w:r>
    </w:p>
    <w:bookmarkEnd w:id="166"/>
    <w:bookmarkStart w:id="167" w:name="equity-and-geographic-distribution"/>
    <w:p>
      <w:pPr>
        <w:pStyle w:val="Heading2"/>
        <w:spacing w:line="480" w:lineRule="auto"/>
      </w:pPr>
      <w:r>
        <w:t xml:space="preserve">Equity and Geographic Distribution</w:t>
      </w:r>
    </w:p>
    <w:p>
      <w:pPr>
        <w:pStyle w:val="FirstParagraph"/>
        <w:spacing w:line="480" w:lineRule="auto"/>
      </w:pPr>
      <w:r>
        <w:t xml:space="preserve">What distributional questions follow from the findings? A defensible answer begins with the proposition that concentrated direct activity can produce concentrated opportunities even when national benefits are broad. The proposed channel operates as follows: Access to contracts, skills, infrastructure, and networks differs across regions. Space-economy forecasts and institutional accounts repeatedly show that definitions, industrial boundaries, and organizational arrangements affect measured outcomes</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same caution applies to state-level economic-impact records.</w:t>
      </w:r>
    </w:p>
    <w:p>
      <w:pPr>
        <w:pStyle w:val="BodyText"/>
        <w:spacing w:line="480" w:lineRule="auto"/>
        <w:ind w:firstLine="720"/>
      </w:pPr>
      <w:r>
        <w:t xml:space="preserve">The observable basis for analysis is state variation in both program categories. This basis supports a test, but not an unrestricted causal statement, because the current study does not measure demographic distribution, firm ownership, or wage quality.</w:t>
      </w:r>
    </w:p>
    <w:p>
      <w:pPr>
        <w:pStyle w:val="BodyText"/>
        <w:spacing w:line="480" w:lineRule="auto"/>
        <w:ind w:firstLine="720"/>
      </w:pPr>
      <w:r>
        <w:t xml:space="preserve">The implication is practical. Future reporting should add distributional indicators without treating geographic spread as an automatic good. Under this interpretation, the dissertation contributes a transparent empirical benchmark and an agenda for stronger designs, and it does not convert an accounting association into a promise about net national growth.</w:t>
      </w:r>
    </w:p>
    <w:bookmarkEnd w:id="167"/>
    <w:bookmarkStart w:id="168" w:name="program-evaluation"/>
    <w:p>
      <w:pPr>
        <w:pStyle w:val="Heading2"/>
        <w:spacing w:line="480" w:lineRule="auto"/>
      </w:pPr>
      <w:r>
        <w:t xml:space="preserve">Program Evaluation</w:t>
      </w:r>
    </w:p>
    <w:p>
      <w:pPr>
        <w:pStyle w:val="FirstParagraph"/>
        <w:spacing w:line="480" w:lineRule="auto"/>
      </w:pPr>
      <w:r>
        <w:t xml:space="preserve">Where should these models sit in an evaluation portfolio? The central claim is that they are descriptive diagnostics that can identify patterns and cases for deeper study. This proposition matters because the economic record of a space program is not exhausted by the activity performed inside the agency or by a prime contractor. OLS and logit summarize relationships in the official records. The evidence used in this dissertation bears on that process through the reproducible coefficients and source-complete datasets.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w:t>
      </w:r>
    </w:p>
    <w:p>
      <w:pPr>
        <w:pStyle w:val="BodyText"/>
        <w:spacing w:line="480" w:lineRule="auto"/>
        <w:ind w:firstLine="720"/>
      </w:pPr>
      <w:r>
        <w:t xml:space="preserve">The interpretation must remain bounded. They cannot replace benefit-cost analysis, mission evaluation, or causal program assessment. The estimates should therefore be read as disciplined evidence about association, scale, and geography, not as a complete welfare calculation. That distinction changes the policy use of the results. NASA should combine descriptive, process, causal, and strategic evidence.</w:t>
      </w:r>
    </w:p>
    <w:p>
      <w:pPr>
        <w:pStyle w:val="BodyText"/>
        <w:spacing w:line="480" w:lineRule="auto"/>
        <w:ind w:firstLine="720"/>
      </w:pPr>
      <w:r>
        <w:t xml:space="preserve">A careful reader can accept the empirical pattern without assuming that every modeled dollar or job is additional to the national economy. The worth of the analysis lies in clarifying what the official records reveal, what they leave unresolved, and which next measurements would reduce uncertainty.</w:t>
      </w:r>
    </w:p>
    <w:bookmarkEnd w:id="168"/>
    <w:bookmarkStart w:id="169" w:name="limitations-of-the-evidence"/>
    <w:p>
      <w:pPr>
        <w:pStyle w:val="Heading2"/>
        <w:spacing w:line="480" w:lineRule="auto"/>
      </w:pPr>
      <w:r>
        <w:t xml:space="preserve">Limitations of the Evidence</w:t>
      </w:r>
    </w:p>
    <w:p>
      <w:pPr>
        <w:pStyle w:val="FirstParagraph"/>
        <w:spacing w:line="480" w:lineRule="auto"/>
      </w:pPr>
      <w:r>
        <w:t xml:space="preserve">Which limitations are most consequential? This chapter approaches the issue from a conditional claim: common-model construction, one-year scope, state aggregation, sample selection, and omitted regional structure constrain inference. The mechanism is concrete rather than metaphorical. Each limitation creates a plausible alternative account of the coefficients. Research on open innovation and mission-centered technological spillovers gives reason to expect organizational structure to shape where benefits appear</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NASA’s technology-transfer and Spinoff programs also show that movement from public research to civilian use occurs through identifiable agreements, firms, technical practices, and products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For the present study, the empirical signal is the threats documented in the methods chapter. That signal cannot settle every interpretation because statistical significance can distract from design limitations. The relevant question is therefore not whether the result proves a universal multiplier; it is whether the result narrows the set of plausible accounts of NASA’s regional economic footprint. Every policy summary should state the limitations beside the findings. This framing keeps the inference proportional to the research design and separates measured production effects from wider claims about knowledge, public value, and long-run productivity.</w:t>
      </w:r>
    </w:p>
    <w:bookmarkEnd w:id="169"/>
    <w:bookmarkStart w:id="170" w:name="future-longitudinal-research"/>
    <w:p>
      <w:pPr>
        <w:pStyle w:val="Heading2"/>
        <w:spacing w:line="480" w:lineRule="auto"/>
      </w:pPr>
      <w:r>
        <w:t xml:space="preserve">Future Longitudinal Research</w:t>
      </w:r>
    </w:p>
    <w:p>
      <w:pPr>
        <w:pStyle w:val="FirstParagraph"/>
        <w:spacing w:line="480" w:lineRule="auto"/>
      </w:pPr>
      <w:r>
        <w:t xml:space="preserve">What would a multi-year panel add? The argument developed here is that repeated observations could distinguish persistent geographic differences from temporary program composition. State and year effects could absorb stable characteristics and common shocks. Such a process is consistent with scholarship that locates space-sector innovation in relationships among agencies, suppliers, universities, and users rather than in isolated organizations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it is also consistent with evidence that NASA-supported capabilities can reach civilian fields through paths that are specific to technologies and institutions</w:t>
      </w:r>
      <w:r>
        <w:t xml:space="preserve"> </w:t>
      </w:r>
      <w:hyperlink w:anchor="ref-13">
        <w:r>
          <w:rPr>
            <w:rStyle w:val="Hyperlink"/>
          </w:rPr>
          <w:t xml:space="preserve">[13]</w:t>
        </w:r>
      </w:hyperlink>
      <w:r>
        <w:t xml:space="preserve">.</w:t>
      </w:r>
    </w:p>
    <w:p>
      <w:pPr>
        <w:pStyle w:val="BodyText"/>
        <w:spacing w:line="480" w:lineRule="auto"/>
        <w:ind w:firstLine="720"/>
      </w:pPr>
      <w:r>
        <w:t xml:space="preserve">The dissertation evaluates this argument with the annual structure that could extend the current data pipeline. The design supplies comparability and traceability, but its limits are material: input-output methods may change across reports and require harmonization. Those limits do not erase the observed pattern. They specify the range within which the pattern can support explanation. A versioned panel should record model vintage, price basis, and program definitions. The resulting inference is deliberately narrower than a claim about the total social return to space exploration, yet it is more useful than an unsupported assertion that all public research spending diffuses in the same way.</w:t>
      </w:r>
    </w:p>
    <w:bookmarkEnd w:id="170"/>
    <w:bookmarkStart w:id="171" w:name="future-network-research"/>
    <w:p>
      <w:pPr>
        <w:pStyle w:val="Heading2"/>
        <w:spacing w:line="480" w:lineRule="auto"/>
      </w:pPr>
      <w:r>
        <w:t xml:space="preserve">Future Network Research</w:t>
      </w:r>
    </w:p>
    <w:p>
      <w:pPr>
        <w:pStyle w:val="FirstParagraph"/>
        <w:spacing w:line="480" w:lineRule="auto"/>
      </w:pPr>
      <w:r>
        <w:t xml:space="preserve">What would procurement-network data add? A defensible answer begins with the proposition that buyer-supplier links could reveal where indirect effects travel and whether networks diversify. The proposed channel operates as follows: Contract and subcontract records can identify concentration, repeated participation, and cross-state flows. Space-economy forecasts and institutional accounts repeatedly show that definitions, industrial boundaries, and organizational arrangements affect measured outcomes</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same caution applies to state-level economic-impact records.</w:t>
      </w:r>
    </w:p>
    <w:p>
      <w:pPr>
        <w:pStyle w:val="BodyText"/>
        <w:spacing w:line="480" w:lineRule="auto"/>
        <w:ind w:firstLine="720"/>
      </w:pPr>
      <w:r>
        <w:t xml:space="preserve">The observable basis for analysis is the supplier mechanism implied but not observed in the state tables. This basis supports a test, but not an unrestricted causal statement, because subcontract data can be incomplete and legal entities may have multiple locations.</w:t>
      </w:r>
    </w:p>
    <w:p>
      <w:pPr>
        <w:pStyle w:val="BodyText"/>
        <w:spacing w:line="480" w:lineRule="auto"/>
        <w:ind w:firstLine="720"/>
      </w:pPr>
      <w:r>
        <w:t xml:space="preserve">The implication is practical. Network measures should be validated against establishment and performance records. Under this interpretation, the dissertation contributes a transparent empirical benchmark and an agenda for stronger designs, and it does not convert an accounting association into a promise about net national growth.</w:t>
      </w:r>
    </w:p>
    <w:bookmarkEnd w:id="171"/>
    <w:bookmarkStart w:id="172" w:name="future-productivity-research"/>
    <w:p>
      <w:pPr>
        <w:pStyle w:val="Heading2"/>
        <w:spacing w:line="480" w:lineRule="auto"/>
      </w:pPr>
      <w:r>
        <w:t xml:space="preserve">Future Productivity Research</w:t>
      </w:r>
    </w:p>
    <w:p>
      <w:pPr>
        <w:pStyle w:val="FirstParagraph"/>
        <w:spacing w:line="480" w:lineRule="auto"/>
      </w:pPr>
      <w:r>
        <w:t xml:space="preserve">How could the dissertation’s original productivity ambition be recovered? The central claim is that linked longitudinal data could test whether exposure to NASA technical work precedes changes in firm performance or regional productivity. This proposition matters because the economic record of a space program is not exhausted by the activity performed inside the agency or by a prime contractor. Procurement, transfer, patent, workforce, and output records would establish timing and recipient identity. The evidence used in this dissertation bears on that process through the mechanisms documented by innovation sources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w:t>
      </w:r>
    </w:p>
    <w:p>
      <w:pPr>
        <w:pStyle w:val="BodyText"/>
        <w:spacing w:line="480" w:lineRule="auto"/>
        <w:ind w:firstLine="720"/>
      </w:pPr>
      <w:r>
        <w:t xml:space="preserve">The interpretation must remain bounded. Selection into NASA work remains a major identification problem. The estimates should therefore be read as disciplined evidence about association, scale, and geography, not as a complete welfare calculation. That distinction changes the policy use of the results. Credible studies should seek policy discontinuities, matched comparisons, and pre-trend evidence.</w:t>
      </w:r>
    </w:p>
    <w:p>
      <w:pPr>
        <w:pStyle w:val="BodyText"/>
        <w:spacing w:line="480" w:lineRule="auto"/>
        <w:ind w:firstLine="720"/>
      </w:pPr>
      <w:r>
        <w:t xml:space="preserve">A careful reader can accept the empirical pattern without assuming that every modeled dollar or job is additional to the national economy. What the analysis offers is clarity about what the official records reveal, what they leave unresolved, and which next measurements would reduce uncertainty.</w:t>
      </w:r>
    </w:p>
    <w:bookmarkEnd w:id="172"/>
    <w:bookmarkEnd w:id="173"/>
    <w:bookmarkStart w:id="234" w:name="chapter-8.-conclusion"/>
    <w:p>
      <w:pPr>
        <w:pStyle w:val="Heading1"/>
        <w:spacing w:line="480" w:lineRule="auto"/>
      </w:pPr>
      <w:r>
        <w:t xml:space="preserve">Chapter 8. Conclusion</w:t>
      </w:r>
    </w:p>
    <w:bookmarkStart w:id="174" w:name="answer-to-the-research-question"/>
    <w:p>
      <w:pPr>
        <w:pStyle w:val="Heading2"/>
        <w:spacing w:line="480" w:lineRule="auto"/>
      </w:pPr>
      <w:r>
        <w:t xml:space="preserve">Answer to the Research Question</w:t>
      </w:r>
    </w:p>
    <w:p>
      <w:pPr>
        <w:pStyle w:val="FirstParagraph"/>
        <w:spacing w:line="480" w:lineRule="auto"/>
      </w:pPr>
      <w:r>
        <w:t xml:space="preserve">This dissertation asked how strongly direct NASA program activity is associated with wider modeled economic activity across states, and what that association reveals about the geography of public technology investment. The answer is consistent across two empirical papers. Larger direct activity is positively associated with broader state effects in NASA’s fiscal year 2023 economic-impact records</w:t>
      </w:r>
      <w:r>
        <w:t xml:space="preserve"> </w:t>
      </w:r>
      <w:hyperlink w:anchor="ref-7">
        <w:r>
          <w:rPr>
            <w:rStyle w:val="Hyperlink"/>
          </w:rPr>
          <w:t xml:space="preserve">[7]</w:t>
        </w:r>
      </w:hyperlink>
      <w:r>
        <w:t xml:space="preserve">.</w:t>
      </w:r>
    </w:p>
    <w:p>
      <w:pPr>
        <w:pStyle w:val="BodyText"/>
        <w:spacing w:line="480" w:lineRule="auto"/>
        <w:ind w:firstLine="720"/>
      </w:pPr>
      <w:r>
        <w:t xml:space="preserve">In the CCRT paper, logged direct output has a positive coefficient of 0.2552179258545175 with HC1 standard error 0.10297079928262651 and p-value 0.013191887261131317. Center-state status has a positive coefficient of 1.6633516488740778 with standard error 0.6386647215548322 and p-value 0.009202970330391334. The model reports R-squared 0.5291439797124493 and adjusted R-squared 0.4997154784444774.</w:t>
      </w:r>
    </w:p>
    <w:p>
      <w:pPr>
        <w:pStyle w:val="BodyText"/>
        <w:spacing w:line="480" w:lineRule="auto"/>
        <w:ind w:firstLine="720"/>
      </w:pPr>
      <w:r>
        <w:t xml:space="preserve">In the Moon to Mars paper, logged direct employment has a positive logit coefficient of 1.9976972414485945 with standard error 0.7953485719504547 and p-value 0.012014252108104386. The model reports pseudo R-squared 0.6345729566938332 and log likelihood -8.22281571851927. The result supports the hypothesis that direct-employment scale is associated with whether a state reaches at least 500 indirect plus induced jobs.</w:t>
      </w:r>
    </w:p>
    <w:bookmarkEnd w:id="174"/>
    <w:bookmarkStart w:id="175" w:name="contribution-to-knowledge"/>
    <w:p>
      <w:pPr>
        <w:pStyle w:val="Heading2"/>
        <w:spacing w:line="480" w:lineRule="auto"/>
      </w:pPr>
      <w:r>
        <w:t xml:space="preserve">Contribution to Knowledge</w:t>
      </w:r>
    </w:p>
    <w:p>
      <w:pPr>
        <w:pStyle w:val="FirstParagraph"/>
        <w:spacing w:line="480" w:lineRule="auto"/>
      </w:pPr>
      <w:r>
        <w:t xml:space="preserve">Three contributions follow. The first is empirical transparency. Both papers use 35 real state observations, with a table-specific official source in every row and no illustrative values. The second is methodological differentiation. A continuous logged-output question is estimated with OLS and HC1 standard errors, while a threshold-employment question is estimated with logit. The third is conceptual discipline. The dissertation separates input-output demand effects from technology transfer and knowledge diffusion.</w:t>
      </w:r>
    </w:p>
    <w:p>
      <w:pPr>
        <w:pStyle w:val="BodyText"/>
        <w:spacing w:line="480" w:lineRule="auto"/>
        <w:ind w:firstLine="720"/>
      </w:pPr>
      <w:r>
        <w:t xml:space="preserve">The study also contributes a bounded interpretation of institutional geography. The positive center-state coefficient is consistent with the idea that long-lived centers sit within accumulated systems of suppliers, skills, facilities, and partnerships. It does not establish that center placement caused the difference. That distinction converts a suggestive result into a research program rather than a promotional conclusion.</w:t>
      </w:r>
    </w:p>
    <w:bookmarkEnd w:id="175"/>
    <w:bookmarkStart w:id="176" w:name="final-boundary"/>
    <w:p>
      <w:pPr>
        <w:pStyle w:val="Heading2"/>
        <w:spacing w:line="480" w:lineRule="auto"/>
      </w:pPr>
      <w:r>
        <w:t xml:space="preserve">Final Boundary</w:t>
      </w:r>
    </w:p>
    <w:p>
      <w:pPr>
        <w:pStyle w:val="FirstParagraph"/>
        <w:spacing w:line="480" w:lineRule="auto"/>
      </w:pPr>
      <w:r>
        <w:t xml:space="preserve">The findings do not estimate a social rate of return, net national job creation, climate benefit, exploration option value, or long-run productivity. They characterize relationships within one official accounting system and one fiscal year. That is the whole claim. Their strength lies in reproducibility and clarity of scope.</w:t>
      </w:r>
    </w:p>
    <w:bookmarkEnd w:id="176"/>
    <w:bookmarkStart w:id="177" w:name="what-has-been-established"/>
    <w:p>
      <w:pPr>
        <w:pStyle w:val="Heading2"/>
        <w:spacing w:line="480" w:lineRule="auto"/>
      </w:pPr>
      <w:r>
        <w:t xml:space="preserve">What Has Been Established</w:t>
      </w:r>
    </w:p>
    <w:p>
      <w:pPr>
        <w:pStyle w:val="FirstParagraph"/>
        <w:spacing w:line="480" w:lineRule="auto"/>
      </w:pPr>
      <w:r>
        <w:t xml:space="preserve">What proposition survives both empirical tests? The central claim is that direct NASA program scale is positively associated with wider modeled state output and employment outcomes. This proposition matters because the economic record of a space program is not exhausted by the activity performed inside the agency or by a prime contractor. Supplier and household-demand channels connect direct activity to broader regional records. The evidence used in this dissertation bears on that process through the positive OLS and logit coefficients reported in Chapter 6.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interpretation must remain bounded. The shared input-output source prevents a causal interpretation. The estimates should therefore be read as disciplined evidence about association, scale, and geography. No complete welfare calculation follows. That distinction changes the policy use of the results. The dissertation establishes a reproducible descriptive pattern. A careful reader can accept the empirical pattern without assuming that every modeled dollar or job is additional to the national economy; the value of the analysis lies in clarifying what the official records reveal, what they leave unresolved, and which next measurements would reduce uncertainty.</w:t>
      </w:r>
    </w:p>
    <w:bookmarkEnd w:id="177"/>
    <w:bookmarkStart w:id="178" w:name="what-has-not-been-established"/>
    <w:p>
      <w:pPr>
        <w:pStyle w:val="Heading2"/>
        <w:spacing w:line="480" w:lineRule="auto"/>
      </w:pPr>
      <w:r>
        <w:t xml:space="preserve">What Has Not Been Established</w:t>
      </w:r>
    </w:p>
    <w:p>
      <w:pPr>
        <w:pStyle w:val="FirstParagraph"/>
        <w:spacing w:line="480" w:lineRule="auto"/>
      </w:pPr>
      <w:r>
        <w:t xml:space="preserve">Which stronger claims remain unsupported? This chapter approaches the issue from a conditional claim: the models do not show that reallocating spending would cause the estimated change or that gross effects equal net welfare. The mechanism is concrete rather than metaphorical. Counterfactual resource use, displacement, price adjustment, and long-run innovation are outside the design. Research on open innovation and mission-centered technological spillovers gives reason to expect organizational structure to shape where benefits appear</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NASA’s technology-transfer and Spinoff programs also show that movement from public research to civilian use occurs through identifiable agreements, firms, technical practices, and products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For the present study, the empirical signal is the explicit limitations of the fiscal year 2023 cross-section. That signal cannot settle every interpretation because readers may still equate statistical significance with program value. The relevant question is therefore not whether the result proves a universal multiplier but whether it narrows the set of plausible accounts of NASA’s regional economic footprint. The final claim must remain narrower than the public narrative it informs. This framing keeps the inference proportional to the research design and separates measured production effects from wider claims about knowledge, public value, and long-run productivity.</w:t>
      </w:r>
    </w:p>
    <w:bookmarkEnd w:id="178"/>
    <w:bookmarkStart w:id="179" w:name="value-of-methodological-pluralism"/>
    <w:p>
      <w:pPr>
        <w:pStyle w:val="Heading2"/>
        <w:spacing w:line="480" w:lineRule="auto"/>
      </w:pPr>
      <w:r>
        <w:t xml:space="preserve">Value of Methodological Pluralism</w:t>
      </w:r>
    </w:p>
    <w:p>
      <w:pPr>
        <w:pStyle w:val="FirstParagraph"/>
        <w:spacing w:line="480" w:lineRule="auto"/>
      </w:pPr>
      <w:r>
        <w:t xml:space="preserve">Why use two papers rather than one regression? The argument developed here is that different outcomes and estimators test whether the main pattern depends on one representation. Continuous logged output preserves scale, while a binary employment threshold captures classification. Such a process is consistent with scholarship that locates space-sector innovation in relationships among agencies, suppliers, universities, and users rather than in isolated organizations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and it is also consistent with evidence that NASA-supported capabilities can reach civilian fields through paths that are specific to technologies and institutions</w:t>
      </w:r>
      <w:r>
        <w:t xml:space="preserve"> </w:t>
      </w:r>
      <w:hyperlink w:anchor="ref-13">
        <w:r>
          <w:rPr>
            <w:rStyle w:val="Hyperlink"/>
          </w:rPr>
          <w:t xml:space="preserve">[13]</w:t>
        </w:r>
      </w:hyperlink>
      <w:r>
        <w:t xml:space="preserve">. The dissertation evaluates this argument with convergent positive slopes from OLS and logit. The design supplies comparability and traceability, but its limits are material: the papers share source construction and cannot provide fully independent validation. Those limits do not erase the observed pattern. They specify the range within which the pattern can support explanation. Replication with administrative microdata would supply a stronger second lens. The resulting inference is deliberately narrower than a claim about the total social return to space exploration, yet it is more useful than an unsupported assertion that all public research spending diffuses in the same way.</w:t>
      </w:r>
    </w:p>
    <w:bookmarkEnd w:id="179"/>
    <w:bookmarkStart w:id="180" w:name="value-of-row-level-provenance"/>
    <w:p>
      <w:pPr>
        <w:pStyle w:val="Heading2"/>
        <w:spacing w:line="480" w:lineRule="auto"/>
      </w:pPr>
      <w:r>
        <w:t xml:space="preserve">Value of Row-Level Provenance</w:t>
      </w:r>
    </w:p>
    <w:p>
      <w:pPr>
        <w:pStyle w:val="FirstParagraph"/>
        <w:spacing w:line="480" w:lineRule="auto"/>
      </w:pPr>
      <w:r>
        <w:t xml:space="preserve">What research norm is demonstrated by the datasets? A defensible answer begins with the proposition that every analytical observation should carry enough source information for an auditor to recover its origin. The proposed channel operates as follows: Table-specific citations connect regression inputs to the official record. Space-economy forecasts and institutional accounts repeatedly show that definitions, industrial boundaries, and organizational arrangements affect measured outcomes</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same caution applies to state-level economic-impact records. The observable basis for analysis is 70 sourced rows and zero illustrative entries. This basis supports a test, but not an unrestricted causal statement, because provenance does not guarantee correct interpretation. The implication is practical. Future spillover research should make the audit trail part of the dataset rather than an appendix. Under this interpretation, the dissertation contributes a transparent empirical benchmark and an agenda for stronger designs; it does not convert an accounting association into a promise about net national growth.</w:t>
      </w:r>
    </w:p>
    <w:bookmarkEnd w:id="180"/>
    <w:bookmarkStart w:id="181" w:name="reframing-the-spillover-ledger"/>
    <w:p>
      <w:pPr>
        <w:pStyle w:val="Heading2"/>
        <w:spacing w:line="480" w:lineRule="auto"/>
      </w:pPr>
      <w:r>
        <w:t xml:space="preserve">Reframing the Spillover Ledger</w:t>
      </w:r>
    </w:p>
    <w:p>
      <w:pPr>
        <w:pStyle w:val="FirstParagraph"/>
        <w:spacing w:line="480" w:lineRule="auto"/>
      </w:pPr>
      <w:r>
        <w:t xml:space="preserve">How should institutions account for the many meanings of spillover? The central claim is that production, employment, transfer, learning, adoption, and productivity should be separate but linkable accounts. This proposition matters because the economic record of a space program is not exhausted by the activity performed inside the agency or by a prime contractor. Each outcome has a distinct mechanism, time horizon, and evidentiary standard. The evidence used in this dissertation bears on that process through the conceptual separation maintained across all chapters.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interpretation must remain bounded. Organizational data systems may use inconsistent identifiers. The estimates should therefore be read as disciplined evidence about association, scale, and geography. No complete welfare calculation follows. That distinction changes the policy use of the results. NASA can build a layered ledger through stable project, contract, technology, firm, and location identifiers. A careful reader can accept the empirical pattern without assuming that every modeled dollar or job is additional to the national economy; the value of the analysis lies in clarifying what the official records reveal, what they leave unresolved, and which next measurements would reduce uncertainty.</w:t>
      </w:r>
    </w:p>
    <w:bookmarkEnd w:id="181"/>
    <w:bookmarkStart w:id="182" w:name="implications-for-nasa"/>
    <w:p>
      <w:pPr>
        <w:pStyle w:val="Heading2"/>
        <w:spacing w:line="480" w:lineRule="auto"/>
      </w:pPr>
      <w:r>
        <w:t xml:space="preserve">Implications for NASA</w:t>
      </w:r>
    </w:p>
    <w:p>
      <w:pPr>
        <w:pStyle w:val="FirstParagraph"/>
        <w:spacing w:line="480" w:lineRule="auto"/>
      </w:pPr>
      <w:r>
        <w:t xml:space="preserve">What is the principal organizational implication? This chapter approaches the issue from a conditional claim: economic-impact tables are most useful when treated as diagnostic evidence connected to procurement, workforce, and transfer records. The mechanism is concrete rather than metaphorical. The combined system can show where activity occurs and how it moves. Research on open innovation and mission-centered technological spillovers gives reason to expect organizational structure to shape where benefits appear</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NASA’s technology-transfer and Spinoff programs also show that movement from public research to civilian use occurs through identifiable agreements, firms, technical practices, and products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For the present study, the empirical signal is the state patterns and NASA transfer resources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That signal cannot settle every interpretation because measurement should not displace mission criteria. The relevant question is therefore not whether the result proves a universal multiplier but whether it narrows the set of plausible accounts of NASA’s regional economic footprint. Economic evidence should support stewardship and learning rather than become a stand-alone allocation rule. This framing keeps the inference proportional to the research design and separates measured production effects from wider claims about knowledge, public value, and long-run productivity.</w:t>
      </w:r>
    </w:p>
    <w:bookmarkEnd w:id="182"/>
    <w:bookmarkStart w:id="183" w:name="Xaa593abab493c1e59cb51d4b4bc53803e58f849"/>
    <w:p>
      <w:pPr>
        <w:pStyle w:val="Heading2"/>
        <w:spacing w:line="480" w:lineRule="auto"/>
      </w:pPr>
      <w:r>
        <w:t xml:space="preserve">Implications for Space-Economy Scholarship</w:t>
      </w:r>
    </w:p>
    <w:p>
      <w:pPr>
        <w:pStyle w:val="FirstParagraph"/>
        <w:spacing w:line="480" w:lineRule="auto"/>
      </w:pPr>
      <w:r>
        <w:t xml:space="preserve">What does the study add to a field concerned with market formation? The argument developed here is that regional production records can test parts of institutional accounts if definitions and inference are explicit. Public missions create demand within networks whose geography can be measured. Such a process is consistent with scholarship that locates space-sector innovation in relationships among agencies, suppliers, universities, and users rather than in isolated organizations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and it is also consistent with evidence that NASA-supported capabilities can reach civilian fields through paths that are specific to technologies and institutions</w:t>
      </w:r>
      <w:r>
        <w:t xml:space="preserve"> </w:t>
      </w:r>
      <w:hyperlink w:anchor="ref-13">
        <w:r>
          <w:rPr>
            <w:rStyle w:val="Hyperlink"/>
          </w:rPr>
          <w:t xml:space="preserve">[13]</w:t>
        </w:r>
      </w:hyperlink>
      <w:r>
        <w:t xml:space="preserve">. The dissertation evaluates this argument with the connection between Weinzierl’s institutional framing</w:t>
      </w:r>
      <w:r>
        <w:t xml:space="preserve"> </w:t>
      </w:r>
      <w:hyperlink w:anchor="ref-8">
        <w:r>
          <w:rPr>
            <w:rStyle w:val="Hyperlink"/>
          </w:rPr>
          <w:t xml:space="preserve">[8]</w:t>
        </w:r>
      </w:hyperlink>
      <w:r>
        <w:t xml:space="preserve">, forecasting boundaries</w:t>
      </w:r>
      <w:r>
        <w:t xml:space="preserve"> </w:t>
      </w:r>
      <w:hyperlink w:anchor="ref-14">
        <w:r>
          <w:rPr>
            <w:rStyle w:val="Hyperlink"/>
          </w:rPr>
          <w:t xml:space="preserve">[14]</w:t>
        </w:r>
      </w:hyperlink>
      <w:r>
        <w:t xml:space="preserve">, and the state models. The design supplies comparability and traceability, but its limits are material: one program-year cannot represent the whole sector. Those limits do not erase the observed pattern. They specify the range within which the pattern can support explanation. Comparative studies should examine multiple agencies, countries, and market stages. The resulting inference is deliberately narrower than a claim about the total social return to space exploration, yet it is more useful than an unsupported assertion that all public research spending diffuses in the same way.</w:t>
      </w:r>
    </w:p>
    <w:bookmarkEnd w:id="183"/>
    <w:bookmarkStart w:id="184" w:name="next-empirical-steps"/>
    <w:p>
      <w:pPr>
        <w:pStyle w:val="Heading2"/>
        <w:spacing w:line="480" w:lineRule="auto"/>
      </w:pPr>
      <w:r>
        <w:t xml:space="preserve">Next Empirical Steps</w:t>
      </w:r>
    </w:p>
    <w:p>
      <w:pPr>
        <w:pStyle w:val="FirstParagraph"/>
        <w:spacing w:line="480" w:lineRule="auto"/>
      </w:pPr>
      <w:r>
        <w:t xml:space="preserve">Which sequence of research would most improve confidence? A defensible answer begins with the proposition that a harmonized panel should precede procurement-network linkage and causal designs. The proposed channel operates as follows: Repeated data establish stability, networks identify channels, and quasi-experiments address selection. Space-economy forecasts and institutional accounts repeatedly show that definitions, industrial boundaries, and organizational arrangements affect measured outcomes</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same caution applies to state-level economic-impact records. The observable basis for analysis is the reproducible pipeline built in this dissertation. This basis supports a test, but not an unrestricted causal statement, because method changes and data access can interrupt comparability. The implication is practical. Version control and preregistration should accompany each extension. Under this interpretation, the dissertation contributes a transparent empirical benchmark and an agenda for stronger designs; it does not convert an accounting association into a promise about net national growth.</w:t>
      </w:r>
    </w:p>
    <w:bookmarkEnd w:id="184"/>
    <w:bookmarkStart w:id="185" w:name="closing-synthesis"/>
    <w:p>
      <w:pPr>
        <w:pStyle w:val="Heading2"/>
        <w:spacing w:line="480" w:lineRule="auto"/>
      </w:pPr>
      <w:r>
        <w:t xml:space="preserve">Closing Synthesis</w:t>
      </w:r>
    </w:p>
    <w:p>
      <w:pPr>
        <w:pStyle w:val="FirstParagraph"/>
        <w:spacing w:line="480" w:lineRule="auto"/>
      </w:pPr>
      <w:r>
        <w:t xml:space="preserve">What is the final intellectual lesson? The central claim is that credible analysis of public space investment requires ambition about questions and restraint about answers. This proposition matters because the economic record of a space program is not exhausted by the activity performed inside the agency or by a prime contractor. NASA activity can support wider economic systems, but each claimed benefit must be matched to a measure and counterfactual. The evidence used in this dissertation bears on that process through the official impact records, estimator outputs, and innovation literature considered together. The evidence is informative because the observations are built under a common NASA accounting framework</w:t>
      </w:r>
      <w:r>
        <w:t xml:space="preserve"> </w:t>
      </w:r>
      <w:hyperlink w:anchor="ref-7">
        <w:r>
          <w:rPr>
            <w:rStyle w:val="Hyperlink"/>
          </w:rPr>
          <w:t xml:space="preserve">[7]</w:t>
        </w:r>
      </w:hyperlink>
      <w:r>
        <w:t xml:space="preserve">, while the broader space-economy literature treats institutional design and market formation as determinants of economic reach</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interpretation must remain bounded. No single table captures the full public value of exploration and technology. The estimates should therefore be read as disciplined evidence about association, scale, and geography. No complete welfare calculation follows. That distinction changes the policy use of the results. The dissertation closes with a measured conclusion: geographic spillovers are visible, institutionally patterned, and worthy of deeper causal study. A careful reader can accept the empirical pattern without assuming that every modeled dollar or job is additional to the national economy; the value of the analysis lies in clarifying what the official records reveal, what they leave unresolved, and which next measurements would reduce uncertainty.</w:t>
      </w:r>
    </w:p>
    <w:bookmarkEnd w:id="185"/>
    <w:bookmarkStart w:id="186" w:name="final-research-standard"/>
    <w:p>
      <w:pPr>
        <w:pStyle w:val="Heading2"/>
        <w:spacing w:line="480" w:lineRule="auto"/>
      </w:pPr>
      <w:r>
        <w:t xml:space="preserve">Final Research Standard</w:t>
      </w:r>
    </w:p>
    <w:p>
      <w:pPr>
        <w:pStyle w:val="FirstParagraph"/>
        <w:spacing w:line="480" w:lineRule="auto"/>
      </w:pPr>
      <w:r>
        <w:t xml:space="preserve">The lasting contribution of the study is a standard for claims about public technology investment. A claim should identify the funded activity, the unit of analysis, the mechanism, the outcome, the time horizon, and the counterfactual. The NASA fiscal year 2023 study supplies a defined activity and a common accounting method</w:t>
      </w:r>
      <w:r>
        <w:t xml:space="preserve"> </w:t>
      </w:r>
      <w:hyperlink w:anchor="ref-7">
        <w:r>
          <w:rPr>
            <w:rStyle w:val="Hyperlink"/>
          </w:rPr>
          <w:t xml:space="preserve">[7]</w:t>
        </w:r>
      </w:hyperlink>
      <w:r>
        <w:t xml:space="preserve">. The two papers add transparent units, transformations, hypotheses, and estimators. The innovation literature supplies mechanisms that the input-output tables do not directly measure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 Keeping those elements separate prevents a finding about associated production from being relabeled as proof of productivity or technological diffusion.</w:t>
      </w:r>
    </w:p>
    <w:p>
      <w:pPr>
        <w:pStyle w:val="BodyText"/>
        <w:spacing w:line="480" w:lineRule="auto"/>
        <w:ind w:firstLine="720"/>
      </w:pPr>
      <w:r>
        <w:t xml:space="preserve">That standard also clarifies how evidence can accumulate. A state panel could test persistence. Procurement records could identify supplier paths. Technology-transfer records could locate recipient firms and dates</w:t>
      </w:r>
      <w:r>
        <w:t xml:space="preserve"> </w:t>
      </w:r>
      <w:hyperlink w:anchor="ref-11">
        <w:r>
          <w:rPr>
            <w:rStyle w:val="Hyperlink"/>
          </w:rPr>
          <w:t xml:space="preserve">[11]</w:t>
        </w:r>
      </w:hyperlink>
      <w:r>
        <w:t xml:space="preserve">. Spinoff profiles could support mechanism tracing while remaining distinct from rate estimates</w:t>
      </w:r>
      <w:r>
        <w:t xml:space="preserve"> </w:t>
      </w:r>
      <w:hyperlink w:anchor="ref-12">
        <w:r>
          <w:rPr>
            <w:rStyle w:val="Hyperlink"/>
          </w:rPr>
          <w:t xml:space="preserve">[12]</w:t>
        </w:r>
      </w:hyperlink>
      <w:r>
        <w:t xml:space="preserve">. Establishment and workforce data could test whether recipients grow, diversify, or retain skills after exposure to NASA work. Each additional source would answer a defined part of the causal chain. None should be asked to carry the entire argument.</w:t>
      </w:r>
    </w:p>
    <w:p>
      <w:pPr>
        <w:pStyle w:val="BodyText"/>
        <w:spacing w:line="480" w:lineRule="auto"/>
        <w:ind w:firstLine="720"/>
      </w:pPr>
      <w:r>
        <w:t xml:space="preserve">The economic frontier described by Weinzierl is institutional as well as technological</w:t>
      </w:r>
      <w:r>
        <w:t xml:space="preserve"> </w:t>
      </w:r>
      <w:hyperlink w:anchor="ref-8">
        <w:r>
          <w:rPr>
            <w:rStyle w:val="Hyperlink"/>
          </w:rPr>
          <w:t xml:space="preserve">[8]</w:t>
        </w:r>
      </w:hyperlink>
      <w:r>
        <w:t xml:space="preserve">. Markets, public missions, infrastructure, and risk allocation develop together. For that reason, evaluation should not search for one universal space multiplier. It should examine which arrangements produce technical performance, broad capability, learning, and accountable public value under specific conditions. Forecasting boundaries matter because enabled markets can be much larger than core production, yet broader boundaries also create greater attribution risk</w:t>
      </w:r>
      <w:r>
        <w:t xml:space="preserve"> </w:t>
      </w:r>
      <w:hyperlink w:anchor="ref-14">
        <w:r>
          <w:rPr>
            <w:rStyle w:val="Hyperlink"/>
          </w:rPr>
          <w:t xml:space="preserve">[14]</w:t>
        </w:r>
      </w:hyperlink>
      <w:r>
        <w:t xml:space="preserve">.</w:t>
      </w:r>
    </w:p>
    <w:p>
      <w:pPr>
        <w:pStyle w:val="BodyText"/>
        <w:spacing w:line="480" w:lineRule="auto"/>
        <w:ind w:firstLine="720"/>
      </w:pPr>
      <w:r>
        <w:t xml:space="preserve">The dissertation therefore ends with a dual proposition. NASA-supported activity is embedded in regional economies, and the official state records reveal that embedding in systematic ways. At the same time, the magnitude and meaning of each effect depend on measurement and institutional context. The appropriate response is neither dismissal nor promotional certainty. It is a cumulative research program built from sourced observations, explicit estimands, reproducible analysis, and claims whose reach does not exceed their evidence.</w:t>
      </w:r>
    </w:p>
    <w:bookmarkEnd w:id="186"/>
    <w:bookmarkStart w:id="233" w:name="references"/>
    <w:p>
      <w:pPr>
        <w:pStyle w:val="Heading2"/>
        <w:spacing w:line="480" w:lineRule="auto"/>
      </w:pPr>
      <w:r>
        <w:t xml:space="preserve">References</w:t>
      </w:r>
    </w:p>
    <w:p>
      <w:pPr>
        <w:pStyle w:val="FirstParagraph"/>
        <w:spacing w:line="480" w:lineRule="auto"/>
      </w:pPr>
      <w:bookmarkStart w:id="187" w:name="ref-1"/>
      <w:bookmarkEnd w:id="187"/>
      <w:r>
        <w:t xml:space="preserve">1. Harnessing AstroEconomics for Integrated Deterrence. Space Economy Papers corpus, source SD07.</w:t>
      </w:r>
    </w:p>
    <w:p>
      <w:pPr>
        <w:pStyle w:val="BodyText"/>
        <w:spacing w:line="480" w:lineRule="auto"/>
        <w:ind w:firstLine="720"/>
      </w:pPr>
      <w:bookmarkStart w:id="188" w:name="ref-2"/>
      <w:bookmarkEnd w:id="188"/>
      <w:r>
        <w:t xml:space="preserve">2. Roadmap: Australia Economic-Technological Renaissance in Space. Space Economy Papers corpus, source SD16.</w:t>
      </w:r>
    </w:p>
    <w:p>
      <w:pPr>
        <w:pStyle w:val="BodyText"/>
        <w:spacing w:line="480" w:lineRule="auto"/>
        <w:ind w:firstLine="720"/>
      </w:pPr>
      <w:bookmarkStart w:id="189" w:name="ref-3"/>
      <w:bookmarkEnd w:id="189"/>
      <w:r>
        <w:t xml:space="preserve">3. Strategic Competition and Economic Innovation: An Impact Assessment. Space Economy Papers corpus, source SD12.</w:t>
      </w:r>
    </w:p>
    <w:p>
      <w:pPr>
        <w:pStyle w:val="BodyText"/>
        <w:spacing w:line="480" w:lineRule="auto"/>
        <w:ind w:firstLine="720"/>
      </w:pPr>
      <w:bookmarkStart w:id="190" w:name="ref-4"/>
      <w:bookmarkEnd w:id="190"/>
      <w:r>
        <w:t xml:space="preserve">4. Zancan, V., Trucco, P., and Locatelli, G.</w:t>
      </w:r>
      <w:r>
        <w:t xml:space="preserve"> </w:t>
      </w:r>
      <w:r>
        <w:t xml:space="preserve">“Getting things done”</w:t>
      </w:r>
      <w:r>
        <w:t xml:space="preserve"> </w:t>
      </w:r>
      <w:r>
        <w:t xml:space="preserve">or</w:t>
      </w:r>
      <w:r>
        <w:t xml:space="preserve"> </w:t>
      </w:r>
      <w:r>
        <w:t xml:space="preserve">“Doing the right things”</w:t>
      </w:r>
      <w:r>
        <w:t xml:space="preserve">? Micro-foundations of product-service strategies in Earth Observation. Acta Astronautica, vol. 243, 2026. doi:</w:t>
      </w:r>
      <w:r>
        <w:t xml:space="preserve"> </w:t>
      </w:r>
      <w:hyperlink r:id="rId191">
        <w:r>
          <w:rPr>
            <w:rStyle w:val="Hyperlink"/>
          </w:rPr>
          <w:t xml:space="preserve">10.1016/j.actaastro.2026.01.040</w:t>
        </w:r>
      </w:hyperlink>
    </w:p>
    <w:p>
      <w:pPr>
        <w:pStyle w:val="BodyText"/>
        <w:spacing w:line="480" w:lineRule="auto"/>
        <w:ind w:firstLine="720"/>
      </w:pPr>
      <w:bookmarkStart w:id="192" w:name="ref-5"/>
      <w:bookmarkEnd w:id="192"/>
      <w:r>
        <w:t xml:space="preserve">5. Zancan, V., Trucco, P., and Locatelli, G. (as above), cited for the Earth Observation product-service finding.</w:t>
      </w:r>
    </w:p>
    <w:p>
      <w:pPr>
        <w:pStyle w:val="BodyText"/>
        <w:spacing w:line="480" w:lineRule="auto"/>
        <w:ind w:firstLine="720"/>
      </w:pPr>
      <w:bookmarkStart w:id="193" w:name="ref-6"/>
      <w:bookmarkEnd w:id="193"/>
      <w:r>
        <w:t xml:space="preserve">6. Barabash, V., Milz, M., Kuhn, T., and Laufer, R. Development of a competence ecosystem for the future space workforce: strategies, practices and recommendations from international master programs in northern Sweden. Acta Astronautica, vol. 197, 2022. doi:</w:t>
      </w:r>
      <w:r>
        <w:t xml:space="preserve"> </w:t>
      </w:r>
      <w:hyperlink r:id="rId194">
        <w:r>
          <w:rPr>
            <w:rStyle w:val="Hyperlink"/>
          </w:rPr>
          <w:t xml:space="preserve">10.1016/j.actaastro.2022.05.017</w:t>
        </w:r>
      </w:hyperlink>
    </w:p>
    <w:p>
      <w:pPr>
        <w:pStyle w:val="BodyText"/>
        <w:spacing w:line="480" w:lineRule="auto"/>
        <w:ind w:firstLine="720"/>
      </w:pPr>
      <w:bookmarkStart w:id="195" w:name="ref-7"/>
      <w:bookmarkEnd w:id="195"/>
      <w:r>
        <w:t xml:space="preserve">7. National Aeronautics and Space Administration,</w:t>
      </w:r>
      <w:r>
        <w:t xml:space="preserve"> </w:t>
      </w:r>
      <w:r>
        <w:rPr>
          <w:i/>
          <w:iCs/>
        </w:rPr>
        <w:t xml:space="preserve">NASA Economic Impact Report Fiscal Year 2023</w:t>
      </w:r>
      <w:r>
        <w:t xml:space="preserve">, 2024.</w:t>
      </w:r>
    </w:p>
    <w:p>
      <w:pPr>
        <w:pStyle w:val="BodyText"/>
        <w:spacing w:line="480" w:lineRule="auto"/>
        <w:ind w:firstLine="720"/>
      </w:pPr>
      <w:bookmarkStart w:id="196" w:name="ref-8"/>
      <w:bookmarkEnd w:id="196"/>
      <w:r>
        <w:t xml:space="preserve">8. M. Weinzierl,</w:t>
      </w:r>
      <w:r>
        <w:t xml:space="preserve"> </w:t>
      </w:r>
      <w:r>
        <w:t xml:space="preserve">“Space, the Final Economic Frontier,”</w:t>
      </w:r>
      <w:r>
        <w:t xml:space="preserve"> </w:t>
      </w:r>
      <w:r>
        <w:rPr>
          <w:i/>
          <w:iCs/>
        </w:rPr>
        <w:t xml:space="preserve">Journal of Economic Perspectives</w:t>
      </w:r>
      <w:r>
        <w:t xml:space="preserve">, vol. 32, no. 2, pp. 173-192, 2018. doi:</w:t>
      </w:r>
      <w:r>
        <w:t xml:space="preserve"> </w:t>
      </w:r>
      <w:hyperlink r:id="rId197">
        <w:r>
          <w:rPr>
            <w:rStyle w:val="Hyperlink"/>
          </w:rPr>
          <w:t xml:space="preserve">10.1257/jep.32.2.173</w:t>
        </w:r>
      </w:hyperlink>
    </w:p>
    <w:p>
      <w:pPr>
        <w:pStyle w:val="BodyText"/>
        <w:spacing w:line="480" w:lineRule="auto"/>
        <w:ind w:firstLine="720"/>
      </w:pPr>
      <w:bookmarkStart w:id="198" w:name="ref-9"/>
      <w:bookmarkEnd w:id="198"/>
      <w:r>
        <w:t xml:space="preserve">9. E. van Burg, C. Giannopapa, and I. M. M. J. Reymen,</w:t>
      </w:r>
      <w:r>
        <w:t xml:space="preserve"> </w:t>
      </w:r>
      <w:r>
        <w:t xml:space="preserve">“Open innovation in the European space sector,”</w:t>
      </w:r>
      <w:r>
        <w:t xml:space="preserve"> </w:t>
      </w:r>
      <w:r>
        <w:rPr>
          <w:i/>
          <w:iCs/>
        </w:rPr>
        <w:t xml:space="preserve">Acta Astronautica</w:t>
      </w:r>
      <w:r>
        <w:t xml:space="preserve">, 2017. doi:</w:t>
      </w:r>
      <w:r>
        <w:t xml:space="preserve"> </w:t>
      </w:r>
      <w:hyperlink r:id="rId199">
        <w:r>
          <w:rPr>
            <w:rStyle w:val="Hyperlink"/>
          </w:rPr>
          <w:t xml:space="preserve">10.1016/j.actaastro.2017.09.019</w:t>
        </w:r>
      </w:hyperlink>
    </w:p>
    <w:p>
      <w:pPr>
        <w:pStyle w:val="BodyText"/>
        <w:spacing w:line="480" w:lineRule="auto"/>
        <w:ind w:firstLine="720"/>
      </w:pPr>
      <w:bookmarkStart w:id="200" w:name="ref-10"/>
      <w:bookmarkEnd w:id="200"/>
      <w:r>
        <w:t xml:space="preserve">10. G. Petroni and K. Venturini,</w:t>
      </w:r>
      <w:r>
        <w:t xml:space="preserve"> </w:t>
      </w:r>
      <w:r>
        <w:t xml:space="preserve">“Understanding technological spillovers: The case of main astrophysics European missions,”</w:t>
      </w:r>
      <w:r>
        <w:t xml:space="preserve"> </w:t>
      </w:r>
      <w:r>
        <w:rPr>
          <w:i/>
          <w:iCs/>
        </w:rPr>
        <w:t xml:space="preserve">Acta Astronautica</w:t>
      </w:r>
      <w:r>
        <w:t xml:space="preserve">, 2023. doi:</w:t>
      </w:r>
      <w:r>
        <w:t xml:space="preserve"> </w:t>
      </w:r>
      <w:hyperlink r:id="rId201">
        <w:r>
          <w:rPr>
            <w:rStyle w:val="Hyperlink"/>
          </w:rPr>
          <w:t xml:space="preserve">10.1016/j.actaastro.2023.01.022</w:t>
        </w:r>
      </w:hyperlink>
    </w:p>
    <w:p>
      <w:pPr>
        <w:pStyle w:val="BodyText"/>
        <w:spacing w:line="480" w:lineRule="auto"/>
        <w:ind w:firstLine="720"/>
      </w:pPr>
      <w:bookmarkStart w:id="202" w:name="ref-11"/>
      <w:bookmarkEnd w:id="202"/>
      <w:r>
        <w:t xml:space="preserve">11. National Aeronautics and Space Administration,</w:t>
      </w:r>
      <w:r>
        <w:t xml:space="preserve"> </w:t>
      </w:r>
      <w:r>
        <w:t xml:space="preserve">“Technology Transfer Program,”</w:t>
      </w:r>
      <w:r>
        <w:t xml:space="preserve"> </w:t>
      </w:r>
      <w:r>
        <w:t xml:space="preserve">NASA Technology Transfer Portal.</w:t>
      </w:r>
    </w:p>
    <w:p>
      <w:pPr>
        <w:pStyle w:val="BodyText"/>
        <w:spacing w:line="480" w:lineRule="auto"/>
        <w:ind w:firstLine="720"/>
      </w:pPr>
      <w:bookmarkStart w:id="203" w:name="ref-12"/>
      <w:bookmarkEnd w:id="203"/>
      <w:r>
        <w:t xml:space="preserve">12. National Aeronautics and Space Administration,</w:t>
      </w:r>
      <w:r>
        <w:t xml:space="preserve"> </w:t>
      </w:r>
      <w:r>
        <w:t xml:space="preserve">“NASA Spinoff,”</w:t>
      </w:r>
      <w:r>
        <w:t xml:space="preserve"> </w:t>
      </w:r>
      <w:r>
        <w:t xml:space="preserve">NASA Spinoff.</w:t>
      </w:r>
    </w:p>
    <w:p>
      <w:pPr>
        <w:pStyle w:val="BodyText"/>
        <w:spacing w:line="480" w:lineRule="auto"/>
        <w:ind w:firstLine="720"/>
      </w:pPr>
      <w:bookmarkStart w:id="204" w:name="ref-13"/>
      <w:bookmarkEnd w:id="204"/>
      <w:r>
        <w:t xml:space="preserve">13. W. A. Jaber et al.,</w:t>
      </w:r>
      <w:r>
        <w:t xml:space="preserve"> </w:t>
      </w:r>
      <w:r>
        <w:t xml:space="preserve">“NASA’s impact on medical innovation,”</w:t>
      </w:r>
      <w:r>
        <w:t xml:space="preserve"> </w:t>
      </w:r>
      <w:r>
        <w:rPr>
          <w:i/>
          <w:iCs/>
        </w:rPr>
        <w:t xml:space="preserve">Acta Astronautica</w:t>
      </w:r>
      <w:r>
        <w:t xml:space="preserve">, 2024. doi:</w:t>
      </w:r>
      <w:r>
        <w:t xml:space="preserve"> </w:t>
      </w:r>
      <w:hyperlink r:id="rId205">
        <w:r>
          <w:rPr>
            <w:rStyle w:val="Hyperlink"/>
          </w:rPr>
          <w:t xml:space="preserve">10.1016/j.actaastro.2024.10.026</w:t>
        </w:r>
      </w:hyperlink>
    </w:p>
    <w:p>
      <w:pPr>
        <w:pStyle w:val="BodyText"/>
        <w:spacing w:line="480" w:lineRule="auto"/>
        <w:ind w:firstLine="720"/>
      </w:pPr>
      <w:bookmarkStart w:id="206" w:name="ref-14"/>
      <w:bookmarkEnd w:id="206"/>
      <w:r>
        <w:t xml:space="preserve">14. OECD, European Space Agency, and partner institutions,</w:t>
      </w:r>
      <w:r>
        <w:t xml:space="preserve"> </w:t>
      </w:r>
      <w:r>
        <w:rPr>
          <w:i/>
          <w:iCs/>
        </w:rPr>
        <w:t xml:space="preserve">OCEA Forecasting the Space Economy</w:t>
      </w:r>
      <w:r>
        <w:t xml:space="preserve">, Space Economy research collection.</w:t>
      </w:r>
    </w:p>
    <w:p>
      <w:pPr>
        <w:pStyle w:val="BodyText"/>
        <w:spacing w:line="480" w:lineRule="auto"/>
        <w:ind w:firstLine="720"/>
      </w:pPr>
      <w:bookmarkStart w:id="207" w:name="ref-15"/>
      <w:bookmarkEnd w:id="207"/>
      <w:r>
        <w:t xml:space="preserve">15. Nathaniel Dailey, MITRE &amp; Space Force Association; Braden McGrath, MITRE Australia; Harvey Reed, MITRE; Jonathon Wotton, MITRE Australia. Global Space Domain Awareness, Partnering to Win with AUKUS (2023). doi:</w:t>
      </w:r>
      <w:r>
        <w:t xml:space="preserve"> </w:t>
      </w:r>
      <w:hyperlink r:id="rId208">
        <w:r>
          <w:rPr>
            <w:rStyle w:val="Hyperlink"/>
          </w:rPr>
          <w:t xml:space="preserve">10.64861/FWBL2094</w:t>
        </w:r>
      </w:hyperlink>
    </w:p>
    <w:p>
      <w:pPr>
        <w:pStyle w:val="BodyText"/>
        <w:spacing w:line="480" w:lineRule="auto"/>
        <w:ind w:firstLine="720"/>
      </w:pPr>
      <w:bookmarkStart w:id="209" w:name="ref-16"/>
      <w:bookmarkEnd w:id="209"/>
      <w:r>
        <w:t xml:space="preserve">16. Joseph Gerber, Tech7; Gregory Badura, Georgia Tech Research Institute (GTRI); Johann Bell, Australian Department of Defense; Kruger White, Defence Science and Technology Group, Australia. Joint Commercial Operations (JCO) – Integrated Space Operations with Event Ledgers (2024). doi:</w:t>
      </w:r>
      <w:r>
        <w:t xml:space="preserve"> </w:t>
      </w:r>
      <w:hyperlink r:id="rId210">
        <w:r>
          <w:rPr>
            <w:rStyle w:val="Hyperlink"/>
          </w:rPr>
          <w:t xml:space="preserve">10.64861/ZTFK7933</w:t>
        </w:r>
      </w:hyperlink>
    </w:p>
    <w:p>
      <w:pPr>
        <w:pStyle w:val="BodyText"/>
        <w:spacing w:line="480" w:lineRule="auto"/>
        <w:ind w:firstLine="720"/>
      </w:pPr>
      <w:bookmarkStart w:id="211" w:name="ref-17"/>
      <w:bookmarkEnd w:id="211"/>
      <w:r>
        <w:t xml:space="preserve">17. Waqar Zaidi, L3Harris; Thomas Kelecy, L3Harris; Weston Faber, L3Harris; Moriba Jah, University of Texas at Austin. Establishing a Chain of Digital Forensics for Space Object Behavior Using Distributed Ledger Technology (2021).</w:t>
      </w:r>
    </w:p>
    <w:p>
      <w:pPr>
        <w:pStyle w:val="BodyText"/>
        <w:spacing w:line="480" w:lineRule="auto"/>
        <w:ind w:firstLine="720"/>
      </w:pPr>
      <w:bookmarkStart w:id="212" w:name="ref-18"/>
      <w:bookmarkEnd w:id="212"/>
      <w:r>
        <w:t xml:space="preserve">18. Rohit Mital, SGT KBRwyle; Jack de La Beaujardiere, University of Maryland; Rohan Mital, University of Colorado; Marge Cole, NASA ESTO and SGT KBRwyle; Charles Norton, NASA Headquarters. Blockchain Application Within a Multi-Sensor Satellite Architecture (2018).</w:t>
      </w:r>
    </w:p>
    <w:p>
      <w:pPr>
        <w:pStyle w:val="BodyText"/>
        <w:spacing w:line="480" w:lineRule="auto"/>
        <w:ind w:firstLine="720"/>
      </w:pPr>
      <w:bookmarkStart w:id="213" w:name="ref-19"/>
      <w:bookmarkEnd w:id="213"/>
      <w:r>
        <w:t xml:space="preserve">19. Miles Lifson, The Aerospace Corporation; Aniqu Baset, The Aerospace Corporation; Grant Cates, The Aerospace Corporation; Bill Chen, The Aerospace Corporation; Angelo Connor, The Aerospace Corporation; Carson Coursey, The Aerospace Corporation; Gregory Henning, The Aerospace Corporation; Michael Miyamoto, The Aerospace Corporation; Glenn E. Peterson, The Aerospace Corporation; Brian Weeden, The Aerospace Corporation; Grant Williams, The Aerospace Corporation; Indigo Brownhall, University College London; Matthew Burgess, University of Colorado Boulder; Marcus Holzinger, University of Colorado Boulder; Daniel Kaffine, University of Colorado Boulder; Mark Moretto, North Carolina State University; Akhil Rao, Middlebury College. Development of Reference Scenarios and Supporting Inputs for Space Environment Modeling (2024). doi:</w:t>
      </w:r>
      <w:r>
        <w:t xml:space="preserve"> </w:t>
      </w:r>
      <w:hyperlink r:id="rId214">
        <w:r>
          <w:rPr>
            <w:rStyle w:val="Hyperlink"/>
          </w:rPr>
          <w:t xml:space="preserve">10.64861/QBNC8763</w:t>
        </w:r>
      </w:hyperlink>
    </w:p>
    <w:p>
      <w:pPr>
        <w:pStyle w:val="BodyText"/>
        <w:spacing w:line="480" w:lineRule="auto"/>
        <w:ind w:firstLine="720"/>
      </w:pPr>
      <w:bookmarkStart w:id="215" w:name="ref-20"/>
      <w:bookmarkEnd w:id="215"/>
      <w:r>
        <w:t xml:space="preserve">20. Sarah Thiele, The University of British Columbia; Aaron C. Boley, The University of British Columbia. Investigating the Risks of Debris-generating ASAT Tests in the Presence of Megaconstellations (2021).</w:t>
      </w:r>
    </w:p>
    <w:p>
      <w:pPr>
        <w:pStyle w:val="BodyText"/>
        <w:spacing w:line="480" w:lineRule="auto"/>
        <w:ind w:firstLine="720"/>
      </w:pPr>
      <w:bookmarkStart w:id="216" w:name="ref-21"/>
      <w:bookmarkEnd w:id="216"/>
      <w:r>
        <w:t xml:space="preserve">21. Robert Zitz (Leidos). Emerging Technologies: Small Satellite and Associated TPED (2014).</w:t>
      </w:r>
    </w:p>
    <w:p>
      <w:pPr>
        <w:pStyle w:val="BodyText"/>
        <w:spacing w:line="480" w:lineRule="auto"/>
        <w:ind w:firstLine="720"/>
      </w:pPr>
      <w:bookmarkStart w:id="217" w:name="ref-22"/>
      <w:bookmarkEnd w:id="217"/>
      <w:r>
        <w:t xml:space="preserve">22. Giorgio Petroni; Karen Venturini. Understanding technological spillovers: The case of main astrophysics European missions (2023). doi:</w:t>
      </w:r>
      <w:r>
        <w:t xml:space="preserve"> </w:t>
      </w:r>
      <w:hyperlink r:id="rId201">
        <w:r>
          <w:rPr>
            <w:rStyle w:val="Hyperlink"/>
          </w:rPr>
          <w:t xml:space="preserve">10.1016/j.actaastro.2023.01.022</w:t>
        </w:r>
      </w:hyperlink>
    </w:p>
    <w:p>
      <w:pPr>
        <w:pStyle w:val="BodyText"/>
        <w:spacing w:line="480" w:lineRule="auto"/>
        <w:ind w:firstLine="720"/>
      </w:pPr>
      <w:bookmarkStart w:id="218" w:name="ref-23"/>
      <w:bookmarkEnd w:id="218"/>
      <w:r>
        <w:t xml:space="preserve">23. n.a.. Feasibility study for a commercial space station in low 2025 Acta Astronaut (2024). doi:</w:t>
      </w:r>
      <w:r>
        <w:t xml:space="preserve"> </w:t>
      </w:r>
      <w:hyperlink r:id="rId219">
        <w:r>
          <w:rPr>
            <w:rStyle w:val="Hyperlink"/>
          </w:rPr>
          <w:t xml:space="preserve">10.1016/j.actaastro.2024.09.058</w:t>
        </w:r>
      </w:hyperlink>
    </w:p>
    <w:p>
      <w:pPr>
        <w:pStyle w:val="BodyText"/>
        <w:spacing w:line="480" w:lineRule="auto"/>
        <w:ind w:firstLine="720"/>
      </w:pPr>
      <w:bookmarkStart w:id="220" w:name="ref-24"/>
      <w:bookmarkEnd w:id="220"/>
      <w:r>
        <w:t xml:space="preserve">24. C. Fuglesang; María García de Herreros Miciano. Realistic sunshade system at L1 for global temperature control (2021). doi:</w:t>
      </w:r>
      <w:r>
        <w:t xml:space="preserve"> </w:t>
      </w:r>
      <w:hyperlink r:id="rId221">
        <w:r>
          <w:rPr>
            <w:rStyle w:val="Hyperlink"/>
          </w:rPr>
          <w:t xml:space="preserve">10.1016/j.actaastro.2021.04.035</w:t>
        </w:r>
      </w:hyperlink>
    </w:p>
    <w:p>
      <w:pPr>
        <w:pStyle w:val="BodyText"/>
        <w:spacing w:line="480" w:lineRule="auto"/>
        <w:ind w:firstLine="720"/>
      </w:pPr>
      <w:bookmarkStart w:id="222" w:name="ref-25"/>
      <w:bookmarkEnd w:id="222"/>
      <w:r>
        <w:t xml:space="preserve">25. Ramy Mesalam; Paul Schmitz; Hannah Sargeant; Elizabeth Turnbull; Alessandra Barco; Scott D. Wilson; Jesse Stuck; Emily Jane Watkinson; Steven R. Oleson; Richard Ambrosi. Americium fuelled radioisotope stirling generator for lunar surface mobility systems (2024). doi:</w:t>
      </w:r>
      <w:r>
        <w:t xml:space="preserve"> </w:t>
      </w:r>
      <w:hyperlink r:id="rId223">
        <w:r>
          <w:rPr>
            <w:rStyle w:val="Hyperlink"/>
          </w:rPr>
          <w:t xml:space="preserve">10.1016/j.actaastro.2024.12.001</w:t>
        </w:r>
      </w:hyperlink>
    </w:p>
    <w:p>
      <w:pPr>
        <w:pStyle w:val="BodyText"/>
        <w:spacing w:line="480" w:lineRule="auto"/>
        <w:ind w:firstLine="720"/>
      </w:pPr>
      <w:bookmarkStart w:id="224" w:name="ref-26"/>
      <w:bookmarkEnd w:id="224"/>
      <w:r>
        <w:t xml:space="preserve">26. Christopher P. Spedding; Sungwoo Lim; William J. Nuttall. ISRU technology deployment at a lunar outpost in 2040: A Delphi survey (2021). doi:</w:t>
      </w:r>
      <w:r>
        <w:t xml:space="preserve"> </w:t>
      </w:r>
      <w:hyperlink r:id="rId225">
        <w:r>
          <w:rPr>
            <w:rStyle w:val="Hyperlink"/>
          </w:rPr>
          <w:t xml:space="preserve">10.1016/j.actaastro.2021.01.009</w:t>
        </w:r>
      </w:hyperlink>
    </w:p>
    <w:p>
      <w:pPr>
        <w:pStyle w:val="BodyText"/>
        <w:spacing w:line="480" w:lineRule="auto"/>
        <w:ind w:firstLine="720"/>
      </w:pPr>
      <w:bookmarkStart w:id="226" w:name="ref-27"/>
      <w:bookmarkEnd w:id="226"/>
      <w:r>
        <w:t xml:space="preserve">27. Justin Walsh; Rao Hamza Ali; Ryan Shihabi; Erik Linstead. Facility usage on the International Space Station (2025). doi:</w:t>
      </w:r>
      <w:r>
        <w:t xml:space="preserve"> </w:t>
      </w:r>
      <w:hyperlink r:id="rId227">
        <w:r>
          <w:rPr>
            <w:rStyle w:val="Hyperlink"/>
          </w:rPr>
          <w:t xml:space="preserve">10.1016/j.actaastro.2025.11.056</w:t>
        </w:r>
      </w:hyperlink>
    </w:p>
    <w:p>
      <w:pPr>
        <w:pStyle w:val="BodyText"/>
        <w:spacing w:line="480" w:lineRule="auto"/>
        <w:ind w:firstLine="720"/>
      </w:pPr>
      <w:bookmarkStart w:id="228" w:name="ref-28"/>
      <w:bookmarkEnd w:id="228"/>
      <w:r>
        <w:t xml:space="preserve">28. Marzio Mazzotti; Hannah Sargeant; Alessandra Barco; Ramy Mesalam; Emily Jane Watkinson; Richard Ambrosi; Michèle Lavagna. Ice-mining lunar rover using Americium-241 radioisotope power systems (2024). doi:</w:t>
      </w:r>
      <w:r>
        <w:t xml:space="preserve"> </w:t>
      </w:r>
      <w:hyperlink r:id="rId229">
        <w:r>
          <w:rPr>
            <w:rStyle w:val="Hyperlink"/>
          </w:rPr>
          <w:t xml:space="preserve">10.1016/j.actaastro.2024.09.042</w:t>
        </w:r>
      </w:hyperlink>
    </w:p>
    <w:p>
      <w:pPr>
        <w:pStyle w:val="BodyText"/>
        <w:spacing w:line="480" w:lineRule="auto"/>
        <w:ind w:firstLine="720"/>
      </w:pPr>
      <w:bookmarkStart w:id="230" w:name="ref-29"/>
      <w:bookmarkEnd w:id="230"/>
      <w:r>
        <w:t xml:space="preserve">29. Md Tusher Mollah; Berin Šeta; Jon Spangenberg. A virtual 3D printing framework for off-Earth construction (2026). doi:</w:t>
      </w:r>
      <w:r>
        <w:t xml:space="preserve"> </w:t>
      </w:r>
      <w:hyperlink r:id="rId231">
        <w:r>
          <w:rPr>
            <w:rStyle w:val="Hyperlink"/>
          </w:rPr>
          <w:t xml:space="preserve">10.1016/j.actaastro.2026.02.001</w:t>
        </w:r>
      </w:hyperlink>
    </w:p>
    <w:p>
      <w:pPr>
        <w:pStyle w:val="BodyText"/>
        <w:spacing w:line="480" w:lineRule="auto"/>
        <w:ind w:firstLine="720"/>
      </w:pPr>
      <w:bookmarkStart w:id="232" w:name="ref-30"/>
      <w:bookmarkEnd w:id="232"/>
      <w:r>
        <w:t xml:space="preserve">30. n.a.. OCEA Forecasting the Space Economy (n.d.).</w:t>
      </w:r>
    </w:p>
    <w:bookmarkEnd w:id="233"/>
    <w:bookmarkEnd w:id="234"/>
    <w:bookmarkStart w:id="251"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42" w:name="X592c02285acbd5b7929f3106da1da0839f79b19"/>
    <w:p>
      <w:pPr>
        <w:pStyle w:val="Heading2"/>
        <w:spacing w:line="480" w:lineRule="auto"/>
      </w:pPr>
      <w:r>
        <w:t xml:space="preserve">A.1 Geographic Output Spillovers from NASA Climate Research and Technology Investment</w:t>
      </w:r>
    </w:p>
    <w:p>
      <w:pPr>
        <w:pStyle w:val="FirstParagraph"/>
        <w:spacing w:line="480" w:lineRule="auto"/>
      </w:pPr>
      <m:oMathPara>
        <m:oMathParaPr>
          <m:jc m:val="center"/>
        </m:oMathParaPr>
        <m:oMath>
          <m:r>
            <m:rPr>
              <m:sty m:val="p"/>
            </m:rPr>
            <m:t>ln</m:t>
          </m:r>
          <m:r>
            <m:rPr>
              <m:sty m:val="p"/>
            </m:rPr>
            <m:t>(</m:t>
          </m:r>
          <m:sSub>
            <m:e>
              <m:r>
                <m:t>S</m:t>
              </m:r>
            </m:e>
            <m:sub>
              <m:r>
                <m:t>i</m:t>
              </m:r>
            </m:sub>
          </m:sSub>
          <m:r>
            <m:rPr>
              <m:sty m:val="p"/>
            </m:rPr>
            <m:t>+</m:t>
          </m:r>
          <m:r>
            <m:t>1</m:t>
          </m:r>
          <m:r>
            <m:rPr>
              <m:sty m:val="p"/>
            </m:rPr>
            <m:t>)</m:t>
          </m:r>
          <m:r>
            <m:rPr>
              <m:sty m:val="p"/>
            </m:rPr>
            <m:t>=</m:t>
          </m:r>
          <m:r>
            <m:t>α</m:t>
          </m:r>
          <m:r>
            <m:rPr>
              <m:sty m:val="p"/>
            </m:rPr>
            <m:t>+</m:t>
          </m:r>
          <m:sSub>
            <m:e>
              <m:r>
                <m:t>β</m:t>
              </m:r>
            </m:e>
            <m:sub>
              <m:r>
                <m:t>1</m:t>
              </m:r>
            </m:sub>
          </m:sSub>
          <m:r>
            <m:rPr>
              <m:sty m:val="p"/>
            </m:rPr>
            <m:t>ln</m:t>
          </m:r>
          <m:r>
            <m:rPr>
              <m:sty m:val="p"/>
            </m:rPr>
            <m:t>(</m:t>
          </m:r>
          <m:sSub>
            <m:e>
              <m:r>
                <m:t>D</m:t>
              </m:r>
            </m:e>
            <m:sub>
              <m:r>
                <m:t>i</m:t>
              </m:r>
            </m:sub>
          </m:sSub>
          <m:r>
            <m:rPr>
              <m:sty m:val="p"/>
            </m:rPr>
            <m:t>+</m:t>
          </m:r>
          <m:r>
            <m:t>1</m:t>
          </m:r>
          <m:r>
            <m:rPr>
              <m:sty m:val="p"/>
            </m:rPr>
            <m:t>)</m:t>
          </m:r>
          <m:r>
            <m:rPr>
              <m:sty m:val="p"/>
            </m:rPr>
            <m:t>+</m:t>
          </m:r>
          <m:sSub>
            <m:e>
              <m:r>
                <m:t>β</m:t>
              </m:r>
            </m:e>
            <m:sub>
              <m:r>
                <m:t>2</m:t>
              </m:r>
            </m:sub>
          </m:sSub>
          <m:sSub>
            <m:e>
              <m:r>
                <m:t>C</m:t>
              </m:r>
            </m:e>
            <m:sub>
              <m:r>
                <m:t>i</m:t>
              </m:r>
            </m:sub>
          </m:sSub>
          <m:r>
            <m:rPr>
              <m:sty m:val="p"/>
            </m:rPr>
            <m:t>+</m:t>
          </m:r>
          <m:sSub>
            <m:e>
              <m:r>
                <m:t>ε</m:t>
              </m:r>
            </m:e>
            <m:sub>
              <m:r>
                <m:t>i</m:t>
              </m:r>
            </m:sub>
          </m:sSub>
        </m:oMath>
      </m:oMathPara>
    </w:p>
    <w:bookmarkStart w:id="235"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8.5453</w:t>
            </w:r>
          </w:p>
        </w:tc>
        <w:tc>
          <w:tcPr>
            <w:tcW w:w="0" w:type="auto"/>
          </w:tcPr>
          <w:p>
            <w:pPr>
              <w:spacing w:line="240" w:lineRule="auto" w:before="0" w:after="0"/>
              <w:pStyle w:val="Compact"/>
            </w:pPr>
            <w:r>
              <w:rPr>
                <w:sz w:val="20"/>
                <w:szCs w:val="20"/>
              </w:rPr>
              <w:t xml:space="preserve">0.6652</w:t>
            </w:r>
          </w:p>
        </w:tc>
        <w:tc>
          <w:tcPr>
            <w:tcW w:w="0" w:type="auto"/>
          </w:tcPr>
          <w:p>
            <w:pPr>
              <w:spacing w:line="240" w:lineRule="auto" w:before="0" w:after="0"/>
              <w:pStyle w:val="Compact"/>
            </w:pPr>
            <w:r>
              <w:rPr>
                <w:sz w:val="20"/>
                <w:szCs w:val="20"/>
              </w:rPr>
              <w:t xml:space="preserve">12.8461</w:t>
            </w:r>
          </w:p>
        </w:tc>
        <w:tc>
          <w:tcPr>
            <w:tcW w:w="0" w:type="auto"/>
          </w:tcPr>
          <w:p>
            <w:pPr>
              <w:spacing w:line="240" w:lineRule="auto" w:before="0" w:after="0"/>
              <w:pStyle w:val="Compact"/>
            </w:pPr>
            <w:r>
              <w:rPr>
                <w:sz w:val="20"/>
                <w:szCs w:val="20"/>
              </w:rPr>
              <w:t xml:space="preserve">9.042e-38</w:t>
            </w:r>
          </w:p>
        </w:tc>
        <w:tc>
          <w:tcPr>
            <w:tcW w:w="0" w:type="auto"/>
          </w:tcPr>
          <w:p>
            <w:pPr>
              <w:spacing w:line="240" w:lineRule="auto" w:before="0" w:after="0"/>
              <w:pStyle w:val="Compact"/>
            </w:pPr>
            <w:r>
              <w:rPr>
                <w:sz w:val="20"/>
                <w:szCs w:val="20"/>
              </w:rPr>
              <w:t xml:space="preserve">[7.2415, 9.8491]</w:t>
            </w:r>
          </w:p>
        </w:tc>
      </w:tr>
      <w:tr>
        <w:tc>
          <w:tcPr>
            <w:tcW w:w="0" w:type="auto"/>
          </w:tcPr>
          <w:p>
            <w:pPr>
              <w:spacing w:line="240" w:lineRule="auto" w:before="0" w:after="0"/>
              <w:pStyle w:val="Compact"/>
            </w:pPr>
            <w:r>
              <w:rPr>
                <w:sz w:val="20"/>
                <w:szCs w:val="20"/>
              </w:rPr>
              <w:t xml:space="preserve">log_direct_output</w:t>
            </w:r>
          </w:p>
        </w:tc>
        <w:tc>
          <w:tcPr>
            <w:tcW w:w="0" w:type="auto"/>
          </w:tcPr>
          <w:p>
            <w:pPr>
              <w:spacing w:line="240" w:lineRule="auto" w:before="0" w:after="0"/>
              <w:pStyle w:val="Compact"/>
            </w:pPr>
            <w:r>
              <w:rPr>
                <w:sz w:val="20"/>
                <w:szCs w:val="20"/>
              </w:rPr>
              <w:t xml:space="preserve">0.2552</w:t>
            </w:r>
          </w:p>
        </w:tc>
        <w:tc>
          <w:tcPr>
            <w:tcW w:w="0" w:type="auto"/>
          </w:tcPr>
          <w:p>
            <w:pPr>
              <w:spacing w:line="240" w:lineRule="auto" w:before="0" w:after="0"/>
              <w:pStyle w:val="Compact"/>
            </w:pPr>
            <w:r>
              <w:rPr>
                <w:sz w:val="20"/>
                <w:szCs w:val="20"/>
              </w:rPr>
              <w:t xml:space="preserve">0.103</w:t>
            </w:r>
          </w:p>
        </w:tc>
        <w:tc>
          <w:tcPr>
            <w:tcW w:w="0" w:type="auto"/>
          </w:tcPr>
          <w:p>
            <w:pPr>
              <w:spacing w:line="240" w:lineRule="auto" w:before="0" w:after="0"/>
              <w:pStyle w:val="Compact"/>
            </w:pPr>
            <w:r>
              <w:rPr>
                <w:sz w:val="20"/>
                <w:szCs w:val="20"/>
              </w:rPr>
              <w:t xml:space="preserve">2.4785</w:t>
            </w:r>
          </w:p>
        </w:tc>
        <w:tc>
          <w:tcPr>
            <w:tcW w:w="0" w:type="auto"/>
          </w:tcPr>
          <w:p>
            <w:pPr>
              <w:spacing w:line="240" w:lineRule="auto" w:before="0" w:after="0"/>
              <w:pStyle w:val="Compact"/>
            </w:pPr>
            <w:r>
              <w:rPr>
                <w:sz w:val="20"/>
                <w:szCs w:val="20"/>
              </w:rPr>
              <w:t xml:space="preserve">0.0132</w:t>
            </w:r>
          </w:p>
        </w:tc>
        <w:tc>
          <w:tcPr>
            <w:tcW w:w="0" w:type="auto"/>
          </w:tcPr>
          <w:p>
            <w:pPr>
              <w:spacing w:line="240" w:lineRule="auto" w:before="0" w:after="0"/>
              <w:pStyle w:val="Compact"/>
            </w:pPr>
            <w:r>
              <w:rPr>
                <w:sz w:val="20"/>
                <w:szCs w:val="20"/>
              </w:rPr>
              <w:t xml:space="preserve">[0.0534, 0.457]</w:t>
            </w:r>
          </w:p>
        </w:tc>
      </w:tr>
      <w:tr>
        <w:tc>
          <w:tcPr>
            <w:tcW w:w="0" w:type="auto"/>
          </w:tcPr>
          <w:p>
            <w:pPr>
              <w:spacing w:line="240" w:lineRule="auto" w:before="0" w:after="0"/>
              <w:pStyle w:val="Compact"/>
            </w:pPr>
            <w:r>
              <w:rPr>
                <w:sz w:val="20"/>
                <w:szCs w:val="20"/>
              </w:rPr>
              <w:t xml:space="preserve">nasa_center_state</w:t>
            </w:r>
          </w:p>
        </w:tc>
        <w:tc>
          <w:tcPr>
            <w:tcW w:w="0" w:type="auto"/>
          </w:tcPr>
          <w:p>
            <w:pPr>
              <w:spacing w:line="240" w:lineRule="auto" w:before="0" w:after="0"/>
              <w:pStyle w:val="Compact"/>
            </w:pPr>
            <w:r>
              <w:rPr>
                <w:sz w:val="20"/>
                <w:szCs w:val="20"/>
              </w:rPr>
              <w:t xml:space="preserve">1.6634</w:t>
            </w:r>
          </w:p>
        </w:tc>
        <w:tc>
          <w:tcPr>
            <w:tcW w:w="0" w:type="auto"/>
          </w:tcPr>
          <w:p>
            <w:pPr>
              <w:spacing w:line="240" w:lineRule="auto" w:before="0" w:after="0"/>
              <w:pStyle w:val="Compact"/>
            </w:pPr>
            <w:r>
              <w:rPr>
                <w:sz w:val="20"/>
                <w:szCs w:val="20"/>
              </w:rPr>
              <w:t xml:space="preserve">0.6387</w:t>
            </w:r>
          </w:p>
        </w:tc>
        <w:tc>
          <w:tcPr>
            <w:tcW w:w="0" w:type="auto"/>
          </w:tcPr>
          <w:p>
            <w:pPr>
              <w:spacing w:line="240" w:lineRule="auto" w:before="0" w:after="0"/>
              <w:pStyle w:val="Compact"/>
            </w:pPr>
            <w:r>
              <w:rPr>
                <w:sz w:val="20"/>
                <w:szCs w:val="20"/>
              </w:rPr>
              <w:t xml:space="preserve">2.6044</w:t>
            </w:r>
          </w:p>
        </w:tc>
        <w:tc>
          <w:tcPr>
            <w:tcW w:w="0" w:type="auto"/>
          </w:tcPr>
          <w:p>
            <w:pPr>
              <w:spacing w:line="240" w:lineRule="auto" w:before="0" w:after="0"/>
              <w:pStyle w:val="Compact"/>
            </w:pPr>
            <w:r>
              <w:rPr>
                <w:sz w:val="20"/>
                <w:szCs w:val="20"/>
              </w:rPr>
              <w:t xml:space="preserve">0.0092</w:t>
            </w:r>
          </w:p>
        </w:tc>
        <w:tc>
          <w:tcPr>
            <w:tcW w:w="0" w:type="auto"/>
          </w:tcPr>
          <w:p>
            <w:pPr>
              <w:spacing w:line="240" w:lineRule="auto" w:before="0" w:after="0"/>
              <w:pStyle w:val="Compact"/>
            </w:pPr>
            <w:r>
              <w:rPr>
                <w:sz w:val="20"/>
                <w:szCs w:val="20"/>
              </w:rPr>
              <w:t xml:space="preserve">[0.4116, 2.9151]</w:t>
            </w:r>
          </w:p>
        </w:tc>
      </w:tr>
    </w:tbl>
    <w:p>
      <w:pPr>
        <w:pStyle w:val="BodyText"/>
        <w:spacing w:line="480" w:lineRule="auto"/>
        <w:ind w:firstLine="720"/>
      </w:pPr>
      <w:r>
        <w:t xml:space="preserve">Fit: N = 35 R2 = 0.5291 R2_adj = 0.4997 F = 34.1607 F_p = 1.148e-08</w:t>
      </w:r>
    </w:p>
    <w:bookmarkEnd w:id="235"/>
    <w:bookmarkStart w:id="239"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Figure 1. State direct output and broader output associated with NASA climate research and technology investment." title="" id="237" name="Picture"/>
            <a:graphic>
              <a:graphicData uri="http://schemas.openxmlformats.org/drawingml/2006/picture">
                <pic:pic>
                  <pic:nvPicPr>
                    <pic:cNvPr descr="D:/Claude_Code/brain/collegium/candidates/dissertations/SPACE_ECON_10/research_papers/p1/paper_fig1.png" id="238" name="Picture"/>
                    <pic:cNvPicPr>
                      <a:picLocks noChangeArrowheads="1" noChangeAspect="1"/>
                    </pic:cNvPicPr>
                  </pic:nvPicPr>
                  <pic:blipFill>
                    <a:blip r:embed="rId23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Figure 1. State direct output and broader output associated with NASA climate research and technology investment.</w:t>
      </w:r>
    </w:p>
    <w:bookmarkEnd w:id="239"/>
    <w:bookmarkStart w:id="240"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state</w:t>
            </w:r>
          </w:p>
        </w:tc>
        <w:tc>
          <w:tcPr>
            <w:tcW w:w="0" w:type="auto"/>
          </w:tcPr>
          <w:p>
            <w:pPr>
              <w:spacing w:line="240" w:lineRule="auto" w:before="0" w:after="0"/>
              <w:pStyle w:val="Compact"/>
            </w:pPr>
            <w:r>
              <w:rPr>
                <w:sz w:val="20"/>
                <w:szCs w:val="20"/>
              </w:rPr>
              <w:t xml:space="preserve">direct_output_thousands</w:t>
            </w:r>
          </w:p>
        </w:tc>
        <w:tc>
          <w:tcPr>
            <w:tcW w:w="0" w:type="auto"/>
          </w:tcPr>
          <w:p>
            <w:pPr>
              <w:spacing w:line="240" w:lineRule="auto" w:before="0" w:after="0"/>
              <w:pStyle w:val="Compact"/>
            </w:pPr>
            <w:r>
              <w:rPr>
                <w:sz w:val="20"/>
                <w:szCs w:val="20"/>
              </w:rPr>
              <w:t xml:space="preserve">spillover_output_thousands</w:t>
            </w:r>
          </w:p>
        </w:tc>
        <w:tc>
          <w:tcPr>
            <w:tcW w:w="0" w:type="auto"/>
          </w:tcPr>
          <w:p>
            <w:pPr>
              <w:spacing w:line="240" w:lineRule="auto" w:before="0" w:after="0"/>
              <w:pStyle w:val="Compact"/>
            </w:pPr>
            <w:r>
              <w:rPr>
                <w:sz w:val="20"/>
                <w:szCs w:val="20"/>
              </w:rPr>
              <w:t xml:space="preserve">log_direct_output</w:t>
            </w:r>
          </w:p>
        </w:tc>
        <w:tc>
          <w:tcPr>
            <w:tcW w:w="0" w:type="auto"/>
          </w:tcPr>
          <w:p>
            <w:pPr>
              <w:spacing w:line="240" w:lineRule="auto" w:before="0" w:after="0"/>
              <w:pStyle w:val="Compact"/>
            </w:pPr>
            <w:r>
              <w:rPr>
                <w:sz w:val="20"/>
                <w:szCs w:val="20"/>
              </w:rPr>
              <w:t xml:space="preserve">log_spillover_output</w:t>
            </w:r>
          </w:p>
        </w:tc>
        <w:tc>
          <w:tcPr>
            <w:tcW w:w="0" w:type="auto"/>
          </w:tcPr>
          <w:p>
            <w:pPr>
              <w:spacing w:line="240" w:lineRule="auto" w:before="0" w:after="0"/>
              <w:pStyle w:val="Compact"/>
            </w:pPr>
            <w:r>
              <w:rPr>
                <w:sz w:val="20"/>
                <w:szCs w:val="20"/>
              </w:rPr>
              <w:t xml:space="preserve">nasa_center_state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Alabama</w:t>
            </w:r>
          </w:p>
        </w:tc>
        <w:tc>
          <w:tcPr>
            <w:tcW w:w="0" w:type="auto"/>
          </w:tcPr>
          <w:p>
            <w:pPr>
              <w:spacing w:line="240" w:lineRule="auto" w:before="0" w:after="0"/>
              <w:pStyle w:val="Compact"/>
            </w:pPr>
            <w:r>
              <w:rPr>
                <w:sz w:val="20"/>
                <w:szCs w:val="20"/>
              </w:rPr>
              <w:t xml:space="preserve">28179</w:t>
            </w:r>
          </w:p>
        </w:tc>
        <w:tc>
          <w:tcPr>
            <w:tcW w:w="0" w:type="auto"/>
          </w:tcPr>
          <w:p>
            <w:pPr>
              <w:spacing w:line="240" w:lineRule="auto" w:before="0" w:after="0"/>
              <w:pStyle w:val="Compact"/>
            </w:pPr>
            <w:r>
              <w:rPr>
                <w:sz w:val="20"/>
                <w:szCs w:val="20"/>
              </w:rPr>
              <w:t xml:space="preserve">299377</w:t>
            </w:r>
          </w:p>
        </w:tc>
        <w:tc>
          <w:tcPr>
            <w:tcW w:w="0" w:type="auto"/>
          </w:tcPr>
          <w:p>
            <w:pPr>
              <w:spacing w:line="240" w:lineRule="auto" w:before="0" w:after="0"/>
              <w:pStyle w:val="Compact"/>
            </w:pPr>
            <w:r>
              <w:rPr>
                <w:sz w:val="20"/>
                <w:szCs w:val="20"/>
              </w:rPr>
              <w:t xml:space="preserve">10.2464</w:t>
            </w:r>
          </w:p>
        </w:tc>
        <w:tc>
          <w:tcPr>
            <w:tcW w:w="0" w:type="auto"/>
          </w:tcPr>
          <w:p>
            <w:pPr>
              <w:spacing w:line="240" w:lineRule="auto" w:before="0" w:after="0"/>
              <w:pStyle w:val="Compact"/>
            </w:pPr>
            <w:r>
              <w:rPr>
                <w:sz w:val="20"/>
                <w:szCs w:val="20"/>
              </w:rPr>
              <w:t xml:space="preserve">12.6095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25 Climate Change Research and Technology impacts Alabama</w:t>
            </w:r>
          </w:p>
        </w:tc>
      </w:tr>
      <w:tr>
        <w:tc>
          <w:tcPr>
            <w:tcW w:w="0" w:type="auto"/>
          </w:tcPr>
          <w:p>
            <w:pPr>
              <w:spacing w:line="240" w:lineRule="auto" w:before="0" w:after="0"/>
              <w:pStyle w:val="Compact"/>
            </w:pPr>
            <w:r>
              <w:rPr>
                <w:sz w:val="20"/>
                <w:szCs w:val="20"/>
              </w:rPr>
              <w:t xml:space="preserve">California</w:t>
            </w:r>
          </w:p>
        </w:tc>
        <w:tc>
          <w:tcPr>
            <w:tcW w:w="0" w:type="auto"/>
          </w:tcPr>
          <w:p>
            <w:pPr>
              <w:spacing w:line="240" w:lineRule="auto" w:before="0" w:after="0"/>
              <w:pStyle w:val="Compact"/>
            </w:pPr>
            <w:r>
              <w:rPr>
                <w:sz w:val="20"/>
                <w:szCs w:val="20"/>
              </w:rPr>
              <w:t xml:space="preserve">210808</w:t>
            </w:r>
          </w:p>
        </w:tc>
        <w:tc>
          <w:tcPr>
            <w:tcW w:w="0" w:type="auto"/>
          </w:tcPr>
          <w:p>
            <w:pPr>
              <w:spacing w:line="240" w:lineRule="auto" w:before="0" w:after="0"/>
              <w:pStyle w:val="Compact"/>
            </w:pPr>
            <w:r>
              <w:rPr>
                <w:sz w:val="20"/>
                <w:szCs w:val="20"/>
              </w:rPr>
              <w:t xml:space="preserve">1614979</w:t>
            </w:r>
          </w:p>
        </w:tc>
        <w:tc>
          <w:tcPr>
            <w:tcW w:w="0" w:type="auto"/>
          </w:tcPr>
          <w:p>
            <w:pPr>
              <w:spacing w:line="240" w:lineRule="auto" w:before="0" w:after="0"/>
              <w:pStyle w:val="Compact"/>
            </w:pPr>
            <w:r>
              <w:rPr>
                <w:sz w:val="20"/>
                <w:szCs w:val="20"/>
              </w:rPr>
              <w:t xml:space="preserve">12.2587</w:t>
            </w:r>
          </w:p>
        </w:tc>
        <w:tc>
          <w:tcPr>
            <w:tcW w:w="0" w:type="auto"/>
          </w:tcPr>
          <w:p>
            <w:pPr>
              <w:spacing w:line="240" w:lineRule="auto" w:before="0" w:after="0"/>
              <w:pStyle w:val="Compact"/>
            </w:pPr>
            <w:r>
              <w:rPr>
                <w:sz w:val="20"/>
                <w:szCs w:val="20"/>
              </w:rPr>
              <w:t xml:space="preserve">14.2948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61 Climate Change Research and Technology impacts California</w:t>
            </w:r>
          </w:p>
        </w:tc>
      </w:tr>
      <w:tr>
        <w:tc>
          <w:tcPr>
            <w:tcW w:w="0" w:type="auto"/>
          </w:tcPr>
          <w:p>
            <w:pPr>
              <w:spacing w:line="240" w:lineRule="auto" w:before="0" w:after="0"/>
              <w:pStyle w:val="Compact"/>
            </w:pPr>
            <w:r>
              <w:rPr>
                <w:sz w:val="20"/>
                <w:szCs w:val="20"/>
              </w:rPr>
              <w:t xml:space="preserve">Colorado</w:t>
            </w:r>
          </w:p>
        </w:tc>
        <w:tc>
          <w:tcPr>
            <w:tcW w:w="0" w:type="auto"/>
          </w:tcPr>
          <w:p>
            <w:pPr>
              <w:spacing w:line="240" w:lineRule="auto" w:before="0" w:after="0"/>
              <w:pStyle w:val="Compact"/>
            </w:pPr>
            <w:r>
              <w:rPr>
                <w:sz w:val="20"/>
                <w:szCs w:val="20"/>
              </w:rPr>
              <w:t xml:space="preserve">4031</w:t>
            </w:r>
          </w:p>
        </w:tc>
        <w:tc>
          <w:tcPr>
            <w:tcW w:w="0" w:type="auto"/>
          </w:tcPr>
          <w:p>
            <w:pPr>
              <w:spacing w:line="240" w:lineRule="auto" w:before="0" w:after="0"/>
              <w:pStyle w:val="Compact"/>
            </w:pPr>
            <w:r>
              <w:rPr>
                <w:sz w:val="20"/>
                <w:szCs w:val="20"/>
              </w:rPr>
              <w:t xml:space="preserve">538987</w:t>
            </w:r>
          </w:p>
        </w:tc>
        <w:tc>
          <w:tcPr>
            <w:tcW w:w="0" w:type="auto"/>
          </w:tcPr>
          <w:p>
            <w:pPr>
              <w:spacing w:line="240" w:lineRule="auto" w:before="0" w:after="0"/>
              <w:pStyle w:val="Compact"/>
            </w:pPr>
            <w:r>
              <w:rPr>
                <w:sz w:val="20"/>
                <w:szCs w:val="20"/>
              </w:rPr>
              <w:t xml:space="preserve">8.302</w:t>
            </w:r>
          </w:p>
        </w:tc>
        <w:tc>
          <w:tcPr>
            <w:tcW w:w="0" w:type="auto"/>
          </w:tcPr>
          <w:p>
            <w:pPr>
              <w:spacing w:line="240" w:lineRule="auto" w:before="0" w:after="0"/>
              <w:pStyle w:val="Compact"/>
            </w:pPr>
            <w:r>
              <w:rPr>
                <w:sz w:val="20"/>
                <w:szCs w:val="20"/>
              </w:rPr>
              <w:t xml:space="preserve">13.1974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72 Climate Change Research and Technology impacts Colorado</w:t>
            </w:r>
          </w:p>
        </w:tc>
      </w:tr>
      <w:tr>
        <w:tc>
          <w:tcPr>
            <w:tcW w:w="0" w:type="auto"/>
          </w:tcPr>
          <w:p>
            <w:pPr>
              <w:spacing w:line="240" w:lineRule="auto" w:before="0" w:after="0"/>
              <w:pStyle w:val="Compact"/>
            </w:pPr>
            <w:r>
              <w:rPr>
                <w:sz w:val="20"/>
                <w:szCs w:val="20"/>
              </w:rPr>
              <w:t xml:space="preserve">Connecticut</w:t>
            </w:r>
          </w:p>
        </w:tc>
        <w:tc>
          <w:tcPr>
            <w:tcW w:w="0" w:type="auto"/>
          </w:tcPr>
          <w:p>
            <w:pPr>
              <w:spacing w:line="240" w:lineRule="auto" w:before="0" w:after="0"/>
              <w:pStyle w:val="Compact"/>
            </w:pPr>
            <w:r>
              <w:rPr>
                <w:sz w:val="20"/>
                <w:szCs w:val="20"/>
              </w:rPr>
              <w:t xml:space="preserve">1037</w:t>
            </w:r>
          </w:p>
        </w:tc>
        <w:tc>
          <w:tcPr>
            <w:tcW w:w="0" w:type="auto"/>
          </w:tcPr>
          <w:p>
            <w:pPr>
              <w:spacing w:line="240" w:lineRule="auto" w:before="0" w:after="0"/>
              <w:pStyle w:val="Compact"/>
            </w:pPr>
            <w:r>
              <w:rPr>
                <w:sz w:val="20"/>
                <w:szCs w:val="20"/>
              </w:rPr>
              <w:t xml:space="preserve">32975</w:t>
            </w:r>
          </w:p>
        </w:tc>
        <w:tc>
          <w:tcPr>
            <w:tcW w:w="0" w:type="auto"/>
          </w:tcPr>
          <w:p>
            <w:pPr>
              <w:spacing w:line="240" w:lineRule="auto" w:before="0" w:after="0"/>
              <w:pStyle w:val="Compact"/>
            </w:pPr>
            <w:r>
              <w:rPr>
                <w:sz w:val="20"/>
                <w:szCs w:val="20"/>
              </w:rPr>
              <w:t xml:space="preserve">6.9451</w:t>
            </w:r>
          </w:p>
        </w:tc>
        <w:tc>
          <w:tcPr>
            <w:tcW w:w="0" w:type="auto"/>
          </w:tcPr>
          <w:p>
            <w:pPr>
              <w:spacing w:line="240" w:lineRule="auto" w:before="0" w:after="0"/>
              <w:pStyle w:val="Compact"/>
            </w:pPr>
            <w:r>
              <w:rPr>
                <w:sz w:val="20"/>
                <w:szCs w:val="20"/>
              </w:rPr>
              <w:t xml:space="preserve">10.4035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83 Climate Change Research and Technology impacts Connecticut</w:t>
            </w:r>
          </w:p>
        </w:tc>
      </w:tr>
      <w:tr>
        <w:tc>
          <w:tcPr>
            <w:tcW w:w="0" w:type="auto"/>
          </w:tcPr>
          <w:p>
            <w:pPr>
              <w:spacing w:line="240" w:lineRule="auto" w:before="0" w:after="0"/>
              <w:pStyle w:val="Compact"/>
            </w:pPr>
            <w:r>
              <w:rPr>
                <w:sz w:val="20"/>
                <w:szCs w:val="20"/>
              </w:rPr>
              <w:t xml:space="preserve">Florida</w:t>
            </w:r>
          </w:p>
        </w:tc>
        <w:tc>
          <w:tcPr>
            <w:tcW w:w="0" w:type="auto"/>
          </w:tcPr>
          <w:p>
            <w:pPr>
              <w:spacing w:line="240" w:lineRule="auto" w:before="0" w:after="0"/>
              <w:pStyle w:val="Compact"/>
            </w:pPr>
            <w:r>
              <w:rPr>
                <w:sz w:val="20"/>
                <w:szCs w:val="20"/>
              </w:rPr>
              <w:t xml:space="preserve">10214</w:t>
            </w:r>
          </w:p>
        </w:tc>
        <w:tc>
          <w:tcPr>
            <w:tcW w:w="0" w:type="auto"/>
          </w:tcPr>
          <w:p>
            <w:pPr>
              <w:spacing w:line="240" w:lineRule="auto" w:before="0" w:after="0"/>
              <w:pStyle w:val="Compact"/>
            </w:pPr>
            <w:r>
              <w:rPr>
                <w:sz w:val="20"/>
                <w:szCs w:val="20"/>
              </w:rPr>
              <w:t xml:space="preserve">448685</w:t>
            </w:r>
          </w:p>
        </w:tc>
        <w:tc>
          <w:tcPr>
            <w:tcW w:w="0" w:type="auto"/>
          </w:tcPr>
          <w:p>
            <w:pPr>
              <w:spacing w:line="240" w:lineRule="auto" w:before="0" w:after="0"/>
              <w:pStyle w:val="Compact"/>
            </w:pPr>
            <w:r>
              <w:rPr>
                <w:sz w:val="20"/>
                <w:szCs w:val="20"/>
              </w:rPr>
              <w:t xml:space="preserve">9.2316</w:t>
            </w:r>
          </w:p>
        </w:tc>
        <w:tc>
          <w:tcPr>
            <w:tcW w:w="0" w:type="auto"/>
          </w:tcPr>
          <w:p>
            <w:pPr>
              <w:spacing w:line="240" w:lineRule="auto" w:before="0" w:after="0"/>
              <w:pStyle w:val="Compact"/>
            </w:pPr>
            <w:r>
              <w:rPr>
                <w:sz w:val="20"/>
                <w:szCs w:val="20"/>
              </w:rPr>
              <w:t xml:space="preserve">13.0141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105 Climate Change Research and Technology impacts Florida</w:t>
            </w:r>
          </w:p>
        </w:tc>
      </w:tr>
      <w:tr>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866</w:t>
            </w:r>
          </w:p>
        </w:tc>
        <w:tc>
          <w:tcPr>
            <w:tcW w:w="0" w:type="auto"/>
          </w:tcPr>
          <w:p>
            <w:pPr>
              <w:spacing w:line="240" w:lineRule="auto" w:before="0" w:after="0"/>
              <w:pStyle w:val="Compact"/>
            </w:pPr>
            <w:r>
              <w:rPr>
                <w:sz w:val="20"/>
                <w:szCs w:val="20"/>
              </w:rPr>
              <w:t xml:space="preserve">30671</w:t>
            </w:r>
          </w:p>
        </w:tc>
        <w:tc>
          <w:tcPr>
            <w:tcW w:w="0" w:type="auto"/>
          </w:tcPr>
          <w:p>
            <w:pPr>
              <w:spacing w:line="240" w:lineRule="auto" w:before="0" w:after="0"/>
              <w:pStyle w:val="Compact"/>
            </w:pPr>
            <w:r>
              <w:rPr>
                <w:sz w:val="20"/>
                <w:szCs w:val="20"/>
              </w:rPr>
              <w:t xml:space="preserve">6.765</w:t>
            </w:r>
          </w:p>
        </w:tc>
        <w:tc>
          <w:tcPr>
            <w:tcW w:w="0" w:type="auto"/>
          </w:tcPr>
          <w:p>
            <w:pPr>
              <w:spacing w:line="240" w:lineRule="auto" w:before="0" w:after="0"/>
              <w:pStyle w:val="Compact"/>
            </w:pPr>
            <w:r>
              <w:rPr>
                <w:sz w:val="20"/>
                <w:szCs w:val="20"/>
              </w:rPr>
              <w:t xml:space="preserve">10.3311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116 Climate Change Research and Technology impacts Georgia</w:t>
            </w:r>
          </w:p>
        </w:tc>
      </w:tr>
      <w:tr>
        <w:tc>
          <w:tcPr>
            <w:tcW w:w="0" w:type="auto"/>
          </w:tcPr>
          <w:p>
            <w:pPr>
              <w:spacing w:line="240" w:lineRule="auto" w:before="0" w:after="0"/>
              <w:pStyle w:val="Compact"/>
            </w:pPr>
            <w:r>
              <w:rPr>
                <w:sz w:val="20"/>
                <w:szCs w:val="20"/>
              </w:rPr>
              <w:t xml:space="preserve">Hawaii</w:t>
            </w:r>
          </w:p>
        </w:tc>
        <w:tc>
          <w:tcPr>
            <w:tcW w:w="0" w:type="auto"/>
          </w:tcPr>
          <w:p>
            <w:pPr>
              <w:spacing w:line="240" w:lineRule="auto" w:before="0" w:after="0"/>
              <w:pStyle w:val="Compact"/>
            </w:pPr>
            <w:r>
              <w:rPr>
                <w:sz w:val="20"/>
                <w:szCs w:val="20"/>
              </w:rPr>
              <w:t xml:space="preserve">544</w:t>
            </w:r>
          </w:p>
        </w:tc>
        <w:tc>
          <w:tcPr>
            <w:tcW w:w="0" w:type="auto"/>
          </w:tcPr>
          <w:p>
            <w:pPr>
              <w:spacing w:line="240" w:lineRule="auto" w:before="0" w:after="0"/>
              <w:pStyle w:val="Compact"/>
            </w:pPr>
            <w:r>
              <w:rPr>
                <w:sz w:val="20"/>
                <w:szCs w:val="20"/>
              </w:rPr>
              <w:t xml:space="preserve">10327</w:t>
            </w:r>
          </w:p>
        </w:tc>
        <w:tc>
          <w:tcPr>
            <w:tcW w:w="0" w:type="auto"/>
          </w:tcPr>
          <w:p>
            <w:pPr>
              <w:spacing w:line="240" w:lineRule="auto" w:before="0" w:after="0"/>
              <w:pStyle w:val="Compact"/>
            </w:pPr>
            <w:r>
              <w:rPr>
                <w:sz w:val="20"/>
                <w:szCs w:val="20"/>
              </w:rPr>
              <w:t xml:space="preserve">6.3008</w:t>
            </w:r>
          </w:p>
        </w:tc>
        <w:tc>
          <w:tcPr>
            <w:tcW w:w="0" w:type="auto"/>
          </w:tcPr>
          <w:p>
            <w:pPr>
              <w:spacing w:line="240" w:lineRule="auto" w:before="0" w:after="0"/>
              <w:pStyle w:val="Compact"/>
            </w:pPr>
            <w:r>
              <w:rPr>
                <w:sz w:val="20"/>
                <w:szCs w:val="20"/>
              </w:rPr>
              <w:t xml:space="preserve">9.2426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127 Climate Change Research and Technology impacts Hawaii</w:t>
            </w:r>
          </w:p>
        </w:tc>
      </w:tr>
      <w:tr>
        <w:tc>
          <w:tcPr>
            <w:tcW w:w="0" w:type="auto"/>
          </w:tcPr>
          <w:p>
            <w:pPr>
              <w:spacing w:line="240" w:lineRule="auto" w:before="0" w:after="0"/>
              <w:pStyle w:val="Compact"/>
            </w:pPr>
            <w:r>
              <w:rPr>
                <w:sz w:val="20"/>
                <w:szCs w:val="20"/>
              </w:rPr>
              <w:t xml:space="preserve">Illinois</w:t>
            </w:r>
          </w:p>
        </w:tc>
        <w:tc>
          <w:tcPr>
            <w:tcW w:w="0" w:type="auto"/>
          </w:tcPr>
          <w:p>
            <w:pPr>
              <w:spacing w:line="240" w:lineRule="auto" w:before="0" w:after="0"/>
              <w:pStyle w:val="Compact"/>
            </w:pPr>
            <w:r>
              <w:rPr>
                <w:sz w:val="20"/>
                <w:szCs w:val="20"/>
              </w:rPr>
              <w:t xml:space="preserve">252</w:t>
            </w:r>
          </w:p>
        </w:tc>
        <w:tc>
          <w:tcPr>
            <w:tcW w:w="0" w:type="auto"/>
          </w:tcPr>
          <w:p>
            <w:pPr>
              <w:spacing w:line="240" w:lineRule="auto" w:before="0" w:after="0"/>
              <w:pStyle w:val="Compact"/>
            </w:pPr>
            <w:r>
              <w:rPr>
                <w:sz w:val="20"/>
                <w:szCs w:val="20"/>
              </w:rPr>
              <w:t xml:space="preserve">39218</w:t>
            </w:r>
          </w:p>
        </w:tc>
        <w:tc>
          <w:tcPr>
            <w:tcW w:w="0" w:type="auto"/>
          </w:tcPr>
          <w:p>
            <w:pPr>
              <w:spacing w:line="240" w:lineRule="auto" w:before="0" w:after="0"/>
              <w:pStyle w:val="Compact"/>
            </w:pPr>
            <w:r>
              <w:rPr>
                <w:sz w:val="20"/>
                <w:szCs w:val="20"/>
              </w:rPr>
              <w:t xml:space="preserve">5.5334</w:t>
            </w:r>
          </w:p>
        </w:tc>
        <w:tc>
          <w:tcPr>
            <w:tcW w:w="0" w:type="auto"/>
          </w:tcPr>
          <w:p>
            <w:pPr>
              <w:spacing w:line="240" w:lineRule="auto" w:before="0" w:after="0"/>
              <w:pStyle w:val="Compact"/>
            </w:pPr>
            <w:r>
              <w:rPr>
                <w:sz w:val="20"/>
                <w:szCs w:val="20"/>
              </w:rPr>
              <w:t xml:space="preserve">10.5769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149 Climate Change Research and Technology impacts Illinois</w:t>
            </w:r>
          </w:p>
        </w:tc>
      </w:tr>
      <w:tr>
        <w:tc>
          <w:tcPr>
            <w:tcW w:w="0" w:type="auto"/>
          </w:tcPr>
          <w:p>
            <w:pPr>
              <w:spacing w:line="240" w:lineRule="auto" w:before="0" w:after="0"/>
              <w:pStyle w:val="Compact"/>
            </w:pPr>
            <w:r>
              <w:rPr>
                <w:sz w:val="20"/>
                <w:szCs w:val="20"/>
              </w:rPr>
              <w:t xml:space="preserve">Indiana</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16964</w:t>
            </w:r>
          </w:p>
        </w:tc>
        <w:tc>
          <w:tcPr>
            <w:tcW w:w="0" w:type="auto"/>
          </w:tcPr>
          <w:p>
            <w:pPr>
              <w:spacing w:line="240" w:lineRule="auto" w:before="0" w:after="0"/>
              <w:pStyle w:val="Compact"/>
            </w:pPr>
            <w:r>
              <w:rPr>
                <w:sz w:val="20"/>
                <w:szCs w:val="20"/>
              </w:rPr>
              <w:t xml:space="preserve">5.8171</w:t>
            </w:r>
          </w:p>
        </w:tc>
        <w:tc>
          <w:tcPr>
            <w:tcW w:w="0" w:type="auto"/>
          </w:tcPr>
          <w:p>
            <w:pPr>
              <w:spacing w:line="240" w:lineRule="auto" w:before="0" w:after="0"/>
              <w:pStyle w:val="Compact"/>
            </w:pPr>
            <w:r>
              <w:rPr>
                <w:sz w:val="20"/>
                <w:szCs w:val="20"/>
              </w:rPr>
              <w:t xml:space="preserve">9.7389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160 Climate Change Research and Technology impacts Indiana</w:t>
            </w:r>
          </w:p>
        </w:tc>
      </w:tr>
      <w:tr>
        <w:tc>
          <w:tcPr>
            <w:tcW w:w="0" w:type="auto"/>
          </w:tcPr>
          <w:p>
            <w:pPr>
              <w:spacing w:line="240" w:lineRule="auto" w:before="0" w:after="0"/>
              <w:pStyle w:val="Compact"/>
            </w:pPr>
            <w:r>
              <w:rPr>
                <w:sz w:val="20"/>
                <w:szCs w:val="20"/>
              </w:rPr>
              <w:t xml:space="preserve">Kansas</w:t>
            </w:r>
          </w:p>
        </w:tc>
        <w:tc>
          <w:tcPr>
            <w:tcW w:w="0" w:type="auto"/>
          </w:tcPr>
          <w:p>
            <w:pPr>
              <w:spacing w:line="240" w:lineRule="auto" w:before="0" w:after="0"/>
              <w:pStyle w:val="Compact"/>
            </w:pPr>
            <w:r>
              <w:rPr>
                <w:sz w:val="20"/>
                <w:szCs w:val="20"/>
              </w:rPr>
              <w:t xml:space="preserve">1432</w:t>
            </w:r>
          </w:p>
        </w:tc>
        <w:tc>
          <w:tcPr>
            <w:tcW w:w="0" w:type="auto"/>
          </w:tcPr>
          <w:p>
            <w:pPr>
              <w:spacing w:line="240" w:lineRule="auto" w:before="0" w:after="0"/>
              <w:pStyle w:val="Compact"/>
            </w:pPr>
            <w:r>
              <w:rPr>
                <w:sz w:val="20"/>
                <w:szCs w:val="20"/>
              </w:rPr>
              <w:t xml:space="preserve">11443</w:t>
            </w:r>
          </w:p>
        </w:tc>
        <w:tc>
          <w:tcPr>
            <w:tcW w:w="0" w:type="auto"/>
          </w:tcPr>
          <w:p>
            <w:pPr>
              <w:spacing w:line="240" w:lineRule="auto" w:before="0" w:after="0"/>
              <w:pStyle w:val="Compact"/>
            </w:pPr>
            <w:r>
              <w:rPr>
                <w:sz w:val="20"/>
                <w:szCs w:val="20"/>
              </w:rPr>
              <w:t xml:space="preserve">7.2675</w:t>
            </w:r>
          </w:p>
        </w:tc>
        <w:tc>
          <w:tcPr>
            <w:tcW w:w="0" w:type="auto"/>
          </w:tcPr>
          <w:p>
            <w:pPr>
              <w:spacing w:line="240" w:lineRule="auto" w:before="0" w:after="0"/>
              <w:pStyle w:val="Compact"/>
            </w:pPr>
            <w:r>
              <w:rPr>
                <w:sz w:val="20"/>
                <w:szCs w:val="20"/>
              </w:rPr>
              <w:t xml:space="preserve">9.3452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182 Climate Change Research and Technology impacts Kansas</w:t>
            </w:r>
          </w:p>
        </w:tc>
      </w:tr>
      <w:tr>
        <w:tc>
          <w:tcPr>
            <w:tcW w:w="0" w:type="auto"/>
          </w:tcPr>
          <w:p>
            <w:pPr>
              <w:spacing w:line="240" w:lineRule="auto" w:before="0" w:after="0"/>
              <w:pStyle w:val="Compact"/>
            </w:pPr>
            <w:r>
              <w:rPr>
                <w:sz w:val="20"/>
                <w:szCs w:val="20"/>
              </w:rPr>
              <w:t xml:space="preserve">Kentucky</w:t>
            </w:r>
          </w:p>
        </w:tc>
        <w:tc>
          <w:tcPr>
            <w:tcW w:w="0" w:type="auto"/>
          </w:tcPr>
          <w:p>
            <w:pPr>
              <w:spacing w:line="240" w:lineRule="auto" w:before="0" w:after="0"/>
              <w:pStyle w:val="Compact"/>
            </w:pPr>
            <w:r>
              <w:rPr>
                <w:sz w:val="20"/>
                <w:szCs w:val="20"/>
              </w:rPr>
              <w:t xml:space="preserve">480</w:t>
            </w:r>
          </w:p>
        </w:tc>
        <w:tc>
          <w:tcPr>
            <w:tcW w:w="0" w:type="auto"/>
          </w:tcPr>
          <w:p>
            <w:pPr>
              <w:spacing w:line="240" w:lineRule="auto" w:before="0" w:after="0"/>
              <w:pStyle w:val="Compact"/>
            </w:pPr>
            <w:r>
              <w:rPr>
                <w:sz w:val="20"/>
                <w:szCs w:val="20"/>
              </w:rPr>
              <w:t xml:space="preserve">1686</w:t>
            </w:r>
          </w:p>
        </w:tc>
        <w:tc>
          <w:tcPr>
            <w:tcW w:w="0" w:type="auto"/>
          </w:tcPr>
          <w:p>
            <w:pPr>
              <w:spacing w:line="240" w:lineRule="auto" w:before="0" w:after="0"/>
              <w:pStyle w:val="Compact"/>
            </w:pPr>
            <w:r>
              <w:rPr>
                <w:sz w:val="20"/>
                <w:szCs w:val="20"/>
              </w:rPr>
              <w:t xml:space="preserve">6.1759</w:t>
            </w:r>
          </w:p>
        </w:tc>
        <w:tc>
          <w:tcPr>
            <w:tcW w:w="0" w:type="auto"/>
          </w:tcPr>
          <w:p>
            <w:pPr>
              <w:spacing w:line="240" w:lineRule="auto" w:before="0" w:after="0"/>
              <w:pStyle w:val="Compact"/>
            </w:pPr>
            <w:r>
              <w:rPr>
                <w:sz w:val="20"/>
                <w:szCs w:val="20"/>
              </w:rPr>
              <w:t xml:space="preserve">7.4307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193 Climate Change Research and Technology impacts Kentucky</w:t>
            </w:r>
          </w:p>
        </w:tc>
      </w:tr>
      <w:tr>
        <w:tc>
          <w:tcPr>
            <w:tcW w:w="0" w:type="auto"/>
          </w:tcPr>
          <w:p>
            <w:pPr>
              <w:spacing w:line="240" w:lineRule="auto" w:before="0" w:after="0"/>
              <w:pStyle w:val="Compact"/>
            </w:pPr>
            <w:r>
              <w:rPr>
                <w:sz w:val="20"/>
                <w:szCs w:val="20"/>
              </w:rPr>
              <w:t xml:space="preserve">Louisiana</w:t>
            </w:r>
          </w:p>
        </w:tc>
        <w:tc>
          <w:tcPr>
            <w:tcW w:w="0" w:type="auto"/>
          </w:tcPr>
          <w:p>
            <w:pPr>
              <w:spacing w:line="240" w:lineRule="auto" w:before="0" w:after="0"/>
              <w:pStyle w:val="Compact"/>
            </w:pPr>
            <w:r>
              <w:rPr>
                <w:sz w:val="20"/>
                <w:szCs w:val="20"/>
              </w:rPr>
              <w:t xml:space="preserve">1338</w:t>
            </w:r>
          </w:p>
        </w:tc>
        <w:tc>
          <w:tcPr>
            <w:tcW w:w="0" w:type="auto"/>
          </w:tcPr>
          <w:p>
            <w:pPr>
              <w:spacing w:line="240" w:lineRule="auto" w:before="0" w:after="0"/>
              <w:pStyle w:val="Compact"/>
            </w:pPr>
            <w:r>
              <w:rPr>
                <w:sz w:val="20"/>
                <w:szCs w:val="20"/>
              </w:rPr>
              <w:t xml:space="preserve">15915</w:t>
            </w:r>
          </w:p>
        </w:tc>
        <w:tc>
          <w:tcPr>
            <w:tcW w:w="0" w:type="auto"/>
          </w:tcPr>
          <w:p>
            <w:pPr>
              <w:spacing w:line="240" w:lineRule="auto" w:before="0" w:after="0"/>
              <w:pStyle w:val="Compact"/>
            </w:pPr>
            <w:r>
              <w:rPr>
                <w:sz w:val="20"/>
                <w:szCs w:val="20"/>
              </w:rPr>
              <w:t xml:space="preserve">7.1997</w:t>
            </w:r>
          </w:p>
        </w:tc>
        <w:tc>
          <w:tcPr>
            <w:tcW w:w="0" w:type="auto"/>
          </w:tcPr>
          <w:p>
            <w:pPr>
              <w:spacing w:line="240" w:lineRule="auto" w:before="0" w:after="0"/>
              <w:pStyle w:val="Compact"/>
            </w:pPr>
            <w:r>
              <w:rPr>
                <w:sz w:val="20"/>
                <w:szCs w:val="20"/>
              </w:rPr>
              <w:t xml:space="preserve">9.6751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204 Climate Change Research and Technology impacts Louisiana</w:t>
            </w:r>
          </w:p>
        </w:tc>
      </w:tr>
      <w:tr>
        <w:tc>
          <w:tcPr>
            <w:tcW w:w="0" w:type="auto"/>
          </w:tcPr>
          <w:p>
            <w:pPr>
              <w:spacing w:line="240" w:lineRule="auto" w:before="0" w:after="0"/>
              <w:pStyle w:val="Compact"/>
            </w:pPr>
            <w:r>
              <w:rPr>
                <w:sz w:val="20"/>
                <w:szCs w:val="20"/>
              </w:rPr>
              <w:t xml:space="preserve">Maine</w:t>
            </w:r>
          </w:p>
        </w:tc>
        <w:tc>
          <w:tcPr>
            <w:tcW w:w="0" w:type="auto"/>
          </w:tcPr>
          <w:p>
            <w:pPr>
              <w:spacing w:line="240" w:lineRule="auto" w:before="0" w:after="0"/>
              <w:pStyle w:val="Compact"/>
            </w:pPr>
            <w:r>
              <w:rPr>
                <w:sz w:val="20"/>
                <w:szCs w:val="20"/>
              </w:rPr>
              <w:t xml:space="preserve">296</w:t>
            </w:r>
          </w:p>
        </w:tc>
        <w:tc>
          <w:tcPr>
            <w:tcW w:w="0" w:type="auto"/>
          </w:tcPr>
          <w:p>
            <w:pPr>
              <w:spacing w:line="240" w:lineRule="auto" w:before="0" w:after="0"/>
              <w:pStyle w:val="Compact"/>
            </w:pPr>
            <w:r>
              <w:rPr>
                <w:sz w:val="20"/>
                <w:szCs w:val="20"/>
              </w:rPr>
              <w:t xml:space="preserve">15899</w:t>
            </w:r>
          </w:p>
        </w:tc>
        <w:tc>
          <w:tcPr>
            <w:tcW w:w="0" w:type="auto"/>
          </w:tcPr>
          <w:p>
            <w:pPr>
              <w:spacing w:line="240" w:lineRule="auto" w:before="0" w:after="0"/>
              <w:pStyle w:val="Compact"/>
            </w:pPr>
            <w:r>
              <w:rPr>
                <w:sz w:val="20"/>
                <w:szCs w:val="20"/>
              </w:rPr>
              <w:t xml:space="preserve">5.6937</w:t>
            </w:r>
          </w:p>
        </w:tc>
        <w:tc>
          <w:tcPr>
            <w:tcW w:w="0" w:type="auto"/>
          </w:tcPr>
          <w:p>
            <w:pPr>
              <w:spacing w:line="240" w:lineRule="auto" w:before="0" w:after="0"/>
              <w:pStyle w:val="Compact"/>
            </w:pPr>
            <w:r>
              <w:rPr>
                <w:sz w:val="20"/>
                <w:szCs w:val="20"/>
              </w:rPr>
              <w:t xml:space="preserve">9.6741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215 Climate Change Research and Technology impacts Maine</w:t>
            </w:r>
          </w:p>
        </w:tc>
      </w:tr>
      <w:tr>
        <w:tc>
          <w:tcPr>
            <w:tcW w:w="0" w:type="auto"/>
          </w:tcPr>
          <w:p>
            <w:pPr>
              <w:spacing w:line="240" w:lineRule="auto" w:before="0" w:after="0"/>
              <w:pStyle w:val="Compact"/>
            </w:pPr>
            <w:r>
              <w:rPr>
                <w:sz w:val="20"/>
                <w:szCs w:val="20"/>
              </w:rPr>
              <w:t xml:space="preserve">Maryland</w:t>
            </w:r>
          </w:p>
        </w:tc>
        <w:tc>
          <w:tcPr>
            <w:tcW w:w="0" w:type="auto"/>
          </w:tcPr>
          <w:p>
            <w:pPr>
              <w:spacing w:line="240" w:lineRule="auto" w:before="0" w:after="0"/>
              <w:pStyle w:val="Compact"/>
            </w:pPr>
            <w:r>
              <w:rPr>
                <w:sz w:val="20"/>
                <w:szCs w:val="20"/>
              </w:rPr>
              <w:t xml:space="preserve">197790</w:t>
            </w:r>
          </w:p>
        </w:tc>
        <w:tc>
          <w:tcPr>
            <w:tcW w:w="0" w:type="auto"/>
          </w:tcPr>
          <w:p>
            <w:pPr>
              <w:spacing w:line="240" w:lineRule="auto" w:before="0" w:after="0"/>
              <w:pStyle w:val="Compact"/>
            </w:pPr>
            <w:r>
              <w:rPr>
                <w:sz w:val="20"/>
                <w:szCs w:val="20"/>
              </w:rPr>
              <w:t xml:space="preserve">1151932</w:t>
            </w:r>
          </w:p>
        </w:tc>
        <w:tc>
          <w:tcPr>
            <w:tcW w:w="0" w:type="auto"/>
          </w:tcPr>
          <w:p>
            <w:pPr>
              <w:spacing w:line="240" w:lineRule="auto" w:before="0" w:after="0"/>
              <w:pStyle w:val="Compact"/>
            </w:pPr>
            <w:r>
              <w:rPr>
                <w:sz w:val="20"/>
                <w:szCs w:val="20"/>
              </w:rPr>
              <w:t xml:space="preserve">12.195</w:t>
            </w:r>
          </w:p>
        </w:tc>
        <w:tc>
          <w:tcPr>
            <w:tcW w:w="0" w:type="auto"/>
          </w:tcPr>
          <w:p>
            <w:pPr>
              <w:spacing w:line="240" w:lineRule="auto" w:before="0" w:after="0"/>
              <w:pStyle w:val="Compact"/>
            </w:pPr>
            <w:r>
              <w:rPr>
                <w:sz w:val="20"/>
                <w:szCs w:val="20"/>
              </w:rPr>
              <w:t xml:space="preserve">13.957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226 Climate Change Research and Technology impacts Maryland</w:t>
            </w:r>
          </w:p>
        </w:tc>
      </w:tr>
      <w:tr>
        <w:tc>
          <w:tcPr>
            <w:tcW w:w="0" w:type="auto"/>
          </w:tcPr>
          <w:p>
            <w:pPr>
              <w:spacing w:line="240" w:lineRule="auto" w:before="0" w:after="0"/>
              <w:pStyle w:val="Compact"/>
            </w:pPr>
            <w:r>
              <w:rPr>
                <w:sz w:val="20"/>
                <w:szCs w:val="20"/>
              </w:rPr>
              <w:t xml:space="preserve">Massachusetts</w:t>
            </w:r>
          </w:p>
        </w:tc>
        <w:tc>
          <w:tcPr>
            <w:tcW w:w="0" w:type="auto"/>
          </w:tcPr>
          <w:p>
            <w:pPr>
              <w:spacing w:line="240" w:lineRule="auto" w:before="0" w:after="0"/>
              <w:pStyle w:val="Compact"/>
            </w:pPr>
            <w:r>
              <w:rPr>
                <w:sz w:val="20"/>
                <w:szCs w:val="20"/>
              </w:rPr>
              <w:t xml:space="preserve">1456</w:t>
            </w:r>
          </w:p>
        </w:tc>
        <w:tc>
          <w:tcPr>
            <w:tcW w:w="0" w:type="auto"/>
          </w:tcPr>
          <w:p>
            <w:pPr>
              <w:spacing w:line="240" w:lineRule="auto" w:before="0" w:after="0"/>
              <w:pStyle w:val="Compact"/>
            </w:pPr>
            <w:r>
              <w:rPr>
                <w:sz w:val="20"/>
                <w:szCs w:val="20"/>
              </w:rPr>
              <w:t xml:space="preserve">198463</w:t>
            </w:r>
          </w:p>
        </w:tc>
        <w:tc>
          <w:tcPr>
            <w:tcW w:w="0" w:type="auto"/>
          </w:tcPr>
          <w:p>
            <w:pPr>
              <w:spacing w:line="240" w:lineRule="auto" w:before="0" w:after="0"/>
              <w:pStyle w:val="Compact"/>
            </w:pPr>
            <w:r>
              <w:rPr>
                <w:sz w:val="20"/>
                <w:szCs w:val="20"/>
              </w:rPr>
              <w:t xml:space="preserve">7.2841</w:t>
            </w:r>
          </w:p>
        </w:tc>
        <w:tc>
          <w:tcPr>
            <w:tcW w:w="0" w:type="auto"/>
          </w:tcPr>
          <w:p>
            <w:pPr>
              <w:spacing w:line="240" w:lineRule="auto" w:before="0" w:after="0"/>
              <w:pStyle w:val="Compact"/>
            </w:pPr>
            <w:r>
              <w:rPr>
                <w:sz w:val="20"/>
                <w:szCs w:val="20"/>
              </w:rPr>
              <w:t xml:space="preserve">12.1984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237 Climate Change Research and Technology impacts Massachusetts</w:t>
            </w:r>
          </w:p>
        </w:tc>
      </w:tr>
      <w:tr>
        <w:tc>
          <w:tcPr>
            <w:tcW w:w="0" w:type="auto"/>
          </w:tcPr>
          <w:p>
            <w:pPr>
              <w:spacing w:line="240" w:lineRule="auto" w:before="0" w:after="0"/>
              <w:pStyle w:val="Compact"/>
            </w:pPr>
            <w:r>
              <w:rPr>
                <w:sz w:val="20"/>
                <w:szCs w:val="20"/>
              </w:rPr>
              <w:t xml:space="preserve">Michigan</w:t>
            </w:r>
          </w:p>
        </w:tc>
        <w:tc>
          <w:tcPr>
            <w:tcW w:w="0" w:type="auto"/>
          </w:tcPr>
          <w:p>
            <w:pPr>
              <w:spacing w:line="240" w:lineRule="auto" w:before="0" w:after="0"/>
              <w:pStyle w:val="Compact"/>
            </w:pPr>
            <w:r>
              <w:rPr>
                <w:sz w:val="20"/>
                <w:szCs w:val="20"/>
              </w:rPr>
              <w:t xml:space="preserve">676</w:t>
            </w:r>
          </w:p>
        </w:tc>
        <w:tc>
          <w:tcPr>
            <w:tcW w:w="0" w:type="auto"/>
          </w:tcPr>
          <w:p>
            <w:pPr>
              <w:spacing w:line="240" w:lineRule="auto" w:before="0" w:after="0"/>
              <w:pStyle w:val="Compact"/>
            </w:pPr>
            <w:r>
              <w:rPr>
                <w:sz w:val="20"/>
                <w:szCs w:val="20"/>
              </w:rPr>
              <w:t xml:space="preserve">86916</w:t>
            </w:r>
          </w:p>
        </w:tc>
        <w:tc>
          <w:tcPr>
            <w:tcW w:w="0" w:type="auto"/>
          </w:tcPr>
          <w:p>
            <w:pPr>
              <w:spacing w:line="240" w:lineRule="auto" w:before="0" w:after="0"/>
              <w:pStyle w:val="Compact"/>
            </w:pPr>
            <w:r>
              <w:rPr>
                <w:sz w:val="20"/>
                <w:szCs w:val="20"/>
              </w:rPr>
              <w:t xml:space="preserve">6.5177</w:t>
            </w:r>
          </w:p>
        </w:tc>
        <w:tc>
          <w:tcPr>
            <w:tcW w:w="0" w:type="auto"/>
          </w:tcPr>
          <w:p>
            <w:pPr>
              <w:spacing w:line="240" w:lineRule="auto" w:before="0" w:after="0"/>
              <w:pStyle w:val="Compact"/>
            </w:pPr>
            <w:r>
              <w:rPr>
                <w:sz w:val="20"/>
                <w:szCs w:val="20"/>
              </w:rPr>
              <w:t xml:space="preserve">11.3727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248 Climate Change Research and Technology impacts Michigan</w:t>
            </w:r>
          </w:p>
        </w:tc>
      </w:tr>
      <w:tr>
        <w:tc>
          <w:tcPr>
            <w:tcW w:w="0" w:type="auto"/>
          </w:tcPr>
          <w:p>
            <w:pPr>
              <w:spacing w:line="240" w:lineRule="auto" w:before="0" w:after="0"/>
              <w:pStyle w:val="Compact"/>
            </w:pPr>
            <w:r>
              <w:rPr>
                <w:sz w:val="20"/>
                <w:szCs w:val="20"/>
              </w:rPr>
              <w:t xml:space="preserve">Minnesota</w:t>
            </w:r>
          </w:p>
        </w:tc>
        <w:tc>
          <w:tcPr>
            <w:tcW w:w="0" w:type="auto"/>
          </w:tcPr>
          <w:p>
            <w:pPr>
              <w:spacing w:line="240" w:lineRule="auto" w:before="0" w:after="0"/>
              <w:pStyle w:val="Compact"/>
            </w:pPr>
            <w:r>
              <w:rPr>
                <w:sz w:val="20"/>
                <w:szCs w:val="20"/>
              </w:rPr>
              <w:t xml:space="preserve">930</w:t>
            </w:r>
          </w:p>
        </w:tc>
        <w:tc>
          <w:tcPr>
            <w:tcW w:w="0" w:type="auto"/>
          </w:tcPr>
          <w:p>
            <w:pPr>
              <w:spacing w:line="240" w:lineRule="auto" w:before="0" w:after="0"/>
              <w:pStyle w:val="Compact"/>
            </w:pPr>
            <w:r>
              <w:rPr>
                <w:sz w:val="20"/>
                <w:szCs w:val="20"/>
              </w:rPr>
              <w:t xml:space="preserve">13448</w:t>
            </w:r>
          </w:p>
        </w:tc>
        <w:tc>
          <w:tcPr>
            <w:tcW w:w="0" w:type="auto"/>
          </w:tcPr>
          <w:p>
            <w:pPr>
              <w:spacing w:line="240" w:lineRule="auto" w:before="0" w:after="0"/>
              <w:pStyle w:val="Compact"/>
            </w:pPr>
            <w:r>
              <w:rPr>
                <w:sz w:val="20"/>
                <w:szCs w:val="20"/>
              </w:rPr>
              <w:t xml:space="preserve">6.8363</w:t>
            </w:r>
          </w:p>
        </w:tc>
        <w:tc>
          <w:tcPr>
            <w:tcW w:w="0" w:type="auto"/>
          </w:tcPr>
          <w:p>
            <w:pPr>
              <w:spacing w:line="240" w:lineRule="auto" w:before="0" w:after="0"/>
              <w:pStyle w:val="Compact"/>
            </w:pPr>
            <w:r>
              <w:rPr>
                <w:sz w:val="20"/>
                <w:szCs w:val="20"/>
              </w:rPr>
              <w:t xml:space="preserve">9.5067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259 Climate Change Research and Technology impacts Minnesota</w:t>
            </w:r>
          </w:p>
        </w:tc>
      </w:tr>
      <w:tr>
        <w:tc>
          <w:tcPr>
            <w:tcW w:w="0" w:type="auto"/>
          </w:tcPr>
          <w:p>
            <w:pPr>
              <w:spacing w:line="240" w:lineRule="auto" w:before="0" w:after="0"/>
              <w:pStyle w:val="Compact"/>
            </w:pPr>
            <w:r>
              <w:rPr>
                <w:sz w:val="20"/>
                <w:szCs w:val="20"/>
              </w:rPr>
              <w:t xml:space="preserve">Mississippi</w:t>
            </w:r>
          </w:p>
        </w:tc>
        <w:tc>
          <w:tcPr>
            <w:tcW w:w="0" w:type="auto"/>
          </w:tcPr>
          <w:p>
            <w:pPr>
              <w:spacing w:line="240" w:lineRule="auto" w:before="0" w:after="0"/>
              <w:pStyle w:val="Compact"/>
            </w:pPr>
            <w:r>
              <w:rPr>
                <w:sz w:val="20"/>
                <w:szCs w:val="20"/>
              </w:rPr>
              <w:t xml:space="preserve">1024</w:t>
            </w:r>
          </w:p>
        </w:tc>
        <w:tc>
          <w:tcPr>
            <w:tcW w:w="0" w:type="auto"/>
          </w:tcPr>
          <w:p>
            <w:pPr>
              <w:spacing w:line="240" w:lineRule="auto" w:before="0" w:after="0"/>
              <w:pStyle w:val="Compact"/>
            </w:pPr>
            <w:r>
              <w:rPr>
                <w:sz w:val="20"/>
                <w:szCs w:val="20"/>
              </w:rPr>
              <w:t xml:space="preserve">44793</w:t>
            </w:r>
          </w:p>
        </w:tc>
        <w:tc>
          <w:tcPr>
            <w:tcW w:w="0" w:type="auto"/>
          </w:tcPr>
          <w:p>
            <w:pPr>
              <w:spacing w:line="240" w:lineRule="auto" w:before="0" w:after="0"/>
              <w:pStyle w:val="Compact"/>
            </w:pPr>
            <w:r>
              <w:rPr>
                <w:sz w:val="20"/>
                <w:szCs w:val="20"/>
              </w:rPr>
              <w:t xml:space="preserve">6.9324</w:t>
            </w:r>
          </w:p>
        </w:tc>
        <w:tc>
          <w:tcPr>
            <w:tcW w:w="0" w:type="auto"/>
          </w:tcPr>
          <w:p>
            <w:pPr>
              <w:spacing w:line="240" w:lineRule="auto" w:before="0" w:after="0"/>
              <w:pStyle w:val="Compact"/>
            </w:pPr>
            <w:r>
              <w:rPr>
                <w:sz w:val="20"/>
                <w:szCs w:val="20"/>
              </w:rPr>
              <w:t xml:space="preserve">10.7098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270 Climate Change Research and Technology impacts Mississippi</w:t>
            </w:r>
          </w:p>
        </w:tc>
      </w:tr>
      <w:tr>
        <w:tc>
          <w:tcPr>
            <w:tcW w:w="0" w:type="auto"/>
          </w:tcPr>
          <w:p>
            <w:pPr>
              <w:spacing w:line="240" w:lineRule="auto" w:before="0" w:after="0"/>
              <w:pStyle w:val="Compact"/>
            </w:pPr>
            <w:r>
              <w:rPr>
                <w:sz w:val="20"/>
                <w:szCs w:val="20"/>
              </w:rPr>
              <w:t xml:space="preserve">Missouri</w:t>
            </w:r>
          </w:p>
        </w:tc>
        <w:tc>
          <w:tcPr>
            <w:tcW w:w="0" w:type="auto"/>
          </w:tcPr>
          <w:p>
            <w:pPr>
              <w:spacing w:line="240" w:lineRule="auto" w:before="0" w:after="0"/>
              <w:pStyle w:val="Compact"/>
            </w:pPr>
            <w:r>
              <w:rPr>
                <w:sz w:val="20"/>
                <w:szCs w:val="20"/>
              </w:rPr>
              <w:t xml:space="preserve">381</w:t>
            </w:r>
          </w:p>
        </w:tc>
        <w:tc>
          <w:tcPr>
            <w:tcW w:w="0" w:type="auto"/>
          </w:tcPr>
          <w:p>
            <w:pPr>
              <w:spacing w:line="240" w:lineRule="auto" w:before="0" w:after="0"/>
              <w:pStyle w:val="Compact"/>
            </w:pPr>
            <w:r>
              <w:rPr>
                <w:sz w:val="20"/>
                <w:szCs w:val="20"/>
              </w:rPr>
              <w:t xml:space="preserve">21473</w:t>
            </w:r>
          </w:p>
        </w:tc>
        <w:tc>
          <w:tcPr>
            <w:tcW w:w="0" w:type="auto"/>
          </w:tcPr>
          <w:p>
            <w:pPr>
              <w:spacing w:line="240" w:lineRule="auto" w:before="0" w:after="0"/>
              <w:pStyle w:val="Compact"/>
            </w:pPr>
            <w:r>
              <w:rPr>
                <w:sz w:val="20"/>
                <w:szCs w:val="20"/>
              </w:rPr>
              <w:t xml:space="preserve">5.9454</w:t>
            </w:r>
          </w:p>
        </w:tc>
        <w:tc>
          <w:tcPr>
            <w:tcW w:w="0" w:type="auto"/>
          </w:tcPr>
          <w:p>
            <w:pPr>
              <w:spacing w:line="240" w:lineRule="auto" w:before="0" w:after="0"/>
              <w:pStyle w:val="Compact"/>
            </w:pPr>
            <w:r>
              <w:rPr>
                <w:sz w:val="20"/>
                <w:szCs w:val="20"/>
              </w:rPr>
              <w:t xml:space="preserve">9.9746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281 Climate Change Research and Technology impacts Missouri</w:t>
            </w:r>
          </w:p>
        </w:tc>
      </w:tr>
      <w:tr>
        <w:tc>
          <w:tcPr>
            <w:tcW w:w="0" w:type="auto"/>
          </w:tcPr>
          <w:p>
            <w:pPr>
              <w:spacing w:line="240" w:lineRule="auto" w:before="0" w:after="0"/>
              <w:pStyle w:val="Compact"/>
            </w:pPr>
            <w:r>
              <w:rPr>
                <w:sz w:val="20"/>
                <w:szCs w:val="20"/>
              </w:rPr>
              <w:t xml:space="preserve">Montana</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9.2887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290 Climate Change Research and Technology impacts Montana</w:t>
            </w:r>
          </w:p>
        </w:tc>
      </w:tr>
      <w:tr>
        <w:tc>
          <w:tcPr>
            <w:tcW w:w="0" w:type="auto"/>
          </w:tcPr>
          <w:p>
            <w:pPr>
              <w:spacing w:line="240" w:lineRule="auto" w:before="0" w:after="0"/>
              <w:pStyle w:val="Compact"/>
            </w:pPr>
            <w:r>
              <w:rPr>
                <w:sz w:val="20"/>
                <w:szCs w:val="20"/>
              </w:rPr>
              <w:t xml:space="preserve">Nebraska</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7.0121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299 Climate Change Research and Technology impacts Nebraska</w:t>
            </w:r>
          </w:p>
        </w:tc>
      </w:tr>
      <w:tr>
        <w:tc>
          <w:tcPr>
            <w:tcW w:w="0" w:type="auto"/>
          </w:tcPr>
          <w:p>
            <w:pPr>
              <w:spacing w:line="240" w:lineRule="auto" w:before="0" w:after="0"/>
              <w:pStyle w:val="Compact"/>
            </w:pPr>
            <w:r>
              <w:rPr>
                <w:sz w:val="20"/>
                <w:szCs w:val="20"/>
              </w:rPr>
              <w:t xml:space="preserve">New Jersey</w:t>
            </w:r>
          </w:p>
        </w:tc>
        <w:tc>
          <w:tcPr>
            <w:tcW w:w="0" w:type="auto"/>
          </w:tcPr>
          <w:p>
            <w:pPr>
              <w:spacing w:line="240" w:lineRule="auto" w:before="0" w:after="0"/>
              <w:pStyle w:val="Compact"/>
            </w:pPr>
            <w:r>
              <w:rPr>
                <w:sz w:val="20"/>
                <w:szCs w:val="20"/>
              </w:rPr>
              <w:t xml:space="preserve">886</w:t>
            </w:r>
          </w:p>
        </w:tc>
        <w:tc>
          <w:tcPr>
            <w:tcW w:w="0" w:type="auto"/>
          </w:tcPr>
          <w:p>
            <w:pPr>
              <w:spacing w:line="240" w:lineRule="auto" w:before="0" w:after="0"/>
              <w:pStyle w:val="Compact"/>
            </w:pPr>
            <w:r>
              <w:rPr>
                <w:sz w:val="20"/>
                <w:szCs w:val="20"/>
              </w:rPr>
              <w:t xml:space="preserve">24679</w:t>
            </w:r>
          </w:p>
        </w:tc>
        <w:tc>
          <w:tcPr>
            <w:tcW w:w="0" w:type="auto"/>
          </w:tcPr>
          <w:p>
            <w:pPr>
              <w:spacing w:line="240" w:lineRule="auto" w:before="0" w:after="0"/>
              <w:pStyle w:val="Compact"/>
            </w:pPr>
            <w:r>
              <w:rPr>
                <w:sz w:val="20"/>
                <w:szCs w:val="20"/>
              </w:rPr>
              <w:t xml:space="preserve">6.7878</w:t>
            </w:r>
          </w:p>
        </w:tc>
        <w:tc>
          <w:tcPr>
            <w:tcW w:w="0" w:type="auto"/>
          </w:tcPr>
          <w:p>
            <w:pPr>
              <w:spacing w:line="240" w:lineRule="auto" w:before="0" w:after="0"/>
              <w:pStyle w:val="Compact"/>
            </w:pPr>
            <w:r>
              <w:rPr>
                <w:sz w:val="20"/>
                <w:szCs w:val="20"/>
              </w:rPr>
              <w:t xml:space="preserve">10.1137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330 Climate Change Research and Technology impacts New Jersey</w:t>
            </w:r>
          </w:p>
        </w:tc>
      </w:tr>
      <w:tr>
        <w:tc>
          <w:tcPr>
            <w:tcW w:w="0" w:type="auto"/>
          </w:tcPr>
          <w:p>
            <w:pPr>
              <w:spacing w:line="240" w:lineRule="auto" w:before="0" w:after="0"/>
              <w:pStyle w:val="Compact"/>
            </w:pPr>
            <w:r>
              <w:rPr>
                <w:sz w:val="20"/>
                <w:szCs w:val="20"/>
              </w:rPr>
              <w:t xml:space="preserve">New Mexico</w:t>
            </w:r>
          </w:p>
        </w:tc>
        <w:tc>
          <w:tcPr>
            <w:tcW w:w="0" w:type="auto"/>
          </w:tcPr>
          <w:p>
            <w:pPr>
              <w:spacing w:line="240" w:lineRule="auto" w:before="0" w:after="0"/>
              <w:pStyle w:val="Compact"/>
            </w:pPr>
            <w:r>
              <w:rPr>
                <w:sz w:val="20"/>
                <w:szCs w:val="20"/>
              </w:rPr>
              <w:t xml:space="preserve">524</w:t>
            </w:r>
          </w:p>
        </w:tc>
        <w:tc>
          <w:tcPr>
            <w:tcW w:w="0" w:type="auto"/>
          </w:tcPr>
          <w:p>
            <w:pPr>
              <w:spacing w:line="240" w:lineRule="auto" w:before="0" w:after="0"/>
              <w:pStyle w:val="Compact"/>
            </w:pPr>
            <w:r>
              <w:rPr>
                <w:sz w:val="20"/>
                <w:szCs w:val="20"/>
              </w:rPr>
              <w:t xml:space="preserve">94846</w:t>
            </w:r>
          </w:p>
        </w:tc>
        <w:tc>
          <w:tcPr>
            <w:tcW w:w="0" w:type="auto"/>
          </w:tcPr>
          <w:p>
            <w:pPr>
              <w:spacing w:line="240" w:lineRule="auto" w:before="0" w:after="0"/>
              <w:pStyle w:val="Compact"/>
            </w:pPr>
            <w:r>
              <w:rPr>
                <w:sz w:val="20"/>
                <w:szCs w:val="20"/>
              </w:rPr>
              <w:t xml:space="preserve">6.2634</w:t>
            </w:r>
          </w:p>
        </w:tc>
        <w:tc>
          <w:tcPr>
            <w:tcW w:w="0" w:type="auto"/>
          </w:tcPr>
          <w:p>
            <w:pPr>
              <w:spacing w:line="240" w:lineRule="auto" w:before="0" w:after="0"/>
              <w:pStyle w:val="Compact"/>
            </w:pPr>
            <w:r>
              <w:rPr>
                <w:sz w:val="20"/>
                <w:szCs w:val="20"/>
              </w:rPr>
              <w:t xml:space="preserve">11.46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341 Climate Change Research and Technology impacts New Mexico</w:t>
            </w:r>
          </w:p>
        </w:tc>
      </w:tr>
      <w:tr>
        <w:tc>
          <w:tcPr>
            <w:tcW w:w="0" w:type="auto"/>
          </w:tcPr>
          <w:p>
            <w:pPr>
              <w:spacing w:line="240" w:lineRule="auto" w:before="0" w:after="0"/>
              <w:pStyle w:val="Compact"/>
            </w:pPr>
            <w:r>
              <w:rPr>
                <w:sz w:val="20"/>
                <w:szCs w:val="20"/>
              </w:rPr>
              <w:t xml:space="preserve">New York</w:t>
            </w:r>
          </w:p>
        </w:tc>
        <w:tc>
          <w:tcPr>
            <w:tcW w:w="0" w:type="auto"/>
          </w:tcPr>
          <w:p>
            <w:pPr>
              <w:spacing w:line="240" w:lineRule="auto" w:before="0" w:after="0"/>
              <w:pStyle w:val="Compact"/>
            </w:pPr>
            <w:r>
              <w:rPr>
                <w:sz w:val="20"/>
                <w:szCs w:val="20"/>
              </w:rPr>
              <w:t xml:space="preserve">10936</w:t>
            </w:r>
          </w:p>
        </w:tc>
        <w:tc>
          <w:tcPr>
            <w:tcW w:w="0" w:type="auto"/>
          </w:tcPr>
          <w:p>
            <w:pPr>
              <w:spacing w:line="240" w:lineRule="auto" w:before="0" w:after="0"/>
              <w:pStyle w:val="Compact"/>
            </w:pPr>
            <w:r>
              <w:rPr>
                <w:sz w:val="20"/>
                <w:szCs w:val="20"/>
              </w:rPr>
              <w:t xml:space="preserve">112852</w:t>
            </w:r>
          </w:p>
        </w:tc>
        <w:tc>
          <w:tcPr>
            <w:tcW w:w="0" w:type="auto"/>
          </w:tcPr>
          <w:p>
            <w:pPr>
              <w:spacing w:line="240" w:lineRule="auto" w:before="0" w:after="0"/>
              <w:pStyle w:val="Compact"/>
            </w:pPr>
            <w:r>
              <w:rPr>
                <w:sz w:val="20"/>
                <w:szCs w:val="20"/>
              </w:rPr>
              <w:t xml:space="preserve">9.2999</w:t>
            </w:r>
          </w:p>
        </w:tc>
        <w:tc>
          <w:tcPr>
            <w:tcW w:w="0" w:type="auto"/>
          </w:tcPr>
          <w:p>
            <w:pPr>
              <w:spacing w:line="240" w:lineRule="auto" w:before="0" w:after="0"/>
              <w:pStyle w:val="Compact"/>
            </w:pPr>
            <w:r>
              <w:rPr>
                <w:sz w:val="20"/>
                <w:szCs w:val="20"/>
              </w:rPr>
              <w:t xml:space="preserve">11.6338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352 Climate Change Research and Technology impacts New York</w:t>
            </w:r>
          </w:p>
        </w:tc>
      </w:tr>
      <w:tr>
        <w:tc>
          <w:tcPr>
            <w:tcW w:w="0" w:type="auto"/>
          </w:tcPr>
          <w:p>
            <w:pPr>
              <w:spacing w:line="240" w:lineRule="auto" w:before="0" w:after="0"/>
              <w:pStyle w:val="Compact"/>
            </w:pPr>
            <w:r>
              <w:rPr>
                <w:sz w:val="20"/>
                <w:szCs w:val="20"/>
              </w:rPr>
              <w:t xml:space="preserve">North Carolina</w:t>
            </w:r>
          </w:p>
        </w:tc>
        <w:tc>
          <w:tcPr>
            <w:tcW w:w="0" w:type="auto"/>
          </w:tcPr>
          <w:p>
            <w:pPr>
              <w:spacing w:line="240" w:lineRule="auto" w:before="0" w:after="0"/>
              <w:pStyle w:val="Compact"/>
            </w:pPr>
            <w:r>
              <w:rPr>
                <w:sz w:val="20"/>
                <w:szCs w:val="20"/>
              </w:rPr>
              <w:t xml:space="preserve">943</w:t>
            </w:r>
          </w:p>
        </w:tc>
        <w:tc>
          <w:tcPr>
            <w:tcW w:w="0" w:type="auto"/>
          </w:tcPr>
          <w:p>
            <w:pPr>
              <w:spacing w:line="240" w:lineRule="auto" w:before="0" w:after="0"/>
              <w:pStyle w:val="Compact"/>
            </w:pPr>
            <w:r>
              <w:rPr>
                <w:sz w:val="20"/>
                <w:szCs w:val="20"/>
              </w:rPr>
              <w:t xml:space="preserve">57757</w:t>
            </w:r>
          </w:p>
        </w:tc>
        <w:tc>
          <w:tcPr>
            <w:tcW w:w="0" w:type="auto"/>
          </w:tcPr>
          <w:p>
            <w:pPr>
              <w:spacing w:line="240" w:lineRule="auto" w:before="0" w:after="0"/>
              <w:pStyle w:val="Compact"/>
            </w:pPr>
            <w:r>
              <w:rPr>
                <w:sz w:val="20"/>
                <w:szCs w:val="20"/>
              </w:rPr>
              <w:t xml:space="preserve">6.8501</w:t>
            </w:r>
          </w:p>
        </w:tc>
        <w:tc>
          <w:tcPr>
            <w:tcW w:w="0" w:type="auto"/>
          </w:tcPr>
          <w:p>
            <w:pPr>
              <w:spacing w:line="240" w:lineRule="auto" w:before="0" w:after="0"/>
              <w:pStyle w:val="Compact"/>
            </w:pPr>
            <w:r>
              <w:rPr>
                <w:sz w:val="20"/>
                <w:szCs w:val="20"/>
              </w:rPr>
              <w:t xml:space="preserve">10.964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363 Climate Change Research and Technology impacts North Carolina</w:t>
            </w:r>
          </w:p>
        </w:tc>
      </w:tr>
      <w:tr>
        <w:tc>
          <w:tcPr>
            <w:tcW w:w="0" w:type="auto"/>
          </w:tcPr>
          <w:p>
            <w:pPr>
              <w:spacing w:line="240" w:lineRule="auto" w:before="0" w:after="0"/>
              <w:pStyle w:val="Compact"/>
            </w:pPr>
            <w:r>
              <w:rPr>
                <w:sz w:val="20"/>
                <w:szCs w:val="20"/>
              </w:rPr>
              <w:t xml:space="preserve">Ohio</w:t>
            </w:r>
          </w:p>
        </w:tc>
        <w:tc>
          <w:tcPr>
            <w:tcW w:w="0" w:type="auto"/>
          </w:tcPr>
          <w:p>
            <w:pPr>
              <w:spacing w:line="240" w:lineRule="auto" w:before="0" w:after="0"/>
              <w:pStyle w:val="Compact"/>
            </w:pPr>
            <w:r>
              <w:rPr>
                <w:sz w:val="20"/>
                <w:szCs w:val="20"/>
              </w:rPr>
              <w:t xml:space="preserve">142217</w:t>
            </w:r>
          </w:p>
        </w:tc>
        <w:tc>
          <w:tcPr>
            <w:tcW w:w="0" w:type="auto"/>
          </w:tcPr>
          <w:p>
            <w:pPr>
              <w:spacing w:line="240" w:lineRule="auto" w:before="0" w:after="0"/>
              <w:pStyle w:val="Compact"/>
            </w:pPr>
            <w:r>
              <w:rPr>
                <w:sz w:val="20"/>
                <w:szCs w:val="20"/>
              </w:rPr>
              <w:t xml:space="preserve">370571</w:t>
            </w:r>
          </w:p>
        </w:tc>
        <w:tc>
          <w:tcPr>
            <w:tcW w:w="0" w:type="auto"/>
          </w:tcPr>
          <w:p>
            <w:pPr>
              <w:spacing w:line="240" w:lineRule="auto" w:before="0" w:after="0"/>
              <w:pStyle w:val="Compact"/>
            </w:pPr>
            <w:r>
              <w:rPr>
                <w:sz w:val="20"/>
                <w:szCs w:val="20"/>
              </w:rPr>
              <w:t xml:space="preserve">11.8651</w:t>
            </w:r>
          </w:p>
        </w:tc>
        <w:tc>
          <w:tcPr>
            <w:tcW w:w="0" w:type="auto"/>
          </w:tcPr>
          <w:p>
            <w:pPr>
              <w:spacing w:line="240" w:lineRule="auto" w:before="0" w:after="0"/>
              <w:pStyle w:val="Compact"/>
            </w:pPr>
            <w:r>
              <w:rPr>
                <w:sz w:val="20"/>
                <w:szCs w:val="20"/>
              </w:rPr>
              <w:t xml:space="preserve">12.8228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383 Climate Change Research and Technology impacts Ohio</w:t>
            </w:r>
          </w:p>
        </w:tc>
      </w:tr>
      <w:tr>
        <w:tc>
          <w:tcPr>
            <w:tcW w:w="0" w:type="auto"/>
          </w:tcPr>
          <w:p>
            <w:pPr>
              <w:spacing w:line="240" w:lineRule="auto" w:before="0" w:after="0"/>
              <w:pStyle w:val="Compact"/>
            </w:pPr>
            <w:r>
              <w:rPr>
                <w:sz w:val="20"/>
                <w:szCs w:val="20"/>
              </w:rPr>
              <w:t xml:space="preserve">Oregon</w:t>
            </w:r>
          </w:p>
        </w:tc>
        <w:tc>
          <w:tcPr>
            <w:tcW w:w="0" w:type="auto"/>
          </w:tcPr>
          <w:p>
            <w:pPr>
              <w:spacing w:line="240" w:lineRule="auto" w:before="0" w:after="0"/>
              <w:pStyle w:val="Compact"/>
            </w:pPr>
            <w:r>
              <w:rPr>
                <w:sz w:val="20"/>
                <w:szCs w:val="20"/>
              </w:rPr>
              <w:t xml:space="preserve">1047</w:t>
            </w:r>
          </w:p>
        </w:tc>
        <w:tc>
          <w:tcPr>
            <w:tcW w:w="0" w:type="auto"/>
          </w:tcPr>
          <w:p>
            <w:pPr>
              <w:spacing w:line="240" w:lineRule="auto" w:before="0" w:after="0"/>
              <w:pStyle w:val="Compact"/>
            </w:pPr>
            <w:r>
              <w:rPr>
                <w:sz w:val="20"/>
                <w:szCs w:val="20"/>
              </w:rPr>
              <w:t xml:space="preserve">27810</w:t>
            </w:r>
          </w:p>
        </w:tc>
        <w:tc>
          <w:tcPr>
            <w:tcW w:w="0" w:type="auto"/>
          </w:tcPr>
          <w:p>
            <w:pPr>
              <w:spacing w:line="240" w:lineRule="auto" w:before="0" w:after="0"/>
              <w:pStyle w:val="Compact"/>
            </w:pPr>
            <w:r>
              <w:rPr>
                <w:sz w:val="20"/>
                <w:szCs w:val="20"/>
              </w:rPr>
              <w:t xml:space="preserve">6.9546</w:t>
            </w:r>
          </w:p>
        </w:tc>
        <w:tc>
          <w:tcPr>
            <w:tcW w:w="0" w:type="auto"/>
          </w:tcPr>
          <w:p>
            <w:pPr>
              <w:spacing w:line="240" w:lineRule="auto" w:before="0" w:after="0"/>
              <w:pStyle w:val="Compact"/>
            </w:pPr>
            <w:r>
              <w:rPr>
                <w:sz w:val="20"/>
                <w:szCs w:val="20"/>
              </w:rPr>
              <w:t xml:space="preserve">10.2332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405 Climate Change Research and Technology impacts Oregon</w:t>
            </w:r>
          </w:p>
        </w:tc>
      </w:tr>
      <w:tr>
        <w:tc>
          <w:tcPr>
            <w:tcW w:w="0" w:type="auto"/>
          </w:tcPr>
          <w:p>
            <w:pPr>
              <w:spacing w:line="240" w:lineRule="auto" w:before="0" w:after="0"/>
              <w:pStyle w:val="Compact"/>
            </w:pPr>
            <w:r>
              <w:rPr>
                <w:sz w:val="20"/>
                <w:szCs w:val="20"/>
              </w:rPr>
              <w:t xml:space="preserve">South Carolina</w:t>
            </w:r>
          </w:p>
        </w:tc>
        <w:tc>
          <w:tcPr>
            <w:tcW w:w="0" w:type="auto"/>
          </w:tcPr>
          <w:p>
            <w:pPr>
              <w:spacing w:line="240" w:lineRule="auto" w:before="0" w:after="0"/>
              <w:pStyle w:val="Compact"/>
            </w:pPr>
            <w:r>
              <w:rPr>
                <w:sz w:val="20"/>
                <w:szCs w:val="20"/>
              </w:rPr>
              <w:t xml:space="preserve">470</w:t>
            </w:r>
          </w:p>
        </w:tc>
        <w:tc>
          <w:tcPr>
            <w:tcW w:w="0" w:type="auto"/>
          </w:tcPr>
          <w:p>
            <w:pPr>
              <w:spacing w:line="240" w:lineRule="auto" w:before="0" w:after="0"/>
              <w:pStyle w:val="Compact"/>
            </w:pPr>
            <w:r>
              <w:rPr>
                <w:sz w:val="20"/>
                <w:szCs w:val="20"/>
              </w:rPr>
              <w:t xml:space="preserve">1204</w:t>
            </w:r>
          </w:p>
        </w:tc>
        <w:tc>
          <w:tcPr>
            <w:tcW w:w="0" w:type="auto"/>
          </w:tcPr>
          <w:p>
            <w:pPr>
              <w:spacing w:line="240" w:lineRule="auto" w:before="0" w:after="0"/>
              <w:pStyle w:val="Compact"/>
            </w:pPr>
            <w:r>
              <w:rPr>
                <w:sz w:val="20"/>
                <w:szCs w:val="20"/>
              </w:rPr>
              <w:t xml:space="preserve">6.1549</w:t>
            </w:r>
          </w:p>
        </w:tc>
        <w:tc>
          <w:tcPr>
            <w:tcW w:w="0" w:type="auto"/>
          </w:tcPr>
          <w:p>
            <w:pPr>
              <w:spacing w:line="240" w:lineRule="auto" w:before="0" w:after="0"/>
              <w:pStyle w:val="Compact"/>
            </w:pPr>
            <w:r>
              <w:rPr>
                <w:sz w:val="20"/>
                <w:szCs w:val="20"/>
              </w:rPr>
              <w:t xml:space="preserve">7.0942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438 Climate Change Research and Technology impacts South Carolina</w:t>
            </w:r>
          </w:p>
        </w:tc>
      </w:tr>
      <w:tr>
        <w:tc>
          <w:tcPr>
            <w:tcW w:w="0" w:type="auto"/>
          </w:tcPr>
          <w:p>
            <w:pPr>
              <w:spacing w:line="240" w:lineRule="auto" w:before="0" w:after="0"/>
              <w:pStyle w:val="Compact"/>
            </w:pPr>
            <w:r>
              <w:rPr>
                <w:sz w:val="20"/>
                <w:szCs w:val="20"/>
              </w:rPr>
              <w:t xml:space="preserve">South Dakota</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25201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10.1347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449 Climate Change Research and Technology impacts South Dakota</w:t>
            </w:r>
          </w:p>
        </w:tc>
      </w:tr>
      <w:tr>
        <w:tc>
          <w:tcPr>
            <w:tcW w:w="0" w:type="auto"/>
          </w:tcPr>
          <w:p>
            <w:pPr>
              <w:spacing w:line="240" w:lineRule="auto" w:before="0" w:after="0"/>
              <w:pStyle w:val="Compact"/>
            </w:pPr>
            <w:r>
              <w:rPr>
                <w:sz w:val="20"/>
                <w:szCs w:val="20"/>
              </w:rPr>
              <w:t xml:space="preserve">Tennessee</w:t>
            </w:r>
          </w:p>
        </w:tc>
        <w:tc>
          <w:tcPr>
            <w:tcW w:w="0" w:type="auto"/>
          </w:tcPr>
          <w:p>
            <w:pPr>
              <w:spacing w:line="240" w:lineRule="auto" w:before="0" w:after="0"/>
              <w:pStyle w:val="Compact"/>
            </w:pPr>
            <w:r>
              <w:rPr>
                <w:sz w:val="20"/>
                <w:szCs w:val="20"/>
              </w:rPr>
              <w:t xml:space="preserve">1179</w:t>
            </w:r>
          </w:p>
        </w:tc>
        <w:tc>
          <w:tcPr>
            <w:tcW w:w="0" w:type="auto"/>
          </w:tcPr>
          <w:p>
            <w:pPr>
              <w:spacing w:line="240" w:lineRule="auto" w:before="0" w:after="0"/>
              <w:pStyle w:val="Compact"/>
            </w:pPr>
            <w:r>
              <w:rPr>
                <w:sz w:val="20"/>
                <w:szCs w:val="20"/>
              </w:rPr>
              <w:t xml:space="preserve">99019</w:t>
            </w:r>
          </w:p>
        </w:tc>
        <w:tc>
          <w:tcPr>
            <w:tcW w:w="0" w:type="auto"/>
          </w:tcPr>
          <w:p>
            <w:pPr>
              <w:spacing w:line="240" w:lineRule="auto" w:before="0" w:after="0"/>
              <w:pStyle w:val="Compact"/>
            </w:pPr>
            <w:r>
              <w:rPr>
                <w:sz w:val="20"/>
                <w:szCs w:val="20"/>
              </w:rPr>
              <w:t xml:space="preserve">7.0733</w:t>
            </w:r>
          </w:p>
        </w:tc>
        <w:tc>
          <w:tcPr>
            <w:tcW w:w="0" w:type="auto"/>
          </w:tcPr>
          <w:p>
            <w:pPr>
              <w:spacing w:line="240" w:lineRule="auto" w:before="0" w:after="0"/>
              <w:pStyle w:val="Compact"/>
            </w:pPr>
            <w:r>
              <w:rPr>
                <w:sz w:val="20"/>
                <w:szCs w:val="20"/>
              </w:rPr>
              <w:t xml:space="preserve">11.5031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458 Climate Change Research and Technology impacts Tennessee</w:t>
            </w:r>
          </w:p>
        </w:tc>
      </w:tr>
      <w:tr>
        <w:tc>
          <w:tcPr>
            <w:tcW w:w="0" w:type="auto"/>
          </w:tcPr>
          <w:p>
            <w:pPr>
              <w:spacing w:line="240" w:lineRule="auto" w:before="0" w:after="0"/>
              <w:pStyle w:val="Compact"/>
            </w:pPr>
            <w:r>
              <w:rPr>
                <w:sz w:val="20"/>
                <w:szCs w:val="20"/>
              </w:rPr>
              <w:t xml:space="preserve">Texas</w:t>
            </w:r>
          </w:p>
        </w:tc>
        <w:tc>
          <w:tcPr>
            <w:tcW w:w="0" w:type="auto"/>
          </w:tcPr>
          <w:p>
            <w:pPr>
              <w:spacing w:line="240" w:lineRule="auto" w:before="0" w:after="0"/>
              <w:pStyle w:val="Compact"/>
            </w:pPr>
            <w:r>
              <w:rPr>
                <w:sz w:val="20"/>
                <w:szCs w:val="20"/>
              </w:rPr>
              <w:t xml:space="preserve">15237</w:t>
            </w:r>
          </w:p>
        </w:tc>
        <w:tc>
          <w:tcPr>
            <w:tcW w:w="0" w:type="auto"/>
          </w:tcPr>
          <w:p>
            <w:pPr>
              <w:spacing w:line="240" w:lineRule="auto" w:before="0" w:after="0"/>
              <w:pStyle w:val="Compact"/>
            </w:pPr>
            <w:r>
              <w:rPr>
                <w:sz w:val="20"/>
                <w:szCs w:val="20"/>
              </w:rPr>
              <w:t xml:space="preserve">249929</w:t>
            </w:r>
          </w:p>
        </w:tc>
        <w:tc>
          <w:tcPr>
            <w:tcW w:w="0" w:type="auto"/>
          </w:tcPr>
          <w:p>
            <w:pPr>
              <w:spacing w:line="240" w:lineRule="auto" w:before="0" w:after="0"/>
              <w:pStyle w:val="Compact"/>
            </w:pPr>
            <w:r>
              <w:rPr>
                <w:sz w:val="20"/>
                <w:szCs w:val="20"/>
              </w:rPr>
              <w:t xml:space="preserve">9.6315</w:t>
            </w:r>
          </w:p>
        </w:tc>
        <w:tc>
          <w:tcPr>
            <w:tcW w:w="0" w:type="auto"/>
          </w:tcPr>
          <w:p>
            <w:pPr>
              <w:spacing w:line="240" w:lineRule="auto" w:before="0" w:after="0"/>
              <w:pStyle w:val="Compact"/>
            </w:pPr>
            <w:r>
              <w:rPr>
                <w:sz w:val="20"/>
                <w:szCs w:val="20"/>
              </w:rPr>
              <w:t xml:space="preserve">12.4289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469 Climate Change Research and Technology impacts Texas</w:t>
            </w:r>
          </w:p>
        </w:tc>
      </w:tr>
      <w:tr>
        <w:tc>
          <w:tcPr>
            <w:tcW w:w="0" w:type="auto"/>
          </w:tcPr>
          <w:p>
            <w:pPr>
              <w:spacing w:line="240" w:lineRule="auto" w:before="0" w:after="0"/>
              <w:pStyle w:val="Compact"/>
            </w:pPr>
            <w:r>
              <w:rPr>
                <w:sz w:val="20"/>
                <w:szCs w:val="20"/>
              </w:rPr>
              <w:t xml:space="preserve">Utah</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29450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10.2905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480 Climate Change Research and Technology impacts Utah</w:t>
            </w:r>
          </w:p>
        </w:tc>
      </w:tr>
      <w:tr>
        <w:tc>
          <w:tcPr>
            <w:tcW w:w="0" w:type="auto"/>
          </w:tcPr>
          <w:p>
            <w:pPr>
              <w:spacing w:line="240" w:lineRule="auto" w:before="0" w:after="0"/>
              <w:pStyle w:val="Compact"/>
            </w:pPr>
            <w:r>
              <w:rPr>
                <w:sz w:val="20"/>
                <w:szCs w:val="20"/>
              </w:rPr>
              <w:t xml:space="preserve">Virginia</w:t>
            </w:r>
          </w:p>
        </w:tc>
        <w:tc>
          <w:tcPr>
            <w:tcW w:w="0" w:type="auto"/>
          </w:tcPr>
          <w:p>
            <w:pPr>
              <w:spacing w:line="240" w:lineRule="auto" w:before="0" w:after="0"/>
              <w:pStyle w:val="Compact"/>
            </w:pPr>
            <w:r>
              <w:rPr>
                <w:sz w:val="20"/>
                <w:szCs w:val="20"/>
              </w:rPr>
              <w:t xml:space="preserve">274597</w:t>
            </w:r>
          </w:p>
        </w:tc>
        <w:tc>
          <w:tcPr>
            <w:tcW w:w="0" w:type="auto"/>
          </w:tcPr>
          <w:p>
            <w:pPr>
              <w:spacing w:line="240" w:lineRule="auto" w:before="0" w:after="0"/>
              <w:pStyle w:val="Compact"/>
            </w:pPr>
            <w:r>
              <w:rPr>
                <w:sz w:val="20"/>
                <w:szCs w:val="20"/>
              </w:rPr>
              <w:t xml:space="preserve">726785</w:t>
            </w:r>
          </w:p>
        </w:tc>
        <w:tc>
          <w:tcPr>
            <w:tcW w:w="0" w:type="auto"/>
          </w:tcPr>
          <w:p>
            <w:pPr>
              <w:spacing w:line="240" w:lineRule="auto" w:before="0" w:after="0"/>
              <w:pStyle w:val="Compact"/>
            </w:pPr>
            <w:r>
              <w:rPr>
                <w:sz w:val="20"/>
                <w:szCs w:val="20"/>
              </w:rPr>
              <w:t xml:space="preserve">12.5231</w:t>
            </w:r>
          </w:p>
        </w:tc>
        <w:tc>
          <w:tcPr>
            <w:tcW w:w="0" w:type="auto"/>
          </w:tcPr>
          <w:p>
            <w:pPr>
              <w:spacing w:line="240" w:lineRule="auto" w:before="0" w:after="0"/>
              <w:pStyle w:val="Compact"/>
            </w:pPr>
            <w:r>
              <w:rPr>
                <w:sz w:val="20"/>
                <w:szCs w:val="20"/>
              </w:rPr>
              <w:t xml:space="preserve">13.4964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498 Climate Change Research and Technology impacts Virginia</w:t>
            </w:r>
          </w:p>
        </w:tc>
      </w:tr>
      <w:tr>
        <w:tc>
          <w:tcPr>
            <w:tcW w:w="0" w:type="auto"/>
          </w:tcPr>
          <w:p>
            <w:pPr>
              <w:spacing w:line="240" w:lineRule="auto" w:before="0" w:after="0"/>
              <w:pStyle w:val="Compact"/>
            </w:pPr>
            <w:r>
              <w:rPr>
                <w:sz w:val="20"/>
                <w:szCs w:val="20"/>
              </w:rPr>
              <w:t xml:space="preserve">Washington</w:t>
            </w:r>
          </w:p>
        </w:tc>
        <w:tc>
          <w:tcPr>
            <w:tcW w:w="0" w:type="auto"/>
          </w:tcPr>
          <w:p>
            <w:pPr>
              <w:spacing w:line="240" w:lineRule="auto" w:before="0" w:after="0"/>
              <w:pStyle w:val="Compact"/>
            </w:pPr>
            <w:r>
              <w:rPr>
                <w:sz w:val="20"/>
                <w:szCs w:val="20"/>
              </w:rPr>
              <w:t xml:space="preserve">876</w:t>
            </w:r>
          </w:p>
        </w:tc>
        <w:tc>
          <w:tcPr>
            <w:tcW w:w="0" w:type="auto"/>
          </w:tcPr>
          <w:p>
            <w:pPr>
              <w:spacing w:line="240" w:lineRule="auto" w:before="0" w:after="0"/>
              <w:pStyle w:val="Compact"/>
            </w:pPr>
            <w:r>
              <w:rPr>
                <w:sz w:val="20"/>
                <w:szCs w:val="20"/>
              </w:rPr>
              <w:t xml:space="preserve">57832</w:t>
            </w:r>
          </w:p>
        </w:tc>
        <w:tc>
          <w:tcPr>
            <w:tcW w:w="0" w:type="auto"/>
          </w:tcPr>
          <w:p>
            <w:pPr>
              <w:spacing w:line="240" w:lineRule="auto" w:before="0" w:after="0"/>
              <w:pStyle w:val="Compact"/>
            </w:pPr>
            <w:r>
              <w:rPr>
                <w:sz w:val="20"/>
                <w:szCs w:val="20"/>
              </w:rPr>
              <w:t xml:space="preserve">6.7765</w:t>
            </w:r>
          </w:p>
        </w:tc>
        <w:tc>
          <w:tcPr>
            <w:tcW w:w="0" w:type="auto"/>
          </w:tcPr>
          <w:p>
            <w:pPr>
              <w:spacing w:line="240" w:lineRule="auto" w:before="0" w:after="0"/>
              <w:pStyle w:val="Compact"/>
            </w:pPr>
            <w:r>
              <w:rPr>
                <w:sz w:val="20"/>
                <w:szCs w:val="20"/>
              </w:rPr>
              <w:t xml:space="preserve">10.9653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509 Climate Change Research and Technology impacts Washington</w:t>
            </w:r>
          </w:p>
        </w:tc>
      </w:tr>
      <w:tr>
        <w:tc>
          <w:tcPr>
            <w:tcW w:w="0" w:type="auto"/>
          </w:tcPr>
          <w:p>
            <w:pPr>
              <w:spacing w:line="240" w:lineRule="auto" w:before="0" w:after="0"/>
              <w:pStyle w:val="Compact"/>
            </w:pPr>
            <w:r>
              <w:rPr>
                <w:sz w:val="20"/>
                <w:szCs w:val="20"/>
              </w:rPr>
              <w:t xml:space="preserve">West Virginia</w:t>
            </w:r>
          </w:p>
        </w:tc>
        <w:tc>
          <w:tcPr>
            <w:tcW w:w="0" w:type="auto"/>
          </w:tcPr>
          <w:p>
            <w:pPr>
              <w:spacing w:line="240" w:lineRule="auto" w:before="0" w:after="0"/>
              <w:pStyle w:val="Compact"/>
            </w:pPr>
            <w:r>
              <w:rPr>
                <w:sz w:val="20"/>
                <w:szCs w:val="20"/>
              </w:rPr>
              <w:t xml:space="preserve">523</w:t>
            </w:r>
          </w:p>
        </w:tc>
        <w:tc>
          <w:tcPr>
            <w:tcW w:w="0" w:type="auto"/>
          </w:tcPr>
          <w:p>
            <w:pPr>
              <w:spacing w:line="240" w:lineRule="auto" w:before="0" w:after="0"/>
              <w:pStyle w:val="Compact"/>
            </w:pPr>
            <w:r>
              <w:rPr>
                <w:sz w:val="20"/>
                <w:szCs w:val="20"/>
              </w:rPr>
              <w:t xml:space="preserve">1014</w:t>
            </w:r>
          </w:p>
        </w:tc>
        <w:tc>
          <w:tcPr>
            <w:tcW w:w="0" w:type="auto"/>
          </w:tcPr>
          <w:p>
            <w:pPr>
              <w:spacing w:line="240" w:lineRule="auto" w:before="0" w:after="0"/>
              <w:pStyle w:val="Compact"/>
            </w:pPr>
            <w:r>
              <w:rPr>
                <w:sz w:val="20"/>
                <w:szCs w:val="20"/>
              </w:rPr>
              <w:t xml:space="preserve">6.2615</w:t>
            </w:r>
          </w:p>
        </w:tc>
        <w:tc>
          <w:tcPr>
            <w:tcW w:w="0" w:type="auto"/>
          </w:tcPr>
          <w:p>
            <w:pPr>
              <w:spacing w:line="240" w:lineRule="auto" w:before="0" w:after="0"/>
              <w:pStyle w:val="Compact"/>
            </w:pPr>
            <w:r>
              <w:rPr>
                <w:sz w:val="20"/>
                <w:szCs w:val="20"/>
              </w:rPr>
              <w:t xml:space="preserve">6.9226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531 Climate Change Research and Technology impacts West Virginia</w:t>
            </w:r>
          </w:p>
        </w:tc>
      </w:tr>
    </w:tbl>
    <w:bookmarkEnd w:id="240"/>
    <w:bookmarkStart w:id="241"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log_spillover_output</w:t>
            </w:r>
          </w:p>
        </w:tc>
        <w:tc>
          <w:tcPr>
            <w:tcW w:w="0" w:type="auto"/>
          </w:tcPr>
          <w:p>
            <w:pPr>
              <w:spacing w:line="240" w:lineRule="auto" w:before="0" w:after="0"/>
              <w:pStyle w:val="Compact"/>
            </w:pPr>
            <w:r>
              <w:rPr>
                <w:sz w:val="20"/>
                <w:szCs w:val="20"/>
              </w:rPr>
              <w:t xml:space="preserve">Natural logarithm of indirect plus induced output, in thousands of dollars, plus one</w:t>
            </w:r>
          </w:p>
        </w:tc>
        <w:tc>
          <w:tcPr>
            <w:tcW w:w="0" w:type="auto"/>
          </w:tcPr>
          <w:p>
            <w:pPr>
              <w:spacing w:line="240" w:lineRule="auto" w:before="0" w:after="0"/>
              <w:pStyle w:val="Compact"/>
            </w:pPr>
            <w:r>
              <w:rPr>
                <w:sz w:val="20"/>
                <w:szCs w:val="20"/>
              </w:rPr>
              <w:t xml:space="preserve">Constructed from NASA FY2023 state impact tables</w:t>
            </w:r>
          </w:p>
        </w:tc>
      </w:tr>
      <w:tr>
        <w:tc>
          <w:tcPr>
            <w:tcW w:w="0" w:type="auto"/>
          </w:tcPr>
          <w:p>
            <w:pPr>
              <w:spacing w:line="240" w:lineRule="auto" w:before="0" w:after="0"/>
              <w:pStyle w:val="Compact"/>
            </w:pPr>
            <w:r>
              <w:rPr>
                <w:sz w:val="20"/>
                <w:szCs w:val="20"/>
              </w:rPr>
              <w:t xml:space="preserve">log_direct_output</w:t>
            </w:r>
          </w:p>
        </w:tc>
        <w:tc>
          <w:tcPr>
            <w:tcW w:w="0" w:type="auto"/>
          </w:tcPr>
          <w:p>
            <w:pPr>
              <w:spacing w:line="240" w:lineRule="auto" w:before="0" w:after="0"/>
              <w:pStyle w:val="Compact"/>
            </w:pPr>
            <w:r>
              <w:rPr>
                <w:sz w:val="20"/>
                <w:szCs w:val="20"/>
              </w:rPr>
              <w:t xml:space="preserve">Natural logarithm of direct output, in thousands of dollars, plus one</w:t>
            </w:r>
          </w:p>
        </w:tc>
        <w:tc>
          <w:tcPr>
            <w:tcW w:w="0" w:type="auto"/>
          </w:tcPr>
          <w:p>
            <w:pPr>
              <w:spacing w:line="240" w:lineRule="auto" w:before="0" w:after="0"/>
              <w:pStyle w:val="Compact"/>
            </w:pPr>
            <w:r>
              <w:rPr>
                <w:sz w:val="20"/>
                <w:szCs w:val="20"/>
              </w:rPr>
              <w:t xml:space="preserve">Constructed from NASA FY2023 state impact tables</w:t>
            </w:r>
          </w:p>
        </w:tc>
      </w:tr>
      <w:tr>
        <w:tc>
          <w:tcPr>
            <w:tcW w:w="0" w:type="auto"/>
          </w:tcPr>
          <w:p>
            <w:pPr>
              <w:spacing w:line="240" w:lineRule="auto" w:before="0" w:after="0"/>
              <w:pStyle w:val="Compact"/>
            </w:pPr>
            <w:r>
              <w:rPr>
                <w:sz w:val="20"/>
                <w:szCs w:val="20"/>
              </w:rPr>
              <w:t xml:space="preserve">nasa_center_state</w:t>
            </w:r>
          </w:p>
        </w:tc>
        <w:tc>
          <w:tcPr>
            <w:tcW w:w="0" w:type="auto"/>
          </w:tcPr>
          <w:p>
            <w:pPr>
              <w:spacing w:line="240" w:lineRule="auto" w:before="0" w:after="0"/>
              <w:pStyle w:val="Compact"/>
            </w:pPr>
            <w:r>
              <w:rPr>
                <w:sz w:val="20"/>
                <w:szCs w:val="20"/>
              </w:rPr>
              <w:t xml:space="preserve">Indicator for a state containing a major NASA center</w:t>
            </w:r>
          </w:p>
        </w:tc>
        <w:tc>
          <w:tcPr>
            <w:tcW w:w="0" w:type="auto"/>
          </w:tcPr>
          <w:p>
            <w:pPr>
              <w:spacing w:line="240" w:lineRule="auto" w:before="0" w:after="0"/>
              <w:pStyle w:val="Compact"/>
            </w:pPr>
            <w:r>
              <w:rPr>
                <w:sz w:val="20"/>
                <w:szCs w:val="20"/>
              </w:rPr>
              <w:t xml:space="preserve">NASA center locations matched to state records</w:t>
            </w:r>
          </w:p>
        </w:tc>
      </w:tr>
    </w:tbl>
    <w:bookmarkEnd w:id="241"/>
    <w:bookmarkEnd w:id="242"/>
    <w:bookmarkStart w:id="250" w:name="X653764d125d423dd3770cad52b3fff54e788bb2"/>
    <w:p>
      <w:pPr>
        <w:pStyle w:val="Heading2"/>
        <w:spacing w:line="480" w:lineRule="auto"/>
      </w:pPr>
      <w:r>
        <w:t xml:space="preserve">A.2 Where NASA Exploration Spending Produces Major Employment Spillovers</w:t>
      </w:r>
    </w:p>
    <w:p>
      <w:pPr>
        <w:pStyle w:val="FirstParagraph"/>
        <w:spacing w:line="480" w:lineRule="auto"/>
      </w:pPr>
      <m:oMathPara>
        <m:oMathParaPr>
          <m:jc m:val="center"/>
        </m:oMathParaPr>
        <m:oMath>
          <m:r>
            <m:rPr>
              <m:sty m:val="p"/>
            </m:rPr>
            <m:t>Pr</m:t>
          </m:r>
          <m:r>
            <m:rPr>
              <m:sty m:val="p"/>
            </m:rPr>
            <m:t>(</m:t>
          </m:r>
          <m:sSub>
            <m:e>
              <m:r>
                <m:t>M</m:t>
              </m:r>
            </m:e>
            <m:sub>
              <m:r>
                <m:t>i</m:t>
              </m:r>
            </m:sub>
          </m:sSub>
          <m:r>
            <m:rPr>
              <m:sty m:val="p"/>
            </m:rPr>
            <m:t>=</m:t>
          </m:r>
          <m:r>
            <m:t>1</m:t>
          </m:r>
          <m:r>
            <m:rPr>
              <m:sty m:val="p"/>
            </m:rPr>
            <m:t>)</m:t>
          </m:r>
          <m:r>
            <m:rPr>
              <m:sty m:val="p"/>
            </m:rPr>
            <m:t>=</m:t>
          </m:r>
          <m:sSup>
            <m:e>
              <m:r>
                <m:rPr>
                  <m:sty m:val="p"/>
                </m:rPr>
                <m:t>logit</m:t>
              </m:r>
            </m:e>
            <m:sup>
              <m:r>
                <m:rPr>
                  <m:sty m:val="p"/>
                </m:rPr>
                <m:t>−</m:t>
              </m:r>
              <m:r>
                <m:t>1</m:t>
              </m:r>
            </m:sup>
          </m:sSup>
          <m:r>
            <m:rPr>
              <m:sty m:val="p"/>
            </m:rPr>
            <m:t>(</m:t>
          </m:r>
          <m:r>
            <m:t>α</m:t>
          </m:r>
          <m:r>
            <m:rPr>
              <m:sty m:val="p"/>
            </m:rPr>
            <m:t>+</m:t>
          </m:r>
          <m:sSub>
            <m:e>
              <m:r>
                <m:t>β</m:t>
              </m:r>
            </m:e>
            <m:sub>
              <m:r>
                <m:t>1</m:t>
              </m:r>
            </m:sub>
          </m:sSub>
          <m:r>
            <m:rPr>
              <m:sty m:val="p"/>
            </m:rPr>
            <m:t>ln</m:t>
          </m:r>
          <m:r>
            <m:rPr>
              <m:sty m:val="p"/>
            </m:rPr>
            <m:t>(</m:t>
          </m:r>
          <m:sSub>
            <m:e>
              <m:r>
                <m:t>E</m:t>
              </m:r>
            </m:e>
            <m:sub>
              <m:r>
                <m:t>i</m:t>
              </m:r>
            </m:sub>
          </m:sSub>
          <m:r>
            <m:rPr>
              <m:sty m:val="p"/>
            </m:rPr>
            <m:t>+</m:t>
          </m:r>
          <m:r>
            <m:t>1</m:t>
          </m:r>
          <m:r>
            <m:rPr>
              <m:sty m:val="p"/>
            </m:rPr>
            <m:t>)</m:t>
          </m:r>
          <m:r>
            <m:rPr>
              <m:sty m:val="p"/>
            </m:rPr>
            <m:t>)</m:t>
          </m:r>
        </m:oMath>
      </m:oMathPara>
    </w:p>
    <w:bookmarkStart w:id="243"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-5.1849</w:t>
            </w:r>
          </w:p>
        </w:tc>
        <w:tc>
          <w:tcPr>
            <w:tcW w:w="0" w:type="auto"/>
          </w:tcPr>
          <w:p>
            <w:pPr>
              <w:spacing w:line="240" w:lineRule="auto" w:before="0" w:after="0"/>
              <w:pStyle w:val="Compact"/>
            </w:pPr>
            <w:r>
              <w:rPr>
                <w:sz w:val="20"/>
                <w:szCs w:val="20"/>
              </w:rPr>
              <w:t xml:space="preserve">1.7012</w:t>
            </w:r>
          </w:p>
        </w:tc>
        <w:tc>
          <w:tcPr>
            <w:tcW w:w="0" w:type="auto"/>
          </w:tcPr>
          <w:p>
            <w:pPr>
              <w:spacing w:line="240" w:lineRule="auto" w:before="0" w:after="0"/>
              <w:pStyle w:val="Compact"/>
            </w:pPr>
            <w:r>
              <w:rPr>
                <w:sz w:val="20"/>
                <w:szCs w:val="20"/>
              </w:rPr>
              <w:t xml:space="preserve">-3.0477</w:t>
            </w:r>
          </w:p>
        </w:tc>
        <w:tc>
          <w:tcPr>
            <w:tcW w:w="0" w:type="auto"/>
          </w:tcPr>
          <w:p>
            <w:pPr>
              <w:spacing w:line="240" w:lineRule="auto" w:before="0" w:after="0"/>
              <w:pStyle w:val="Compact"/>
            </w:pPr>
            <w:r>
              <w:rPr>
                <w:sz w:val="20"/>
                <w:szCs w:val="20"/>
              </w:rPr>
              <w:t xml:space="preserve">0.0023</w:t>
            </w:r>
          </w:p>
        </w:tc>
        <w:tc>
          <w:tcPr>
            <w:tcW w:w="0" w:type="auto"/>
          </w:tcPr>
          <w:p>
            <w:pPr>
              <w:spacing w:line="240" w:lineRule="auto" w:before="0" w:after="0"/>
              <w:pStyle w:val="Compact"/>
            </w:pPr>
            <w:r>
              <w:rPr>
                <w:sz w:val="20"/>
                <w:szCs w:val="20"/>
              </w:rPr>
              <w:t xml:space="preserve">[-8.5192, -1.8505]</w:t>
            </w:r>
          </w:p>
        </w:tc>
      </w:tr>
      <w:tr>
        <w:tc>
          <w:tcPr>
            <w:tcW w:w="0" w:type="auto"/>
          </w:tcPr>
          <w:p>
            <w:pPr>
              <w:spacing w:line="240" w:lineRule="auto" w:before="0" w:after="0"/>
              <w:pStyle w:val="Compact"/>
            </w:pPr>
            <w:r>
              <w:rPr>
                <w:sz w:val="20"/>
                <w:szCs w:val="20"/>
              </w:rPr>
              <w:t xml:space="preserve">log_direct_employment</w:t>
            </w:r>
          </w:p>
        </w:tc>
        <w:tc>
          <w:tcPr>
            <w:tcW w:w="0" w:type="auto"/>
          </w:tcPr>
          <w:p>
            <w:pPr>
              <w:spacing w:line="240" w:lineRule="auto" w:before="0" w:after="0"/>
              <w:pStyle w:val="Compact"/>
            </w:pPr>
            <w:r>
              <w:rPr>
                <w:sz w:val="20"/>
                <w:szCs w:val="20"/>
              </w:rPr>
              <w:t xml:space="preserve">1.9977</w:t>
            </w:r>
          </w:p>
        </w:tc>
        <w:tc>
          <w:tcPr>
            <w:tcW w:w="0" w:type="auto"/>
          </w:tcPr>
          <w:p>
            <w:pPr>
              <w:spacing w:line="240" w:lineRule="auto" w:before="0" w:after="0"/>
              <w:pStyle w:val="Compact"/>
            </w:pPr>
            <w:r>
              <w:rPr>
                <w:sz w:val="20"/>
                <w:szCs w:val="20"/>
              </w:rPr>
              <w:t xml:space="preserve">0.7953</w:t>
            </w:r>
          </w:p>
        </w:tc>
        <w:tc>
          <w:tcPr>
            <w:tcW w:w="0" w:type="auto"/>
          </w:tcPr>
          <w:p>
            <w:pPr>
              <w:spacing w:line="240" w:lineRule="auto" w:before="0" w:after="0"/>
              <w:pStyle w:val="Compact"/>
            </w:pPr>
            <w:r>
              <w:rPr>
                <w:sz w:val="20"/>
                <w:szCs w:val="20"/>
              </w:rPr>
              <w:t xml:space="preserve">2.5117</w:t>
            </w:r>
          </w:p>
        </w:tc>
        <w:tc>
          <w:tcPr>
            <w:tcW w:w="0" w:type="auto"/>
          </w:tcPr>
          <w:p>
            <w:pPr>
              <w:spacing w:line="240" w:lineRule="auto" w:before="0" w:after="0"/>
              <w:pStyle w:val="Compact"/>
            </w:pPr>
            <w:r>
              <w:rPr>
                <w:sz w:val="20"/>
                <w:szCs w:val="20"/>
              </w:rPr>
              <w:t xml:space="preserve">0.012</w:t>
            </w:r>
          </w:p>
        </w:tc>
        <w:tc>
          <w:tcPr>
            <w:tcW w:w="0" w:type="auto"/>
          </w:tcPr>
          <w:p>
            <w:pPr>
              <w:spacing w:line="240" w:lineRule="auto" w:before="0" w:after="0"/>
              <w:pStyle w:val="Compact"/>
            </w:pPr>
            <w:r>
              <w:rPr>
                <w:sz w:val="20"/>
                <w:szCs w:val="20"/>
              </w:rPr>
              <w:t xml:space="preserve">[0.4388, 3.5566]</w:t>
            </w:r>
          </w:p>
        </w:tc>
      </w:tr>
    </w:tbl>
    <w:p>
      <w:pPr>
        <w:pStyle w:val="BodyText"/>
        <w:spacing w:line="480" w:lineRule="auto"/>
        <w:ind w:firstLine="720"/>
      </w:pPr>
      <w:r>
        <w:t xml:space="preserve">Fit: N = 35 pseudo_R2 = 0.6346 LL = -8.2228</w:t>
      </w:r>
    </w:p>
    <w:bookmarkEnd w:id="243"/>
    <w:bookmarkStart w:id="247"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Figure 1. Direct Moon to Mars employment and the probability of at least 500 indirect plus induced jobs." title="" id="245" name="Picture"/>
            <a:graphic>
              <a:graphicData uri="http://schemas.openxmlformats.org/drawingml/2006/picture">
                <pic:pic>
                  <pic:nvPicPr>
                    <pic:cNvPr descr="D:/Claude_Code/brain/collegium/candidates/dissertations/SPACE_ECON_10/research_papers/p2/paper_fig1.png" id="246" name="Picture"/>
                    <pic:cNvPicPr>
                      <a:picLocks noChangeArrowheads="1" noChangeAspect="1"/>
                    </pic:cNvPicPr>
                  </pic:nvPicPr>
                  <pic:blipFill>
                    <a:blip r:embed="rId24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Figure 1. Direct Moon to Mars employment and the probability of at least 500 indirect plus induced jobs.</w:t>
      </w:r>
    </w:p>
    <w:bookmarkEnd w:id="247"/>
    <w:bookmarkStart w:id="248"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state</w:t>
            </w:r>
          </w:p>
        </w:tc>
        <w:tc>
          <w:tcPr>
            <w:tcW w:w="0" w:type="auto"/>
          </w:tcPr>
          <w:p>
            <w:pPr>
              <w:spacing w:line="240" w:lineRule="auto" w:before="0" w:after="0"/>
              <w:pStyle w:val="Compact"/>
            </w:pPr>
            <w:r>
              <w:rPr>
                <w:sz w:val="20"/>
                <w:szCs w:val="20"/>
              </w:rPr>
              <w:t xml:space="preserve">direct_employment</w:t>
            </w:r>
          </w:p>
        </w:tc>
        <w:tc>
          <w:tcPr>
            <w:tcW w:w="0" w:type="auto"/>
          </w:tcPr>
          <w:p>
            <w:pPr>
              <w:spacing w:line="240" w:lineRule="auto" w:before="0" w:after="0"/>
              <w:pStyle w:val="Compact"/>
            </w:pPr>
            <w:r>
              <w:rPr>
                <w:sz w:val="20"/>
                <w:szCs w:val="20"/>
              </w:rPr>
              <w:t xml:space="preserve">spillover_jobs</w:t>
            </w:r>
          </w:p>
        </w:tc>
        <w:tc>
          <w:tcPr>
            <w:tcW w:w="0" w:type="auto"/>
          </w:tcPr>
          <w:p>
            <w:pPr>
              <w:spacing w:line="240" w:lineRule="auto" w:before="0" w:after="0"/>
              <w:pStyle w:val="Compact"/>
            </w:pPr>
            <w:r>
              <w:rPr>
                <w:sz w:val="20"/>
                <w:szCs w:val="20"/>
              </w:rPr>
              <w:t xml:space="preserve">log_direct_employment</w:t>
            </w:r>
          </w:p>
        </w:tc>
        <w:tc>
          <w:tcPr>
            <w:tcW w:w="0" w:type="auto"/>
          </w:tcPr>
          <w:p>
            <w:pPr>
              <w:spacing w:line="240" w:lineRule="auto" w:before="0" w:after="0"/>
              <w:pStyle w:val="Compact"/>
            </w:pPr>
            <w:r>
              <w:rPr>
                <w:sz w:val="20"/>
                <w:szCs w:val="20"/>
              </w:rPr>
              <w:t xml:space="preserve">nasa_center_state</w:t>
            </w:r>
          </w:p>
        </w:tc>
        <w:tc>
          <w:tcPr>
            <w:tcW w:w="0" w:type="auto"/>
          </w:tcPr>
          <w:p>
            <w:pPr>
              <w:spacing w:line="240" w:lineRule="auto" w:before="0" w:after="0"/>
              <w:pStyle w:val="Compact"/>
            </w:pPr>
            <w:r>
              <w:rPr>
                <w:sz w:val="20"/>
                <w:szCs w:val="20"/>
              </w:rPr>
              <w:t xml:space="preserve">major_spillover_state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Alabama</w:t>
            </w:r>
          </w:p>
        </w:tc>
        <w:tc>
          <w:tcPr>
            <w:tcW w:w="0" w:type="auto"/>
          </w:tcPr>
          <w:p>
            <w:pPr>
              <w:spacing w:line="240" w:lineRule="auto" w:before="0" w:after="0"/>
              <w:pStyle w:val="Compact"/>
            </w:pPr>
            <w:r>
              <w:rPr>
                <w:sz w:val="20"/>
                <w:szCs w:val="20"/>
              </w:rPr>
              <w:t xml:space="preserve">939</w:t>
            </w:r>
          </w:p>
        </w:tc>
        <w:tc>
          <w:tcPr>
            <w:tcW w:w="0" w:type="auto"/>
          </w:tcPr>
          <w:p>
            <w:pPr>
              <w:spacing w:line="240" w:lineRule="auto" w:before="0" w:after="0"/>
              <w:pStyle w:val="Compact"/>
            </w:pPr>
            <w:r>
              <w:rPr>
                <w:sz w:val="20"/>
                <w:szCs w:val="20"/>
              </w:rPr>
              <w:t xml:space="preserve">21747</w:t>
            </w:r>
          </w:p>
        </w:tc>
        <w:tc>
          <w:tcPr>
            <w:tcW w:w="0" w:type="auto"/>
          </w:tcPr>
          <w:p>
            <w:pPr>
              <w:spacing w:line="240" w:lineRule="auto" w:before="0" w:after="0"/>
              <w:pStyle w:val="Compact"/>
            </w:pPr>
            <w:r>
              <w:rPr>
                <w:sz w:val="20"/>
                <w:szCs w:val="20"/>
              </w:rPr>
              <w:t xml:space="preserve">6.8459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21 Moon to Mars campaign impacts Alabama</w:t>
            </w:r>
          </w:p>
        </w:tc>
      </w:tr>
      <w:tr>
        <w:tc>
          <w:tcPr>
            <w:tcW w:w="0" w:type="auto"/>
          </w:tcPr>
          <w:p>
            <w:pPr>
              <w:spacing w:line="240" w:lineRule="auto" w:before="0" w:after="0"/>
              <w:pStyle w:val="Compact"/>
            </w:pPr>
            <w:r>
              <w:rPr>
                <w:sz w:val="20"/>
                <w:szCs w:val="20"/>
              </w:rPr>
              <w:t xml:space="preserve">California</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15963</w:t>
            </w:r>
          </w:p>
        </w:tc>
        <w:tc>
          <w:tcPr>
            <w:tcW w:w="0" w:type="auto"/>
          </w:tcPr>
          <w:p>
            <w:pPr>
              <w:spacing w:line="240" w:lineRule="auto" w:before="0" w:after="0"/>
              <w:pStyle w:val="Compact"/>
            </w:pPr>
            <w:r>
              <w:rPr>
                <w:sz w:val="20"/>
                <w:szCs w:val="20"/>
              </w:rPr>
              <w:t xml:space="preserve">5.112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57 Moon to Mars campaign impacts California</w:t>
            </w:r>
          </w:p>
        </w:tc>
      </w:tr>
      <w:tr>
        <w:tc>
          <w:tcPr>
            <w:tcW w:w="0" w:type="auto"/>
          </w:tcPr>
          <w:p>
            <w:pPr>
              <w:spacing w:line="240" w:lineRule="auto" w:before="0" w:after="0"/>
              <w:pStyle w:val="Compact"/>
            </w:pPr>
            <w:r>
              <w:rPr>
                <w:sz w:val="20"/>
                <w:szCs w:val="20"/>
              </w:rPr>
              <w:t xml:space="preserve">Colorado</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13930</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68 Moon to Mars campaign impacts Colorado</w:t>
            </w:r>
          </w:p>
        </w:tc>
      </w:tr>
      <w:tr>
        <w:tc>
          <w:tcPr>
            <w:tcW w:w="0" w:type="auto"/>
          </w:tcPr>
          <w:p>
            <w:pPr>
              <w:spacing w:line="240" w:lineRule="auto" w:before="0" w:after="0"/>
              <w:pStyle w:val="Compact"/>
            </w:pPr>
            <w:r>
              <w:rPr>
                <w:sz w:val="20"/>
                <w:szCs w:val="20"/>
              </w:rPr>
              <w:t xml:space="preserve">Connecticut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79 Moon to Mars campaign impacts Connecticut</w:t>
            </w:r>
          </w:p>
        </w:tc>
      </w:tr>
      <w:tr>
        <w:tc>
          <w:tcPr>
            <w:tcW w:w="0" w:type="auto"/>
          </w:tcPr>
          <w:p>
            <w:pPr>
              <w:spacing w:line="240" w:lineRule="auto" w:before="0" w:after="0"/>
              <w:pStyle w:val="Compact"/>
            </w:pPr>
            <w:r>
              <w:rPr>
                <w:sz w:val="20"/>
                <w:szCs w:val="20"/>
              </w:rPr>
              <w:t xml:space="preserve">Florida</w:t>
            </w:r>
          </w:p>
        </w:tc>
        <w:tc>
          <w:tcPr>
            <w:tcW w:w="0" w:type="auto"/>
          </w:tcPr>
          <w:p>
            <w:pPr>
              <w:spacing w:line="240" w:lineRule="auto" w:before="0" w:after="0"/>
              <w:pStyle w:val="Compact"/>
            </w:pPr>
            <w:r>
              <w:rPr>
                <w:sz w:val="20"/>
                <w:szCs w:val="20"/>
              </w:rPr>
              <w:t xml:space="preserve">688</w:t>
            </w:r>
          </w:p>
        </w:tc>
        <w:tc>
          <w:tcPr>
            <w:tcW w:w="0" w:type="auto"/>
          </w:tcPr>
          <w:p>
            <w:pPr>
              <w:spacing w:line="240" w:lineRule="auto" w:before="0" w:after="0"/>
              <w:pStyle w:val="Compact"/>
            </w:pPr>
            <w:r>
              <w:rPr>
                <w:sz w:val="20"/>
                <w:szCs w:val="20"/>
              </w:rPr>
              <w:t xml:space="preserve">12435</w:t>
            </w:r>
          </w:p>
        </w:tc>
        <w:tc>
          <w:tcPr>
            <w:tcW w:w="0" w:type="auto"/>
          </w:tcPr>
          <w:p>
            <w:pPr>
              <w:spacing w:line="240" w:lineRule="auto" w:before="0" w:after="0"/>
              <w:pStyle w:val="Compact"/>
            </w:pPr>
            <w:r>
              <w:rPr>
                <w:sz w:val="20"/>
                <w:szCs w:val="20"/>
              </w:rPr>
              <w:t xml:space="preserve">6.5352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101 Moon to Mars campaign impacts Florida</w:t>
            </w:r>
          </w:p>
        </w:tc>
      </w:tr>
      <w:tr>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112 Moon to Mars campaign impacts Georgia</w:t>
            </w:r>
          </w:p>
        </w:tc>
      </w:tr>
      <w:tr>
        <w:tc>
          <w:tcPr>
            <w:tcW w:w="0" w:type="auto"/>
          </w:tcPr>
          <w:p>
            <w:pPr>
              <w:spacing w:line="240" w:lineRule="auto" w:before="0" w:after="0"/>
              <w:pStyle w:val="Compact"/>
            </w:pPr>
            <w:r>
              <w:rPr>
                <w:sz w:val="20"/>
                <w:szCs w:val="20"/>
              </w:rPr>
              <w:t xml:space="preserve">Hawaii</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123 Moon to Mars campaign impacts Hawaii</w:t>
            </w:r>
          </w:p>
        </w:tc>
      </w:tr>
      <w:tr>
        <w:tc>
          <w:tcPr>
            <w:tcW w:w="0" w:type="auto"/>
          </w:tcPr>
          <w:p>
            <w:pPr>
              <w:spacing w:line="240" w:lineRule="auto" w:before="0" w:after="0"/>
              <w:pStyle w:val="Compact"/>
            </w:pPr>
            <w:r>
              <w:rPr>
                <w:sz w:val="20"/>
                <w:szCs w:val="20"/>
              </w:rPr>
              <w:t xml:space="preserve">Illinois</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145 Moon to Mars campaign impacts Illinois</w:t>
            </w:r>
          </w:p>
        </w:tc>
      </w:tr>
      <w:tr>
        <w:tc>
          <w:tcPr>
            <w:tcW w:w="0" w:type="auto"/>
          </w:tcPr>
          <w:p>
            <w:pPr>
              <w:spacing w:line="240" w:lineRule="auto" w:before="0" w:after="0"/>
              <w:pStyle w:val="Compact"/>
            </w:pPr>
            <w:r>
              <w:rPr>
                <w:sz w:val="20"/>
                <w:szCs w:val="20"/>
              </w:rPr>
              <w:t xml:space="preserve">Indiana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156 Moon to Mars campaign impacts Indiana</w:t>
            </w:r>
          </w:p>
        </w:tc>
      </w:tr>
      <w:tr>
        <w:tc>
          <w:tcPr>
            <w:tcW w:w="0" w:type="auto"/>
          </w:tcPr>
          <w:p>
            <w:pPr>
              <w:spacing w:line="240" w:lineRule="auto" w:before="0" w:after="0"/>
              <w:pStyle w:val="Compact"/>
            </w:pPr>
            <w:r>
              <w:rPr>
                <w:sz w:val="20"/>
                <w:szCs w:val="20"/>
              </w:rPr>
              <w:t xml:space="preserve">Kansas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178 Moon to Mars campaign impacts Kansas</w:t>
            </w:r>
          </w:p>
        </w:tc>
      </w:tr>
      <w:tr>
        <w:tc>
          <w:tcPr>
            <w:tcW w:w="0" w:type="auto"/>
          </w:tcPr>
          <w:p>
            <w:pPr>
              <w:spacing w:line="240" w:lineRule="auto" w:before="0" w:after="0"/>
              <w:pStyle w:val="Compact"/>
            </w:pPr>
            <w:r>
              <w:rPr>
                <w:sz w:val="20"/>
                <w:szCs w:val="20"/>
              </w:rPr>
              <w:t xml:space="preserve">Kentucky</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189 Moon to Mars campaign impacts Kentucky</w:t>
            </w:r>
          </w:p>
        </w:tc>
      </w:tr>
      <w:tr>
        <w:tc>
          <w:tcPr>
            <w:tcW w:w="0" w:type="auto"/>
          </w:tcPr>
          <w:p>
            <w:pPr>
              <w:spacing w:line="240" w:lineRule="auto" w:before="0" w:after="0"/>
              <w:pStyle w:val="Compact"/>
            </w:pPr>
            <w:r>
              <w:rPr>
                <w:sz w:val="20"/>
                <w:szCs w:val="20"/>
              </w:rPr>
              <w:t xml:space="preserve">Louisiana</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993</w:t>
            </w:r>
          </w:p>
        </w:tc>
        <w:tc>
          <w:tcPr>
            <w:tcW w:w="0" w:type="auto"/>
          </w:tcPr>
          <w:p>
            <w:pPr>
              <w:spacing w:line="240" w:lineRule="auto" w:before="0" w:after="0"/>
              <w:pStyle w:val="Compact"/>
            </w:pPr>
            <w:r>
              <w:rPr>
                <w:sz w:val="20"/>
                <w:szCs w:val="20"/>
              </w:rPr>
              <w:t xml:space="preserve">3.9703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200 Moon to Mars campaign impacts Louisiana</w:t>
            </w:r>
          </w:p>
        </w:tc>
      </w:tr>
      <w:tr>
        <w:tc>
          <w:tcPr>
            <w:tcW w:w="0" w:type="auto"/>
          </w:tcPr>
          <w:p>
            <w:pPr>
              <w:spacing w:line="240" w:lineRule="auto" w:before="0" w:after="0"/>
              <w:pStyle w:val="Compact"/>
            </w:pPr>
            <w:r>
              <w:rPr>
                <w:sz w:val="20"/>
                <w:szCs w:val="20"/>
              </w:rPr>
              <w:t xml:space="preserve">Maine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211 Moon to Mars campaign impacts Maine</w:t>
            </w:r>
          </w:p>
        </w:tc>
      </w:tr>
      <w:tr>
        <w:tc>
          <w:tcPr>
            <w:tcW w:w="0" w:type="auto"/>
          </w:tcPr>
          <w:p>
            <w:pPr>
              <w:spacing w:line="240" w:lineRule="auto" w:before="0" w:after="0"/>
              <w:pStyle w:val="Compact"/>
            </w:pPr>
            <w:r>
              <w:rPr>
                <w:sz w:val="20"/>
                <w:szCs w:val="20"/>
              </w:rPr>
              <w:t xml:space="preserve">Maryland</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1345</w:t>
            </w:r>
          </w:p>
        </w:tc>
        <w:tc>
          <w:tcPr>
            <w:tcW w:w="0" w:type="auto"/>
          </w:tcPr>
          <w:p>
            <w:pPr>
              <w:spacing w:line="240" w:lineRule="auto" w:before="0" w:after="0"/>
              <w:pStyle w:val="Compact"/>
            </w:pPr>
            <w:r>
              <w:rPr>
                <w:sz w:val="20"/>
                <w:szCs w:val="20"/>
              </w:rPr>
              <w:t xml:space="preserve">5.1648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222 Moon to Mars campaign impacts Maryland</w:t>
            </w:r>
          </w:p>
        </w:tc>
      </w:tr>
      <w:tr>
        <w:tc>
          <w:tcPr>
            <w:tcW w:w="0" w:type="auto"/>
          </w:tcPr>
          <w:p>
            <w:pPr>
              <w:spacing w:line="240" w:lineRule="auto" w:before="0" w:after="0"/>
              <w:pStyle w:val="Compact"/>
            </w:pPr>
            <w:r>
              <w:rPr>
                <w:sz w:val="20"/>
                <w:szCs w:val="20"/>
              </w:rPr>
              <w:t xml:space="preserve">Massachusetts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233 Moon to Mars campaign impacts Massachusetts</w:t>
            </w:r>
          </w:p>
        </w:tc>
      </w:tr>
      <w:tr>
        <w:tc>
          <w:tcPr>
            <w:tcW w:w="0" w:type="auto"/>
          </w:tcPr>
          <w:p>
            <w:pPr>
              <w:spacing w:line="240" w:lineRule="auto" w:before="0" w:after="0"/>
              <w:pStyle w:val="Compact"/>
            </w:pPr>
            <w:r>
              <w:rPr>
                <w:sz w:val="20"/>
                <w:szCs w:val="20"/>
              </w:rPr>
              <w:t xml:space="preserve">Michigan</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244 Moon to Mars campaign impacts Michigan</w:t>
            </w:r>
          </w:p>
        </w:tc>
      </w:tr>
      <w:tr>
        <w:tc>
          <w:tcPr>
            <w:tcW w:w="0" w:type="auto"/>
          </w:tcPr>
          <w:p>
            <w:pPr>
              <w:spacing w:line="240" w:lineRule="auto" w:before="0" w:after="0"/>
              <w:pStyle w:val="Compact"/>
            </w:pPr>
            <w:r>
              <w:rPr>
                <w:sz w:val="20"/>
                <w:szCs w:val="20"/>
              </w:rPr>
              <w:t xml:space="preserve">Minnesota</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255 Moon to Mars campaign impacts Minnesota</w:t>
            </w:r>
          </w:p>
        </w:tc>
      </w:tr>
      <w:tr>
        <w:tc>
          <w:tcPr>
            <w:tcW w:w="0" w:type="auto"/>
          </w:tcPr>
          <w:p>
            <w:pPr>
              <w:spacing w:line="240" w:lineRule="auto" w:before="0" w:after="0"/>
              <w:pStyle w:val="Compact"/>
            </w:pPr>
            <w:r>
              <w:rPr>
                <w:sz w:val="20"/>
                <w:szCs w:val="20"/>
              </w:rPr>
              <w:t xml:space="preserve">Mississippi</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656</w:t>
            </w:r>
          </w:p>
        </w:tc>
        <w:tc>
          <w:tcPr>
            <w:tcW w:w="0" w:type="auto"/>
          </w:tcPr>
          <w:p>
            <w:pPr>
              <w:spacing w:line="240" w:lineRule="auto" w:before="0" w:after="0"/>
              <w:pStyle w:val="Compact"/>
            </w:pPr>
            <w:r>
              <w:rPr>
                <w:sz w:val="20"/>
                <w:szCs w:val="20"/>
              </w:rPr>
              <w:t xml:space="preserve">3.5835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266 Moon to Mars campaign impacts Mississippi</w:t>
            </w:r>
          </w:p>
        </w:tc>
      </w:tr>
      <w:tr>
        <w:tc>
          <w:tcPr>
            <w:tcW w:w="0" w:type="auto"/>
          </w:tcPr>
          <w:p>
            <w:pPr>
              <w:spacing w:line="240" w:lineRule="auto" w:before="0" w:after="0"/>
              <w:pStyle w:val="Compact"/>
            </w:pPr>
            <w:r>
              <w:rPr>
                <w:sz w:val="20"/>
                <w:szCs w:val="20"/>
              </w:rPr>
              <w:t xml:space="preserve">Missouri</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277 Moon to Mars campaign impacts Missouri</w:t>
            </w:r>
          </w:p>
        </w:tc>
      </w:tr>
      <w:tr>
        <w:tc>
          <w:tcPr>
            <w:tcW w:w="0" w:type="auto"/>
          </w:tcPr>
          <w:p>
            <w:pPr>
              <w:spacing w:line="240" w:lineRule="auto" w:before="0" w:after="0"/>
              <w:pStyle w:val="Compact"/>
            </w:pPr>
            <w:r>
              <w:rPr>
                <w:sz w:val="20"/>
                <w:szCs w:val="20"/>
              </w:rPr>
              <w:t xml:space="preserve">Montana</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288 Moon to Mars campaign impacts Montana</w:t>
            </w:r>
          </w:p>
        </w:tc>
      </w:tr>
      <w:tr>
        <w:tc>
          <w:tcPr>
            <w:tcW w:w="0" w:type="auto"/>
          </w:tcPr>
          <w:p>
            <w:pPr>
              <w:spacing w:line="240" w:lineRule="auto" w:before="0" w:after="0"/>
              <w:pStyle w:val="Compact"/>
            </w:pPr>
            <w:r>
              <w:rPr>
                <w:sz w:val="20"/>
                <w:szCs w:val="20"/>
              </w:rPr>
              <w:t xml:space="preserve">Nebraska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295 Moon to Mars campaign impacts Nebraska</w:t>
            </w:r>
          </w:p>
        </w:tc>
      </w:tr>
      <w:tr>
        <w:tc>
          <w:tcPr>
            <w:tcW w:w="0" w:type="auto"/>
          </w:tcPr>
          <w:p>
            <w:pPr>
              <w:spacing w:line="240" w:lineRule="auto" w:before="0" w:after="0"/>
              <w:pStyle w:val="Compact"/>
            </w:pPr>
            <w:r>
              <w:rPr>
                <w:sz w:val="20"/>
                <w:szCs w:val="20"/>
              </w:rPr>
              <w:t xml:space="preserve">New Jersey</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326 Moon to Mars campaign impacts New Jersey</w:t>
            </w:r>
          </w:p>
        </w:tc>
      </w:tr>
      <w:tr>
        <w:tc>
          <w:tcPr>
            <w:tcW w:w="0" w:type="auto"/>
          </w:tcPr>
          <w:p>
            <w:pPr>
              <w:spacing w:line="240" w:lineRule="auto" w:before="0" w:after="0"/>
              <w:pStyle w:val="Compact"/>
            </w:pPr>
            <w:r>
              <w:rPr>
                <w:sz w:val="20"/>
                <w:szCs w:val="20"/>
              </w:rPr>
              <w:t xml:space="preserve">New Mexico</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231</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337 Moon to Mars campaign impacts New Mexico</w:t>
            </w:r>
          </w:p>
        </w:tc>
      </w:tr>
      <w:tr>
        <w:tc>
          <w:tcPr>
            <w:tcW w:w="0" w:type="auto"/>
          </w:tcPr>
          <w:p>
            <w:pPr>
              <w:spacing w:line="240" w:lineRule="auto" w:before="0" w:after="0"/>
              <w:pStyle w:val="Compact"/>
            </w:pPr>
            <w:r>
              <w:rPr>
                <w:sz w:val="20"/>
                <w:szCs w:val="20"/>
              </w:rPr>
              <w:t xml:space="preserve">New York</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348 Moon to Mars campaign impacts New York</w:t>
            </w:r>
          </w:p>
        </w:tc>
      </w:tr>
      <w:tr>
        <w:tc>
          <w:tcPr>
            <w:tcW w:w="0" w:type="auto"/>
          </w:tcPr>
          <w:p>
            <w:pPr>
              <w:spacing w:line="240" w:lineRule="auto" w:before="0" w:after="0"/>
              <w:pStyle w:val="Compact"/>
            </w:pPr>
            <w:r>
              <w:rPr>
                <w:sz w:val="20"/>
                <w:szCs w:val="20"/>
              </w:rPr>
              <w:t xml:space="preserve">North Carolina</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359 Moon to Mars campaign impacts North Carolina</w:t>
            </w:r>
          </w:p>
        </w:tc>
      </w:tr>
      <w:tr>
        <w:tc>
          <w:tcPr>
            <w:tcW w:w="0" w:type="auto"/>
          </w:tcPr>
          <w:p>
            <w:pPr>
              <w:spacing w:line="240" w:lineRule="auto" w:before="0" w:after="0"/>
              <w:pStyle w:val="Compact"/>
            </w:pPr>
            <w:r>
              <w:rPr>
                <w:sz w:val="20"/>
                <w:szCs w:val="20"/>
              </w:rPr>
              <w:t xml:space="preserve">Ohio</w:t>
            </w:r>
          </w:p>
        </w:tc>
        <w:tc>
          <w:tcPr>
            <w:tcW w:w="0" w:type="auto"/>
          </w:tcPr>
          <w:p>
            <w:pPr>
              <w:spacing w:line="240" w:lineRule="auto" w:before="0" w:after="0"/>
              <w:pStyle w:val="Compact"/>
            </w:pPr>
            <w:r>
              <w:rPr>
                <w:sz w:val="20"/>
                <w:szCs w:val="20"/>
              </w:rPr>
              <w:t xml:space="preserve">316</w:t>
            </w:r>
          </w:p>
        </w:tc>
        <w:tc>
          <w:tcPr>
            <w:tcW w:w="0" w:type="auto"/>
          </w:tcPr>
          <w:p>
            <w:pPr>
              <w:spacing w:line="240" w:lineRule="auto" w:before="0" w:after="0"/>
              <w:pStyle w:val="Compact"/>
            </w:pPr>
            <w:r>
              <w:rPr>
                <w:sz w:val="20"/>
                <w:szCs w:val="20"/>
              </w:rPr>
              <w:t xml:space="preserve">1146</w:t>
            </w:r>
          </w:p>
        </w:tc>
        <w:tc>
          <w:tcPr>
            <w:tcW w:w="0" w:type="auto"/>
          </w:tcPr>
          <w:p>
            <w:pPr>
              <w:spacing w:line="240" w:lineRule="auto" w:before="0" w:after="0"/>
              <w:pStyle w:val="Compact"/>
            </w:pPr>
            <w:r>
              <w:rPr>
                <w:sz w:val="20"/>
                <w:szCs w:val="20"/>
              </w:rPr>
              <w:t xml:space="preserve">5.7589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379 Moon to Mars campaign impacts Ohio</w:t>
            </w:r>
          </w:p>
        </w:tc>
      </w:tr>
      <w:tr>
        <w:tc>
          <w:tcPr>
            <w:tcW w:w="0" w:type="auto"/>
          </w:tcPr>
          <w:p>
            <w:pPr>
              <w:spacing w:line="240" w:lineRule="auto" w:before="0" w:after="0"/>
              <w:pStyle w:val="Compact"/>
            </w:pPr>
            <w:r>
              <w:rPr>
                <w:sz w:val="20"/>
                <w:szCs w:val="20"/>
              </w:rPr>
              <w:t xml:space="preserve">Oregon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401 Moon to Mars campaign impacts Oregon</w:t>
            </w:r>
          </w:p>
        </w:tc>
      </w:tr>
      <w:tr>
        <w:tc>
          <w:tcPr>
            <w:tcW w:w="0" w:type="auto"/>
          </w:tcPr>
          <w:p>
            <w:pPr>
              <w:spacing w:line="240" w:lineRule="auto" w:before="0" w:after="0"/>
              <w:pStyle w:val="Compact"/>
            </w:pPr>
            <w:r>
              <w:rPr>
                <w:sz w:val="20"/>
                <w:szCs w:val="20"/>
              </w:rPr>
              <w:t xml:space="preserve">South Carolina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434 Moon to Mars campaign impacts South Carolina</w:t>
            </w:r>
          </w:p>
        </w:tc>
      </w:tr>
      <w:tr>
        <w:tc>
          <w:tcPr>
            <w:tcW w:w="0" w:type="auto"/>
          </w:tcPr>
          <w:p>
            <w:pPr>
              <w:spacing w:line="240" w:lineRule="auto" w:before="0" w:after="0"/>
              <w:pStyle w:val="Compact"/>
            </w:pPr>
            <w:r>
              <w:rPr>
                <w:sz w:val="20"/>
                <w:szCs w:val="20"/>
              </w:rPr>
              <w:t xml:space="preserve">South Dakota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445 Moon to Mars campaign impacts South Dakota</w:t>
            </w:r>
          </w:p>
        </w:tc>
      </w:tr>
      <w:tr>
        <w:tc>
          <w:tcPr>
            <w:tcW w:w="0" w:type="auto"/>
          </w:tcPr>
          <w:p>
            <w:pPr>
              <w:spacing w:line="240" w:lineRule="auto" w:before="0" w:after="0"/>
              <w:pStyle w:val="Compact"/>
            </w:pPr>
            <w:r>
              <w:rPr>
                <w:sz w:val="20"/>
                <w:szCs w:val="20"/>
              </w:rPr>
              <w:t xml:space="preserve">Tennessee</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454 Moon to Mars campaign impacts Tennessee</w:t>
            </w:r>
          </w:p>
        </w:tc>
      </w:tr>
      <w:tr>
        <w:tc>
          <w:tcPr>
            <w:tcW w:w="0" w:type="auto"/>
          </w:tcPr>
          <w:p>
            <w:pPr>
              <w:spacing w:line="240" w:lineRule="auto" w:before="0" w:after="0"/>
              <w:pStyle w:val="Compact"/>
            </w:pPr>
            <w:r>
              <w:rPr>
                <w:sz w:val="20"/>
                <w:szCs w:val="20"/>
              </w:rPr>
              <w:t xml:space="preserve">Texas</w:t>
            </w:r>
          </w:p>
        </w:tc>
        <w:tc>
          <w:tcPr>
            <w:tcW w:w="0" w:type="auto"/>
          </w:tcPr>
          <w:p>
            <w:pPr>
              <w:spacing w:line="240" w:lineRule="auto" w:before="0" w:after="0"/>
              <w:pStyle w:val="Compact"/>
            </w:pPr>
            <w:r>
              <w:rPr>
                <w:sz w:val="20"/>
                <w:szCs w:val="20"/>
              </w:rPr>
              <w:t xml:space="preserve">1005</w:t>
            </w:r>
          </w:p>
        </w:tc>
        <w:tc>
          <w:tcPr>
            <w:tcW w:w="0" w:type="auto"/>
          </w:tcPr>
          <w:p>
            <w:pPr>
              <w:spacing w:line="240" w:lineRule="auto" w:before="0" w:after="0"/>
              <w:pStyle w:val="Compact"/>
            </w:pPr>
            <w:r>
              <w:rPr>
                <w:sz w:val="20"/>
                <w:szCs w:val="20"/>
              </w:rPr>
              <w:t xml:space="preserve">13128</w:t>
            </w:r>
          </w:p>
        </w:tc>
        <w:tc>
          <w:tcPr>
            <w:tcW w:w="0" w:type="auto"/>
          </w:tcPr>
          <w:p>
            <w:pPr>
              <w:spacing w:line="240" w:lineRule="auto" w:before="0" w:after="0"/>
              <w:pStyle w:val="Compact"/>
            </w:pPr>
            <w:r>
              <w:rPr>
                <w:sz w:val="20"/>
                <w:szCs w:val="20"/>
              </w:rPr>
              <w:t xml:space="preserve">6.9137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465 Moon to Mars campaign impacts Texas</w:t>
            </w:r>
          </w:p>
        </w:tc>
      </w:tr>
      <w:tr>
        <w:tc>
          <w:tcPr>
            <w:tcW w:w="0" w:type="auto"/>
          </w:tcPr>
          <w:p>
            <w:pPr>
              <w:spacing w:line="240" w:lineRule="auto" w:before="0" w:after="0"/>
              <w:pStyle w:val="Compact"/>
            </w:pPr>
            <w:r>
              <w:rPr>
                <w:sz w:val="20"/>
                <w:szCs w:val="20"/>
              </w:rPr>
              <w:t xml:space="preserve">Utah</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1584</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476 Moon to Mars campaign impacts Utah</w:t>
            </w:r>
          </w:p>
        </w:tc>
      </w:tr>
      <w:tr>
        <w:tc>
          <w:tcPr>
            <w:tcW w:w="0" w:type="auto"/>
          </w:tcPr>
          <w:p>
            <w:pPr>
              <w:spacing w:line="240" w:lineRule="auto" w:before="0" w:after="0"/>
              <w:pStyle w:val="Compact"/>
            </w:pPr>
            <w:r>
              <w:rPr>
                <w:sz w:val="20"/>
                <w:szCs w:val="20"/>
              </w:rPr>
              <w:t xml:space="preserve">Virginia</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3949</w:t>
            </w:r>
          </w:p>
        </w:tc>
        <w:tc>
          <w:tcPr>
            <w:tcW w:w="0" w:type="auto"/>
          </w:tcPr>
          <w:p>
            <w:pPr>
              <w:spacing w:line="240" w:lineRule="auto" w:before="0" w:after="0"/>
              <w:pStyle w:val="Compact"/>
            </w:pPr>
            <w:r>
              <w:rPr>
                <w:sz w:val="20"/>
                <w:szCs w:val="20"/>
              </w:rPr>
              <w:t xml:space="preserve">5.5053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494 Moon to Mars campaign impacts Virginia</w:t>
            </w:r>
          </w:p>
        </w:tc>
      </w:tr>
      <w:tr>
        <w:tc>
          <w:tcPr>
            <w:tcW w:w="0" w:type="auto"/>
          </w:tcPr>
          <w:p>
            <w:pPr>
              <w:spacing w:line="240" w:lineRule="auto" w:before="0" w:after="0"/>
              <w:pStyle w:val="Compact"/>
            </w:pPr>
            <w:r>
              <w:rPr>
                <w:sz w:val="20"/>
                <w:szCs w:val="20"/>
              </w:rPr>
              <w:t xml:space="preserve">Washington</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2452</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505 Moon to Mars campaign impacts Washington</w:t>
            </w:r>
          </w:p>
        </w:tc>
      </w:tr>
      <w:tr>
        <w:tc>
          <w:tcPr>
            <w:tcW w:w="0" w:type="auto"/>
          </w:tcPr>
          <w:p>
            <w:pPr>
              <w:spacing w:line="240" w:lineRule="auto" w:before="0" w:after="0"/>
              <w:pStyle w:val="Compact"/>
            </w:pPr>
            <w:r>
              <w:rPr>
                <w:sz w:val="20"/>
                <w:szCs w:val="20"/>
              </w:rPr>
              <w:t xml:space="preserve">West Virginia</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527 Moon to Mars campaign impacts West Virginia</w:t>
            </w:r>
          </w:p>
        </w:tc>
      </w:tr>
    </w:tbl>
    <w:bookmarkEnd w:id="248"/>
    <w:bookmarkStart w:id="249"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major_spillover_state</w:t>
            </w:r>
          </w:p>
        </w:tc>
        <w:tc>
          <w:tcPr>
            <w:tcW w:w="0" w:type="auto"/>
          </w:tcPr>
          <w:p>
            <w:pPr>
              <w:spacing w:line="240" w:lineRule="auto" w:before="0" w:after="0"/>
              <w:pStyle w:val="Compact"/>
            </w:pPr>
            <w:r>
              <w:rPr>
                <w:sz w:val="20"/>
                <w:szCs w:val="20"/>
              </w:rPr>
              <w:t xml:space="preserve">Indicator equal to one when indirect plus induced Moon to Mars employment is at least 500 jobs</w:t>
            </w:r>
          </w:p>
        </w:tc>
        <w:tc>
          <w:tcPr>
            <w:tcW w:w="0" w:type="auto"/>
          </w:tcPr>
          <w:p>
            <w:pPr>
              <w:spacing w:line="240" w:lineRule="auto" w:before="0" w:after="0"/>
              <w:pStyle w:val="Compact"/>
            </w:pPr>
            <w:r>
              <w:rPr>
                <w:sz w:val="20"/>
                <w:szCs w:val="20"/>
              </w:rPr>
              <w:t xml:space="preserve">Constructed from NASA FY2023 state impact tables</w:t>
            </w:r>
          </w:p>
        </w:tc>
      </w:tr>
      <w:tr>
        <w:tc>
          <w:tcPr>
            <w:tcW w:w="0" w:type="auto"/>
          </w:tcPr>
          <w:p>
            <w:pPr>
              <w:spacing w:line="240" w:lineRule="auto" w:before="0" w:after="0"/>
              <w:pStyle w:val="Compact"/>
            </w:pPr>
            <w:r>
              <w:rPr>
                <w:sz w:val="20"/>
                <w:szCs w:val="20"/>
              </w:rPr>
              <w:t xml:space="preserve">log_direct_employment</w:t>
            </w:r>
          </w:p>
        </w:tc>
        <w:tc>
          <w:tcPr>
            <w:tcW w:w="0" w:type="auto"/>
          </w:tcPr>
          <w:p>
            <w:pPr>
              <w:spacing w:line="240" w:lineRule="auto" w:before="0" w:after="0"/>
              <w:pStyle w:val="Compact"/>
            </w:pPr>
            <w:r>
              <w:rPr>
                <w:sz w:val="20"/>
                <w:szCs w:val="20"/>
              </w:rPr>
              <w:t xml:space="preserve">Natural logarithm of direct Moon to Mars employment plus one</w:t>
            </w:r>
          </w:p>
        </w:tc>
        <w:tc>
          <w:tcPr>
            <w:tcW w:w="0" w:type="auto"/>
          </w:tcPr>
          <w:p>
            <w:pPr>
              <w:spacing w:line="240" w:lineRule="auto" w:before="0" w:after="0"/>
              <w:pStyle w:val="Compact"/>
            </w:pPr>
            <w:r>
              <w:rPr>
                <w:sz w:val="20"/>
                <w:szCs w:val="20"/>
              </w:rPr>
              <w:t xml:space="preserve">Constructed from NASA FY2023 state impact tables</w:t>
            </w:r>
          </w:p>
        </w:tc>
      </w:tr>
      <w:tr>
        <w:tc>
          <w:tcPr>
            <w:tcW w:w="0" w:type="auto"/>
          </w:tcPr>
          <w:p>
            <w:pPr>
              <w:spacing w:line="240" w:lineRule="auto" w:before="0" w:after="0"/>
              <w:pStyle w:val="Compact"/>
            </w:pPr>
            <w:r>
              <w:rPr>
                <w:sz w:val="20"/>
                <w:szCs w:val="20"/>
              </w:rPr>
              <w:t xml:space="preserve">spillover_jobs</w:t>
            </w:r>
          </w:p>
        </w:tc>
        <w:tc>
          <w:tcPr>
            <w:tcW w:w="0" w:type="auto"/>
          </w:tcPr>
          <w:p>
            <w:pPr>
              <w:spacing w:line="240" w:lineRule="auto" w:before="0" w:after="0"/>
              <w:pStyle w:val="Compact"/>
            </w:pPr>
            <w:r>
              <w:rPr>
                <w:sz w:val="20"/>
                <w:szCs w:val="20"/>
              </w:rPr>
              <w:t xml:space="preserve">Indirect plus induced employment associated with Moon to Mars activity</w:t>
            </w:r>
          </w:p>
        </w:tc>
        <w:tc>
          <w:tcPr>
            <w:tcW w:w="0" w:type="auto"/>
          </w:tcPr>
          <w:p>
            <w:pPr>
              <w:spacing w:line="240" w:lineRule="auto" w:before="0" w:after="0"/>
              <w:pStyle w:val="Compact"/>
            </w:pPr>
            <w:r>
              <w:rPr>
                <w:sz w:val="20"/>
                <w:szCs w:val="20"/>
              </w:rPr>
              <w:t xml:space="preserve">NASA FY2023 state impact tables</w:t>
            </w:r>
          </w:p>
        </w:tc>
      </w:tr>
    </w:tbl>
    <w:bookmarkEnd w:id="249"/>
    <w:bookmarkEnd w:id="250"/>
    <w:bookmarkEnd w:id="25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36" Type="http://schemas.openxmlformats.org/officeDocument/2006/relationships/image" Target="media/rId236.png"/><Relationship Id="rId244" Type="http://schemas.openxmlformats.org/officeDocument/2006/relationships/image" Target="media/rId244.png"/><Relationship Id="rId199" Type="http://schemas.openxmlformats.org/officeDocument/2006/relationships/hyperlink" Target="https://doi.org/10.1016/j.actaastro.2017.09.019" TargetMode="External"/><Relationship Id="rId225" Type="http://schemas.openxmlformats.org/officeDocument/2006/relationships/hyperlink" Target="https://doi.org/10.1016/j.actaastro.2021.01.009" TargetMode="External"/><Relationship Id="rId221" Type="http://schemas.openxmlformats.org/officeDocument/2006/relationships/hyperlink" Target="https://doi.org/10.1016/j.actaastro.2021.04.035" TargetMode="External"/><Relationship Id="rId194" Type="http://schemas.openxmlformats.org/officeDocument/2006/relationships/hyperlink" Target="https://doi.org/10.1016/j.actaastro.2022.05.017" TargetMode="External"/><Relationship Id="rId201" Type="http://schemas.openxmlformats.org/officeDocument/2006/relationships/hyperlink" Target="https://doi.org/10.1016/j.actaastro.2023.01.022" TargetMode="External"/><Relationship Id="rId229" Type="http://schemas.openxmlformats.org/officeDocument/2006/relationships/hyperlink" Target="https://doi.org/10.1016/j.actaastro.2024.09.042" TargetMode="External"/><Relationship Id="rId219" Type="http://schemas.openxmlformats.org/officeDocument/2006/relationships/hyperlink" Target="https://doi.org/10.1016/j.actaastro.2024.09.058" TargetMode="External"/><Relationship Id="rId205" Type="http://schemas.openxmlformats.org/officeDocument/2006/relationships/hyperlink" Target="https://doi.org/10.1016/j.actaastro.2024.10.026" TargetMode="External"/><Relationship Id="rId223" Type="http://schemas.openxmlformats.org/officeDocument/2006/relationships/hyperlink" Target="https://doi.org/10.1016/j.actaastro.2024.12.001" TargetMode="External"/><Relationship Id="rId227" Type="http://schemas.openxmlformats.org/officeDocument/2006/relationships/hyperlink" Target="https://doi.org/10.1016/j.actaastro.2025.11.056" TargetMode="External"/><Relationship Id="rId191" Type="http://schemas.openxmlformats.org/officeDocument/2006/relationships/hyperlink" Target="https://doi.org/10.1016/j.actaastro.2026.01.040" TargetMode="External"/><Relationship Id="rId231" Type="http://schemas.openxmlformats.org/officeDocument/2006/relationships/hyperlink" Target="https://doi.org/10.1016/j.actaastro.2026.02.001" TargetMode="External"/><Relationship Id="rId197" Type="http://schemas.openxmlformats.org/officeDocument/2006/relationships/hyperlink" Target="https://doi.org/10.1257/jep.32.2.173" TargetMode="External"/><Relationship Id="rId208" Type="http://schemas.openxmlformats.org/officeDocument/2006/relationships/hyperlink" Target="https://doi.org/10.64861/FWBL2094" TargetMode="External"/><Relationship Id="rId214" Type="http://schemas.openxmlformats.org/officeDocument/2006/relationships/hyperlink" Target="https://doi.org/10.64861/QBNC8763" TargetMode="External"/><Relationship Id="rId210" Type="http://schemas.openxmlformats.org/officeDocument/2006/relationships/hyperlink" Target="https://doi.org/10.64861/ZTFK7933" TargetMode="External"/></Relationships>
</file>

<file path=word/_rels/footnotes.xml.rels><?xml version='1.0' encoding='UTF-8' standalone='yes'?>
<Relationships xmlns="http://schemas.openxmlformats.org/package/2006/relationships"><Relationship Id="rId199" Type="http://schemas.openxmlformats.org/officeDocument/2006/relationships/hyperlink" Target="https://doi.org/10.1016/j.actaastro.2017.09.019" TargetMode="External"/><Relationship Id="rId225" Type="http://schemas.openxmlformats.org/officeDocument/2006/relationships/hyperlink" Target="https://doi.org/10.1016/j.actaastro.2021.01.009" TargetMode="External"/><Relationship Id="rId221" Type="http://schemas.openxmlformats.org/officeDocument/2006/relationships/hyperlink" Target="https://doi.org/10.1016/j.actaastro.2021.04.035" TargetMode="External"/><Relationship Id="rId194" Type="http://schemas.openxmlformats.org/officeDocument/2006/relationships/hyperlink" Target="https://doi.org/10.1016/j.actaastro.2022.05.017" TargetMode="External"/><Relationship Id="rId201" Type="http://schemas.openxmlformats.org/officeDocument/2006/relationships/hyperlink" Target="https://doi.org/10.1016/j.actaastro.2023.01.022" TargetMode="External"/><Relationship Id="rId229" Type="http://schemas.openxmlformats.org/officeDocument/2006/relationships/hyperlink" Target="https://doi.org/10.1016/j.actaastro.2024.09.042" TargetMode="External"/><Relationship Id="rId219" Type="http://schemas.openxmlformats.org/officeDocument/2006/relationships/hyperlink" Target="https://doi.org/10.1016/j.actaastro.2024.09.058" TargetMode="External"/><Relationship Id="rId205" Type="http://schemas.openxmlformats.org/officeDocument/2006/relationships/hyperlink" Target="https://doi.org/10.1016/j.actaastro.2024.10.026" TargetMode="External"/><Relationship Id="rId223" Type="http://schemas.openxmlformats.org/officeDocument/2006/relationships/hyperlink" Target="https://doi.org/10.1016/j.actaastro.2024.12.001" TargetMode="External"/><Relationship Id="rId227" Type="http://schemas.openxmlformats.org/officeDocument/2006/relationships/hyperlink" Target="https://doi.org/10.1016/j.actaastro.2025.11.056" TargetMode="External"/><Relationship Id="rId191" Type="http://schemas.openxmlformats.org/officeDocument/2006/relationships/hyperlink" Target="https://doi.org/10.1016/j.actaastro.2026.01.040" TargetMode="External"/><Relationship Id="rId231" Type="http://schemas.openxmlformats.org/officeDocument/2006/relationships/hyperlink" Target="https://doi.org/10.1016/j.actaastro.2026.02.001" TargetMode="External"/><Relationship Id="rId197" Type="http://schemas.openxmlformats.org/officeDocument/2006/relationships/hyperlink" Target="https://doi.org/10.1257/jep.32.2.173" TargetMode="External"/><Relationship Id="rId208" Type="http://schemas.openxmlformats.org/officeDocument/2006/relationships/hyperlink" Target="https://doi.org/10.64861/FWBL2094" TargetMode="External"/><Relationship Id="rId214" Type="http://schemas.openxmlformats.org/officeDocument/2006/relationships/hyperlink" Target="https://doi.org/10.64861/QBNC8763" TargetMode="External"/><Relationship Id="rId210" Type="http://schemas.openxmlformats.org/officeDocument/2006/relationships/hyperlink" Target="https://doi.org/10.64861/ZTFK79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Spillover Ledger: Does NASA Technology-Development Spending Generate Measurable Civilian Productivity Gains?</dc:title>
  <dc:creator>Emeka Okonkwo (1B-ECO-136)</dc:creator>
  <cp:keywords/>
  <dcterms:created xsi:type="dcterms:W3CDTF">2026-07-02T18:07:31Z</dcterms:created>
  <dcterms:modified xsi:type="dcterms:W3CDTF">2026-07-02T18:07:31Z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