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0991b11898b0afd16b4f76c71676a2439d16807"/>
    <w:p>
      <w:pPr>
        <w:pStyle w:val="Heading1"/>
      </w:pPr>
      <w:r>
        <w:t xml:space="preserve">Attention Accumulation in Following the Money into the Mission do venture and de-SPAC capital flows predi: A Learning-Curve Analysis of Citation Growth by Article Age</w:t>
      </w:r>
    </w:p>
    <w:bookmarkStart w:id="61" w:name="introduction"/>
    <w:p>
      <w:pPr>
        <w:pStyle w:val="Heading2"/>
      </w:pPr>
      <w:r>
        <w:t xml:space="preserve">1. Introduction</w:t>
      </w:r>
    </w:p>
    <w:p>
      <w:pPr>
        <w:pStyle w:val="FirstParagraph"/>
      </w:pPr>
      <w:r>
        <w:t xml:space="preserve">This empirical paper supports Rohan Heinz (1B-ECO-186) and the dissertation project</w:t>
      </w:r>
      <w:r>
        <w:t xml:space="preserve"> </w:t>
      </w:r>
      <w:r>
        <w:rPr>
          <w:i/>
          <w:iCs/>
        </w:rPr>
        <w:t xml:space="preserve">Following the Money into the Mission: do venture and de-SPAC capital flows predi</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R2=0.004795362835234074, elasticity_b=0.12495842028053097, progress_ratio_2^b=1.0904763037416725. The exact term summary is: const coef=0.5532412512328643 p=0.12129195534772774; _ln_x coef=0.12495842028053097 p=0.6427437957387345.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Makena Young, Center for Strategic and International Studies; Akhil Thadani, Center for Strategic and International Studies. Low-Orbit, High Stakes: Winning the LEO Broadband Competition (2022). [AMOS]</w:t>
      </w:r>
      <w:r>
        <w:t xml:space="preserve"> </w:t>
      </w:r>
      <w:bookmarkStart w:id="68" w:name="ref-2"/>
      <w:bookmarkEnd w:id="68"/>
      <w:r>
        <w:t xml:space="preserve">2. Eric Felt, Space Vehicles Directorate, Air Force Research Laboratory; Timothy Sejba, Advanced Systems and Development Directorate, Space &amp; Missile Systems Center. S&amp;T Challenges of SSA Sensor Proliferation (2018). [AMOS]</w:t>
      </w:r>
      <w:r>
        <w:t xml:space="preserve"> </w:t>
      </w:r>
      <w:bookmarkStart w:id="69" w:name="ref-3"/>
      <w:bookmarkEnd w:id="69"/>
      <w:r>
        <w:t xml:space="preserve">3. Michael C. Roggemann (Pacific Defense Solutions, LLC), Dennis Douglas (Pacific Defense Solutions, LLC), Eric Therkildsen (Pacific Defense Solutions, LLC), David Archambeault (Pacific Defense Solutions, LLC), Riki Maeda (Pacific Defense Solutions, LLC), David Schultz (Pacific Defense Solutions, LLC), Ben Wheeler (Pacific Defense Solutions, LLC). Daytime Image Measurement and Reconstruction for Space Situational Awareness Applications (2010). [AMOS]</w:t>
      </w:r>
      <w:r>
        <w:t xml:space="preserve"> </w:t>
      </w:r>
      <w:bookmarkStart w:id="70" w:name="ref-4"/>
      <w:bookmarkEnd w:id="70"/>
      <w:r>
        <w:t xml:space="preserve">4. Jeffrey Hollon, Applied Optimization, Inc.; Kimberly Kinateder, Applied Optimization; Victoria Carone, Applied Optimization, Inc.; Tamara Payne, Applied Optimization, Inc.; Markus Ernst, Applied Optimization, Inc.; Phan Dao, Applied Optimization Inc.; Charles J. Wetterer, KBR; Stephen Gregory, Stephen A. Gregory, LLC; Anthony Dentamaro, Anthony Dentamaro, LLC; James Frith, AFRL/RVSW; Scott Milster, AFRL/RVSW. Space Object Identification and Change Detection Methods for the Cislunar Orbit Regime (2022). [AMOS]</w:t>
      </w:r>
      <w:r>
        <w:t xml:space="preserve"> </w:t>
      </w:r>
      <w:bookmarkStart w:id="71" w:name="ref-5"/>
      <w:bookmarkEnd w:id="71"/>
      <w:r>
        <w:t xml:space="preserve">5. William McShane (Lockheed Martin). Integrated Net-Centric Data for a New Space Protection Paradigm (2012). [AMOS]</w:t>
      </w:r>
      <w:r>
        <w:t xml:space="preserve"> </w:t>
      </w:r>
      <w:bookmarkStart w:id="72" w:name="ref-6"/>
      <w:bookmarkEnd w:id="72"/>
      <w:r>
        <w:t xml:space="preserve">6. Connor Segal, EO Solutions &amp; Virginia Polytechnic Institute and State University; Kevin Schroeder, Virginia Polytechnic Institute and State University. Enhancing Ground-Based Cislunar SDA: Reducing Search Area for Monitoring Small-Maneuver Earth Return Trajectories Using Poincaré Maps (2025). doi:</w:t>
      </w:r>
      <w:r>
        <w:t xml:space="preserve"> </w:t>
      </w:r>
      <w:hyperlink r:id="rId73">
        <w:r>
          <w:rPr>
            <w:rStyle w:val="Hyperlink"/>
          </w:rPr>
          <w:t xml:space="preserve">10.64861/ACKU6440</w:t>
        </w:r>
      </w:hyperlink>
      <w:r>
        <w:t xml:space="preserve"> </w:t>
      </w:r>
      <w:bookmarkStart w:id="74" w:name="ref-7"/>
      <w:bookmarkEnd w:id="74"/>
      <w:r>
        <w:t xml:space="preserve">7. Sandra Magnus, Office of Space Commerce; Matthew Hejduk, Aerospace; Jessica Johnson, MIT Lincoln Laboratory; John Giles, MITRE Corporation; Anna Parikka, Global Science &amp; Technology, Inc.; Christine Joseph, Office of Space Commerce; Carson Coursey, The Aerospace Corporation; Miles Lifson, The Aerospace Corporation; André Antunes de Sá, Kayhan Space; Denna Baker, LeoLabs, Inc.; Matthew Duncan, SpaceNav; Conner Grey, Slingshot Aerospace; Robert Hall, COMSPOC Corporation; Samantha Johnson, LeoLabs, Inc.; Pol Mesalles-Ripoll, SpaceNav; Daniel Oltrogge, COMSPOC Corporation; Jason Stauch, Slingshot Aerospace; Derek Strobel, Kayhan Space. The TraCSS Consolidated Pathfinder: Leveraging Commercial Capability in LEO (2024). doi:</w:t>
      </w:r>
      <w:r>
        <w:t xml:space="preserve"> </w:t>
      </w:r>
      <w:hyperlink r:id="rId75">
        <w:r>
          <w:rPr>
            <w:rStyle w:val="Hyperlink"/>
          </w:rPr>
          <w:t xml:space="preserve">10.64861/BAJJ5826</w:t>
        </w:r>
      </w:hyperlink>
      <w:r>
        <w:t xml:space="preserve"> </w:t>
      </w:r>
      <w:bookmarkStart w:id="76" w:name="ref-8"/>
      <w:bookmarkEnd w:id="76"/>
      <w:r>
        <w:t xml:space="preserve">8. Raymond Wright, BAE Systems; Naomi Owens-Fahrner, BAE Systems; Luke Tafur, BAE Systems; Joshua Wysack, BAE Systems. Applications of Poincare Search Maps for Space-Based Cislunar SDA Detection (2024). doi:</w:t>
      </w:r>
      <w:r>
        <w:t xml:space="preserve"> </w:t>
      </w:r>
      <w:hyperlink r:id="rId77">
        <w:r>
          <w:rPr>
            <w:rStyle w:val="Hyperlink"/>
          </w:rPr>
          <w:t xml:space="preserve">10.64861/UAMB9924</w:t>
        </w:r>
      </w:hyperlink>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0.5532</w:t>
            </w:r>
          </w:p>
        </w:tc>
        <w:tc>
          <w:tcPr>
            <w:tcW w:w="0" w:type="auto"/>
          </w:tcPr>
          <w:p>
            <w:pPr>
              <w:spacing w:line="240" w:lineRule="auto" w:before="0" w:after="0"/>
              <w:pStyle w:val="Compact"/>
            </w:pPr>
            <w:r>
              <w:rPr>
                <w:sz w:val="20"/>
                <w:szCs w:val="20"/>
              </w:rPr>
              <w:t xml:space="preserve">0.3571</w:t>
            </w:r>
          </w:p>
        </w:tc>
        <w:tc>
          <w:tcPr>
            <w:tcW w:w="0" w:type="auto"/>
          </w:tcPr>
          <w:p>
            <w:pPr>
              <w:spacing w:line="240" w:lineRule="auto" w:before="0" w:after="0"/>
              <w:pStyle w:val="Compact"/>
            </w:pPr>
            <w:r>
              <w:rPr>
                <w:sz w:val="20"/>
                <w:szCs w:val="20"/>
              </w:rPr>
              <w:t xml:space="preserve">1.5494</w:t>
            </w:r>
          </w:p>
        </w:tc>
        <w:tc>
          <w:tcPr>
            <w:tcW w:w="0" w:type="auto"/>
          </w:tcPr>
          <w:p>
            <w:pPr>
              <w:spacing w:line="240" w:lineRule="auto" w:before="0" w:after="0"/>
              <w:pStyle w:val="Compact"/>
            </w:pPr>
            <w:r>
              <w:rPr>
                <w:sz w:val="20"/>
                <w:szCs w:val="20"/>
              </w:rPr>
              <w:t xml:space="preserve">0.1213</w:t>
            </w:r>
          </w:p>
        </w:tc>
        <w:tc>
          <w:tcPr>
            <w:tcW w:w="0" w:type="auto"/>
          </w:tcPr>
          <w:p>
            <w:pPr>
              <w:spacing w:line="240" w:lineRule="auto" w:before="0" w:after="0"/>
              <w:pStyle w:val="Compact"/>
            </w:pPr>
            <w:r>
              <w:rPr>
                <w:sz w:val="20"/>
                <w:szCs w:val="20"/>
              </w:rPr>
              <w:t xml:space="preserve">[-0.1466, 1.2531]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0.125</w:t>
            </w:r>
          </w:p>
        </w:tc>
        <w:tc>
          <w:tcPr>
            <w:tcW w:w="0" w:type="auto"/>
          </w:tcPr>
          <w:p>
            <w:pPr>
              <w:spacing w:line="240" w:lineRule="auto" w:before="0" w:after="0"/>
              <w:pStyle w:val="Compact"/>
            </w:pPr>
            <w:r>
              <w:rPr>
                <w:sz w:val="20"/>
                <w:szCs w:val="20"/>
              </w:rPr>
              <w:t xml:space="preserve">0.2694</w:t>
            </w:r>
          </w:p>
        </w:tc>
        <w:tc>
          <w:tcPr>
            <w:tcW w:w="0" w:type="auto"/>
          </w:tcPr>
          <w:p>
            <w:pPr>
              <w:spacing w:line="240" w:lineRule="auto" w:before="0" w:after="0"/>
              <w:pStyle w:val="Compact"/>
            </w:pPr>
            <w:r>
              <w:rPr>
                <w:sz w:val="20"/>
                <w:szCs w:val="20"/>
              </w:rPr>
              <w:t xml:space="preserve">0.4639</w:t>
            </w:r>
          </w:p>
        </w:tc>
        <w:tc>
          <w:tcPr>
            <w:tcW w:w="0" w:type="auto"/>
          </w:tcPr>
          <w:p>
            <w:pPr>
              <w:spacing w:line="240" w:lineRule="auto" w:before="0" w:after="0"/>
              <w:pStyle w:val="Compact"/>
            </w:pPr>
            <w:r>
              <w:rPr>
                <w:sz w:val="20"/>
                <w:szCs w:val="20"/>
              </w:rPr>
              <w:t xml:space="preserve">0.6427</w:t>
            </w:r>
          </w:p>
        </w:tc>
        <w:tc>
          <w:tcPr>
            <w:tcW w:w="0" w:type="auto"/>
          </w:tcPr>
          <w:p>
            <w:pPr>
              <w:spacing w:line="240" w:lineRule="auto" w:before="0" w:after="0"/>
              <w:pStyle w:val="Compact"/>
            </w:pPr>
            <w:r>
              <w:rPr>
                <w:sz w:val="20"/>
                <w:szCs w:val="20"/>
              </w:rPr>
              <w:t xml:space="preserve">[-0.403, 0.6529]</w:t>
            </w:r>
          </w:p>
        </w:tc>
      </w:tr>
    </w:tbl>
    <w:p>
      <w:pPr>
        <w:pStyle w:val="BodyText"/>
      </w:pPr>
      <w:r>
        <w:t xml:space="preserve">Fit: N = 30 R2 = 0.0048 elasticity_b = 0.125 progress_ratio_2^b = 1.0905</w:t>
      </w:r>
    </w:p>
    <w:p>
      <w:pPr>
        <w:pStyle w:val="CaptionedFigure"/>
      </w:pPr>
      <w:r>
        <w:drawing>
          <wp:inline>
            <wp:extent cx="5669280" cy="3657600"/>
            <wp:effectExtent b="0" l="0" r="0" t="0"/>
            <wp:docPr descr="Figure 1. Citation accumulation against article age in the retrieved topic literature." title="" id="81" name="Picture"/>
            <a:graphic>
              <a:graphicData uri="http://schemas.openxmlformats.org/drawingml/2006/picture">
                <pic:pic>
                  <pic:nvPicPr>
                    <pic:cNvPr descr="D:\Claude_Code\brain\collegium\candidates\dissertations\SPACE_ECON_09\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https://amostech.space/year/2018/st-challenges-of-ssa-sensor-proliferation/</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https://amostech.space/year/2010/daytime-image-measurement-and-reconstruction-for-space-situational-awareness-applications/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https://amostech.space/year/2022/space-object-identification-and-change-detection-methods-for-the-cislunar-orbit-regime/</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https://amostech.space/year/2012/integrated-net-centric-data-for-a-new-space-protection-paradigm/</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10.64861/ACKU6440</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10.64861/BAJJ5826</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10.64861/UAMB9924</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https://amostech.space/year/2012/physical-characterization-studies-of-near-earth-object-spacecraft-mission-targets/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10.64861/WXIJ8208</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https://amostech.space/year/2006/adaptive-beam-director-for-a-tiled-fiber-array/</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10.1016/j.actaastro.2019.08.031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10.1016/j.actaastro.2026.04.012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10.1016/j.actaastro.2024.06.001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10.1016/j.actaastro.2022.03.035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10.1016/j.actaastro.2026.01.045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10.1016/j.actaastro.2024.06.049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10.1016/j.actaastro.2017.04.034</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0.5532</w:t>
            </w:r>
          </w:p>
        </w:tc>
        <w:tc>
          <w:tcPr>
            <w:tcW w:w="0" w:type="auto"/>
          </w:tcPr>
          <w:p>
            <w:pPr>
              <w:spacing w:line="240" w:lineRule="auto" w:before="0" w:after="0"/>
              <w:pStyle w:val="Compact"/>
            </w:pPr>
            <w:r>
              <w:rPr>
                <w:sz w:val="20"/>
                <w:szCs w:val="20"/>
              </w:rPr>
              <w:t xml:space="preserve">0.3571</w:t>
            </w:r>
          </w:p>
        </w:tc>
        <w:tc>
          <w:tcPr>
            <w:tcW w:w="0" w:type="auto"/>
          </w:tcPr>
          <w:p>
            <w:pPr>
              <w:spacing w:line="240" w:lineRule="auto" w:before="0" w:after="0"/>
              <w:pStyle w:val="Compact"/>
            </w:pPr>
            <w:r>
              <w:rPr>
                <w:sz w:val="20"/>
                <w:szCs w:val="20"/>
              </w:rPr>
              <w:t xml:space="preserve">1.5494</w:t>
            </w:r>
          </w:p>
        </w:tc>
        <w:tc>
          <w:tcPr>
            <w:tcW w:w="0" w:type="auto"/>
          </w:tcPr>
          <w:p>
            <w:pPr>
              <w:spacing w:line="240" w:lineRule="auto" w:before="0" w:after="0"/>
              <w:pStyle w:val="Compact"/>
            </w:pPr>
            <w:r>
              <w:rPr>
                <w:sz w:val="20"/>
                <w:szCs w:val="20"/>
              </w:rPr>
              <w:t xml:space="preserve">0.1213</w:t>
            </w:r>
          </w:p>
        </w:tc>
        <w:tc>
          <w:tcPr>
            <w:tcW w:w="0" w:type="auto"/>
          </w:tcPr>
          <w:p>
            <w:pPr>
              <w:spacing w:line="240" w:lineRule="auto" w:before="0" w:after="0"/>
              <w:pStyle w:val="Compact"/>
            </w:pPr>
            <w:r>
              <w:rPr>
                <w:sz w:val="20"/>
                <w:szCs w:val="20"/>
              </w:rPr>
              <w:t xml:space="preserve">[-0.1466, 1.2531]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0.125</w:t>
            </w:r>
          </w:p>
        </w:tc>
        <w:tc>
          <w:tcPr>
            <w:tcW w:w="0" w:type="auto"/>
          </w:tcPr>
          <w:p>
            <w:pPr>
              <w:spacing w:line="240" w:lineRule="auto" w:before="0" w:after="0"/>
              <w:pStyle w:val="Compact"/>
            </w:pPr>
            <w:r>
              <w:rPr>
                <w:sz w:val="20"/>
                <w:szCs w:val="20"/>
              </w:rPr>
              <w:t xml:space="preserve">0.2694</w:t>
            </w:r>
          </w:p>
        </w:tc>
        <w:tc>
          <w:tcPr>
            <w:tcW w:w="0" w:type="auto"/>
          </w:tcPr>
          <w:p>
            <w:pPr>
              <w:spacing w:line="240" w:lineRule="auto" w:before="0" w:after="0"/>
              <w:pStyle w:val="Compact"/>
            </w:pPr>
            <w:r>
              <w:rPr>
                <w:sz w:val="20"/>
                <w:szCs w:val="20"/>
              </w:rPr>
              <w:t xml:space="preserve">0.4639</w:t>
            </w:r>
          </w:p>
        </w:tc>
        <w:tc>
          <w:tcPr>
            <w:tcW w:w="0" w:type="auto"/>
          </w:tcPr>
          <w:p>
            <w:pPr>
              <w:spacing w:line="240" w:lineRule="auto" w:before="0" w:after="0"/>
              <w:pStyle w:val="Compact"/>
            </w:pPr>
            <w:r>
              <w:rPr>
                <w:sz w:val="20"/>
                <w:szCs w:val="20"/>
              </w:rPr>
              <w:t xml:space="preserve">0.6427</w:t>
            </w:r>
          </w:p>
        </w:tc>
        <w:tc>
          <w:tcPr>
            <w:tcW w:w="0" w:type="auto"/>
          </w:tcPr>
          <w:p>
            <w:pPr>
              <w:spacing w:line="240" w:lineRule="auto" w:before="0" w:after="0"/>
              <w:pStyle w:val="Compact"/>
            </w:pPr>
            <w:r>
              <w:rPr>
                <w:sz w:val="20"/>
                <w:szCs w:val="20"/>
              </w:rPr>
              <w:t xml:space="preserve">[-0.403, 0.6529]</w:t>
            </w:r>
          </w:p>
        </w:tc>
      </w:tr>
    </w:tbl>
    <w:p>
      <w:pPr>
        <w:pStyle w:val="BodyText"/>
      </w:pPr>
      <w:r>
        <w:t xml:space="preserve">Fit: N = 30 R2 = 0.0048 elasticity_b = 0.125 progress_ratio_2^b = 1.0905</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3" Target="https://doi.org/10.64861/ACKU6440" TargetMode="External" /><Relationship Type="http://schemas.openxmlformats.org/officeDocument/2006/relationships/hyperlink" Id="rId75" Target="https://doi.org/10.64861/BAJJ5826" TargetMode="External" /><Relationship Type="http://schemas.openxmlformats.org/officeDocument/2006/relationships/hyperlink" Id="rId77" Target="https://doi.org/10.64861/UAMB9924"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ACKU6440" TargetMode="External" /><Relationship Type="http://schemas.openxmlformats.org/officeDocument/2006/relationships/hyperlink" Id="rId75" Target="https://doi.org/10.64861/BAJJ5826" TargetMode="External" /><Relationship Type="http://schemas.openxmlformats.org/officeDocument/2006/relationships/hyperlink" Id="rId77" Target="https://doi.org/10.64861/UAMB992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2026-06-29T09:35:04Z</dcterms:created>
  <dcterms:modified xsi:type="dcterms:W3CDTF">2026-06-29T09:35:04Z</dcterms:modified>
</cp:coreProperties>
</file>

<file path=docProps/custom.xml><?xml version="1.0" encoding="utf-8"?>
<Properties xmlns="http://schemas.openxmlformats.org/officeDocument/2006/custom-properties" xmlns:vt="http://schemas.openxmlformats.org/officeDocument/2006/docPropsVTypes"/>
</file>