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FOLLOWING THE MONEY INTO THE MISSION: DO VENTURE AND DE-SPAC CAPITAL FLOWS PREDI</w:t>
      </w:r>
    </w:p>
    <w:p>
      <w:pPr>
        <w:jc w:val="center"/>
      </w:pPr>
    </w:p>
    <w:p>
      <w:pPr>
        <w:jc w:val="center"/>
      </w:pPr>
      <w:r>
        <w:rPr>
          <w:rFonts w:ascii="Times New Roman" w:hAnsi="Times New Roman"/>
          <w:sz w:val="24"/>
        </w:rPr>
        <w:t>by</w:t>
      </w:r>
    </w:p>
    <w:p>
      <w:pPr>
        <w:jc w:val="center"/>
      </w:pPr>
      <w:r>
        <w:rPr>
          <w:rFonts w:ascii="Times New Roman" w:hAnsi="Times New Roman"/>
          <w:b/>
          <w:sz w:val="28"/>
        </w:rPr>
        <w:t>Rohan Heinz</w:t>
      </w:r>
    </w:p>
    <w:p>
      <w:pPr>
        <w:jc w:val="center"/>
      </w:pPr>
      <w:r>
        <w:rPr>
          <w:rFonts w:ascii="Times New Roman" w:hAnsi="Times New Roman"/>
          <w:sz w:val="24"/>
        </w:rPr>
        <w:t>1B-ECO-186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Money arrives in the space sector before consensus does.</w:t>
      </w:r>
    </w:p>
    <w:p>
      <w:pPr>
        <w:pStyle w:val="BodyText"/>
        <w:spacing w:line="480" w:lineRule="auto"/>
        <w:ind w:firstLine="720"/>
      </w:pPr>
      <w:r>
        <w:t xml:space="preserve">A launch startup closes a funding round, a de-SPAC merger prints a valuation, and a wave of secondary coverage follows, all of it landing months or years ahead of the moment when a program office, a regulator, or a standards body settles on how the underlying activity should be governed. That gap between the arrival of capital and the arrival of institutional agreement is the phenomenon this dissertation treats as measurable. The question is deceptively plain. When venture and de-SPAC capital flows into a mission area, does the attention that capital attracts leave a legible trace in the documentary record that scholars and analysts later produce? Rohan Heinz (1B-ECO-186) frames the project under the title</w:t>
      </w:r>
      <w:r>
        <w:t xml:space="preserve"> </w:t>
      </w:r>
      <w:r>
        <w:rPr>
          <w:i/>
          <w:iCs/>
        </w:rPr>
        <w:t xml:space="preserve">Following the Money into the Mission: do venture and de-SPAC capital flows predict where the retrieved literature concentrates its attention</w:t>
      </w:r>
      <w:r>
        <w:t xml:space="preserve">. The framing is economic, but the test is bibliometric. Capital is a leading signal; the published corpus is a lagging one. If the two move together, then the structure of a retrieved record set should carry information about which mission areas the money has already found. If they do not, then the corpus is telling us that documentary attention obeys a logic of its own, indifferent to the timing of financing rounds</w:t>
      </w:r>
      <w:r>
        <w:t xml:space="preserve"> </w:t>
      </w:r>
      <w:hyperlink w:anchor="ref-9">
        <w:r>
          <w:rPr>
            <w:rStyle w:val="Hyperlink"/>
          </w:rPr>
          <w:t xml:space="preserve">[9]</w:t>
        </w:r>
      </w:hyperlink>
      <w:r>
        <w:t xml:space="preserve">.</w:t>
      </w:r>
    </w:p>
    <w:p>
      <w:pPr>
        <w:pStyle w:val="BodyText"/>
        <w:spacing w:line="480" w:lineRule="auto"/>
        <w:ind w:firstLine="720"/>
      </w:pPr>
      <w:r>
        <w:t xml:space="preserve">The stakes are practical for anyone who has to allocate scarce analytic effort.</w:t>
      </w:r>
    </w:p>
    <w:p>
      <w:pPr>
        <w:pStyle w:val="BodyText"/>
        <w:spacing w:line="480" w:lineRule="auto"/>
        <w:ind w:firstLine="720"/>
      </w:pPr>
      <w:r>
        <w:t xml:space="preserve">Program strategists at civil and defense space organizations read the literature to decide where a mission area is heating up. Investors read it to confirm or discipline their own theses. Standards bodies read it to judge when a practice has matured enough to codify. All three audiences implicitly assume that the corpus reflects real activity with only modest lag. That assumption is rarely tested against the corpus itself. This dissertation tests it, and it does so on a candidate-specific body of retrieved records rather than on a convenient aggregate</w:t>
      </w:r>
      <w:r>
        <w:t xml:space="preserve"> </w:t>
      </w:r>
      <w:hyperlink w:anchor="ref-2">
        <w:r>
          <w:rPr>
            <w:rStyle w:val="Hyperlink"/>
          </w:rPr>
          <w:t xml:space="preserve">[2]</w:t>
        </w:r>
      </w:hyperlink>
      <w:r>
        <w:t xml:space="preserve">.</w:t>
      </w:r>
    </w:p>
    <w:bookmarkStart w:id="61" w:name="the-problem"/>
    <w:p>
      <w:pPr>
        <w:pStyle w:val="Heading2"/>
        <w:spacing w:line="480" w:lineRule="auto"/>
      </w:pPr>
      <w:r>
        <w:t xml:space="preserve">1.1 The problem</w:t>
      </w:r>
    </w:p>
    <w:p>
      <w:pPr>
        <w:pStyle w:val="FirstParagraph"/>
        <w:spacing w:line="480" w:lineRule="auto"/>
      </w:pPr>
      <w:r>
        <w:t xml:space="preserve">The New Space economy has grown fast enough that its documentary shadow is hard to read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Commercial actors now supply capability that once belonged only to states, and the value of that capability is increasingly defined by end users rather than by the agencies that historically set requirements</w:t>
      </w:r>
      <w:r>
        <w:t xml:space="preserve"> </w:t>
      </w:r>
      <w:hyperlink w:anchor="ref-9">
        <w:r>
          <w:rPr>
            <w:rStyle w:val="Hyperlink"/>
          </w:rPr>
          <w:t xml:space="preserve">[9]</w:t>
        </w:r>
      </w:hyperlink>
      <w:r>
        <w:t xml:space="preserve">. Governance has not kept pace. The transition from what one strand of the literature calls Legacy Space to New Space has left institutional arrangements evolving in fits and starts, with financing patterns often running ahead of the rules meant to contain them</w:t>
      </w:r>
      <w:r>
        <w:t xml:space="preserve"> </w:t>
      </w:r>
      <w:hyperlink w:anchor="ref-11">
        <w:r>
          <w:rPr>
            <w:rStyle w:val="Hyperlink"/>
          </w:rPr>
          <w:t xml:space="preserve">[11]</w:t>
        </w:r>
      </w:hyperlink>
      <w:r>
        <w:t xml:space="preserve">. The result is a sector where the money moves first and the settled language moves later. That sequencing creates an analytic problem. If capital flows are a genuine leading indicator, an analyst should be able to detect where attention is concentrating by reading the structure of the retrieved corpus, the way a geologist reads strata. Recency should matter, because a hot mission area should draw a rising share of recent publication. Citation attention should matter, because a hot area should accumulate references faster. Venue family should matter, because commercial and economic framings should migrate from technical conference proceedings toward economics-oriented outlets as the money matures. The problem is that none of these expectations has been checked against the actual metadata of a candidate record set. They circulate as intuitions, not as findings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61"/>
    <w:bookmarkStart w:id="62" w:name="why-the-documentary-record"/>
    <w:p>
      <w:pPr>
        <w:pStyle w:val="Heading2"/>
        <w:spacing w:line="480" w:lineRule="auto"/>
      </w:pPr>
      <w:r>
        <w:t xml:space="preserve">1.2 Why the documentary record</w:t>
      </w:r>
    </w:p>
    <w:p>
      <w:pPr>
        <w:pStyle w:val="FirstParagraph"/>
        <w:spacing w:line="480" w:lineRule="auto"/>
      </w:pPr>
      <w:r>
        <w:t xml:space="preserve">There is a temptation to answer a capital-flow question with capital-flow data: funding databases, SPAC filings, valuation series. This dissertation deliberately does not do that, and the reason is methodological honesty rather than convenience. Proprietary financing datasets are noisy, selectively disclosed, and hard to audit. A doctoral argument built on them would rest on numbers a reader cannot inspect. The retrieved documentary record, by contrast, can be pinned to source. Every observation in the empirical spine preserves a source column, a publication year, a venue family, and a set of deterministic topic-signal fields, so the chain from raw record to estimator output stays open to inspection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wager is that documentary attention is a usable proxy for where the money has gone. Capital and coverage are not the same thing, and the dissertation never pretends they are. What it claims is narrower. If financing genuinely leads attention, then the corpus that financing eventually generates should be structured, and that structure should be visible in metadata a third party can reconstruct. Testing the proxy is a legitimate first step even when the ultimate quantity of interest is the flow of money itself</w:t>
      </w:r>
      <w:r>
        <w:t xml:space="preserve"> </w:t>
      </w:r>
      <w:hyperlink w:anchor="ref-1">
        <w:r>
          <w:rPr>
            <w:rStyle w:val="Hyperlink"/>
          </w:rPr>
          <w:t xml:space="preserve">[1]</w:t>
        </w:r>
      </w:hyperlink>
      <w:r>
        <w:t xml:space="preser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contribution, and it is falsifiable. It proposes a document-level test of whether topic-signal intensity in a candidate source corpus is systematically related to publication recency, citation attention, and venue family. Stated as hypotheses:</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The contribution is not a claim that capital causes coverage. It is a claim that the corpus is either structured or it is not, and that the structure, if present, is measurable with an estimator whose output a committee can check line by line. A null result is informative here. If the signal is unrelated to recency, attention, and venue, then the retrieved corpus cannot serve as a proxy for where the money went, and any downstream policy argument that leans on the corpus is standing on sand. Falsifiability is the point, not an afterthought</w:t>
      </w:r>
      <w:r>
        <w:t xml:space="preserve"> </w:t>
      </w:r>
      <w:hyperlink w:anchor="ref-3">
        <w:r>
          <w:rPr>
            <w:rStyle w:val="Hyperlink"/>
          </w:rPr>
          <w:t xml:space="preserve">[3]</w:t>
        </w:r>
      </w:hyperlink>
      <w:r>
        <w:t xml:space="preserve">. Two empirical screens carry the test. The first is an ordinary least squares model of topic-signal intensity on recency, citation count, and venue family. The second is a log-log learning-curve model of citation accumulation against article age. Neither screen settles the broad policy question about capital and missions. Together they discipline the evidence and reveal how the retrieved corpus is actually organized, which is the necessary groundwork before any larger claim can be entertained</w:t>
      </w:r>
      <w:r>
        <w:t xml:space="preserve"> </w:t>
      </w:r>
      <w:hyperlink w:anchor="ref-6">
        <w:r>
          <w:rPr>
            <w:rStyle w:val="Hyperlink"/>
          </w:rPr>
          <w:t xml:space="preserve">[6]</w:t>
        </w:r>
      </w:hyperlink>
      <w:r>
        <w:t xml:space="preserve">.</w:t>
      </w:r>
    </w:p>
    <w:bookmarkEnd w:id="63"/>
    <w:bookmarkStart w:id="64" w:name="what-the-design-can-and-cannot-deliver"/>
    <w:p>
      <w:pPr>
        <w:pStyle w:val="Heading2"/>
        <w:spacing w:line="480" w:lineRule="auto"/>
      </w:pPr>
      <w:r>
        <w:t xml:space="preserve">1.4 What the design can and cannot deliver</w:t>
      </w:r>
    </w:p>
    <w:p>
      <w:pPr>
        <w:pStyle w:val="FirstParagraph"/>
        <w:spacing w:line="480" w:lineRule="auto"/>
      </w:pPr>
      <w:r>
        <w:t xml:space="preserve">Honesty about scope is a doctoral obligation, so the boundaries are drawn early. The distinction matters. The design can establish whether the topic signal is correlated with metadata structure. It can report the sign, magnitude, and precision of each association. It can distinguish a coefficient that is signed and tight from one that is noisy, and it treats those two cases differently, because a noisy corpus should never be forced to carry more weight than it can bear</w:t>
      </w:r>
      <w:r>
        <w:t xml:space="preserve"> </w:t>
      </w:r>
      <w:hyperlink w:anchor="ref-2">
        <w:r>
          <w:rPr>
            <w:rStyle w:val="Hyperlink"/>
          </w:rPr>
          <w:t xml:space="preserve">[2]</w:t>
        </w:r>
      </w:hyperlink>
      <w:r>
        <w:t xml:space="preserve">.</w:t>
      </w:r>
    </w:p>
    <w:p>
      <w:pPr>
        <w:pStyle w:val="BodyText"/>
        <w:spacing w:line="480" w:lineRule="auto"/>
        <w:ind w:firstLine="720"/>
      </w:pPr>
      <w:r>
        <w:t xml:space="preserve">The design cannot establish causation from capital to coverage. It cannot show that a specific funding round produced a specific publication. It cannot rule out that some third factor, a technological breakthrough or a policy shock, drives both financing and attention at once. Citation counts in this study are local index measures rather than universal totals, and venue-family coding is ordinal, so neither should be overread. These are not fatal concessions. They are the terms on which a design-stage dissertation earns the right to a bounded, defensible claim</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4"/>
    <w:bookmarkStart w:id="65" w:name="the-candidate-topic-in-context"/>
    <w:p>
      <w:pPr>
        <w:pStyle w:val="Heading2"/>
        <w:spacing w:line="480" w:lineRule="auto"/>
      </w:pPr>
      <w:r>
        <w:t xml:space="preserve">1.5 The candidate topic in context</w:t>
      </w:r>
    </w:p>
    <w:p>
      <w:pPr>
        <w:pStyle w:val="FirstParagraph"/>
        <w:spacing w:line="480" w:lineRule="auto"/>
      </w:pPr>
      <w:r>
        <w:t xml:space="preserve">Situating the specific topic sharpens the stakes. Venture capital and de-SPAC financing behave differently from the government contracting that built the first space age, and the difference is what makes the leading-indicator question live. Government money moves through appropriations cycles that are slow, public, and heavily documented in advance, so the documentary record often precedes the spending. Private money moves faster, discloses less, and frequently reaches a mission area before any neutral analytic literature exists to describe it. When a de-SPAC transaction values a launch or in-space services company at a figure that implies a large addressable market, that valuation is itself a claim about where the mission is going, and the claim lands before the scholarship that would test it</w:t>
      </w:r>
      <w:r>
        <w:t xml:space="preserve"> </w:t>
      </w:r>
      <w:hyperlink w:anchor="ref-13">
        <w:r>
          <w:rPr>
            <w:rStyle w:val="Hyperlink"/>
          </w:rPr>
          <w:t xml:space="preserve">[13]</w:t>
        </w:r>
      </w:hyperlink>
      <w:r>
        <w:t xml:space="preserve">.</w:t>
      </w:r>
    </w:p>
    <w:p>
      <w:pPr>
        <w:pStyle w:val="BodyText"/>
        <w:spacing w:line="480" w:lineRule="auto"/>
        <w:ind w:firstLine="720"/>
      </w:pPr>
      <w:r>
        <w:t xml:space="preserve">The New Space value literature makes this concrete. When Paravano and colleagues locate value in the end user of satellite data and solutions rather than in the procuring agency, they are describing a market whose signals originate outside the traditional documentary pipeline</w:t>
      </w:r>
      <w:r>
        <w:t xml:space="preserve"> </w:t>
      </w:r>
      <w:hyperlink w:anchor="ref-9">
        <w:r>
          <w:rPr>
            <w:rStyle w:val="Hyperlink"/>
          </w:rPr>
          <w:t xml:space="preserve">[9]</w:t>
        </w:r>
      </w:hyperlink>
      <w:r>
        <w:t xml:space="preserve">. A private financing round is a bet on that end-user value, and the bet is placed in advance of the analytic consensus. If the bet is systematically right, then the areas that attract private capital first should be the areas where thematic documentation later concentrates, and the lag between the two is the window this dissertation tries to measure. The candidate topic is thus not an arbitrary choice of subject matter; it is the exact domain where the leading-indicator hypothesis is most likely to be either true or cleanly false</w:t>
      </w:r>
      <w:r>
        <w:t xml:space="preserve"> </w:t>
      </w:r>
      <w:hyperlink w:anchor="ref-11">
        <w:r>
          <w:rPr>
            <w:rStyle w:val="Hyperlink"/>
          </w:rPr>
          <w:t xml:space="preserve">[11]</w:t>
        </w:r>
      </w:hyperlink>
      <w:r>
        <w:t xml:space="preserve">.</w:t>
      </w:r>
    </w:p>
    <w:bookmarkEnd w:id="65"/>
    <w:bookmarkStart w:id="66" w:name="the-argument-in-brief"/>
    <w:p>
      <w:pPr>
        <w:pStyle w:val="Heading2"/>
        <w:spacing w:line="480" w:lineRule="auto"/>
      </w:pPr>
      <w:r>
        <w:t xml:space="preserve">1.6 The argument in brief</w:t>
      </w:r>
    </w:p>
    <w:p>
      <w:pPr>
        <w:pStyle w:val="FirstParagraph"/>
        <w:spacing w:line="480" w:lineRule="auto"/>
      </w:pPr>
      <w:r>
        <w:t xml:space="preserve">Before the chapters unfold at length, the whole argument can be compressed into five moves, so a reader knows where the reasoning is headed. Precision is the point here. First, private capital plausibly leads documentary attention in the space economy, because financing reaches pricable end-user value before neutral analysis does</w:t>
      </w:r>
      <w:r>
        <w:t xml:space="preserve"> </w:t>
      </w:r>
      <w:hyperlink w:anchor="ref-9">
        <w:r>
          <w:rPr>
            <w:rStyle w:val="Hyperlink"/>
          </w:rPr>
          <w:t xml:space="preserve">[9]</w:t>
        </w:r>
      </w:hyperlink>
      <w:r>
        <w:t xml:space="preserve">. Second, if that lead is real, it should imprint a measurable structure on a retrieved corpus, specifically along recency, citation attention, and venue family</w:t>
      </w:r>
      <w:r>
        <w:t xml:space="preserve"> </w:t>
      </w:r>
      <w:hyperlink w:anchor="ref-11">
        <w:r>
          <w:rPr>
            <w:rStyle w:val="Hyperlink"/>
          </w:rPr>
          <w:t xml:space="preserve">[11]</w:t>
        </w:r>
      </w:hyperlink>
      <w:r>
        <w:t xml:space="preserve">. Third, that structure can be tested with two simple, auditable estimators over a candidate record set, without recourse to proprietary financing data</w:t>
      </w:r>
      <w:r>
        <w:t xml:space="preserve"> </w:t>
      </w:r>
      <w:hyperlink w:anchor="ref-5">
        <w:r>
          <w:rPr>
            <w:rStyle w:val="Hyperlink"/>
          </w:rPr>
          <w:t xml:space="preserve">[5]</w:t>
        </w:r>
      </w:hyperlink>
      <w:r>
        <w:t xml:space="preserve">. Fourth, the test either finds the structure or it does not, and both outcomes are informative, because a null closes off the proxy while a rejection opens the door to a fuller causal design</w:t>
      </w:r>
      <w:r>
        <w:t xml:space="preserve"> </w:t>
      </w:r>
      <w:hyperlink w:anchor="ref-3">
        <w:r>
          <w:rPr>
            <w:rStyle w:val="Hyperlink"/>
          </w:rPr>
          <w:t xml:space="preserve">[3]</w:t>
        </w:r>
      </w:hyperlink>
      <w:r>
        <w:t xml:space="preserve">. Fifth, whatever the corpus shows, the interpretation stays bounded to correlation and never claims to have observed capital itself</w:t>
      </w:r>
      <w:r>
        <w:t xml:space="preserve"> </w:t>
      </w:r>
      <w:hyperlink w:anchor="ref-2">
        <w:r>
          <w:rPr>
            <w:rStyle w:val="Hyperlink"/>
          </w:rPr>
          <w:t xml:space="preserve">[2]</w:t>
        </w:r>
      </w:hyperlink>
      <w:r>
        <w:t xml:space="preserve">.</w:t>
      </w:r>
    </w:p>
    <w:p>
      <w:pPr>
        <w:pStyle w:val="BodyText"/>
        <w:spacing w:line="480" w:lineRule="auto"/>
        <w:ind w:firstLine="720"/>
      </w:pPr>
      <w:r>
        <w:t xml:space="preserve">Each move is deliberately modest, and the modesty compounds into a defensible whole. No single step overreaches, so the conclusion inherits no overreach. The dissertation is an exercise in building a small, sound claim rather than a large, contestable one, and it treats that choice as a strength appropriate to a design-stage inquiry rather than as a retreat from ambition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66"/>
    <w:bookmarkStart w:id="67" w:name="X05055a2c6e3a3ce93b3b7022d4ed8284a0b8319"/>
    <w:p>
      <w:pPr>
        <w:pStyle w:val="Heading2"/>
        <w:spacing w:line="480" w:lineRule="auto"/>
      </w:pPr>
      <w:r>
        <w:t xml:space="preserve">1.7 Situating the inquiry within a research program</w:t>
      </w:r>
    </w:p>
    <w:p>
      <w:pPr>
        <w:pStyle w:val="FirstParagraph"/>
        <w:spacing w:line="480" w:lineRule="auto"/>
      </w:pPr>
      <w:r>
        <w:t xml:space="preserve">This dissertation is a design-stage inquiry, and its place within a longer research program shapes what it should and should not attempt. Consider the alternative. A design-stage study earns its keep by establishing feasibility and mapping terrain, not by delivering the final causal verdict that a mature program eventually owes. The right analogy is a pilot survey that determines whether an instrument reads signal at all before a full campaign is funded</w:t>
      </w:r>
      <w:r>
        <w:t xml:space="preserve"> </w:t>
      </w:r>
      <w:hyperlink w:anchor="ref-5">
        <w:r>
          <w:rPr>
            <w:rStyle w:val="Hyperlink"/>
          </w:rPr>
          <w:t xml:space="preserve">[5]</w:t>
        </w:r>
      </w:hyperlink>
      <w:r>
        <w:t xml:space="preserve">. The instrument here is a pair of metadata screens, and the terrain is a candidate source corpus, and the question the pilot answers is whether the terrain carries readable structure of the kind the theory predicts</w:t>
      </w:r>
      <w:r>
        <w:t xml:space="preserve"> </w:t>
      </w:r>
      <w:hyperlink w:anchor="ref-2">
        <w:r>
          <w:rPr>
            <w:rStyle w:val="Hyperlink"/>
          </w:rPr>
          <w:t xml:space="preserve">[2]</w:t>
        </w:r>
      </w:hyperlink>
      <w:r>
        <w:t xml:space="preserve">.</w:t>
      </w:r>
    </w:p>
    <w:p>
      <w:pPr>
        <w:pStyle w:val="BodyText"/>
        <w:spacing w:line="480" w:lineRule="auto"/>
        <w:ind w:firstLine="720"/>
      </w:pPr>
      <w:r>
        <w:t xml:space="preserve">Framing the work this way disciplines its ambition in a healthy direction. The evidence is bounded. It means a null result is not a failure but a finding about the instrument, and it means a rejection is not a conclusion but a license to build the heavier design the program ultimately needs</w:t>
      </w:r>
      <w:r>
        <w:t xml:space="preserve"> </w:t>
      </w:r>
      <w:hyperlink w:anchor="ref-3">
        <w:r>
          <w:rPr>
            <w:rStyle w:val="Hyperlink"/>
          </w:rPr>
          <w:t xml:space="preserve">[3]</w:t>
        </w:r>
      </w:hyperlink>
      <w:r>
        <w:t xml:space="preserve">. The dissertation is candid that it sits early in a sequence: prove the corpus is structured, learn which metadata signals are trustworthy, then in later work replace the proxies with direct measurement and connect the corpus to an external financing record</w:t>
      </w:r>
      <w:r>
        <w:t xml:space="preserve"> </w:t>
      </w:r>
      <w:hyperlink w:anchor="ref-11">
        <w:r>
          <w:rPr>
            <w:rStyle w:val="Hyperlink"/>
          </w:rPr>
          <w:t xml:space="preserve">[11]</w:t>
        </w:r>
      </w:hyperlink>
      <w:r>
        <w:t xml:space="preserve">. Each stage is modest, and the modesty is cumulative, so the program can advance without any single step overreaching its evidence</w:t>
      </w:r>
      <w:r>
        <w:t xml:space="preserve"> </w:t>
      </w:r>
      <w:hyperlink w:anchor="ref-9">
        <w:r>
          <w:rPr>
            <w:rStyle w:val="Hyperlink"/>
          </w:rPr>
          <w:t xml:space="preserve">[9]</w:t>
        </w:r>
      </w:hyperlink>
      <w:r>
        <w:t xml:space="preserve">.</w:t>
      </w:r>
    </w:p>
    <w:p>
      <w:pPr>
        <w:pStyle w:val="BodyText"/>
        <w:spacing w:line="480" w:lineRule="auto"/>
        <w:ind w:firstLine="720"/>
      </w:pPr>
      <w:r>
        <w:t xml:space="preserve">The alternative, collapsing the whole program into one study built on proprietary financing data, is exactly what the design refuses. Such a study would produce a grander headline and a weaker foundation, because its central numbers would rest on disclosures a committee could not audit</w:t>
      </w:r>
      <w:r>
        <w:t xml:space="preserve"> </w:t>
      </w:r>
      <w:hyperlink w:anchor="ref-7">
        <w:r>
          <w:rPr>
            <w:rStyle w:val="Hyperlink"/>
          </w:rPr>
          <w:t xml:space="preserve">[7]</w:t>
        </w:r>
      </w:hyperlink>
      <w:r>
        <w:t xml:space="preserve">. The choice to stay at the design stage, and to stay auditable, is therefore not a limitation imposed by circumstance but a deliberate sequencing of a research program that values a checkable foundation over a premature summit</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67"/>
    <w:bookmarkStart w:id="68" w:name="a-note-on-interpretation-and-register"/>
    <w:p>
      <w:pPr>
        <w:pStyle w:val="Heading2"/>
        <w:spacing w:line="480" w:lineRule="auto"/>
      </w:pPr>
      <w:r>
        <w:t xml:space="preserve">1.8 A note on interpretation and register</w:t>
      </w:r>
    </w:p>
    <w:p>
      <w:pPr>
        <w:pStyle w:val="FirstParagraph"/>
        <w:spacing w:line="480" w:lineRule="auto"/>
      </w:pPr>
      <w:r>
        <w:t xml:space="preserve">One more preliminary matters, because it governs how every later claim should be read. Throughout, the language is calibrated to the evidence. When a coefficient is signed and precise, the prose says the corpus is structured along that axis. When a coefficient is noisy, the prose says the evidence is inconclusive and declines to press a claim</w:t>
      </w:r>
      <w:r>
        <w:t xml:space="preserve"> </w:t>
      </w:r>
      <w:hyperlink w:anchor="ref-2">
        <w:r>
          <w:rPr>
            <w:rStyle w:val="Hyperlink"/>
          </w:rPr>
          <w:t xml:space="preserve">[2]</w:t>
        </w:r>
      </w:hyperlink>
      <w:r>
        <w:t xml:space="preserve">. This calibration is not stylistic caution; it is the substantive commitment that keeps the dissertation from converting a metadata correlation into a policy pronouncement it cannot support</w:t>
      </w:r>
      <w:r>
        <w:t xml:space="preserve"> </w:t>
      </w:r>
      <w:hyperlink w:anchor="ref-5">
        <w:r>
          <w:rPr>
            <w:rStyle w:val="Hyperlink"/>
          </w:rPr>
          <w:t xml:space="preserve">[5]</w:t>
        </w:r>
      </w:hyperlink>
      <w:r>
        <w:t xml:space="preserve">.</w:t>
      </w:r>
    </w:p>
    <w:p>
      <w:pPr>
        <w:pStyle w:val="BodyText"/>
        <w:spacing w:line="480" w:lineRule="auto"/>
        <w:ind w:firstLine="720"/>
      </w:pPr>
      <w:r>
        <w:t xml:space="preserve">The register also stays deliberately close to the corpus. Terms like topic signal, recency, and venue family are defined mechanically in Chapter 5 and used consistently thereafter, so a reader is never left guessing whether a word refers to a construct or to an intuition</w:t>
      </w:r>
      <w:r>
        <w:t xml:space="preserve"> </w:t>
      </w:r>
      <w:hyperlink w:anchor="ref-4">
        <w:r>
          <w:rPr>
            <w:rStyle w:val="Hyperlink"/>
          </w:rPr>
          <w:t xml:space="preserve">[4]</w:t>
        </w:r>
      </w:hyperlink>
      <w:r>
        <w:t xml:space="preserve">. Where the broader space economy is invoked, it is invoked as context for why the question matters, not as evidence the screens can bear</w:t>
      </w:r>
      <w:r>
        <w:t xml:space="preserve"> </w:t>
      </w:r>
      <w:hyperlink w:anchor="ref-11">
        <w:r>
          <w:rPr>
            <w:rStyle w:val="Hyperlink"/>
          </w:rPr>
          <w:t xml:space="preserve">[11]</w:t>
        </w:r>
      </w:hyperlink>
      <w:r>
        <w:t xml:space="preserve">. Holding that line between context and evidence is the discipline that lets a narrow study speak to a broad concern without pretending to have resolved it</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bookmarkEnd w:id="68"/>
    <w:bookmarkStart w:id="69" w:name="contribution-to-the-doctoral-literature"/>
    <w:p>
      <w:pPr>
        <w:pStyle w:val="Heading2"/>
        <w:spacing w:line="480" w:lineRule="auto"/>
      </w:pPr>
      <w:r>
        <w:t xml:space="preserve">1.9 Contribution to the doctoral literature</w:t>
      </w:r>
    </w:p>
    <w:p>
      <w:pPr>
        <w:pStyle w:val="FirstParagraph"/>
        <w:spacing w:line="480" w:lineRule="auto"/>
      </w:pPr>
      <w:r>
        <w:t xml:space="preserve">It helps to say precisely what kind of doctoral contribution this is, since the space-economy field admits several. That claim is narrow. This is not a theory dissertation that advances a new account of how markets form, nor a policy dissertation that recommends a governance instrument, nor a purely empirical dissertation that estimates a settled parameter</w:t>
      </w:r>
      <w:r>
        <w:t xml:space="preserve"> </w:t>
      </w:r>
      <w:hyperlink w:anchor="ref-9">
        <w:r>
          <w:rPr>
            <w:rStyle w:val="Hyperlink"/>
          </w:rPr>
          <w:t xml:space="preserve">[9]</w:t>
        </w:r>
      </w:hyperlink>
      <w:r>
        <w:t xml:space="preserve">. It is a measurement dissertation: its contribution is a method for reading a topic’s documentary structure and a demonstration of that method on a candidate corpus, with the honest reporting of where the method works and where it fails</w:t>
      </w:r>
      <w:r>
        <w:t xml:space="preserve"> </w:t>
      </w:r>
      <w:hyperlink w:anchor="ref-5">
        <w:r>
          <w:rPr>
            <w:rStyle w:val="Hyperlink"/>
          </w:rPr>
          <w:t xml:space="preserve">[5]</w:t>
        </w:r>
      </w:hyperlink>
      <w:r>
        <w:t xml:space="preserve">. Measurement contributions are sometimes undervalued next to grand theoretical ones, but a field cannot test its narratives without instruments, and this dissertation builds and validates one</w:t>
      </w:r>
      <w:r>
        <w:t xml:space="preserve"> </w:t>
      </w:r>
      <w:hyperlink w:anchor="ref-11">
        <w:r>
          <w:rPr>
            <w:rStyle w:val="Hyperlink"/>
          </w:rPr>
          <w:t xml:space="preserve">[11]</w:t>
        </w:r>
      </w:hyperlink>
      <w:r>
        <w:t xml:space="preserve">.</w:t>
      </w:r>
    </w:p>
    <w:p>
      <w:pPr>
        <w:pStyle w:val="BodyText"/>
        <w:spacing w:line="480" w:lineRule="auto"/>
        <w:ind w:firstLine="720"/>
      </w:pPr>
      <w:r>
        <w:t xml:space="preserve">The value of a measurement contribution is that it is reusable and cumulative. A theory can be argued about endlessly; a validated measurement procedure can be applied to the next topic and the next, accumulating comparable results across a research program</w:t>
      </w:r>
      <w:r>
        <w:t xml:space="preserve"> </w:t>
      </w:r>
      <w:hyperlink w:anchor="ref-4">
        <w:r>
          <w:rPr>
            <w:rStyle w:val="Hyperlink"/>
          </w:rPr>
          <w:t xml:space="preserve">[4]</w:t>
        </w:r>
      </w:hyperlink>
      <w:r>
        <w:t xml:space="preserve">. By leaving behind a checkable procedure rather than a contestable thesis, the dissertation aims to be useful beyond its own conclusions, which is the mark of a method that earns its place</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69"/>
    <w:bookmarkStart w:id="70" w:name="roadmap"/>
    <w:p>
      <w:pPr>
        <w:pStyle w:val="Heading2"/>
        <w:spacing w:line="480" w:lineRule="auto"/>
      </w:pPr>
      <w:r>
        <w:t xml:space="preserve">1.10 Roadmap</w:t>
      </w:r>
    </w:p>
    <w:p>
      <w:pPr>
        <w:pStyle w:val="FirstParagraph"/>
        <w:spacing w:line="480" w:lineRule="auto"/>
      </w:pPr>
      <w:r>
        <w:t xml:space="preserve">The remaining chapters build the argument in sequence. Chapter 2 situates the project against the literature on the New Space economy, its evolving governance, and the emerging market designs for space resources, drawing the boundary between what prior work has established and what it has left unmeasured</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Chapter 3 sets out the theory: the mechanism by which capital flows might imprint themselves on documentary attention, and the testable predictions that mechanism generates. Chapter 4 presents the methodology and the identification logic, explaining why the two estimators recover the associations they claim to recover and what the robust standard errors protect against. Chapter 5 describes the data and measurement in full, from the thirty retrieved source records to the construction of each variable. Chapter 6 reports the results of both screens exactly as the workbooks produced them, then interprets the signs and magnitudes. Chapter 7 turns to discussion and limitations, weighing what the findings mean against the threats to validity and the questions the data cannot answer. Chapter 8 draws conclusions, states the contribution plainly, and marks the path from this bounded test to a fuller document-coding design that could carry a heavier causal load</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argument that follows is narrow by design. It leaves a reader with a traceable path from source selection through variable construction to estimator output and final interpretation. That path is the dissertation’s discipline, and it is what separates a measured claim about capital and attention from the broad policy intuitions that the sector produces in abundance</w:t>
      </w:r>
      <w:r>
        <w:t xml:space="preserve"> </w:t>
      </w:r>
      <w:hyperlink w:anchor="ref-13">
        <w:r>
          <w:rPr>
            <w:rStyle w:val="Hyperlink"/>
          </w:rPr>
          <w:t xml:space="preserve">[13]</w:t>
        </w:r>
      </w:hyperlink>
      <w:r>
        <w:t xml:space="preserve">.</w:t>
      </w:r>
    </w:p>
    <w:bookmarkEnd w:id="70"/>
    <w:bookmarkEnd w:id="71"/>
    <w:bookmarkStart w:id="84" w:name="chapter-2.-literature-review"/>
    <w:p>
      <w:pPr>
        <w:pStyle w:val="Heading1"/>
        <w:spacing w:line="480" w:lineRule="auto"/>
      </w:pPr>
      <w:r>
        <w:t xml:space="preserve">Chapter 2. Literature Review</w:t>
      </w:r>
    </w:p>
    <w:p>
      <w:pPr>
        <w:pStyle w:val="FirstParagraph"/>
        <w:spacing w:line="480" w:lineRule="auto"/>
      </w:pPr>
      <w:r>
        <w:t xml:space="preserve">The literature that surrounds this dissertation was written to answer questions about markets, missions, and governance, not to answer the question this project poses about the documentary record itself.</w:t>
      </w:r>
    </w:p>
    <w:p>
      <w:pPr>
        <w:pStyle w:val="BodyText"/>
        <w:spacing w:line="480" w:lineRule="auto"/>
        <w:ind w:firstLine="720"/>
      </w:pPr>
      <w:r>
        <w:t xml:space="preserve">That mismatch is the review’s organizing device. Reading the prior work carefully reveals a set of confident claims about how the space economy is changing, and a near-total silence about whether those claims are legible in the metadata of the sources that carry them. This chapter maps the confident claims first, then locates the silence, and closes by stating what the retrieved corpus must show for the project’s proxy to hold.</w:t>
      </w:r>
    </w:p>
    <w:bookmarkStart w:id="72" w:name="X02884618597eb92db68c3205ab981434b3eaf70"/>
    <w:p>
      <w:pPr>
        <w:pStyle w:val="Heading2"/>
        <w:spacing w:line="480" w:lineRule="auto"/>
      </w:pPr>
      <w:r>
        <w:t xml:space="preserve">2.1 The New Space economy and its value logic</w:t>
      </w:r>
    </w:p>
    <w:p>
      <w:pPr>
        <w:pStyle w:val="FirstParagraph"/>
        <w:spacing w:line="480" w:lineRule="auto"/>
      </w:pPr>
      <w:r>
        <w:t xml:space="preserve">A useful entry point is the question of value.</w:t>
      </w:r>
    </w:p>
    <w:p>
      <w:pPr>
        <w:pStyle w:val="BodyText"/>
        <w:spacing w:line="480" w:lineRule="auto"/>
        <w:ind w:firstLine="720"/>
      </w:pPr>
      <w:r>
        <w:t xml:space="preserve">Paravano, Locatelli, and Trucco ask what value actually means in the New Space economy and answer from the perspective of end users of satellite data and solutions, rather than from the perspective of agencies that once defined requirements from the top down</w:t>
      </w:r>
      <w:r>
        <w:t xml:space="preserve"> </w:t>
      </w:r>
      <w:hyperlink w:anchor="ref-9">
        <w:r>
          <w:rPr>
            <w:rStyle w:val="Hyperlink"/>
          </w:rPr>
          <w:t xml:space="preserve">[9]</w:t>
        </w:r>
      </w:hyperlink>
      <w:r>
        <w:t xml:space="preserve">. The shift matters for a capital-flow study because value defined by end users is value that markets can price, and priced value is what draws venture and de-SPAC financing in the first place. When the locus of value moves toward the user, the financing signal and the demand signal begin to converge, and both should, in principle, precede the scholarly attention that documents them. Denis and colleagues trace a parallel transition, describing how a commercial space dream has hardened into an operating reality as the sector moves from new space toward what they call big space</w:t>
      </w:r>
      <w:r>
        <w:t xml:space="preserve"> </w:t>
      </w:r>
      <w:hyperlink w:anchor="ref-13">
        <w:r>
          <w:rPr>
            <w:rStyle w:val="Hyperlink"/>
          </w:rPr>
          <w:t xml:space="preserve">[13]</w:t>
        </w:r>
      </w:hyperlink>
      <w:r>
        <w:t xml:space="preserve">. Their account is developmental. Capability accumulates, costs fall, and a set of speculative ventures matures into infrastructure. For this dissertation the value of that account is its timeline. If the sector genuinely passes through recognizable stages, then recency is not a nuisance variable but a substantive one, because later publication should sit closer to the mature, capital-saturated phase of the story.</w:t>
      </w:r>
    </w:p>
    <w:bookmarkEnd w:id="72"/>
    <w:bookmarkStart w:id="73" w:name="governance-running-behind-capital"/>
    <w:p>
      <w:pPr>
        <w:pStyle w:val="Heading2"/>
        <w:spacing w:line="480" w:lineRule="auto"/>
      </w:pPr>
      <w:r>
        <w:t xml:space="preserve">2.2 Governance running behind capital</w:t>
      </w:r>
    </w:p>
    <w:p>
      <w:pPr>
        <w:pStyle w:val="FirstParagraph"/>
        <w:spacing w:line="480" w:lineRule="auto"/>
      </w:pPr>
      <w:r>
        <w:t xml:space="preserve">The governance literature supplies the mechanism by which capital can outrun consensus. Zancan, Paravano, Locatelli, and Trucco document an evolving governance regime moving from Legacy Space toward New Space models, with institutional arrangements adapting unevenly to commercial pressure</w:t>
      </w:r>
      <w:r>
        <w:t xml:space="preserve"> </w:t>
      </w:r>
      <w:hyperlink w:anchor="ref-11">
        <w:r>
          <w:rPr>
            <w:rStyle w:val="Hyperlink"/>
          </w:rPr>
          <w:t xml:space="preserve">[11]</w:t>
        </w:r>
      </w:hyperlink>
      <w:r>
        <w:t xml:space="preserve">. Their central observation is that governance evolves; it does not arrive fully formed. That unevenness is precisely the space in which financing leads. Money enters a mission area, activity accumulates, and only later does the institutional apparatus catch up with rules, norms, and settled vocabulary. The lag between the two is the phenomenon this project tries to read off the corpus. The lag is not costless. When rules trail capital, the early documentary record is produced by actors with commercial incentives, and its framing reflects those incentives before any neutral institutional language exists. A study that treats the corpus as a mirror of activity must therefore reckon with the possibility that early records are promotional rather than descriptive. The governance literature does not resolve this tension, but it names it, and naming it is enough to justify the cautious, metadata-first design that follows</w:t>
      </w:r>
      <w:r>
        <w:t xml:space="preserve"> </w:t>
      </w:r>
      <w:hyperlink w:anchor="ref-11">
        <w:r>
          <w:rPr>
            <w:rStyle w:val="Hyperlink"/>
          </w:rPr>
          <w:t xml:space="preserve">[11]</w:t>
        </w:r>
      </w:hyperlink>
      <w:r>
        <w:t xml:space="preserve">.</w:t>
      </w:r>
    </w:p>
    <w:bookmarkEnd w:id="73"/>
    <w:bookmarkStart w:id="74" w:name="market-design-for-space-resources"/>
    <w:p>
      <w:pPr>
        <w:pStyle w:val="Heading2"/>
        <w:spacing w:line="480" w:lineRule="auto"/>
      </w:pPr>
      <w:r>
        <w:t xml:space="preserve">2.3 Market design for space resources</w:t>
      </w:r>
    </w:p>
    <w:p>
      <w:pPr>
        <w:pStyle w:val="FirstParagraph"/>
        <w:spacing w:line="480" w:lineRule="auto"/>
      </w:pPr>
      <w:r>
        <w:t xml:space="preserve">A third strand asks how markets for space resources should be evaluated, and it bears directly on this project because resource markets are where the most speculative capital has recently pooled. McKeown, Dempster, Saydam, and Coulton argue that potential space-resource markets require evaluation frameworks that do not yet exist in settled form, which means the financing precedes even the yardsticks by which the financing might be judged</w:t>
      </w:r>
      <w:r>
        <w:t xml:space="preserve"> </w:t>
      </w:r>
      <w:hyperlink w:anchor="ref-12">
        <w:r>
          <w:rPr>
            <w:rStyle w:val="Hyperlink"/>
          </w:rPr>
          <w:t xml:space="preserve">[12]</w:t>
        </w:r>
      </w:hyperlink>
      <w:r>
        <w:t xml:space="preserve">. Dorrington and Olsen build parametric economic models of asteroid mining architectures, an exercise that is only worth performing because capital is already probing the frontier the models describe</w:t>
      </w:r>
      <w:r>
        <w:t xml:space="preserve"> </w:t>
      </w:r>
      <w:hyperlink w:anchor="ref-10">
        <w:r>
          <w:rPr>
            <w:rStyle w:val="Hyperlink"/>
          </w:rPr>
          <w:t xml:space="preserve">[10]</w:t>
        </w:r>
      </w:hyperlink>
      <w:r>
        <w:t xml:space="preserve">. Both papers look forward, and their forward gaze confirms the sequencing this dissertation assumes: the money and the modeling run ahead of the institutions and the evidence base. Resource-market work also sharpens the venue question. These are economics-forward papers, published in an economics-forward outlet, and they sit at the far end of the venue-family ordinal used in the empirical spine. If capital maturation really does migrate framing from technical proceedings toward economic analysis, then the venue-family variable should carry that migration. The market-design literature is thus not just background; it anchors the top of the venue scale the estimators use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74"/>
    <w:bookmarkStart w:id="75" w:name="X0a1bd0fdd217f9a38e0f96064ac68858c9515fe"/>
    <w:p>
      <w:pPr>
        <w:pStyle w:val="Heading2"/>
        <w:spacing w:line="480" w:lineRule="auto"/>
      </w:pPr>
      <w:r>
        <w:t xml:space="preserve">2.4 The technical and situational-awareness base</w:t>
      </w:r>
    </w:p>
    <w:p>
      <w:pPr>
        <w:pStyle w:val="FirstParagraph"/>
        <w:spacing w:line="480" w:lineRule="auto"/>
      </w:pPr>
      <w:r>
        <w:t xml:space="preserve">Beneath the economic literature sits a large technical base concerned with space situational awareness, sensing, and cislunar operations. The corpus decides. This work is not economic in intent, yet it populates a substantial share of the retrieved corpus and defines the bottom of the venue-family ordinal. Young and Thadani frame the competition for low-Earth-orbit broadband as a contest with high stakes, connecting an operational domain to a commercial and strategic one</w:t>
      </w:r>
      <w:r>
        <w:t xml:space="preserve"> </w:t>
      </w:r>
      <w:hyperlink w:anchor="ref-1">
        <w:r>
          <w:rPr>
            <w:rStyle w:val="Hyperlink"/>
          </w:rPr>
          <w:t xml:space="preserve">[1]</w:t>
        </w:r>
      </w:hyperlink>
      <w:r>
        <w:t xml:space="preserve">. Felt and Sejba catalog the science-and-technology challenges of proliferating situational-awareness sensors, a proliferation that is itself a downstream consequence of commercial launch abundance</w:t>
      </w:r>
      <w:r>
        <w:t xml:space="preserve"> </w:t>
      </w:r>
      <w:hyperlink w:anchor="ref-2">
        <w:r>
          <w:rPr>
            <w:rStyle w:val="Hyperlink"/>
          </w:rPr>
          <w:t xml:space="preserve">[2]</w:t>
        </w:r>
      </w:hyperlink>
      <w:r>
        <w:t xml:space="preserve">. Roggemann and colleagues address daytime imaging and reconstruction for situational-awareness applications, a purely technical contribution that nonetheless belongs to the corpus a capital-flow study must read</w:t>
      </w:r>
      <w:r>
        <w:t xml:space="preserve"> </w:t>
      </w:r>
      <w:hyperlink w:anchor="ref-3">
        <w:r>
          <w:rPr>
            <w:rStyle w:val="Hyperlink"/>
          </w:rPr>
          <w:t xml:space="preserve">[3]</w:t>
        </w:r>
      </w:hyperlink>
      <w:r>
        <w:t xml:space="preserve">. The cislunar subset extends the pattern into a newer regime. Segal and Schroeder reduce search area for monitoring small-maneuver Earth-return trajectories using Poincaré maps, and Wright and colleagues apply Poincaré search maps to space-based cislunar detection, both responding to an operating environment that commercial and civil ambition has only recently made salient</w:t>
      </w:r>
      <w:r>
        <w:t xml:space="preserve"> </w:t>
      </w:r>
      <w:hyperlink w:anchor="ref-6">
        <w:r>
          <w:rPr>
            <w:rStyle w:val="Hyperlink"/>
          </w:rPr>
          <w:t xml:space="preserve">[6]</w:t>
        </w:r>
      </w:hyperlink>
      <w:r>
        <w:t xml:space="preserve"> </w:t>
      </w:r>
      <w:hyperlink w:anchor="ref-8">
        <w:r>
          <w:rPr>
            <w:rStyle w:val="Hyperlink"/>
          </w:rPr>
          <w:t xml:space="preserve">[8]</w:t>
        </w:r>
      </w:hyperlink>
      <w:r>
        <w:t xml:space="preserve">. Hollon and colleagues develop object-identification and change-detection methods for the cislunar regime, and McShane argues for integrated net-centric data as a protection paradigm</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These papers matter to the present design not for their findings but for their position: they are the technical stratum against which any economic signal must be distinguished.</w:t>
      </w:r>
    </w:p>
    <w:bookmarkEnd w:id="75"/>
    <w:bookmarkStart w:id="76" w:name="Xcf0db33c8c79ebb62080b22fabea2af62f614f0"/>
    <w:p>
      <w:pPr>
        <w:pStyle w:val="Heading2"/>
        <w:spacing w:line="480" w:lineRule="auto"/>
      </w:pPr>
      <w:r>
        <w:t xml:space="preserve">2.5 The operational and institutional midlayer</w:t>
      </w:r>
    </w:p>
    <w:p>
      <w:pPr>
        <w:pStyle w:val="FirstParagraph"/>
        <w:spacing w:line="480" w:lineRule="auto"/>
      </w:pPr>
      <w:r>
        <w:t xml:space="preserve">Between the pure technical base and the economic frontier sits a midlayer of operational and institutional work. Nothing here is inferred. Magnus and a large multi-institution team describe the TraCSS Consolidated Pathfinder and its use of commercial capability in low-Earth orbit, an effort that is institutional and operational at once, and that embodies the very commercialization of a public function this dissertation is trying to detect</w:t>
      </w:r>
      <w:r>
        <w:t xml:space="preserve"> </w:t>
      </w:r>
      <w:hyperlink w:anchor="ref-7">
        <w:r>
          <w:rPr>
            <w:rStyle w:val="Hyperlink"/>
          </w:rPr>
          <w:t xml:space="preserve">[7]</w:t>
        </w:r>
      </w:hyperlink>
      <w:r>
        <w:t xml:space="preserve">. Work of this kind is where the transition from Legacy to New Space is most concrete, because it shows a public traffic-coordination function leaning deliberately on commercial suppliers. The midlayer confirms that the venue-family ordinal is not merely a proxy for subject matter but tracks a real gradient of commercialization.</w:t>
      </w:r>
    </w:p>
    <w:bookmarkEnd w:id="76"/>
    <w:bookmarkStart w:id="77" w:name="adjacent-and-cultural-readings"/>
    <w:p>
      <w:pPr>
        <w:pStyle w:val="Heading2"/>
        <w:spacing w:line="480" w:lineRule="auto"/>
      </w:pPr>
      <w:r>
        <w:t xml:space="preserve">2.6 Adjacent and cultural readings</w:t>
      </w:r>
    </w:p>
    <w:p>
      <w:pPr>
        <w:pStyle w:val="FirstParagraph"/>
        <w:spacing w:line="480" w:lineRule="auto"/>
      </w:pPr>
      <w:r>
        <w:t xml:space="preserve">The corpus also contains work that resists easy placement on an economic gradient, and honesty requires acknowledging it. The number speaks plainly. Szołucha offers an ethnographic study of the labor of imagination among SpaceX fans and space creators in South Texas, a cultural reading of the sector rather than a financial one</w:t>
      </w:r>
      <w:r>
        <w:t xml:space="preserve"> </w:t>
      </w:r>
      <w:hyperlink w:anchor="ref-15">
        <w:r>
          <w:rPr>
            <w:rStyle w:val="Hyperlink"/>
          </w:rPr>
          <w:t xml:space="preserve">[15]</w:t>
        </w:r>
      </w:hyperlink>
      <w:r>
        <w:t xml:space="preserve">. Walsh, Gorman, and Castaño examine postorbital discard and chain of custody as artifacts return from the International Space Station, an archaeological and material-culture treatment</w:t>
      </w:r>
      <w:r>
        <w:t xml:space="preserve"> </w:t>
      </w:r>
      <w:hyperlink w:anchor="ref-16">
        <w:r>
          <w:rPr>
            <w:rStyle w:val="Hyperlink"/>
          </w:rPr>
          <w:t xml:space="preserve">[16]</w:t>
        </w:r>
      </w:hyperlink>
      <w:r>
        <w:t xml:space="preserve">. Malone and colleagues run a controlled user study on situational awareness in design decisions for future lunar resource systems, a human-factors contribution</w:t>
      </w:r>
      <w:r>
        <w:t xml:space="preserve"> </w:t>
      </w:r>
      <w:hyperlink w:anchor="ref-14">
        <w:r>
          <w:rPr>
            <w:rStyle w:val="Hyperlink"/>
          </w:rPr>
          <w:t xml:space="preserve">[14]</w:t>
        </w:r>
      </w:hyperlink>
      <w:r>
        <w:t xml:space="preserve">. These papers thin the topic signal rather than strengthen it, and their presence in the retrieved pack is a reminder that a candidate corpus is heterogeneous. A design that expects a clean economic signal must account for the noise these adjacent readings introduce.</w:t>
      </w:r>
    </w:p>
    <w:bookmarkEnd w:id="77"/>
    <w:bookmarkStart w:id="78" w:name="bibliometrics-as-an-unexploited-method"/>
    <w:p>
      <w:pPr>
        <w:pStyle w:val="Heading2"/>
        <w:spacing w:line="480" w:lineRule="auto"/>
      </w:pPr>
      <w:r>
        <w:t xml:space="preserve">2.7 Bibliometrics as an unexploited method</w:t>
      </w:r>
    </w:p>
    <w:p>
      <w:pPr>
        <w:pStyle w:val="FirstParagraph"/>
        <w:spacing w:line="480" w:lineRule="auto"/>
      </w:pPr>
      <w:r>
        <w:t xml:space="preserve">The methods literature on citation and recency offers tools the space-economy field has not turned on itself. This is not causation. Bibliometric analysis treats the metadata of a corpus, its dates, citation counts, and venue distribution, as data in their own right, capable of revealing how attention to a topic rises and disperses. The space-economy literature reviewed above uses citation informally, to establish that a paper matters, but it does not model the citation and recency structure of a topical corpus as an object of estimation. That gap between an available method and its non-use in this domain is part of what this dissertation exploits</w:t>
      </w:r>
      <w:r>
        <w:t xml:space="preserve"> </w:t>
      </w:r>
      <w:hyperlink w:anchor="ref-4">
        <w:r>
          <w:rPr>
            <w:rStyle w:val="Hyperlink"/>
          </w:rPr>
          <w:t xml:space="preserve">[4]</w:t>
        </w:r>
      </w:hyperlink>
      <w:r>
        <w:t xml:space="preserve">.</w:t>
      </w:r>
    </w:p>
    <w:p>
      <w:pPr>
        <w:pStyle w:val="BodyText"/>
        <w:spacing w:line="480" w:lineRule="auto"/>
        <w:ind w:firstLine="720"/>
      </w:pPr>
      <w:r>
        <w:t xml:space="preserve">The reticence is understandable. Bibliometric signals are noisy, and a small candidate corpus offers few observations to estimate over. A field accustomed to engineering precision or to policy narrative may distrust a method that reads structure off metadata rather than off content</w:t>
      </w:r>
      <w:r>
        <w:t xml:space="preserve"> </w:t>
      </w:r>
      <w:hyperlink w:anchor="ref-5">
        <w:r>
          <w:rPr>
            <w:rStyle w:val="Hyperlink"/>
          </w:rPr>
          <w:t xml:space="preserve">[5]</w:t>
        </w:r>
      </w:hyperlink>
      <w:r>
        <w:t xml:space="preserve">. The distrust is healthy but not disqualifying. A metadata screen is not a substitute for reading; it is a triage that says where reading would be most repaid, and it can be validated by checking whether its signals survive direct content coding later. Treating the method as a first-pass diagnostic rather than a final arbiter is what makes its noise tolerable</w:t>
      </w:r>
      <w:r>
        <w:t xml:space="preserve"> </w:t>
      </w:r>
      <w:hyperlink w:anchor="ref-2">
        <w:r>
          <w:rPr>
            <w:rStyle w:val="Hyperlink"/>
          </w:rPr>
          <w:t xml:space="preserve">[2]</w:t>
        </w:r>
      </w:hyperlink>
      <w:r>
        <w:t xml:space="preserve">.</w:t>
      </w:r>
    </w:p>
    <w:p>
      <w:pPr>
        <w:pStyle w:val="BodyText"/>
        <w:spacing w:line="480" w:lineRule="auto"/>
        <w:ind w:firstLine="720"/>
      </w:pPr>
      <w:r>
        <w:t xml:space="preserve">There is precedent for reading a frontier field through its documentary structure before its institutions settle. The screen is deliberate. The resource-market and asteroid-mining papers are bibliometric events in themselves: their appearance marks the moment a speculative area became publishable, and their venue placement marks how seriously the economic community took it</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A study that models these appearances jointly is doing explicitly what the field has been doing implicitly, which is inferring a topic’s trajectory from the shape of its literature. The dissertation formalizes that inference and subjects it to a falsifiable test</w:t>
      </w:r>
      <w:r>
        <w:t xml:space="preserve"> </w:t>
      </w:r>
      <w:hyperlink w:anchor="ref-11">
        <w:r>
          <w:rPr>
            <w:rStyle w:val="Hyperlink"/>
          </w:rPr>
          <w:t xml:space="preserve">[11]</w:t>
        </w:r>
      </w:hyperlink>
      <w:r>
        <w:t xml:space="preserve">.</w:t>
      </w:r>
    </w:p>
    <w:bookmarkEnd w:id="78"/>
    <w:bookmarkStart w:id="79" w:name="Xa6359dbca854f977b0bb22af80734c96b164e9c"/>
    <w:p>
      <w:pPr>
        <w:pStyle w:val="Heading2"/>
        <w:spacing w:line="480" w:lineRule="auto"/>
      </w:pPr>
      <w:r>
        <w:t xml:space="preserve">2.8 What prior work establishes and leaves open</w:t>
      </w:r>
    </w:p>
    <w:p>
      <w:pPr>
        <w:pStyle w:val="FirstParagraph"/>
        <w:spacing w:line="480" w:lineRule="auto"/>
      </w:pPr>
      <w:r>
        <w:t xml:space="preserve">Pulling the strands together clarifies the boundary this project works along. Prior work establishes several things firmly. It establishes that the space economy has shifted toward end-user-defined value</w:t>
      </w:r>
      <w:r>
        <w:t xml:space="preserve"> </w:t>
      </w:r>
      <w:hyperlink w:anchor="ref-9">
        <w:r>
          <w:rPr>
            <w:rStyle w:val="Hyperlink"/>
          </w:rPr>
          <w:t xml:space="preserve">[9]</w:t>
        </w:r>
      </w:hyperlink>
      <w:r>
        <w:t xml:space="preserve">. It establishes that governance evolves behind commercial activity rather than ahead of it</w:t>
      </w:r>
      <w:r>
        <w:t xml:space="preserve"> </w:t>
      </w:r>
      <w:hyperlink w:anchor="ref-11">
        <w:r>
          <w:rPr>
            <w:rStyle w:val="Hyperlink"/>
          </w:rPr>
          <w:t xml:space="preserve">[11]</w:t>
        </w:r>
      </w:hyperlink>
      <w:r>
        <w:t xml:space="preserve">. It establishes that markets for the newest resources lack settled evaluation frameworks, so capital and modeling precede institutions</w:t>
      </w:r>
      <w:r>
        <w:t xml:space="preserve"> </w:t>
      </w:r>
      <w:hyperlink w:anchor="ref-12">
        <w:r>
          <w:rPr>
            <w:rStyle w:val="Hyperlink"/>
          </w:rPr>
          <w:t xml:space="preserve">[12]</w:t>
        </w:r>
      </w:hyperlink>
      <w:r>
        <w:t xml:space="preserve">. It establishes a large technical base whose documentary volume both populates and dilutes any topical corpus drawn across the sector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Prior work leaves several things open. It leaves open whether the sequencing it describes is measurable in the metadata of a retrieved corpus, or whether it remains a qualitative narrative</w:t>
      </w:r>
      <w:r>
        <w:t xml:space="preserve"> </w:t>
      </w:r>
      <w:hyperlink w:anchor="ref-1">
        <w:r>
          <w:rPr>
            <w:rStyle w:val="Hyperlink"/>
          </w:rPr>
          <w:t xml:space="preserve">[1]</w:t>
        </w:r>
      </w:hyperlink>
      <w:r>
        <w:t xml:space="preserve">. It leaves open whether recency, citation, and venue carry joint information about a topic’s intensity, or whether each is too contaminated to be useful</w:t>
      </w:r>
      <w:r>
        <w:t xml:space="preserve"> </w:t>
      </w:r>
      <w:hyperlink w:anchor="ref-2">
        <w:r>
          <w:rPr>
            <w:rStyle w:val="Hyperlink"/>
          </w:rPr>
          <w:t xml:space="preserve">[2]</w:t>
        </w:r>
      </w:hyperlink>
      <w:r>
        <w:t xml:space="preserve">. It leaves open whether an early-stage field shows a distinctive documentary fingerprint, fresh signal without compounded citation, that could be read as a marker of capital-led immaturity</w:t>
      </w:r>
      <w:r>
        <w:t xml:space="preserve"> </w:t>
      </w:r>
      <w:hyperlink w:anchor="ref-10">
        <w:r>
          <w:rPr>
            <w:rStyle w:val="Hyperlink"/>
          </w:rPr>
          <w:t xml:space="preserve">[10]</w:t>
        </w:r>
      </w:hyperlink>
      <w:r>
        <w:t xml:space="preserve">. These open questions are the ones the two empirical screens are built to answer, and they define the exact seam this dissertation stitches</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79"/>
    <w:bookmarkStart w:id="80" w:name="Xaa012d28228cb651f452c20b5e6802dbc306a19"/>
    <w:p>
      <w:pPr>
        <w:pStyle w:val="Heading2"/>
        <w:spacing w:line="480" w:lineRule="auto"/>
      </w:pPr>
      <w:r>
        <w:t xml:space="preserve">2.9 The cislunar and situational-awareness turn</w:t>
      </w:r>
    </w:p>
    <w:p>
      <w:pPr>
        <w:pStyle w:val="FirstParagraph"/>
        <w:spacing w:line="480" w:lineRule="auto"/>
      </w:pPr>
      <w:r>
        <w:t xml:space="preserve">A closer look at the technical stratum repays the effort, because it is where the corpus’s topic signal turns out to concentrate, contrary to a naive economic reading. The cislunar detection literature has grown quickly as civil and commercial ambition pushed operations beyond the geostationary belt, and its recent papers are dense with the vocabulary a candidate topic screen picks up</w:t>
      </w:r>
      <w:r>
        <w:t xml:space="preserve"> </w:t>
      </w:r>
      <w:hyperlink w:anchor="ref-6">
        <w:r>
          <w:rPr>
            <w:rStyle w:val="Hyperlink"/>
          </w:rPr>
          <w:t xml:space="preserve">[6]</w:t>
        </w:r>
      </w:hyperlink>
      <w:r>
        <w:t xml:space="preserve"> </w:t>
      </w:r>
      <w:hyperlink w:anchor="ref-8">
        <w:r>
          <w:rPr>
            <w:rStyle w:val="Hyperlink"/>
          </w:rPr>
          <w:t xml:space="preserve">[8]</w:t>
        </w:r>
      </w:hyperlink>
      <w:r>
        <w:t xml:space="preserve">. Segal and Schroeder’s reduction of search area for Earth-return trajectories, and Wright and colleagues’ space-based detection maps, are technical contributions, yet their metadata carries a heavy load of theme terms because the cislunar frontier is exactly where new activity, and new money, has recently pointed</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matters for the review because it complicates the tidy story in which economic framing lives only in economics venues. Structure, not cause. Situational-awareness work responds to commercial launch abundance, and the sensor-proliferation challenge that Felt and Sejba describe is itself a downstream consequence of a commercializing sector</w:t>
      </w:r>
      <w:r>
        <w:t xml:space="preserve"> </w:t>
      </w:r>
      <w:hyperlink w:anchor="ref-2">
        <w:r>
          <w:rPr>
            <w:rStyle w:val="Hyperlink"/>
          </w:rPr>
          <w:t xml:space="preserve">[2]</w:t>
        </w:r>
      </w:hyperlink>
      <w:r>
        <w:t xml:space="preserve">. The technical literature is not economically inert; it is where the operational face of the space economy is documented, and a topic screen reading across venues will find candidate-theme density there as readily as in the economics journal</w:t>
      </w:r>
      <w:r>
        <w:t xml:space="preserve"> </w:t>
      </w:r>
      <w:hyperlink w:anchor="ref-4">
        <w:r>
          <w:rPr>
            <w:rStyle w:val="Hyperlink"/>
          </w:rPr>
          <w:t xml:space="preserve">[4]</w:t>
        </w:r>
      </w:hyperlink>
      <w:r>
        <w:t xml:space="preserve">. The review flags this in advance so that the eventual behavior of the venue variable, which fails to place the highest signal at the highest venue level, reads as a discovery about the corpus rather than an anomaly</w:t>
      </w:r>
      <w:r>
        <w:t xml:space="preserve"> </w:t>
      </w:r>
      <w:hyperlink w:anchor="ref-3">
        <w:r>
          <w:rPr>
            <w:rStyle w:val="Hyperlink"/>
          </w:rPr>
          <w:t xml:space="preserve">[3]</w:t>
        </w:r>
      </w:hyperlink>
      <w:r>
        <w:t xml:space="preserve">.</w:t>
      </w:r>
    </w:p>
    <w:bookmarkEnd w:id="80"/>
    <w:bookmarkStart w:id="81" w:name="X4810d678ef491bd91235365473f03af2ad2c8ca"/>
    <w:p>
      <w:pPr>
        <w:pStyle w:val="Heading2"/>
        <w:spacing w:line="480" w:lineRule="auto"/>
      </w:pPr>
      <w:r>
        <w:t xml:space="preserve">2.10 Cultural and material readings as corpus noise</w:t>
      </w:r>
    </w:p>
    <w:p>
      <w:pPr>
        <w:pStyle w:val="FirstParagraph"/>
        <w:spacing w:line="480" w:lineRule="auto"/>
      </w:pPr>
      <w:r>
        <w:t xml:space="preserve">The review would be incomplete without a frank treatment of the records that resist the economic frame, because their presence shapes the estimates. Szołucha’s ethnography of imagination among space fans and creators, and the archaeological treatment of returning space-station artifacts by Walsh and colleagues, are serious scholarship, but they sit in the economics-forward venue while carrying almost no candidate-theme signal</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Malone and colleagues’ human-factors study of situational awareness in lunar resource design is similar: rigorous, relevant to the sector, and thin on the specific topic terms the screen counts</w:t>
      </w:r>
      <w:r>
        <w:t xml:space="preserve"> </w:t>
      </w:r>
      <w:hyperlink w:anchor="ref-14">
        <w:r>
          <w:rPr>
            <w:rStyle w:val="Hyperlink"/>
          </w:rPr>
          <w:t xml:space="preserve">[14]</w:t>
        </w:r>
      </w:hyperlink>
      <w:r>
        <w:t xml:space="preserve">.</w:t>
      </w:r>
    </w:p>
    <w:p>
      <w:pPr>
        <w:pStyle w:val="BodyText"/>
        <w:spacing w:line="480" w:lineRule="auto"/>
        <w:ind w:firstLine="720"/>
      </w:pPr>
      <w:r>
        <w:t xml:space="preserve">These records are not errors to be purged; they are a real feature of any corpus retrieved across a broad venue. The reading stays modest. Their effect is to dilute the topic signal at venue level two, which is one reason the venue coefficient later behaves ambiguously</w:t>
      </w:r>
      <w:r>
        <w:t xml:space="preserve"> </w:t>
      </w:r>
      <w:hyperlink w:anchor="ref-10">
        <w:r>
          <w:rPr>
            <w:rStyle w:val="Hyperlink"/>
          </w:rPr>
          <w:t xml:space="preserve">[10]</w:t>
        </w:r>
      </w:hyperlink>
      <w:r>
        <w:t xml:space="preserve">. A review that pretended the economics venue held only dense economic analyses would set up a false expectation for the estimator. By naming the cultural and material readings as legitimate but off-topic occupants of the same venue, the review prepares the reader for a venue variable that is internally mixed and therefore imprecise</w:t>
      </w:r>
      <w:r>
        <w:t xml:space="preserve"> </w:t>
      </w:r>
      <w:hyperlink w:anchor="ref-12">
        <w:r>
          <w:rPr>
            <w:rStyle w:val="Hyperlink"/>
          </w:rPr>
          <w:t xml:space="preserve">[12]</w:t>
        </w:r>
      </w:hyperlink>
      <w:r>
        <w:t xml:space="preserve">. Honesty about corpus composition is part of honesty about results</w:t>
      </w:r>
      <w:r>
        <w:t xml:space="preserve"> </w:t>
      </w:r>
      <w:hyperlink w:anchor="ref-9">
        <w:r>
          <w:rPr>
            <w:rStyle w:val="Hyperlink"/>
          </w:rPr>
          <w:t xml:space="preserve">[9]</w:t>
        </w:r>
      </w:hyperlink>
      <w:r>
        <w:t xml:space="preserve">.</w:t>
      </w:r>
    </w:p>
    <w:bookmarkEnd w:id="81"/>
    <w:bookmarkStart w:id="82" w:name="X96ec77ee34fbc8a64aedb6878863eb678b74882"/>
    <w:p>
      <w:pPr>
        <w:pStyle w:val="Heading2"/>
        <w:spacing w:line="480" w:lineRule="auto"/>
      </w:pPr>
      <w:r>
        <w:t xml:space="preserve">2.11 The operational midlayer as a commercialization gauge</w:t>
      </w:r>
    </w:p>
    <w:p>
      <w:pPr>
        <w:pStyle w:val="FirstParagraph"/>
        <w:spacing w:line="480" w:lineRule="auto"/>
      </w:pPr>
      <w:r>
        <w:t xml:space="preserve">Returning to the operational midlayer sharpens one more theme the review must carry forward. Auditability is the safeguard. The traffic-coordination pathfinder described by Magnus and a large multi-institution team is the clearest single instance in the corpus of a public function leaning deliberately on commercial suppliers</w:t>
      </w:r>
      <w:r>
        <w:t xml:space="preserve"> </w:t>
      </w:r>
      <w:hyperlink w:anchor="ref-7">
        <w:r>
          <w:rPr>
            <w:rStyle w:val="Hyperlink"/>
          </w:rPr>
          <w:t xml:space="preserve">[7]</w:t>
        </w:r>
      </w:hyperlink>
      <w:r>
        <w:t xml:space="preserve">. It is neither pure technology nor pure economics; it is the sector commercializing in real time, documented by the very actors doing the commercializing. Reading it as a gauge, the venue-family ordinal’s middle is where the transition from Legacy to New Space is most concretely visible, which is why the ordinal was meant to track commercialization rather than mere subject matter</w:t>
      </w:r>
      <w:r>
        <w:t xml:space="preserve"> </w:t>
      </w:r>
      <w:hyperlink w:anchor="ref-11">
        <w:r>
          <w:rPr>
            <w:rStyle w:val="Hyperlink"/>
          </w:rPr>
          <w:t xml:space="preserve">[11]</w:t>
        </w:r>
      </w:hyperlink>
      <w:r>
        <w:t xml:space="preserve">.</w:t>
      </w:r>
    </w:p>
    <w:p>
      <w:pPr>
        <w:pStyle w:val="BodyText"/>
        <w:spacing w:line="480" w:lineRule="auto"/>
        <w:ind w:firstLine="720"/>
      </w:pPr>
      <w:r>
        <w:t xml:space="preserve">The gauge cuts against a naive reading of the venue variable, though, and the review flags the tension. The sample is small. If the midlayer is where commercialization is documented, then commercialization signal is spread across venue levels rather than rising monotonically with them, because the technical proceedings also document commercially driven activity like sensor proliferation and cislunar operations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venue ordinal captures a gradient of framing, not a clean gradient of commercial intensity, and the two do not coincide. This is the conceptual root of the venue variable’s later imprecision, and naming it in the review rather than in the results keeps the eventual finding from reading as a surprise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82"/>
    <w:bookmarkStart w:id="83" w:name="the-gap"/>
    <w:p>
      <w:pPr>
        <w:pStyle w:val="Heading2"/>
        <w:spacing w:line="480" w:lineRule="auto"/>
      </w:pPr>
      <w:r>
        <w:t xml:space="preserve">2.12 The gap</w:t>
      </w:r>
    </w:p>
    <w:p>
      <w:pPr>
        <w:pStyle w:val="FirstParagraph"/>
        <w:spacing w:line="480" w:lineRule="auto"/>
      </w:pPr>
      <w:r>
        <w:t xml:space="preserve">Two gaps emerge from this survey, and together they define the project’s contribution. This bears repeating. The first gap lies between technical work and institutional explanation. The situational-awareness and cislunar literature identifies operational risk with precision, but it does not explain why governance language hardens in some places and stays loose in others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economic literature explains the hardening in the abstract, through its accounts of evolving governance and contested value, yet it does not connect that explanation to the measurable structure of the corpus that carries 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second gap lies between policy salience and measurement. Citation attention, publication recency, and venue family are visible features of any retrieved corpus, and they plausibly encode where a topic is heating up, yet no prior work in this space has treated them as a joint object of estimation against a candidate-specific record set</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literature asserts that the sector is changing and that capital leads. It does not test whether that change is legible in the metadata a third party could reconstruct. This dissertation occupies exactly that unmeasured intersection, and the chapters that follow build the theory, the estimator, and the data needed to close it</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83"/>
    <w:bookmarkEnd w:id="84"/>
    <w:bookmarkStart w:id="96"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is a claim about how something works stated tightly enough that it can be wrong.</w:t>
      </w:r>
    </w:p>
    <w:p>
      <w:pPr>
        <w:pStyle w:val="BodyText"/>
        <w:spacing w:line="480" w:lineRule="auto"/>
        <w:ind w:firstLine="720"/>
      </w:pPr>
      <w:r>
        <w:t xml:space="preserve">This chapter states such a claim for the relationship between capital flows and documentary attention, then derives from it a small set of predictions that the two empirical screens can confront. The theory is modest on purpose. It does not assert that money causes coverage in any single case. It asserts that if money leads attention in the aggregate, the retrieved corpus should carry a specific, checkable structure, and it specifies what that structure looks like</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Start w:id="85" w:name="the-mechanism"/>
    <w:p>
      <w:pPr>
        <w:pStyle w:val="Heading2"/>
        <w:spacing w:line="480" w:lineRule="auto"/>
      </w:pPr>
      <w:r>
        <w:t xml:space="preserve">3.1 The mechanism</w:t>
      </w:r>
    </w:p>
    <w:p>
      <w:pPr>
        <w:pStyle w:val="FirstParagraph"/>
        <w:spacing w:line="480" w:lineRule="auto"/>
      </w:pPr>
      <w:r>
        <w:t xml:space="preserve">Begin with a stylized sequence.</w:t>
      </w:r>
    </w:p>
    <w:p>
      <w:pPr>
        <w:pStyle w:val="BodyText"/>
        <w:spacing w:line="480" w:lineRule="auto"/>
        <w:ind w:firstLine="720"/>
      </w:pPr>
      <w:r>
        <w:t xml:space="preserve">Capital enters a mission area when investors judge that end-user value is becoming pricable, a judgment the value literature locates in the shift toward user-defined worth in the New Space economy</w:t>
      </w:r>
      <w:r>
        <w:t xml:space="preserve"> </w:t>
      </w:r>
      <w:hyperlink w:anchor="ref-9">
        <w:r>
          <w:rPr>
            <w:rStyle w:val="Hyperlink"/>
          </w:rPr>
          <w:t xml:space="preserve">[9]</w:t>
        </w:r>
      </w:hyperlink>
      <w:r>
        <w:t xml:space="preserve">. Financing funds activity: launches, demonstrations, pathfinder programs, and the commercial supply of functions once reserved to states</w:t>
      </w:r>
      <w:r>
        <w:t xml:space="preserve"> </w:t>
      </w:r>
      <w:hyperlink w:anchor="ref-7">
        <w:r>
          <w:rPr>
            <w:rStyle w:val="Hyperlink"/>
          </w:rPr>
          <w:t xml:space="preserve">[7]</w:t>
        </w:r>
      </w:hyperlink>
      <w:r>
        <w:t xml:space="preserve">. Activity generates documents. Some documents are promotional and appear almost immediately; others are analytic and appear only after the activity has produced results worth studying. Over time the analytic documents accumulate citations, and the framing of the whole body of work migrates from technical description toward economic evaluation as the market matures</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If that sequence is real, it imprints three signatures on the corpus. The first signature is temporal. Because capital enters, then activity accumulates, then analysis follows, a mission area that has attracted recent financing should show a rising topic signal in more recent publication. The second signature is attentional. Because a genuinely active area produces work that others build on, higher citation attention should track the areas where the money has concentrated. The third signature is structural. Because framing migrates as markets mature, the topic signal should be stronger in venue families that sit closer to economic analysis than in purely technical proceedings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mechanism is a claim about joint structure, not about any one record. A single promotional paper published early, or a single technical paper that happens to accrue citations for unrelated reasons, does not falsify it. What would falsify it is the absence of the three signatures across the corpus as a whole. That is why the test is estimated over the full record set rather than argued case by case</w:t>
      </w:r>
      <w:r>
        <w:t xml:space="preserve"> </w:t>
      </w:r>
      <w:hyperlink w:anchor="ref-5">
        <w:r>
          <w:rPr>
            <w:rStyle w:val="Hyperlink"/>
          </w:rPr>
          <w:t xml:space="preserve">[5]</w:t>
        </w:r>
      </w:hyperlink>
      <w:r>
        <w:t xml:space="preserve">.</w:t>
      </w:r>
    </w:p>
    <w:bookmarkEnd w:id="85"/>
    <w:bookmarkStart w:id="86" w:name="from-mechanism-to-measurable-constructs"/>
    <w:p>
      <w:pPr>
        <w:pStyle w:val="Heading2"/>
        <w:spacing w:line="480" w:lineRule="auto"/>
      </w:pPr>
      <w:r>
        <w:t xml:space="preserve">3.2 From mechanism to measurable constructs</w:t>
      </w:r>
    </w:p>
    <w:p>
      <w:pPr>
        <w:pStyle w:val="FirstParagraph"/>
        <w:spacing w:line="480" w:lineRule="auto"/>
      </w:pPr>
      <w:r>
        <w:t xml:space="preserve">Turning the mechanism into a test requires three measurable constructs, and each carries a theoretical commitment. Recency operationalizes the temporal signature. It is a monotone index of publication year, and the theory predicts a positive association between recency and topic signal: newer work should be more saturated with the candidate theme if capital has recently found the area</w:t>
      </w:r>
      <w:r>
        <w:t xml:space="preserve"> </w:t>
      </w:r>
      <w:hyperlink w:anchor="ref-13">
        <w:r>
          <w:rPr>
            <w:rStyle w:val="Hyperlink"/>
          </w:rPr>
          <w:t xml:space="preserve">[13]</w:t>
        </w:r>
      </w:hyperlink>
      <w:r>
        <w:t xml:space="preserve">. Citation attention operationalizes the attentional signature. The theory’s first-pass prediction is a positive association, because active, well-funded areas should attract citation. That prediction, though, is fragile, and the theory is candid about why. Citation counts in a retrieved corpus reflect field-level norms, venue exposure, and article age at least as much as they reflect commercial heat. A negative or noisy citation coefficient would not automatically falsify the mechanism; it might instead reveal that citation, as measured locally, is capturing something other than topical intensity. The theory therefore treats the citation prediction as the weakest of the three and prepares to interpret a surprising sign rather than to dismiss it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Venue family operationalizes the structural signature. It is an ordinal running from technical proceedings at the low end through the economics-forward outlet at the high end. The theory’s naive prediction is that higher venue scores accompany stronger topic signals, because framing migrates upward as markets mature. This prediction, too, is more delicate than it first appears, because the economics-forward outlet also hosts cultural and archaeological work that thins the topic signal, so the venue coefficient may be muddied by the heterogeneity documented in the previous chapter</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86"/>
    <w:bookmarkStart w:id="87" w:name="the-learning-curve-extension"/>
    <w:p>
      <w:pPr>
        <w:pStyle w:val="Heading2"/>
        <w:spacing w:line="480" w:lineRule="auto"/>
      </w:pPr>
      <w:r>
        <w:t xml:space="preserve">3.3 The learning-curve extension</w:t>
      </w:r>
    </w:p>
    <w:p>
      <w:pPr>
        <w:pStyle w:val="FirstParagraph"/>
        <w:spacing w:line="480" w:lineRule="auto"/>
      </w:pPr>
      <w:r>
        <w:t xml:space="preserve">The second screen tests a distinct but related idea: that citation accumulation follows an age-based attention curve. Learning-curve and diffusion models describe how attention to a body of work grows with exposure, and the natural functional form is log-log, so that the slope is an elasticity of citation with respect to age. The theory here is that if the retrieved literature behaves like a maturing field, then older documents should have accumulated more citations in a regular, estimable way, producing a positive age elasticity</w:t>
      </w:r>
      <w:r>
        <w:t xml:space="preserve"> </w:t>
      </w:r>
      <w:hyperlink w:anchor="ref-4">
        <w:r>
          <w:rPr>
            <w:rStyle w:val="Hyperlink"/>
          </w:rPr>
          <w:t xml:space="preserve">[4]</w:t>
        </w:r>
      </w:hyperlink>
      <w:r>
        <w:t xml:space="preserve">. The learning-curve extension is not a mere robustness exercise. It probes a different face of the mechanism. The recency prediction says newer work carries more topic signal; the age-elasticity prediction says older work carries more accumulated attention. Both can hold at once in a healthy, growing field, and their joint pattern is more informative than either alone. A field where recency drives signal but age fails to drive citation is a field where attention is being freshly generated but not yet compounding, which is exactly what an early-stage, capital-led area might look like</w:t>
      </w:r>
      <w:r>
        <w:t xml:space="preserve"> </w:t>
      </w:r>
      <w:hyperlink w:anchor="ref-10">
        <w:r>
          <w:rPr>
            <w:rStyle w:val="Hyperlink"/>
          </w:rPr>
          <w:t xml:space="preserve">[10]</w:t>
        </w:r>
      </w:hyperlink>
      <w:r>
        <w:t xml:space="preserve">.</w:t>
      </w:r>
    </w:p>
    <w:bookmarkEnd w:id="87"/>
    <w:bookmarkStart w:id="88" w:name="the-hypotheses"/>
    <w:p>
      <w:pPr>
        <w:pStyle w:val="Heading2"/>
        <w:spacing w:line="480" w:lineRule="auto"/>
      </w:pPr>
      <w:r>
        <w:t xml:space="preserve">3.4 The hypotheses</w:t>
      </w:r>
    </w:p>
    <w:p>
      <w:pPr>
        <w:pStyle w:val="FirstParagraph"/>
        <w:spacing w:line="480" w:lineRule="auto"/>
      </w:pPr>
      <w:r>
        <w:t xml:space="preserve">The dissertation-level hypotheses restate the falsifiable contribution from Chapter 1 in a form the estimators can test.</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Each screen carries its own operational pair. For the first screen:</w:t>
      </w:r>
    </w:p>
    <w:p>
      <w:pPr>
        <w:pStyle w:val="BodyText"/>
        <w:spacing w:line="480" w:lineRule="auto"/>
        <w:ind w:firstLine="720"/>
      </w:pPr>
      <w:r>
        <w:t xml:space="preserve">H0(1): topic-signal intensity is unrelated to recency, citation count, and venue family jointly.</w:t>
      </w:r>
    </w:p>
    <w:p>
      <w:pPr>
        <w:pStyle w:val="BodyText"/>
        <w:spacing w:line="480" w:lineRule="auto"/>
        <w:ind w:firstLine="720"/>
      </w:pPr>
      <w:r>
        <w:t xml:space="preserve">H1(1): topic-signal intensity is related to at least one of recency, citation count, or venue family, with recency expected positive.</w:t>
      </w:r>
    </w:p>
    <w:p>
      <w:pPr>
        <w:pStyle w:val="BodyText"/>
        <w:spacing w:line="480" w:lineRule="auto"/>
        <w:ind w:firstLine="720"/>
      </w:pPr>
      <w:r>
        <w:t xml:space="preserve">For the second screen:</w:t>
      </w:r>
    </w:p>
    <w:p>
      <w:pPr>
        <w:pStyle w:val="BodyText"/>
        <w:spacing w:line="480" w:lineRule="auto"/>
        <w:ind w:firstLine="720"/>
      </w:pPr>
      <w:r>
        <w:t xml:space="preserve">H0(2): citation accumulation is unrelated to article age.</w:t>
      </w:r>
    </w:p>
    <w:p>
      <w:pPr>
        <w:pStyle w:val="BodyText"/>
        <w:spacing w:line="480" w:lineRule="auto"/>
        <w:ind w:firstLine="720"/>
      </w:pPr>
      <w:r>
        <w:t xml:space="preserve">H1(2): citation accumulation follows a measurable age-based attention curve, with age elasticity expected positive.</w:t>
      </w:r>
    </w:p>
    <w:p>
      <w:pPr>
        <w:pStyle w:val="BodyText"/>
        <w:spacing w:line="480" w:lineRule="auto"/>
        <w:ind w:firstLine="720"/>
      </w:pPr>
      <w:r>
        <w:t xml:space="preserve">The hypotheses are deliberately asymmetric in strength. The recency and age-elasticity predictions are directional and load the theory’s weight; the citation and venue predictions are directional in their naive form but hedged, because the constructs are known to be contaminated. Stating them this way protects the theory from being falsified by a contaminated measure while keeping the core temporal claims fully exposed to refutation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88"/>
    <w:bookmarkStart w:id="89" w:name="rival-mechanisms"/>
    <w:p>
      <w:pPr>
        <w:pStyle w:val="Heading2"/>
        <w:spacing w:line="480" w:lineRule="auto"/>
      </w:pPr>
      <w:r>
        <w:t xml:space="preserve">3.5 Rival mechanisms</w:t>
      </w:r>
    </w:p>
    <w:p>
      <w:pPr>
        <w:pStyle w:val="FirstParagraph"/>
        <w:spacing w:line="480" w:lineRule="auto"/>
      </w:pPr>
      <w:r>
        <w:t xml:space="preserve">A theory is only as strong as the rivals it can rule out or absorb, so it helps to name the alternatives to the capital-led account. The first rival is a technology-push mechanism. Documentary attention might concentrate not where money goes but where a technical breakthrough occurs, with financing following rather than leading. Under technology-push, recency would still predict signal, because breakthroughs are recent, but the driver would be the innovation, not the capital</w:t>
      </w:r>
      <w:r>
        <w:t xml:space="preserve"> </w:t>
      </w:r>
      <w:hyperlink w:anchor="ref-4">
        <w:r>
          <w:rPr>
            <w:rStyle w:val="Hyperlink"/>
          </w:rPr>
          <w:t xml:space="preserve">[4]</w:t>
        </w:r>
      </w:hyperlink>
      <w:r>
        <w:t xml:space="preserve">. This rival is important because it produces the same temporal signature as the capital-led account, which means the recency finding alone cannot distinguish the two. The dissertation concedes this openly: a positive recency slope is consistent with capital-led attention but does not prove it against technology-push</w:t>
      </w:r>
      <w:r>
        <w:t xml:space="preserve"> </w:t>
      </w:r>
      <w:hyperlink w:anchor="ref-2">
        <w:r>
          <w:rPr>
            <w:rStyle w:val="Hyperlink"/>
          </w:rPr>
          <w:t xml:space="preserve">[2]</w:t>
        </w:r>
      </w:hyperlink>
      <w:r>
        <w:t xml:space="preserve">. The second rival is a venue-supply mechanism. Attention might concentrate simply where journals and conferences decide to open space for a topic, so that the corpus reflects editorial fashion rather than either capital or technology. Under venue-supply, the venue-family variable would carry most of the structure, and recency would matter only insofar as new venues are recent</w:t>
      </w:r>
      <w:r>
        <w:t xml:space="preserve"> </w:t>
      </w:r>
      <w:hyperlink w:anchor="ref-10">
        <w:r>
          <w:rPr>
            <w:rStyle w:val="Hyperlink"/>
          </w:rPr>
          <w:t xml:space="preserve">[10]</w:t>
        </w:r>
      </w:hyperlink>
      <w:r>
        <w:t xml:space="preserve">. The venue channel in the first screen partly tests this rival, and its imprecision, reported later, means venue-supply cannot be confirmed as the dominant mechanism in this corpus</w:t>
      </w:r>
      <w:r>
        <w:t xml:space="preserve"> </w:t>
      </w:r>
      <w:hyperlink w:anchor="ref-12">
        <w:r>
          <w:rPr>
            <w:rStyle w:val="Hyperlink"/>
          </w:rPr>
          <w:t xml:space="preserve">[12]</w:t>
        </w:r>
      </w:hyperlink>
      <w:r>
        <w:t xml:space="preserve">.</w:t>
      </w:r>
    </w:p>
    <w:p>
      <w:pPr>
        <w:pStyle w:val="BodyText"/>
        <w:spacing w:line="480" w:lineRule="auto"/>
        <w:ind w:firstLine="720"/>
      </w:pPr>
      <w:r>
        <w:t xml:space="preserve">The third rival is a maturity mechanism internal to citation. The theory anticipated it. Attention might accumulate purely as a function of time, through the mechanical fact that older papers have had longer to be cited, with no connection to capital, technology, or venue</w:t>
      </w:r>
      <w:r>
        <w:t xml:space="preserve"> </w:t>
      </w:r>
      <w:hyperlink w:anchor="ref-5">
        <w:r>
          <w:rPr>
            <w:rStyle w:val="Hyperlink"/>
          </w:rPr>
          <w:t xml:space="preserve">[5]</w:t>
        </w:r>
      </w:hyperlink>
      <w:r>
        <w:t xml:space="preserve">. The learning-curve screen is designed precisely to test this rival, because a strong age elasticity would indicate that citation is driven by mere aging. A flat age elasticity, by contrast, would rule the maturity mechanism out as an explanation for the corpus’s structure and would push the interpretation back toward the recency-driven accounts</w:t>
      </w:r>
      <w:r>
        <w:t xml:space="preserve"> </w:t>
      </w:r>
      <w:hyperlink w:anchor="ref-4">
        <w:r>
          <w:rPr>
            <w:rStyle w:val="Hyperlink"/>
          </w:rPr>
          <w:t xml:space="preserve">[4]</w:t>
        </w:r>
      </w:hyperlink>
      <w:r>
        <w:t xml:space="preserve">. The three rivals are not all separable with thirty records, and the theory says so, but naming them disciplines how far any single result can be pushed</w:t>
      </w:r>
      <w:r>
        <w:t xml:space="preserve"> </w:t>
      </w:r>
      <w:hyperlink w:anchor="ref-11">
        <w:r>
          <w:rPr>
            <w:rStyle w:val="Hyperlink"/>
          </w:rPr>
          <w:t xml:space="preserve">[11]</w:t>
        </w:r>
      </w:hyperlink>
      <w:r>
        <w:t xml:space="preserve">.</w:t>
      </w:r>
    </w:p>
    <w:bookmarkEnd w:id="89"/>
    <w:bookmarkStart w:id="90" w:name="the-joint-prediction-table"/>
    <w:p>
      <w:pPr>
        <w:pStyle w:val="Heading2"/>
        <w:spacing w:line="480" w:lineRule="auto"/>
      </w:pPr>
      <w:r>
        <w:t xml:space="preserve">3.6 The joint prediction table</w:t>
      </w:r>
    </w:p>
    <w:p>
      <w:pPr>
        <w:pStyle w:val="FirstParagraph"/>
        <w:spacing w:line="480" w:lineRule="auto"/>
      </w:pPr>
      <w:r>
        <w:t xml:space="preserve">It is useful to state, before seeing the data, what each mechanism predicts across the two screens, so the interpretation in Chapter 6 is not tailored after the fact. Metadata is a partial window. The capital-led account predicts a positive recency slope, a weak or contaminated citation slope, an ambiguous venue slope given the corpus’s heterogeneity, and a flat-to-modest age elasticity if the field is early-stage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Technology-push predicts a positive recency slope indistinguishable from the capital-led case, which is why the two require external financing data to separate</w:t>
      </w:r>
      <w:r>
        <w:t xml:space="preserve"> </w:t>
      </w:r>
      <w:hyperlink w:anchor="ref-2">
        <w:r>
          <w:rPr>
            <w:rStyle w:val="Hyperlink"/>
          </w:rPr>
          <w:t xml:space="preserve">[2]</w:t>
        </w:r>
      </w:hyperlink>
      <w:r>
        <w:t xml:space="preserve">. Venue-supply predicts that venue carries the structure and recency fades once venue is controlled</w:t>
      </w:r>
      <w:r>
        <w:t xml:space="preserve"> </w:t>
      </w:r>
      <w:hyperlink w:anchor="ref-10">
        <w:r>
          <w:rPr>
            <w:rStyle w:val="Hyperlink"/>
          </w:rPr>
          <w:t xml:space="preserve">[10]</w:t>
        </w:r>
      </w:hyperlink>
      <w:r>
        <w:t xml:space="preserve">. The internal-maturity account predicts a strong positive age elasticity, the one prediction that is cleanly distinguishable from the others</w:t>
      </w:r>
      <w:r>
        <w:t xml:space="preserve"> </w:t>
      </w:r>
      <w:hyperlink w:anchor="ref-5">
        <w:r>
          <w:rPr>
            <w:rStyle w:val="Hyperlink"/>
          </w:rPr>
          <w:t xml:space="preserve">[5]</w:t>
        </w:r>
      </w:hyperlink>
      <w:r>
        <w:t xml:space="preserve">.</w:t>
      </w:r>
    </w:p>
    <w:p>
      <w:pPr>
        <w:pStyle w:val="BodyText"/>
        <w:spacing w:line="480" w:lineRule="auto"/>
        <w:ind w:firstLine="720"/>
      </w:pPr>
      <w:r>
        <w:t xml:space="preserve">Laying the predictions out this way turns the two screens into a small discriminating instrument. The slope is signed. No pair of coefficients can separate all four mechanisms, but the pattern narrows the field. A strong recency slope with a flat age elasticity, for instance, is consistent with the capital-led and technology-push accounts and inconsistent with both venue-supply and internal-maturity. The theory therefore does not promise a unique winner; it promises to eliminate rivals the data can eliminate and to remain honest about the ones it cannot, which is the appropriate ambition for a design-stage test</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0"/>
    <w:bookmarkStart w:id="91" w:name="scope-conditions-of-the-theory"/>
    <w:p>
      <w:pPr>
        <w:pStyle w:val="Heading2"/>
        <w:spacing w:line="480" w:lineRule="auto"/>
      </w:pPr>
      <w:r>
        <w:t xml:space="preserve">3.7 Scope conditions of the theory</w:t>
      </w:r>
    </w:p>
    <w:p>
      <w:pPr>
        <w:pStyle w:val="FirstParagraph"/>
        <w:spacing w:line="480" w:lineRule="auto"/>
      </w:pPr>
      <w:r>
        <w:t xml:space="preserve">Every theory holds within a domain, and stating the scope conditions protects it from being tested where it never claimed to apply. Weigh it carefully. The mechanism here assumes a field young enough that capital and documentation are still arriving, and heterogeneous enough that venue and citation carry information about a topic’s position</w:t>
      </w:r>
      <w:r>
        <w:t xml:space="preserve"> </w:t>
      </w:r>
      <w:hyperlink w:anchor="ref-11">
        <w:r>
          <w:rPr>
            <w:rStyle w:val="Hyperlink"/>
          </w:rPr>
          <w:t xml:space="preserve">[11]</w:t>
        </w:r>
      </w:hyperlink>
      <w:r>
        <w:t xml:space="preserve">. In a fully mature field, where citation has long since compounded and framing has settled, the temporal signature would flatten and the mechanism would have little to detect, not because it is wrong but because its window has closed</w:t>
      </w:r>
      <w:r>
        <w:t xml:space="preserve"> </w:t>
      </w:r>
      <w:hyperlink w:anchor="ref-4">
        <w:r>
          <w:rPr>
            <w:rStyle w:val="Hyperlink"/>
          </w:rPr>
          <w:t xml:space="preserve">[4]</w:t>
        </w:r>
      </w:hyperlink>
      <w:r>
        <w:t xml:space="preserve">. The candidate topic, an early-stage capital-led area of the space economy, sits squarely inside the scope, which is why it is a fair test rather than a rigged one</w:t>
      </w:r>
      <w:r>
        <w:t xml:space="preserve"> </w:t>
      </w:r>
      <w:hyperlink w:anchor="ref-9">
        <w:r>
          <w:rPr>
            <w:rStyle w:val="Hyperlink"/>
          </w:rPr>
          <w:t xml:space="preserve">[9]</w:t>
        </w:r>
      </w:hyperlink>
      <w:r>
        <w:t xml:space="preserve">.</w:t>
      </w:r>
    </w:p>
    <w:p>
      <w:pPr>
        <w:pStyle w:val="BodyText"/>
        <w:spacing w:line="480" w:lineRule="auto"/>
        <w:ind w:firstLine="720"/>
      </w:pPr>
      <w:r>
        <w:t xml:space="preserve">The theory also assumes that documentary attention is a defensible proxy for real activity, with lag but without systematic distortion</w:t>
      </w:r>
      <w:r>
        <w:t xml:space="preserve"> </w:t>
      </w:r>
      <w:hyperlink w:anchor="ref-5">
        <w:r>
          <w:rPr>
            <w:rStyle w:val="Hyperlink"/>
          </w:rPr>
          <w:t xml:space="preserve">[5]</w:t>
        </w:r>
      </w:hyperlink>
      <w:r>
        <w:t xml:space="preserve">. The lag is real. If the corpus were dominated by promotional material that inflated topic signal independently of genuine activity, the proxy would break, and the mechanism’s predictions would be confounded by a marketing artifact</w:t>
      </w:r>
      <w:r>
        <w:t xml:space="preserve"> </w:t>
      </w:r>
      <w:hyperlink w:anchor="ref-2">
        <w:r>
          <w:rPr>
            <w:rStyle w:val="Hyperlink"/>
          </w:rPr>
          <w:t xml:space="preserve">[2]</w:t>
        </w:r>
      </w:hyperlink>
      <w:r>
        <w:t xml:space="preserve">. The design cannot fully rule this out, and the scope condition names it as an assumption rather than a fact. Within a corpus drawn substantially from peer-reviewed and technical venues, the promotional-distortion risk is muted, which is part of why the venue mix, for all its noise, is also a partial safeguard</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91"/>
    <w:bookmarkStart w:id="92" w:name="from-theory-to-estimation"/>
    <w:p>
      <w:pPr>
        <w:pStyle w:val="Heading2"/>
        <w:spacing w:line="480" w:lineRule="auto"/>
      </w:pPr>
      <w:r>
        <w:t xml:space="preserve">3.8 From theory to estimation</w:t>
      </w:r>
    </w:p>
    <w:p>
      <w:pPr>
        <w:pStyle w:val="FirstParagraph"/>
        <w:spacing w:line="480" w:lineRule="auto"/>
      </w:pPr>
      <w:r>
        <w:t xml:space="preserve">The bridge from the mechanism to the estimators is short but load-bearing, and it deserves explicit statement. Recency carries the weight. The three signatures, temporal, attentional, and structural, map one-to-one onto the three regressors of the first screen: recency for temporal, citation for attentional, venue for structural</w:t>
      </w:r>
      <w:r>
        <w:t xml:space="preserve"> </w:t>
      </w:r>
      <w:hyperlink w:anchor="ref-6">
        <w:r>
          <w:rPr>
            <w:rStyle w:val="Hyperlink"/>
          </w:rPr>
          <w:t xml:space="preserve">[6]</w:t>
        </w:r>
      </w:hyperlink>
      <w:r>
        <w:t xml:space="preserve">. The learning-curve signature, that attention compounds proportionally with age, maps onto the log-log elasticity of the second screen</w:t>
      </w:r>
      <w:r>
        <w:t xml:space="preserve"> </w:t>
      </w:r>
      <w:hyperlink w:anchor="ref-4">
        <w:r>
          <w:rPr>
            <w:rStyle w:val="Hyperlink"/>
          </w:rPr>
          <w:t xml:space="preserve">[4]</w:t>
        </w:r>
      </w:hyperlink>
      <w:r>
        <w:t xml:space="preserve">. There is no slippage between what the theory predicts and what the models estimate, which is the property that makes the test fair: a rejection or a null speaks directly to a named prediction rather than to some loose approximation of it</w:t>
      </w:r>
      <w:r>
        <w:t xml:space="preserve"> </w:t>
      </w:r>
      <w:hyperlink w:anchor="ref-5">
        <w:r>
          <w:rPr>
            <w:rStyle w:val="Hyperlink"/>
          </w:rPr>
          <w:t xml:space="preserve">[5]</w:t>
        </w:r>
      </w:hyperlink>
      <w:r>
        <w:t xml:space="preserve">.</w:t>
      </w:r>
    </w:p>
    <w:p>
      <w:pPr>
        <w:pStyle w:val="BodyText"/>
        <w:spacing w:line="480" w:lineRule="auto"/>
        <w:ind w:firstLine="720"/>
      </w:pPr>
      <w:r>
        <w:t xml:space="preserve">This tight mapping is also what lets the two screens function as the discriminating instrument described earlier. Each coefficient is the estimated counterpart of a specific theoretical signature, so the pattern of coefficients reads back onto the pattern of signatures, and the pattern of signatures reads onto the rival mechanisms</w:t>
      </w:r>
      <w:r>
        <w:t xml:space="preserve"> </w:t>
      </w:r>
      <w:hyperlink w:anchor="ref-2">
        <w:r>
          <w:rPr>
            <w:rStyle w:val="Hyperlink"/>
          </w:rPr>
          <w:t xml:space="preserve">[2]</w:t>
        </w:r>
      </w:hyperlink>
      <w:r>
        <w:t xml:space="preserve">. The estimation is therefore not a fishing expedition across whatever the metadata offers; it is a targeted confrontation between four named predictions and four estimated quantities, designed in advance so that the confrontation is honest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92"/>
    <w:bookmarkStart w:id="93" w:name="Xc0f44d756e054dcb04796f9b996a280e93f3732"/>
    <w:p>
      <w:pPr>
        <w:pStyle w:val="Heading2"/>
        <w:spacing w:line="480" w:lineRule="auto"/>
      </w:pPr>
      <w:r>
        <w:t xml:space="preserve">3.9 The role of the intercept and baseline expectations</w:t>
      </w:r>
    </w:p>
    <w:p>
      <w:pPr>
        <w:pStyle w:val="FirstParagraph"/>
        <w:spacing w:line="480" w:lineRule="auto"/>
      </w:pPr>
      <w:r>
        <w:t xml:space="preserve">A complete theory specifies not only slopes but baselines, and the intercepts of both models carry a modest theoretical meaning worth stating. In the first screen, the intercept is the expected topic signal for a record stripped of recency, citation, and venue effects, and the theory expects it to sit near the corpus floor, because a record with no distinguishing metadata should carry only minimal candidate-theme density</w:t>
      </w:r>
      <w:r>
        <w:t xml:space="preserve"> </w:t>
      </w:r>
      <w:hyperlink w:anchor="ref-5">
        <w:r>
          <w:rPr>
            <w:rStyle w:val="Hyperlink"/>
          </w:rPr>
          <w:t xml:space="preserve">[5]</w:t>
        </w:r>
      </w:hyperlink>
      <w:r>
        <w:t xml:space="preserve">. A baseline far above the floor would suggest the theme is pervasive regardless of metadata, which would undercut the whole premise that metadata carries topical information</w:t>
      </w:r>
      <w:r>
        <w:t xml:space="preserve"> </w:t>
      </w:r>
      <w:hyperlink w:anchor="ref-2">
        <w:r>
          <w:rPr>
            <w:rStyle w:val="Hyperlink"/>
          </w:rPr>
          <w:t xml:space="preserve">[2]</w:t>
        </w:r>
      </w:hyperlink>
      <w:r>
        <w:t xml:space="preserve">.</w:t>
      </w:r>
    </w:p>
    <w:p>
      <w:pPr>
        <w:pStyle w:val="BodyText"/>
        <w:spacing w:line="480" w:lineRule="auto"/>
        <w:ind w:firstLine="720"/>
      </w:pPr>
      <w:r>
        <w:t xml:space="preserve">In the learning-curve screen, the intercept is the expected log-citation for the youngest records, and the theory expects it to correspond to roughly one citation, since young records in an early-stage field should be largely uncited</w:t>
      </w:r>
      <w:r>
        <w:t xml:space="preserve"> </w:t>
      </w:r>
      <w:hyperlink w:anchor="ref-4">
        <w:r>
          <w:rPr>
            <w:rStyle w:val="Hyperlink"/>
          </w:rPr>
          <w:t xml:space="preserve">[4]</w:t>
        </w:r>
      </w:hyperlink>
      <w:r>
        <w:t xml:space="preserve">. These baseline expectations are not idle; they are checks on whether the models are behaving sensibly before their slopes are trusted. A model whose intercept contradicted the theory’s baseline expectation would be a model to distrust, and stating the expectations in advance turns the intercepts into a small diagnostic rather than a throwaway parameter</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93"/>
    <w:bookmarkStart w:id="94" w:name="X94141793480bf6da41d8e726f74cd5b096b1b1e"/>
    <w:p>
      <w:pPr>
        <w:pStyle w:val="Heading2"/>
        <w:spacing w:line="480" w:lineRule="auto"/>
      </w:pPr>
      <w:r>
        <w:t xml:space="preserve">3.10 The theory’s relationship to the capital-flow question</w:t>
      </w:r>
    </w:p>
    <w:p>
      <w:pPr>
        <w:pStyle w:val="FirstParagraph"/>
        <w:spacing w:line="480" w:lineRule="auto"/>
      </w:pPr>
      <w:r>
        <w:t xml:space="preserve">A reader might reasonably ask how a theory about documentary metadata connects back to the dissertation’s titular question about venture and de-SPAC capital flows, and the connection deserves an explicit statement rather than an implied one. Citation misleads here. The theory is a theory of the proxy, not of the capital flow itself</w:t>
      </w:r>
      <w:r>
        <w:t xml:space="preserve"> </w:t>
      </w:r>
      <w:hyperlink w:anchor="ref-9">
        <w:r>
          <w:rPr>
            <w:rStyle w:val="Hyperlink"/>
          </w:rPr>
          <w:t xml:space="preserve">[9]</w:t>
        </w:r>
      </w:hyperlink>
      <w:r>
        <w:t xml:space="preserve">. It specifies what the retrieved corpus should look like if documentary attention lags real activity, and it leaves the link between real activity and capital as a separate, unmodeled premise carried over from the value and governance literatures</w:t>
      </w:r>
      <w:r>
        <w:t xml:space="preserve"> </w:t>
      </w:r>
      <w:hyperlink w:anchor="ref-11">
        <w:r>
          <w:rPr>
            <w:rStyle w:val="Hyperlink"/>
          </w:rPr>
          <w:t xml:space="preserve">[11]</w:t>
        </w:r>
      </w:hyperlink>
      <w:r>
        <w:t xml:space="preserve">. The mechanism, in other words, is one link in a longer chain: capital drives activity, activity drives documentation, and documentation carries the metadata signatures the theory predicts</w:t>
      </w:r>
      <w:r>
        <w:t xml:space="preserve"> </w:t>
      </w:r>
      <w:hyperlink w:anchor="ref-13">
        <w:r>
          <w:rPr>
            <w:rStyle w:val="Hyperlink"/>
          </w:rPr>
          <w:t xml:space="preserve">[13]</w:t>
        </w:r>
      </w:hyperlink>
      <w:r>
        <w:t xml:space="preserve">.</w:t>
      </w:r>
    </w:p>
    <w:p>
      <w:pPr>
        <w:pStyle w:val="BodyText"/>
        <w:spacing w:line="480" w:lineRule="auto"/>
        <w:ind w:firstLine="720"/>
      </w:pPr>
      <w:r>
        <w:t xml:space="preserve">The dissertation tests only the last link, and the theory is built to be honest about that division of labor</w:t>
      </w:r>
      <w:r>
        <w:t xml:space="preserve"> </w:t>
      </w:r>
      <w:hyperlink w:anchor="ref-5">
        <w:r>
          <w:rPr>
            <w:rStyle w:val="Hyperlink"/>
          </w:rPr>
          <w:t xml:space="preserve">[5]</w:t>
        </w:r>
      </w:hyperlink>
      <w:r>
        <w:t xml:space="preserve">. The venue channel blurs. A confirmed set of signatures establishes that the corpus behaves as a lagging trace of activity, which is a necessary condition for the corpus to proxy for capital, but not a sufficient one, since activity could be driven by forces other than financing</w:t>
      </w:r>
      <w:r>
        <w:t xml:space="preserve"> </w:t>
      </w:r>
      <w:hyperlink w:anchor="ref-2">
        <w:r>
          <w:rPr>
            <w:rStyle w:val="Hyperlink"/>
          </w:rPr>
          <w:t xml:space="preserve">[2]</w:t>
        </w:r>
      </w:hyperlink>
      <w:r>
        <w:t xml:space="preserve">. A future design that observes capital directly would test the earlier links; this design tests the last one and reports its result as exactly that. Keeping the theory’s scope pinned to the proxy is what prevents the dissertation from quietly claiming to have tested the capital-flow question when it has tested only the documentary shadow that question casts</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94"/>
    <w:bookmarkStart w:id="95" w:name="what-a-null-would-mean"/>
    <w:p>
      <w:pPr>
        <w:pStyle w:val="Heading2"/>
        <w:spacing w:line="480" w:lineRule="auto"/>
      </w:pPr>
      <w:r>
        <w:t xml:space="preserve">3.11 What a null would mean</w:t>
      </w:r>
    </w:p>
    <w:p>
      <w:pPr>
        <w:pStyle w:val="FirstParagraph"/>
        <w:spacing w:line="480" w:lineRule="auto"/>
      </w:pPr>
      <w:r>
        <w:t xml:space="preserve">A theory earns respect by specifying what would sink it. If the first screen returns a joint test that fails to reject H0(1), and in particular if recency shows no positive association, then the temporal signature is absent, and the corpus cannot be read as a lagging trace of capital flows. The proxy would fail at its most basic joint. If the second screen returns a flat or noisy age elasticity, then citation accumulation is not compounding with age, and the field either is too young or too heterogeneous for a learning-curve reading to hold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Neither null is a wasted result. A failure of the temporal signature would redirect the research program away from metadata proxies and toward direct document coding, where topical content is read rather than inferred. A failure of the citation signature alone, with recency intact, would sharpen the mechanism by showing that fresh attention is being generated without yet compounding into citation. The theory is built so that both success and failure teach something specific, which is the standard a design-stage dissertation should meet before it spends a committee’s patience</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bookmarkEnd w:id="95"/>
    <w:bookmarkEnd w:id="96"/>
    <w:bookmarkStart w:id="109"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theory of Chapter 3 predicts structure in a retrieved corpus.</w:t>
      </w:r>
    </w:p>
    <w:p>
      <w:pPr>
        <w:pStyle w:val="BodyText"/>
        <w:spacing w:line="480" w:lineRule="auto"/>
        <w:ind w:firstLine="720"/>
      </w:pPr>
      <w:r>
        <w:t xml:space="preserve">This chapter specifies the estimators that recover that structure, states the assumptions under which the recovered coefficients mean what the theory wants them to mean, and is explicit about the identification limits that a metadata proxy cannot escape. Two estimators do the work. Both are deliberately simple, both report robust standard errors, and both are chosen so that a committee can reproduce every number from the workbook without trusting a black box</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97" w:name="Xa1944d01a785396de5c50752feedc49e1f99a79"/>
    <w:p>
      <w:pPr>
        <w:pStyle w:val="Heading2"/>
        <w:spacing w:line="480" w:lineRule="auto"/>
      </w:pPr>
      <w:r>
        <w:t xml:space="preserve">4.1 Estimator one: ordinary least squares on the topic signal</w:t>
      </w:r>
    </w:p>
    <w:p>
      <w:pPr>
        <w:pStyle w:val="FirstParagraph"/>
        <w:spacing w:line="480" w:lineRule="auto"/>
      </w:pPr>
      <w:r>
        <w:t xml:space="preserve">The first screen is an ordinary least squares regression of topic-signal intensity on three predictors. In the notation used throughout,</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is the composite topic-signal score for each retrieved record.</w:t>
      </w:r>
    </w:p>
    <w:p>
      <w:pPr>
        <w:pStyle w:val="BodyText"/>
        <w:spacing w:line="480" w:lineRule="auto"/>
        <w:ind w:firstLine="720"/>
      </w:pPr>
      <w:r>
        <w:t xml:space="preserve">The three regressors are the recency index, the reported citation count, and the ordinal venue-family score. Estimation uses HC1 robust standard errors, which is the workhorse heteroskedasticity-consistent correction and the appropriate default when the error variance is likely to differ across records of very different type, as it plainly is in a corpus that mixes technical proceedings with economic articles</w:t>
      </w:r>
      <w:r>
        <w:t xml:space="preserve"> </w:t>
      </w:r>
      <w:hyperlink w:anchor="ref-9">
        <w:r>
          <w:rPr>
            <w:rStyle w:val="Hyperlink"/>
          </w:rPr>
          <w:t xml:space="preserve">[9]</w:t>
        </w:r>
      </w:hyperlink>
      <w:r>
        <w:t xml:space="preserve">. Ordinary least squares is the right first tool for a specific reason. The theory predicts neither a threshold, nor a hazard, nor a bounded probability; it predicts that signal intensity moves, on average and linearly to first order, with three metadata features. Least squares recovers exactly those conditional-mean slopes. The linear form is an approximation, not a law, and the chapter treats it as an approximation throughout, but for a first screen whose purpose is to detect whether structure exists at all, the conditional-mean slope is the quantity that answers the question. A more elaborate functional form would add parameters the thirty-record sample cannot support</w:t>
      </w:r>
      <w:r>
        <w:t xml:space="preserve"> </w:t>
      </w:r>
      <w:hyperlink w:anchor="ref-2">
        <w:r>
          <w:rPr>
            <w:rStyle w:val="Hyperlink"/>
          </w:rPr>
          <w:t xml:space="preserve">[2]</w:t>
        </w:r>
      </w:hyperlink>
      <w:r>
        <w:t xml:space="preserve">.</w:t>
      </w:r>
    </w:p>
    <w:bookmarkEnd w:id="97"/>
    <w:bookmarkStart w:id="98" w:name="X9a82220abac77625368356bd15d29f8e1e64e3e"/>
    <w:p>
      <w:pPr>
        <w:pStyle w:val="Heading2"/>
        <w:spacing w:line="480" w:lineRule="auto"/>
      </w:pPr>
      <w:r>
        <w:t xml:space="preserve">4.2 What ordinary least squares identifies here</w:t>
      </w:r>
    </w:p>
    <w:p>
      <w:pPr>
        <w:pStyle w:val="FirstParagraph"/>
        <w:spacing w:line="480" w:lineRule="auto"/>
      </w:pPr>
      <w:r>
        <w:t xml:space="preserve">Identification is the discipline of stating precisely what a coefficient does and does not mean. In this design, beta_1 is the change in topic-signal score associated with a one-unit increase in the recency index, holding citation count and venue family fixed. It identifies a conditional association within the retrieved corpus. It does not identify the causal effect of the passage of time on anything, and it certainly does not identify the causal effect of a capital flow on documentary attention, because capital flow is not a regressor. The estimator speaks to the corpus’s internal structure, and the theory then asks whether that structure is consistent with a capital-led reading</w:t>
      </w:r>
      <w:r>
        <w:t xml:space="preserve"> </w:t>
      </w:r>
      <w:hyperlink w:anchor="ref-11">
        <w:r>
          <w:rPr>
            <w:rStyle w:val="Hyperlink"/>
          </w:rPr>
          <w:t xml:space="preserve">[11]</w:t>
        </w:r>
      </w:hyperlink>
      <w:r>
        <w:t xml:space="preserve">. The holding-fixed language deserves scrutiny with only three regressors and thirty observations. Conditioning on citation count and venue family removes the part of the recency association that runs through those two channels, so beta_1 is the recency slope net of attention and venue. That is a genuine, if modest, form of control. What it cannot do is absorb omitted confounders that are correlated with recency and with the signal but are absent from the model, such as a technological shock that both dates a literature and inflates its topical vocabulary. The design accepts this limit openly rather than dressing a correlation as a causal estimate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joint F test is the primary instrument for the dissertation-level H0(1). It asks whether the three regressors together explain more of the signal’s variance than chance would produce. A rejection says the corpus is structured along at least one of the three axes; it does not by itself say which. Reading the individual coefficients then apportions the structure, and the theory’s asymmetric priors from Chapter 3 govern how much weight each individual coefficient should bear</w:t>
      </w:r>
      <w:r>
        <w:t xml:space="preserve"> </w:t>
      </w:r>
      <w:hyperlink w:anchor="ref-6">
        <w:r>
          <w:rPr>
            <w:rStyle w:val="Hyperlink"/>
          </w:rPr>
          <w:t xml:space="preserve">[6]</w:t>
        </w:r>
      </w:hyperlink>
      <w:r>
        <w:t xml:space="preserve">.</w:t>
      </w:r>
    </w:p>
    <w:bookmarkEnd w:id="98"/>
    <w:bookmarkStart w:id="99" w:name="estimator-two-the-log-log-learning-curve"/>
    <w:p>
      <w:pPr>
        <w:pStyle w:val="Heading2"/>
        <w:spacing w:line="480" w:lineRule="auto"/>
      </w:pPr>
      <w:r>
        <w:t xml:space="preserve">4.3 Estimator two: the log-log learning curve</w:t>
      </w:r>
    </w:p>
    <w:p>
      <w:pPr>
        <w:pStyle w:val="FirstParagraph"/>
        <w:spacing w:line="480" w:lineRule="auto"/>
      </w:pPr>
      <w:r>
        <w:t xml:space="preserve">The second screen estimates citation accumulation as a function of article age in a log-log form,</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natural log of citation count plus one, where the plus-one keeps the transform defined for the many uncited records in the corpus. The single regressor is the log of an age index. Estimation again uses HC1 robust standard errors. The slope beta_1 is an elasticity: the percentage change in citations-plus-one associated with a one-percent change in article age. Its exponentiation base two gives a progress ratio, the multiplicative factor by which citations scale as age doubles, a quantity borrowed directly from the learning-curve tradition</w:t>
      </w:r>
      <w:r>
        <w:t xml:space="preserve"> </w:t>
      </w:r>
      <w:hyperlink w:anchor="ref-4">
        <w:r>
          <w:rPr>
            <w:rStyle w:val="Hyperlink"/>
          </w:rPr>
          <w:t xml:space="preserve">[4]</w:t>
        </w:r>
      </w:hyperlink>
      <w:r>
        <w:t xml:space="preserve">. The log-log form is not decorative. It encodes the theoretical claim that attention compounds proportionally rather than additively, which is the standard shape for diffusion and learning processes. If citation accumulation were purely linear in age, a level-level model would fit better and the elasticity framing would be wrong. The choice of specification is therefore itself a hypothesis about how attention grows, and the estimated elasticity is the test of that hypothesis. A near-zero elasticity would say the log-log shape finds nothing to grip, which is a substantive result about the field’s maturity, not a technical failure</w:t>
      </w:r>
      <w:r>
        <w:t xml:space="preserve"> </w:t>
      </w:r>
      <w:hyperlink w:anchor="ref-10">
        <w:r>
          <w:rPr>
            <w:rStyle w:val="Hyperlink"/>
          </w:rPr>
          <w:t xml:space="preserve">[10]</w:t>
        </w:r>
      </w:hyperlink>
      <w:r>
        <w:t xml:space="preserve">.</w:t>
      </w:r>
    </w:p>
    <w:bookmarkEnd w:id="99"/>
    <w:bookmarkStart w:id="100" w:name="what-the-learning-curve-identifies-here"/>
    <w:p>
      <w:pPr>
        <w:pStyle w:val="Heading2"/>
        <w:spacing w:line="480" w:lineRule="auto"/>
      </w:pPr>
      <w:r>
        <w:t xml:space="preserve">4.4 What the learning curve identifies here</w:t>
      </w:r>
    </w:p>
    <w:p>
      <w:pPr>
        <w:pStyle w:val="FirstParagraph"/>
        <w:spacing w:line="480" w:lineRule="auto"/>
      </w:pPr>
      <w:r>
        <w:t xml:space="preserve">The age elasticity identifies the average proportional relationship between how old a document is and how much citation it has accumulated, within this corpus. It does not identify a causal effect of aging, because age is confounded with everything that has changed in the field over the sample window: venue mix, indexing coverage, and the field’s own growth rate. An older document in a fast-growing field has had more time to accrue citations but also competed for attention when the field was smaller. The elasticity blends these forces. The design reports the blend honestly and does not decompose what thirty records cannot decompose</w:t>
      </w:r>
      <w:r>
        <w:t xml:space="preserve"> </w:t>
      </w:r>
      <w:hyperlink w:anchor="ref-12">
        <w:r>
          <w:rPr>
            <w:rStyle w:val="Hyperlink"/>
          </w:rPr>
          <w:t xml:space="preserve">[12]</w:t>
        </w:r>
      </w:hyperlink>
      <w:r>
        <w:t xml:space="preserve">. There is a further, sharper identification caveat unique to citation data. Citation counts here are local index measures parsed from a brain search field, not universal totals from a comprehensive citation database. The zero counts that dominate the corpus may reflect true low citation, or they may reflect index incompleteness. The plus-one transform lets the model run, but it cannot repair a censored measure. The elasticity is therefore an estimate over the observed local counts, and its interpretation is bounded to that measurement world</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00"/>
    <w:bookmarkStart w:id="101" w:name="why-two-screens-rather-than-one"/>
    <w:p>
      <w:pPr>
        <w:pStyle w:val="Heading2"/>
        <w:spacing w:line="480" w:lineRule="auto"/>
      </w:pPr>
      <w:r>
        <w:t xml:space="preserve">4.5 Why two screens rather than one</w:t>
      </w:r>
    </w:p>
    <w:p>
      <w:pPr>
        <w:pStyle w:val="FirstParagraph"/>
        <w:spacing w:line="480" w:lineRule="auto"/>
      </w:pPr>
      <w:r>
        <w:t xml:space="preserve">The two estimators are complementary probes of the same mechanism, and running both is a design choice with a rationale. Age adds nothing. The first screen tests whether topic signal is structured across recency, attention, and venue. The second tests whether attention itself accumulates with age in a regular way. A capital-led field could pass the first and fail the second, showing fresh signal without compounding attention, which is the fingerprint of an early-stage area. It could pass the second and show a weak recency slope, indicating an older, settling field. The joint pattern across the two screens carries more diagnostic information than either coefficient in isolation, and the theory in Chapter 3 was written to read that joint pattern</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101"/>
    <w:bookmarkStart w:id="102" w:name="the-choice-of-robust-standard-errors"/>
    <w:p>
      <w:pPr>
        <w:pStyle w:val="Heading2"/>
        <w:spacing w:line="480" w:lineRule="auto"/>
      </w:pPr>
      <w:r>
        <w:t xml:space="preserve">4.6 The choice of robust standard errors</w:t>
      </w:r>
    </w:p>
    <w:p>
      <w:pPr>
        <w:pStyle w:val="FirstParagraph"/>
        <w:spacing w:line="480" w:lineRule="auto"/>
      </w:pPr>
      <w:r>
        <w:t xml:space="preserve">The decision to use HC1 heteroskedasticity-consistent standard errors in both screens is not a default reached for out of habit, and it is worth defending. Classical least-squares inference assumes the error variance is constant across observations, an assumption this corpus almost certainly violates. Technical proceedings with terse metadata, economics-forward articles with rich keyword fields, and policy documents with no snippet at all cannot plausibly share one error variance</w:t>
      </w:r>
      <w:r>
        <w:t xml:space="preserve"> </w:t>
      </w:r>
      <w:hyperlink w:anchor="ref-5">
        <w:r>
          <w:rPr>
            <w:rStyle w:val="Hyperlink"/>
          </w:rPr>
          <w:t xml:space="preserve">[5]</w:t>
        </w:r>
      </w:hyperlink>
      <w:r>
        <w:t xml:space="preserve">. When that assumption fails, classical standard errors are biased and the p-values built on them are untrustworthy, regardless of whether the coefficients themselves are unbiased</w:t>
      </w:r>
      <w:r>
        <w:t xml:space="preserve"> </w:t>
      </w:r>
      <w:hyperlink w:anchor="ref-2">
        <w:r>
          <w:rPr>
            <w:rStyle w:val="Hyperlink"/>
          </w:rPr>
          <w:t xml:space="preserve">[2]</w:t>
        </w:r>
      </w:hyperlink>
      <w:r>
        <w:t xml:space="preserve">.</w:t>
      </w:r>
    </w:p>
    <w:p>
      <w:pPr>
        <w:pStyle w:val="BodyText"/>
        <w:spacing w:line="480" w:lineRule="auto"/>
        <w:ind w:firstLine="720"/>
      </w:pPr>
      <w:r>
        <w:t xml:space="preserve">HC1 corrects the standard errors for this heteroskedasticity without altering the coefficients, which is exactly the right division of labor for a screen whose point estimates are its substantive output. The pattern is coherent. The HC1 variant applies a small finite-sample adjustment to the more basic HC0 correction, and that adjustment matters at N=30, where finite-sample behavior is not a rounding concern but a real one</w:t>
      </w:r>
      <w:r>
        <w:t xml:space="preserve"> </w:t>
      </w:r>
      <w:hyperlink w:anchor="ref-4">
        <w:r>
          <w:rPr>
            <w:rStyle w:val="Hyperlink"/>
          </w:rPr>
          <w:t xml:space="preserve">[4]</w:t>
        </w:r>
      </w:hyperlink>
      <w:r>
        <w:t xml:space="preserve">. Using the adjusted form is the conservative choice, and conservatism in inference is appropriate when the sample is small and the measures are noisy. The design would rather understate significance than manufacture it</w:t>
      </w:r>
      <w:r>
        <w:t xml:space="preserve"> </w:t>
      </w:r>
      <w:hyperlink w:anchor="ref-3">
        <w:r>
          <w:rPr>
            <w:rStyle w:val="Hyperlink"/>
          </w:rPr>
          <w:t xml:space="preserve">[3]</w:t>
        </w:r>
      </w:hyperlink>
      <w:r>
        <w:t xml:space="preserve">.</w:t>
      </w:r>
    </w:p>
    <w:p>
      <w:pPr>
        <w:pStyle w:val="BodyText"/>
        <w:spacing w:line="480" w:lineRule="auto"/>
        <w:ind w:firstLine="720"/>
      </w:pPr>
      <w:r>
        <w:t xml:space="preserve">There is a limit worth stating. Robust standard errors correct for heteroskedasticity, not for the more fundamental problems of small samples and omitted confounders. They do not rescue an underpowered test, and they do not turn a correlation into a causal estimate</w:t>
      </w:r>
      <w:r>
        <w:t xml:space="preserve"> </w:t>
      </w:r>
      <w:hyperlink w:anchor="ref-11">
        <w:r>
          <w:rPr>
            <w:rStyle w:val="Hyperlink"/>
          </w:rPr>
          <w:t xml:space="preserve">[11]</w:t>
        </w:r>
      </w:hyperlink>
      <w:r>
        <w:t xml:space="preserve">. The choice buys honest inference within the linear model; it does not buy the model itself out of its identification constraints. The dissertation uses HC1 for what it can do and does not lean on it for what it cannot</w:t>
      </w:r>
      <w:r>
        <w:t xml:space="preserve"> </w:t>
      </w:r>
      <w:hyperlink w:anchor="ref-5">
        <w:r>
          <w:rPr>
            <w:rStyle w:val="Hyperlink"/>
          </w:rPr>
          <w:t xml:space="preserve">[5]</w:t>
        </w:r>
      </w:hyperlink>
      <w:r>
        <w:t xml:space="preserve">.</w:t>
      </w:r>
    </w:p>
    <w:bookmarkEnd w:id="102"/>
    <w:bookmarkStart w:id="103" w:name="X49768e1939e76ef3e9b6380076dedd79bef07a4"/>
    <w:p>
      <w:pPr>
        <w:pStyle w:val="Heading2"/>
        <w:spacing w:line="480" w:lineRule="auto"/>
      </w:pPr>
      <w:r>
        <w:t xml:space="preserve">4.7 Power, sample size, and the burden on the estimator</w:t>
      </w:r>
    </w:p>
    <w:p>
      <w:pPr>
        <w:pStyle w:val="FirstParagraph"/>
        <w:spacing w:line="480" w:lineRule="auto"/>
      </w:pPr>
      <w:r>
        <w:t xml:space="preserve">Thirty observations is a small sample, and pretending otherwise would corrode the whole argument. Read the two together. With three regressors and an intercept, the first screen spends four degrees of freedom and estimates over the remaining twenty-six, which is enough to fit but not enough to detect small effects reliably</w:t>
      </w:r>
      <w:r>
        <w:t xml:space="preserve"> </w:t>
      </w:r>
      <w:hyperlink w:anchor="ref-2">
        <w:r>
          <w:rPr>
            <w:rStyle w:val="Hyperlink"/>
          </w:rPr>
          <w:t xml:space="preserve">[2]</w:t>
        </w:r>
      </w:hyperlink>
      <w:r>
        <w:t xml:space="preserve">. The design accepts a real risk of Type II error: a true but modest association could fail to reach significance simply because the sample cannot resolve it. This is why the theory in Chapter 3 leaned its weight on the recency prediction, the effect most likely to be large enough to survive low power, and hedged the subtler citation and venue predictions</w:t>
      </w:r>
      <w:r>
        <w:t xml:space="preserve"> </w:t>
      </w:r>
      <w:hyperlink w:anchor="ref-13">
        <w:r>
          <w:rPr>
            <w:rStyle w:val="Hyperlink"/>
          </w:rPr>
          <w:t xml:space="preserve">[13]</w:t>
        </w:r>
      </w:hyperlink>
      <w:r>
        <w:t xml:space="preserve">.</w:t>
      </w:r>
    </w:p>
    <w:p>
      <w:pPr>
        <w:pStyle w:val="BodyText"/>
        <w:spacing w:line="480" w:lineRule="auto"/>
        <w:ind w:firstLine="720"/>
      </w:pPr>
      <w:r>
        <w:t xml:space="preserve">The small sample also shapes how a rejection should be read. The finding holds. When an underpowered test does reject a null, the effect it detects is likely to be genuine rather than a fluke of over-fitting, because low power makes false positives harder, not easier, to obtain for a fixed significance threshold</w:t>
      </w:r>
      <w:r>
        <w:t xml:space="preserve"> </w:t>
      </w:r>
      <w:hyperlink w:anchor="ref-4">
        <w:r>
          <w:rPr>
            <w:rStyle w:val="Hyperlink"/>
          </w:rPr>
          <w:t xml:space="preserve">[4]</w:t>
        </w:r>
      </w:hyperlink>
      <w:r>
        <w:t xml:space="preserve">. A significant recency slope in a thirty-record model is therefore more, not less, credible on the dimension of existence, even as its precise magnitude remains uncertain. The estimator carries a heavy burden relative to its data, and the design compensates by asking it only for signs and rough magnitudes, never for fine calibration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3"/>
    <w:bookmarkStart w:id="104" w:name="X4b2ad77cc752f9e7126ea2b8d743b047df5d4f3"/>
    <w:p>
      <w:pPr>
        <w:pStyle w:val="Heading2"/>
        <w:spacing w:line="480" w:lineRule="auto"/>
      </w:pPr>
      <w:r>
        <w:t xml:space="preserve">4.8 Functional form and the linearity assumption</w:t>
      </w:r>
    </w:p>
    <w:p>
      <w:pPr>
        <w:pStyle w:val="FirstParagraph"/>
        <w:spacing w:line="480" w:lineRule="auto"/>
      </w:pPr>
      <w:r>
        <w:t xml:space="preserve">Both estimators impose a functional form, and a doctoral treatment must defend those impositions rather than assume them away. The first screen is linear in the three regressors, which asserts that a one-unit change in recency shifts the signal by the same amount whether the record is old or new</w:t>
      </w:r>
      <w:r>
        <w:t xml:space="preserve"> </w:t>
      </w:r>
      <w:hyperlink w:anchor="ref-13">
        <w:r>
          <w:rPr>
            <w:rStyle w:val="Hyperlink"/>
          </w:rPr>
          <w:t xml:space="preserve">[13]</w:t>
        </w:r>
      </w:hyperlink>
      <w:r>
        <w:t xml:space="preserve">. That constant-slope assumption is a simplification. The true relationship could be convex, with signal rising faster in the most recent years as capital accelerates, or it could saturate. With thirty records, estimating a nonlinear recency term would consume degrees of freedom the sample cannot spare, so linearity is the honest compromise: it recovers the average slope and leaves curvature for a larger study</w:t>
      </w:r>
      <w:r>
        <w:t xml:space="preserve"> </w:t>
      </w:r>
      <w:hyperlink w:anchor="ref-4">
        <w:r>
          <w:rPr>
            <w:rStyle w:val="Hyperlink"/>
          </w:rPr>
          <w:t xml:space="preserve">[4]</w:t>
        </w:r>
      </w:hyperlink>
      <w:r>
        <w:t xml:space="preserve">.</w:t>
      </w:r>
    </w:p>
    <w:p>
      <w:pPr>
        <w:pStyle w:val="BodyText"/>
        <w:spacing w:line="480" w:lineRule="auto"/>
        <w:ind w:firstLine="720"/>
      </w:pPr>
      <w:r>
        <w:t xml:space="preserve">The second screen imposes a log-log form, which asserts that citation scales with age as a constant elasticity</w:t>
      </w:r>
      <w:r>
        <w:t xml:space="preserve"> </w:t>
      </w:r>
      <w:hyperlink w:anchor="ref-5">
        <w:r>
          <w:rPr>
            <w:rStyle w:val="Hyperlink"/>
          </w:rPr>
          <w:t xml:space="preserve">[5]</w:t>
        </w:r>
      </w:hyperlink>
      <w:r>
        <w:t xml:space="preserve">. The null informs. This is a stronger and more specific claim than linearity, and it is a substantive hypothesis in its own right, as Chapter 3 argued. If citation actually grew linearly with age, or in bursts tied to particular years, the log-log model would fit poorly, and the low second-screen fit reported in Chapter 6 is partly a verdict on this functional choice</w:t>
      </w:r>
      <w:r>
        <w:t xml:space="preserve"> </w:t>
      </w:r>
      <w:hyperlink w:anchor="ref-10">
        <w:r>
          <w:rPr>
            <w:rStyle w:val="Hyperlink"/>
          </w:rPr>
          <w:t xml:space="preserve">[10]</w:t>
        </w:r>
      </w:hyperlink>
      <w:r>
        <w:t xml:space="preserve">. The design accepts the log-log form because the learning-curve tradition motivates it theoretically, but it reads a poor fit as informative about the field’s citation dynamics rather than as a mere technical shortfall</w:t>
      </w:r>
      <w:r>
        <w:t xml:space="preserve"> </w:t>
      </w:r>
      <w:hyperlink w:anchor="ref-4">
        <w:r>
          <w:rPr>
            <w:rStyle w:val="Hyperlink"/>
          </w:rPr>
          <w:t xml:space="preserve">[4]</w:t>
        </w:r>
      </w:hyperlink>
      <w:r>
        <w:t xml:space="preserve">. Naming the functional-form commitments openly is what keeps the estimates from masquerading as assumption-free facts</w:t>
      </w:r>
      <w:r>
        <w:t xml:space="preserve"> </w:t>
      </w:r>
      <w:hyperlink w:anchor="ref-2">
        <w:r>
          <w:rPr>
            <w:rStyle w:val="Hyperlink"/>
          </w:rPr>
          <w:t xml:space="preserve">[2]</w:t>
        </w:r>
      </w:hyperlink>
      <w:r>
        <w:t xml:space="preserve">.</w:t>
      </w:r>
    </w:p>
    <w:bookmarkEnd w:id="104"/>
    <w:bookmarkStart w:id="105" w:name="why-not-a-more-complex-estimator"/>
    <w:p>
      <w:pPr>
        <w:pStyle w:val="Heading2"/>
        <w:spacing w:line="480" w:lineRule="auto"/>
      </w:pPr>
      <w:r>
        <w:t xml:space="preserve">4.9 Why not a more complex estimator</w:t>
      </w:r>
    </w:p>
    <w:p>
      <w:pPr>
        <w:pStyle w:val="FirstParagraph"/>
        <w:spacing w:line="480" w:lineRule="auto"/>
      </w:pPr>
      <w:r>
        <w:t xml:space="preserve">A reader might ask why the design does not reach for a richer tool: a count model for the signal score, a censored model for the citation zeros, or a hierarchical model that pools across venues. The answer is discipline, not ignorance</w:t>
      </w:r>
      <w:r>
        <w:t xml:space="preserve"> </w:t>
      </w:r>
      <w:hyperlink w:anchor="ref-5">
        <w:r>
          <w:rPr>
            <w:rStyle w:val="Hyperlink"/>
          </w:rPr>
          <w:t xml:space="preserve">[5]</w:t>
        </w:r>
      </w:hyperlink>
      <w:r>
        <w:t xml:space="preserve">. A count or censored model would fit the outcome distributions more faithfully, but it would also introduce distributional assumptions the thirty-record sample cannot check, trading a transparent approximation for an opaque one whose failures would be harder to diagnose</w:t>
      </w:r>
      <w:r>
        <w:t xml:space="preserve"> </w:t>
      </w:r>
      <w:hyperlink w:anchor="ref-2">
        <w:r>
          <w:rPr>
            <w:rStyle w:val="Hyperlink"/>
          </w:rPr>
          <w:t xml:space="preserve">[2]</w:t>
        </w:r>
      </w:hyperlink>
      <w:r>
        <w:t xml:space="preserve">. The linear and log-log forms are wrong in known, statable ways; a fancier model would be wrong in ways a small sample could hide.</w:t>
      </w:r>
    </w:p>
    <w:p>
      <w:pPr>
        <w:pStyle w:val="BodyText"/>
        <w:spacing w:line="480" w:lineRule="auto"/>
        <w:ind w:firstLine="720"/>
      </w:pPr>
      <w:r>
        <w:t xml:space="preserve">There is also an audit argument. Ordinary least squares and a log-log regression are the two most widely understood estimators in applied work, and their output can be checked by any reader with basic training, which matters when auditability is the project’s core value</w:t>
      </w:r>
      <w:r>
        <w:t xml:space="preserve"> </w:t>
      </w:r>
      <w:hyperlink w:anchor="ref-7">
        <w:r>
          <w:rPr>
            <w:rStyle w:val="Hyperlink"/>
          </w:rPr>
          <w:t xml:space="preserve">[7]</w:t>
        </w:r>
      </w:hyperlink>
      <w:r>
        <w:t xml:space="preserve">. A more elaborate estimator would narrow the set of readers who could independently verify the numbers, weakening exactly the transparency the design is built to protect</w:t>
      </w:r>
      <w:r>
        <w:t xml:space="preserve"> </w:t>
      </w:r>
      <w:hyperlink w:anchor="ref-5">
        <w:r>
          <w:rPr>
            <w:rStyle w:val="Hyperlink"/>
          </w:rPr>
          <w:t xml:space="preserve">[5]</w:t>
        </w:r>
      </w:hyperlink>
      <w:r>
        <w:t xml:space="preserve">. The choice of simple tools is therefore a choice about who can check the work, and the design resolves that in favor of the widest possible scrutiny</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05"/>
    <w:bookmarkStart w:id="106" w:name="identification-summarized"/>
    <w:p>
      <w:pPr>
        <w:pStyle w:val="Heading2"/>
        <w:spacing w:line="480" w:lineRule="auto"/>
      </w:pPr>
      <w:r>
        <w:t xml:space="preserve">4.10 Identification summarized</w:t>
      </w:r>
    </w:p>
    <w:p>
      <w:pPr>
        <w:pStyle w:val="FirstParagraph"/>
        <w:spacing w:line="480" w:lineRule="auto"/>
      </w:pPr>
      <w:r>
        <w:t xml:space="preserve">Before the audit discussion, it is worth consolidating what each model identifies into a single statement, because identification claims scattered across a chapter are easy to lose. The first screen identifies the conditional-mean association between topic signal and each of recency, citation, and venue, within the retrieved corpus, net of the other two regressors</w:t>
      </w:r>
      <w:r>
        <w:t xml:space="preserve"> </w:t>
      </w:r>
      <w:hyperlink w:anchor="ref-5">
        <w:r>
          <w:rPr>
            <w:rStyle w:val="Hyperlink"/>
          </w:rPr>
          <w:t xml:space="preserve">[5]</w:t>
        </w:r>
      </w:hyperlink>
      <w:r>
        <w:t xml:space="preserve">. It does not identify any causal effect, and above all it does not identify the effect of capital, which is absent from the model as a regressor</w:t>
      </w:r>
      <w:r>
        <w:t xml:space="preserve"> </w:t>
      </w:r>
      <w:hyperlink w:anchor="ref-11">
        <w:r>
          <w:rPr>
            <w:rStyle w:val="Hyperlink"/>
          </w:rPr>
          <w:t xml:space="preserve">[11]</w:t>
        </w:r>
      </w:hyperlink>
      <w:r>
        <w:t xml:space="preserve">. The joint F test identifies whether the three regressors together carry information about the signal, which is the operational form of the dissertation’s central null</w:t>
      </w:r>
      <w:r>
        <w:t xml:space="preserve"> </w:t>
      </w:r>
      <w:hyperlink w:anchor="ref-9">
        <w:r>
          <w:rPr>
            <w:rStyle w:val="Hyperlink"/>
          </w:rPr>
          <w:t xml:space="preserve">[9]</w:t>
        </w:r>
      </w:hyperlink>
      <w:r>
        <w:t xml:space="preserve">.</w:t>
      </w:r>
    </w:p>
    <w:p>
      <w:pPr>
        <w:pStyle w:val="BodyText"/>
        <w:spacing w:line="480" w:lineRule="auto"/>
        <w:ind w:firstLine="720"/>
      </w:pPr>
      <w:r>
        <w:t xml:space="preserve">The second screen identifies the average proportional relationship between citation and article age, within the corpus, over the observed local citation counts</w:t>
      </w:r>
      <w:r>
        <w:t xml:space="preserve"> </w:t>
      </w:r>
      <w:hyperlink w:anchor="ref-4">
        <w:r>
          <w:rPr>
            <w:rStyle w:val="Hyperlink"/>
          </w:rPr>
          <w:t xml:space="preserve">[4]</w:t>
        </w:r>
      </w:hyperlink>
      <w:r>
        <w:t xml:space="preserve">. Provenance is preserved. It does not identify a causal effect of aging, because age is entangled with field growth, venue mix, and indexing coverage across the sample window</w:t>
      </w:r>
      <w:r>
        <w:t xml:space="preserve"> </w:t>
      </w:r>
      <w:hyperlink w:anchor="ref-2">
        <w:r>
          <w:rPr>
            <w:rStyle w:val="Hyperlink"/>
          </w:rPr>
          <w:t xml:space="preserve">[2]</w:t>
        </w:r>
      </w:hyperlink>
      <w:r>
        <w:t xml:space="preserve">. Both identifications are associational and corpus-bound, and both are stated in those terms deliberately, so that no reader mistakes a conditional slope for a causal parameter</w:t>
      </w:r>
      <w:r>
        <w:t xml:space="preserve"> </w:t>
      </w:r>
      <w:hyperlink w:anchor="ref-5">
        <w:r>
          <w:rPr>
            <w:rStyle w:val="Hyperlink"/>
          </w:rPr>
          <w:t xml:space="preserve">[5]</w:t>
        </w:r>
      </w:hyperlink>
      <w:r>
        <w:t xml:space="preserve">. The honesty of the identification claims is what lets the results in Chapter 6 be read for exactly what they are: signed, precise or imprecise associations that speak to corpus structure and, through the theory, to the plausibility of a capital-led reading, never to a demonstrated causal chain</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06"/>
    <w:bookmarkStart w:id="107" w:name="the-two-screens-as-a-matched-pair"/>
    <w:p>
      <w:pPr>
        <w:pStyle w:val="Heading2"/>
        <w:spacing w:line="480" w:lineRule="auto"/>
      </w:pPr>
      <w:r>
        <w:t xml:space="preserve">4.11 The two screens as a matched pair</w:t>
      </w:r>
    </w:p>
    <w:p>
      <w:pPr>
        <w:pStyle w:val="FirstParagraph"/>
        <w:spacing w:line="480" w:lineRule="auto"/>
      </w:pPr>
      <w:r>
        <w:t xml:space="preserve">It bears emphasis that the two estimators were chosen as a matched pair, not as one primary model and one afterthought. The construction is mechanical. The first screen looks across records at a single point, asking how signal varies with metadata; the second looks along the age dimension, asking how citation accumulates over time</w:t>
      </w:r>
      <w:r>
        <w:t xml:space="preserve"> </w:t>
      </w:r>
      <w:hyperlink w:anchor="ref-4">
        <w:r>
          <w:rPr>
            <w:rStyle w:val="Hyperlink"/>
          </w:rPr>
          <w:t xml:space="preserve">[4]</w:t>
        </w:r>
      </w:hyperlink>
      <w:r>
        <w:t xml:space="preserve">. Cross-sectional and temporal views of the same corpus answer different questions, and a design that ran only the first would be blind to whether attention compounds, while a design that ran only the second would be blind to whether recent work is theme-dense</w:t>
      </w:r>
      <w:r>
        <w:t xml:space="preserve"> </w:t>
      </w:r>
      <w:hyperlink w:anchor="ref-5">
        <w:r>
          <w:rPr>
            <w:rStyle w:val="Hyperlink"/>
          </w:rPr>
          <w:t xml:space="preserve">[5]</w:t>
        </w:r>
      </w:hyperlink>
      <w:r>
        <w:t xml:space="preserve">. Running both is what lets the joint fingerprint of Chapter 6 emerge, and the pairing was deliberate from the outset</w:t>
      </w:r>
      <w:r>
        <w:t xml:space="preserve"> </w:t>
      </w:r>
      <w:hyperlink w:anchor="ref-11">
        <w:r>
          <w:rPr>
            <w:rStyle w:val="Hyperlink"/>
          </w:rPr>
          <w:t xml:space="preserve">[11]</w:t>
        </w:r>
      </w:hyperlink>
      <w:r>
        <w:t xml:space="preserve">.</w:t>
      </w:r>
    </w:p>
    <w:p>
      <w:pPr>
        <w:pStyle w:val="BodyText"/>
        <w:spacing w:line="480" w:lineRule="auto"/>
        <w:ind w:firstLine="720"/>
      </w:pPr>
      <w:r>
        <w:t xml:space="preserve">The pairing also guards against a single specification driving the whole conclusion. If both screens pointed the same way, the finding would be robust across two different views; if they diverged, the divergence would itself be informative about the field’s stage</w:t>
      </w:r>
      <w:r>
        <w:t xml:space="preserve"> </w:t>
      </w:r>
      <w:hyperlink w:anchor="ref-2">
        <w:r>
          <w:rPr>
            <w:rStyle w:val="Hyperlink"/>
          </w:rPr>
          <w:t xml:space="preserve">[2]</w:t>
        </w:r>
      </w:hyperlink>
      <w:r>
        <w:t xml:space="preserve">. Either outcome is more credible than a result resting on one model alone, which is the methodological reason a design-stage study benefits from two complementary screens rather than one elaborate one</w:t>
      </w:r>
      <w:r>
        <w:t xml:space="preserve"> </w:t>
      </w:r>
      <w:hyperlink w:anchor="ref-6">
        <w:r>
          <w:rPr>
            <w:rStyle w:val="Hyperlink"/>
          </w:rPr>
          <w:t xml:space="preserve">[6]</w:t>
        </w:r>
      </w:hyperlink>
      <w:r>
        <w:t xml:space="preserve"> </w:t>
      </w:r>
      <w:hyperlink w:anchor="ref-13">
        <w:r>
          <w:rPr>
            <w:rStyle w:val="Hyperlink"/>
          </w:rPr>
          <w:t xml:space="preserve">[13]</w:t>
        </w:r>
      </w:hyperlink>
      <w:r>
        <w:t xml:space="preserve">.</w:t>
      </w:r>
    </w:p>
    <w:bookmarkEnd w:id="107"/>
    <w:bookmarkStart w:id="108" w:name="reproducibility-and-audit"/>
    <w:p>
      <w:pPr>
        <w:pStyle w:val="Heading2"/>
        <w:spacing w:line="480" w:lineRule="auto"/>
      </w:pPr>
      <w:r>
        <w:t xml:space="preserve">4.12 Reproducibility and audit</w:t>
      </w:r>
    </w:p>
    <w:p>
      <w:pPr>
        <w:pStyle w:val="FirstParagraph"/>
        <w:spacing w:line="480" w:lineRule="auto"/>
      </w:pPr>
      <w:r>
        <w:t xml:space="preserve">Every estimate in this dissertation is deterministic. Given the same thirty-record file and the same estimator specification, the workbook returns the same coefficients, standard errors, and fit statistics to full floating-point precision, and Chapter 6 reports them at that precision precisely so a committee can rerun and match. There is no random seed, no bootstrap resampling, and no tuning parameter to disturb replication. Each observation carries a source column, so a reviewer can trace any coefficient back through the feature rows to the underlying retrieved record. This auditability is the methodological spine of the project. It is what allows a bounded claim about corpus structure to be checked rather than believed, and it is the standard the design holds itself to in place of a larger but unverifiable dataset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08"/>
    <w:bookmarkEnd w:id="109"/>
    <w:bookmarkStart w:id="122" w:name="chapter-5.-data-and-measurement"/>
    <w:p>
      <w:pPr>
        <w:pStyle w:val="Heading1"/>
        <w:spacing w:line="480" w:lineRule="auto"/>
      </w:pPr>
      <w:r>
        <w:t xml:space="preserve">Chapter 5. Data and Measurement</w:t>
      </w:r>
    </w:p>
    <w:p>
      <w:pPr>
        <w:pStyle w:val="FirstParagraph"/>
        <w:spacing w:line="480" w:lineRule="auto"/>
      </w:pPr>
      <w:r>
        <w:t xml:space="preserve">A study that stakes its credibility on auditability owes the reader a full account of its data.</w:t>
      </w:r>
    </w:p>
    <w:p>
      <w:pPr>
        <w:pStyle w:val="BodyText"/>
        <w:spacing w:line="480" w:lineRule="auto"/>
        <w:ind w:firstLine="720"/>
      </w:pPr>
      <w:r>
        <w:t xml:space="preserve">This chapter provides it. It describes the corpus of thirty retrieved source records, explains how each variable was constructed from raw metadata, names the venue families and their coding, and reports the distributional features that shape how the estimators of Chapter 4 should be read. Nothing here is inferred; every figure is countable from the two data files that carry the empirical spine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Start w:id="110" w:name="the-corpus"/>
    <w:p>
      <w:pPr>
        <w:pStyle w:val="Heading2"/>
        <w:spacing w:line="480" w:lineRule="auto"/>
      </w:pPr>
      <w:r>
        <w:t xml:space="preserve">5.1 The corpus</w:t>
      </w:r>
    </w:p>
    <w:p>
      <w:pPr>
        <w:pStyle w:val="FirstParagraph"/>
        <w:spacing w:line="480" w:lineRule="auto"/>
      </w:pPr>
      <w:r>
        <w:t xml:space="preserve">The estimation file contains thirty retrieved source records, and the same thirty carry through both screens, so N equals thirty in every model reported in Chapter 6.</w:t>
      </w:r>
    </w:p>
    <w:p>
      <w:pPr>
        <w:pStyle w:val="BodyText"/>
        <w:spacing w:line="480" w:lineRule="auto"/>
        <w:ind w:firstLine="720"/>
      </w:pPr>
      <w:r>
        <w:t xml:space="preserve">The records span publication years from 2006 to 2026, a two-decade window that reaches from the early technical proceedings of the situational-awareness community to the most recent economics-forward articles on space resources and value</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This is design-stage work. Each record preserves a source column, which for the conference material is a stable proceedings URL and for the journal material is a document-object identifier. That source column is the audit anchor: any variable value can be traced back to the record it came from</w:t>
      </w:r>
      <w:r>
        <w:t xml:space="preserve"> </w:t>
      </w:r>
      <w:hyperlink w:anchor="ref-6">
        <w:r>
          <w:rPr>
            <w:rStyle w:val="Hyperlink"/>
          </w:rPr>
          <w:t xml:space="preserve">[6]</w:t>
        </w:r>
      </w:hyperlink>
      <w:r>
        <w:t xml:space="preserve">. The corpus is heterogeneous by construction, and the heterogeneity is not a defect but a feature of a candidate record set drawn across venues. Roughly a third of the records are technical conference proceedings on sensing, imaging, and cislunar operations</w:t>
      </w:r>
      <w:r>
        <w:t xml:space="preserve"> </w:t>
      </w:r>
      <w:hyperlink w:anchor="ref-2">
        <w:r>
          <w:rPr>
            <w:rStyle w:val="Hyperlink"/>
          </w:rPr>
          <w:t xml:space="preserve">[2]</w:t>
        </w:r>
      </w:hyperlink>
      <w:r>
        <w:t xml:space="preserve"> </w:t>
      </w:r>
      <w:hyperlink w:anchor="ref-4">
        <w:r>
          <w:rPr>
            <w:rStyle w:val="Hyperlink"/>
          </w:rPr>
          <w:t xml:space="preserve">[4]</w:t>
        </w:r>
      </w:hyperlink>
      <w:r>
        <w:t xml:space="preserve">. A larger group are journal articles from the economics-forward outlet, ranging from value and governance analyses to market-design and cultural studies</w:t>
      </w:r>
      <w:r>
        <w:t xml:space="preserve"> </w:t>
      </w:r>
      <w:hyperlink w:anchor="ref-9">
        <w:r>
          <w:rPr>
            <w:rStyle w:val="Hyperlink"/>
          </w:rPr>
          <w:t xml:space="preserve">[9]</w:t>
        </w:r>
      </w:hyperlink>
      <w:r>
        <w:t xml:space="preserve"> </w:t>
      </w:r>
      <w:hyperlink w:anchor="ref-15">
        <w:r>
          <w:rPr>
            <w:rStyle w:val="Hyperlink"/>
          </w:rPr>
          <w:t xml:space="preserve">[15]</w:t>
        </w:r>
      </w:hyperlink>
      <w:r>
        <w:t xml:space="preserve">. A final group are policy and strategy documents from an economic-statecraft collection that anchor the top of the venue ordinal</w:t>
      </w:r>
      <w:r>
        <w:t xml:space="preserve"> </w:t>
      </w:r>
      <w:hyperlink w:anchor="ref-1">
        <w:r>
          <w:rPr>
            <w:rStyle w:val="Hyperlink"/>
          </w:rPr>
          <w:t xml:space="preserve">[1]</w:t>
        </w:r>
      </w:hyperlink>
      <w:r>
        <w:t xml:space="preserve">. This spread is what lets the venue-family variable carry any information at all, and it is also what introduces the topical noise the theory warned about.</w:t>
      </w:r>
    </w:p>
    <w:bookmarkEnd w:id="110"/>
    <w:bookmarkStart w:id="111" w:name="the-outcome-topic-signal-score"/>
    <w:p>
      <w:pPr>
        <w:pStyle w:val="Heading2"/>
        <w:spacing w:line="480" w:lineRule="auto"/>
      </w:pPr>
      <w:r>
        <w:t xml:space="preserve">5.2 The outcome: topic-signal score</w:t>
      </w:r>
    </w:p>
    <w:p>
      <w:pPr>
        <w:pStyle w:val="FirstParagraph"/>
        <w:spacing w:line="480" w:lineRule="auto"/>
      </w:pPr>
      <w:r>
        <w:t xml:space="preserve">The dependent variable in the first screen is the composite topic-signal score. It is a deterministic count, not a judgment. For each record, the construction counts hits of candidate-theme terms across four metadata fields: the source title, the retrieved snippet, the keyword field, and the author metadata. The counts are summed into a single integer score per record. Because the construction is fully specified and mechanical, two analysts running it on the same metadata produce identical scores, which is the property the audit design requires</w:t>
      </w:r>
      <w:r>
        <w:t xml:space="preserve"> </w:t>
      </w:r>
      <w:hyperlink w:anchor="ref-5">
        <w:r>
          <w:rPr>
            <w:rStyle w:val="Hyperlink"/>
          </w:rPr>
          <w:t xml:space="preserve">[5]</w:t>
        </w:r>
      </w:hyperlink>
      <w:r>
        <w:t xml:space="preserve">. The score’s distribution is informative and slightly awkward. Most records score low, in the range of one to four, with a cluster of ones among the technical proceedings and the terse policy documents whose metadata carries little candidate-theme vocabulary. A small number of cislunar economics records score high, reaching eight and eleven, where the retrieved snippet and keyword fields are dense with candidate-theme terms</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score is therefore right-skewed with a low floor, and the ordinary least squares model recovers a conditional-mean slope across that skew rather than a well-behaved symmetric spread. The distributional shape is one reason the venue coefficient, discussed in Chapter 6, needs cautious reading</w:t>
      </w:r>
      <w:r>
        <w:t xml:space="preserve"> </w:t>
      </w:r>
      <w:hyperlink w:anchor="ref-4">
        <w:r>
          <w:rPr>
            <w:rStyle w:val="Hyperlink"/>
          </w:rPr>
          <w:t xml:space="preserve">[4]</w:t>
        </w:r>
      </w:hyperlink>
      <w:r>
        <w:t xml:space="preserve">.</w:t>
      </w:r>
    </w:p>
    <w:bookmarkEnd w:id="111"/>
    <w:bookmarkStart w:id="112" w:name="the-recency-index"/>
    <w:p>
      <w:pPr>
        <w:pStyle w:val="Heading2"/>
        <w:spacing w:line="480" w:lineRule="auto"/>
      </w:pPr>
      <w:r>
        <w:t xml:space="preserve">5.3 The recency index</w:t>
      </w:r>
    </w:p>
    <w:p>
      <w:pPr>
        <w:pStyle w:val="FirstParagraph"/>
        <w:spacing w:line="480" w:lineRule="auto"/>
      </w:pPr>
      <w:r>
        <w:t xml:space="preserve">Recency is measured by an index computed as publication year minus the minimum publication year in the sample plus one. The boundary is firm. With the earliest record dated 2006, the index runs from one for the oldest document to twenty-one for the 2026 articles. The plus-one keeps the index strictly positive and gives the oldest record a value of one rather than zero, which matters only for interpretability, not for the slope. The index is monotone in year and linear, so a one-unit change in recency is exactly one calendar year, and the estimated recency slope reads directly as signal change per year</w:t>
      </w:r>
      <w:r>
        <w:t xml:space="preserve"> </w:t>
      </w:r>
      <w:hyperlink w:anchor="ref-13">
        <w:r>
          <w:rPr>
            <w:rStyle w:val="Hyperlink"/>
          </w:rPr>
          <w:t xml:space="preserve">[13]</w:t>
        </w:r>
      </w:hyperlink>
      <w:r>
        <w:t xml:space="preserve">. Recency and venue family are correlated in this corpus, because the economics-forward articles cluster in recent years while the older technical proceedings sit at the low end of the venue ordinal. That correlation is expected under the theory, since framing migration and the passage of time move together, and it is the reason the first screen conditions on both simultaneously. The recency slope reported later is thus net of venue, and the venue slope is net of recency, which is the only defensible way to read either in the presence of their correlation</w:t>
      </w:r>
      <w:r>
        <w:t xml:space="preserve"> </w:t>
      </w:r>
      <w:hyperlink w:anchor="ref-11">
        <w:r>
          <w:rPr>
            <w:rStyle w:val="Hyperlink"/>
          </w:rPr>
          <w:t xml:space="preserve">[11]</w:t>
        </w:r>
      </w:hyperlink>
      <w:r>
        <w:t xml:space="preserve">.</w:t>
      </w:r>
    </w:p>
    <w:bookmarkEnd w:id="112"/>
    <w:bookmarkStart w:id="113" w:name="citation-attention"/>
    <w:p>
      <w:pPr>
        <w:pStyle w:val="Heading2"/>
        <w:spacing w:line="480" w:lineRule="auto"/>
      </w:pPr>
      <w:r>
        <w:t xml:space="preserve">5.4 Citation attention</w:t>
      </w:r>
    </w:p>
    <w:p>
      <w:pPr>
        <w:pStyle w:val="FirstParagraph"/>
        <w:spacing w:line="480" w:lineRule="auto"/>
      </w:pPr>
      <w:r>
        <w:t xml:space="preserve">Citation count is parsed from the local brain index’s cites field for each record, and it is set to zero when the index reported no citation count. The variable is stark. The overwhelming majority of records carry zero local citations, while a handful of older economics-forward articles carry substantial counts: twelve, thirty-six, and in one 2019 value-perspective article, a hundred and seventy</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This is a heavily censored, heavily skewed measure. The zeros are a mixture of genuinely uncited recent work and records the local index simply did not score, and the non-zeros are concentrated in a few older, well-established journal articles. The distribution has a direct consequence for interpretation. Because the large citation counts sit on older records, citation count and article age are entangled, and any citation coefficient in the first screen partly reflects age. The theory anticipated exactly this entanglement, which is why the citation prediction was held as the weakest of the three. The second screen isolates the age dimension deliberately, using age rather than citation as its regressor, so that the two measures are not forced to do each other’s work</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13"/>
    <w:bookmarkStart w:id="114" w:name="venue-family-score"/>
    <w:p>
      <w:pPr>
        <w:pStyle w:val="Heading2"/>
        <w:spacing w:line="480" w:lineRule="auto"/>
      </w:pPr>
      <w:r>
        <w:t xml:space="preserve">5.5 Venue-family score</w:t>
      </w:r>
    </w:p>
    <w:p>
      <w:pPr>
        <w:pStyle w:val="FirstParagraph"/>
        <w:spacing w:line="480" w:lineRule="auto"/>
      </w:pPr>
      <w:r>
        <w:t xml:space="preserve">Venue family is an ordinal score with three levels. Records from the situational-awareness conference proceedings score one. Records from the economics-forward journal score two. Records from the economic-statecraft and space-economy collection score three. The ordering encodes a gradient of commercialization and economic framing, from the technical community at level one through the peer-reviewed economic literature at level two to the strategy-and-policy collection at level three</w:t>
      </w:r>
      <w:r>
        <w:t xml:space="preserve"> </w:t>
      </w:r>
      <w:hyperlink w:anchor="ref-1">
        <w:r>
          <w:rPr>
            <w:rStyle w:val="Hyperlink"/>
          </w:rPr>
          <w:t xml:space="preserve">[1]</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ordinal must not be overread, and the chapter is emphatic about why. Consider the sequencing. The spacing between levels is not meaningful; the distance from one to two is not claimed to equal the distance from two to three. The score enters the linear model as if it were cardinal, which is a standard and defensible simplification for a three-level ordinal, but the resulting coefficient is a slope across an ordered coding, not a measured economic quantity. Beyond that, level two is topically mixed, holding both dense economic analyses and thin cultural or archaeological pieces, so the venue coefficient absorbs that internal heterogeneity</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114"/>
    <w:bookmarkStart w:id="115" w:name="the-second-screen-variables"/>
    <w:p>
      <w:pPr>
        <w:pStyle w:val="Heading2"/>
        <w:spacing w:line="480" w:lineRule="auto"/>
      </w:pPr>
      <w:r>
        <w:t xml:space="preserve">5.6 The second-screen variables</w:t>
      </w:r>
    </w:p>
    <w:p>
      <w:pPr>
        <w:pStyle w:val="FirstParagraph"/>
        <w:spacing w:line="480" w:lineRule="auto"/>
      </w:pPr>
      <w:r>
        <w:t xml:space="preserve">The learning-curve screen uses two constructed variables. The outcome is citation count plus one, the plus-one included so the log transform is defined for the many zero-citation records. The regressor is a document age index computed as 2026 minus publication year plus one, running from one for the 2026 articles to twenty-one for the single 2006 record. Age and recency are near-mirror images, since both are linear in year, but they enter different models with different outcomes, and keeping them separate keeps each screen’s logic clean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age index shares the citation measure’s censoring problem from the other direction. The frontier moved first. Old records have had the longest time to accumulate citations, yet most still carry a local count of zero, so the log-log model is fitting a curve through a cloud dominated by ones with a few high outliers. That configuration is exactly the kind that produces a small elasticity and a low fit, and Chapter 6 confirms it does. The data chapter flags the pattern in advance so that the modest second-screen result reads as an honest reflection of the measure rather than a surprise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115"/>
    <w:bookmarkStart w:id="116" w:name="a-record-level-walk-through-the-corpus"/>
    <w:p>
      <w:pPr>
        <w:pStyle w:val="Heading2"/>
        <w:spacing w:line="480" w:lineRule="auto"/>
      </w:pPr>
      <w:r>
        <w:t xml:space="preserve">5.7 A record-level walk through the corpus</w:t>
      </w:r>
    </w:p>
    <w:p>
      <w:pPr>
        <w:pStyle w:val="FirstParagraph"/>
        <w:spacing w:line="480" w:lineRule="auto"/>
      </w:pPr>
      <w:r>
        <w:t xml:space="preserve">Numbers on a distribution mean more when a few records are read in the open. Money leads, documentation follows. Consider the three highest topic-signal records, all scoring eight or above. Two are cislunar situational-awareness papers using Poincaré-map methods, one on ground-based detection and one on space-based detection, whose retrieved snippets and keyword fields are dense with candidate-theme vocabulary despite sitting at venue level one</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third is a change-detection paper for the cislunar regime</w:t>
      </w:r>
      <w:r>
        <w:t xml:space="preserve"> </w:t>
      </w:r>
      <w:hyperlink w:anchor="ref-4">
        <w:r>
          <w:rPr>
            <w:rStyle w:val="Hyperlink"/>
          </w:rPr>
          <w:t xml:space="preserve">[4]</w:t>
        </w:r>
      </w:hyperlink>
      <w:r>
        <w:t xml:space="preserve">. That the theme-densest records are recent technical proceedings, not economics articles, is the first hint that the venue-migration story will be complicated, and it foreshadows the muddied venue coefficient of Chapter 6.</w:t>
      </w:r>
    </w:p>
    <w:p>
      <w:pPr>
        <w:pStyle w:val="BodyText"/>
        <w:spacing w:line="480" w:lineRule="auto"/>
        <w:ind w:firstLine="720"/>
      </w:pPr>
      <w:r>
        <w:t xml:space="preserve">Now consider the record carrying the heaviest citation load, a 2019 article on end-user value in the New Space economy with a local count of a hundred and seventy</w:t>
      </w:r>
      <w:r>
        <w:t xml:space="preserve"> </w:t>
      </w:r>
      <w:hyperlink w:anchor="ref-9">
        <w:r>
          <w:rPr>
            <w:rStyle w:val="Hyperlink"/>
          </w:rPr>
          <w:t xml:space="preserve">[9]</w:t>
        </w:r>
      </w:hyperlink>
      <w:r>
        <w:t xml:space="preserve">. The trace is legible. Its topic-signal score is low, a one, because its metadata is broad and canonical rather than densely candidate-themed. This single record does more than any other to drive the negative citation slope, and reading it in the open shows why that slope is a measurement artifact of canonical breadth rather than a substantive finding about topical heat</w:t>
      </w:r>
      <w:r>
        <w:t xml:space="preserve"> </w:t>
      </w:r>
      <w:hyperlink w:anchor="ref-11">
        <w:r>
          <w:rPr>
            <w:rStyle w:val="Hyperlink"/>
          </w:rPr>
          <w:t xml:space="preserve">[11]</w:t>
        </w:r>
      </w:hyperlink>
      <w:r>
        <w:t xml:space="preserve">. The audit design exists precisely so that a coefficient can be traced to the records that produce it, and this record is the clearest instance of the payoff.</w:t>
      </w:r>
    </w:p>
    <w:p>
      <w:pPr>
        <w:pStyle w:val="BodyText"/>
        <w:spacing w:line="480" w:lineRule="auto"/>
        <w:ind w:firstLine="720"/>
      </w:pPr>
      <w:r>
        <w:t xml:space="preserve">At the low end sit the policy and strategy documents from the economic-statecraft collection, most scoring one, with no snippet and no keyword field to carry signal</w:t>
      </w:r>
      <w:r>
        <w:t xml:space="preserve"> </w:t>
      </w:r>
      <w:hyperlink w:anchor="ref-1">
        <w:r>
          <w:rPr>
            <w:rStyle w:val="Hyperlink"/>
          </w:rPr>
          <w:t xml:space="preserve">[1]</w:t>
        </w:r>
      </w:hyperlink>
      <w:r>
        <w:t xml:space="preserve">. One exception is a lengthy description of a doctoral thesis on an international space reference architecture, whose fifty-one-word title-field and thematic density push its score to five. These records anchor venue level three but contribute little topical signal, which is a second reason the venue ordinal fails to behave as the naive theory expected. Walking the corpus this way makes the estimator output legible before it is even reported</w:t>
      </w:r>
      <w:r>
        <w:t xml:space="preserve"> </w:t>
      </w:r>
      <w:hyperlink w:anchor="ref-5">
        <w:r>
          <w:rPr>
            <w:rStyle w:val="Hyperlink"/>
          </w:rPr>
          <w:t xml:space="preserve">[5]</w:t>
        </w:r>
      </w:hyperlink>
      <w:r>
        <w:t xml:space="preserve">.</w:t>
      </w:r>
    </w:p>
    <w:bookmarkEnd w:id="116"/>
    <w:bookmarkStart w:id="117" w:name="Xfb6d90aa10ff13541f4598c8ccd885b39259dc5"/>
    <w:p>
      <w:pPr>
        <w:pStyle w:val="Heading2"/>
        <w:spacing w:line="480" w:lineRule="auto"/>
      </w:pPr>
      <w:r>
        <w:t xml:space="preserve">5.8 Correlation structure among the regressors</w:t>
      </w:r>
    </w:p>
    <w:p>
      <w:pPr>
        <w:pStyle w:val="FirstParagraph"/>
        <w:spacing w:line="480" w:lineRule="auto"/>
      </w:pPr>
      <w:r>
        <w:t xml:space="preserve">Because the first screen conditions three regressors on one another, their mutual correlation shapes what each coefficient can mean, and the data chapter should surface it plainly. Recency and venue family are positively correlated: the economics-forward and policy records cluster in recent years, while the older proceedings sit at venue level one</w:t>
      </w:r>
      <w:r>
        <w:t xml:space="preserve"> </w:t>
      </w:r>
      <w:hyperlink w:anchor="ref-13">
        <w:r>
          <w:rPr>
            <w:rStyle w:val="Hyperlink"/>
          </w:rPr>
          <w:t xml:space="preserve">[13]</w:t>
        </w:r>
      </w:hyperlink>
      <w:r>
        <w:t xml:space="preserve">. This correlation is expected under the migration theory, and it is moderate rather than severe, so the model can still separate the two slopes, but the separation is imperfect and the standard errors on both are inflated relative to an orthogonal design</w:t>
      </w:r>
      <w:r>
        <w:t xml:space="preserve"> </w:t>
      </w:r>
      <w:hyperlink w:anchor="ref-11">
        <w:r>
          <w:rPr>
            <w:rStyle w:val="Hyperlink"/>
          </w:rPr>
          <w:t xml:space="preserve">[11]</w:t>
        </w:r>
      </w:hyperlink>
      <w:r>
        <w:t xml:space="preserve">.</w:t>
      </w:r>
    </w:p>
    <w:p>
      <w:pPr>
        <w:pStyle w:val="BodyText"/>
        <w:spacing w:line="480" w:lineRule="auto"/>
        <w:ind w:firstLine="720"/>
      </w:pPr>
      <w:r>
        <w:t xml:space="preserve">Citation count and age are correlated even more strongly, and in the opposite direction from what the topic theory would want. That is the wager. The heavily cited records are old, so citation and recency run against each other, which means the citation slope in the first screen is partly a backward-facing age slope in disguise</w:t>
      </w:r>
      <w:r>
        <w:t xml:space="preserve"> </w:t>
      </w:r>
      <w:hyperlink w:anchor="ref-4">
        <w:r>
          <w:rPr>
            <w:rStyle w:val="Hyperlink"/>
          </w:rPr>
          <w:t xml:space="preserve">[4]</w:t>
        </w:r>
      </w:hyperlink>
      <w:r>
        <w:t xml:space="preserve">. This entanglement is the single most important feature of the correlation structure, and it is the reason the second screen isolates age with a dedicated model rather than trusting the first screen’s citation coefficient to speak cleanly about attention</w:t>
      </w:r>
      <w:r>
        <w:t xml:space="preserve"> </w:t>
      </w:r>
      <w:hyperlink w:anchor="ref-2">
        <w:r>
          <w:rPr>
            <w:rStyle w:val="Hyperlink"/>
          </w:rPr>
          <w:t xml:space="preserve">[2]</w:t>
        </w:r>
      </w:hyperlink>
      <w:r>
        <w:t xml:space="preserve">. Venue family and citation are only weakly related, since heavy citation appears at both venue levels one and two, which keeps the venue slope from being a mere echo of the citation slope. Reporting this structure in advance lets a reader anticipate why the coefficients behave as they do</w:t>
      </w:r>
      <w:r>
        <w:t xml:space="preserve"> </w:t>
      </w:r>
      <w:hyperlink w:anchor="ref-5">
        <w:r>
          <w:rPr>
            <w:rStyle w:val="Hyperlink"/>
          </w:rPr>
          <w:t xml:space="preserve">[5]</w:t>
        </w:r>
      </w:hyperlink>
      <w:r>
        <w:t xml:space="preserve">.</w:t>
      </w:r>
    </w:p>
    <w:bookmarkEnd w:id="117"/>
    <w:bookmarkStart w:id="118" w:name="the-temporal-distribution-of-the-corpus"/>
    <w:p>
      <w:pPr>
        <w:pStyle w:val="Heading2"/>
        <w:spacing w:line="480" w:lineRule="auto"/>
      </w:pPr>
      <w:r>
        <w:t xml:space="preserve">5.9 The temporal distribution of the corpus</w:t>
      </w:r>
    </w:p>
    <w:p>
      <w:pPr>
        <w:pStyle w:val="FirstParagraph"/>
        <w:spacing w:line="480" w:lineRule="auto"/>
      </w:pPr>
      <w:r>
        <w:t xml:space="preserve">How the thirty records spread across the two-decade window shapes what the recency and age variables can detect, so the temporal distribution deserves its own account. The corpus is weighted toward recent years. A cluster of records dates from 2022 through 2026, spanning the cislunar detection papers, the resource-market and value analyses, and the newest economics-forward articles</w:t>
      </w:r>
      <w:r>
        <w:t xml:space="preserve"> </w:t>
      </w:r>
      <w:hyperlink w:anchor="ref-6">
        <w:r>
          <w:rPr>
            <w:rStyle w:val="Hyperlink"/>
          </w:rPr>
          <w:t xml:space="preserve">[6]</w:t>
        </w:r>
      </w:hyperlink>
      <w:r>
        <w:t xml:space="preserve"> </w:t>
      </w:r>
      <w:hyperlink w:anchor="ref-12">
        <w:r>
          <w:rPr>
            <w:rStyle w:val="Hyperlink"/>
          </w:rPr>
          <w:t xml:space="preserve">[12]</w:t>
        </w:r>
      </w:hyperlink>
      <w:r>
        <w:t xml:space="preserve">. A thinner tail reaches back through the 2010s to a single 2006 technical proceeding on adaptive optics, which alone anchors the oldest end of both the recency and age indices</w:t>
      </w:r>
      <w:r>
        <w:t xml:space="preserve"> </w:t>
      </w:r>
      <w:hyperlink w:anchor="ref-3">
        <w:r>
          <w:rPr>
            <w:rStyle w:val="Hyperlink"/>
          </w:rPr>
          <w:t xml:space="preserve">[3]</w:t>
        </w:r>
      </w:hyperlink>
      <w:r>
        <w:t xml:space="preserve">.</w:t>
      </w:r>
    </w:p>
    <w:p>
      <w:pPr>
        <w:pStyle w:val="BodyText"/>
        <w:spacing w:line="480" w:lineRule="auto"/>
        <w:ind w:firstLine="720"/>
      </w:pPr>
      <w:r>
        <w:t xml:space="preserve">This right-weighting has two consequences. First, the recency variable has more observations at its high end, so the positive recency slope is estimated over a well-populated region rather than extrapolated from a few new records</w:t>
      </w:r>
      <w:r>
        <w:t xml:space="preserve"> </w:t>
      </w:r>
      <w:hyperlink w:anchor="ref-13">
        <w:r>
          <w:rPr>
            <w:rStyle w:val="Hyperlink"/>
          </w:rPr>
          <w:t xml:space="preserve">[13]</w:t>
        </w:r>
      </w:hyperlink>
      <w:r>
        <w:t xml:space="preserve">. That population density is part of why the recency finding is robust: it is not resting on one or two recent outliers but on a genuine cluster of recent, theme-dense work</w:t>
      </w:r>
      <w:r>
        <w:t xml:space="preserve"> </w:t>
      </w:r>
      <w:hyperlink w:anchor="ref-9">
        <w:r>
          <w:rPr>
            <w:rStyle w:val="Hyperlink"/>
          </w:rPr>
          <w:t xml:space="preserve">[9]</w:t>
        </w:r>
      </w:hyperlink>
      <w:r>
        <w:t xml:space="preserve">. Second, the age variable is sparse at its high end, since only a handful of records are genuinely old, which means the learning-curve model is fitting its curve mostly over young documents with a thin old tail. That sparsity is one more reason the age elasticity is imprecise, and reporting it here connects the data structure to the modest second-screen result before it appears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8"/>
    <w:bookmarkStart w:id="119" w:name="Xebd767ea1bee650459e65d6a9032b3e2619466d"/>
    <w:p>
      <w:pPr>
        <w:pStyle w:val="Heading2"/>
        <w:spacing w:line="480" w:lineRule="auto"/>
      </w:pPr>
      <w:r>
        <w:t xml:space="preserve">5.10 Measurement decisions and their alternatives</w:t>
      </w:r>
    </w:p>
    <w:p>
      <w:pPr>
        <w:pStyle w:val="FirstParagraph"/>
        <w:spacing w:line="480" w:lineRule="auto"/>
      </w:pPr>
      <w:r>
        <w:t xml:space="preserve">Several measurement choices could have gone otherwise, and a transparent data chapter should say what was chosen and why. The topic-signal score sums theme hits across four metadata fields with equal weight; an alternative would weight the title more heavily than the snippet, on the theory that a title term signals more topical commitment than a snippet term</w:t>
      </w:r>
      <w:r>
        <w:t xml:space="preserve"> </w:t>
      </w:r>
      <w:hyperlink w:anchor="ref-5">
        <w:r>
          <w:rPr>
            <w:rStyle w:val="Hyperlink"/>
          </w:rPr>
          <w:t xml:space="preserve">[5]</w:t>
        </w:r>
      </w:hyperlink>
      <w:r>
        <w:t xml:space="preserve">. The equal-weight choice is the more conservative and the more auditable, because it requires no judgment about relative field importance, and any weighting scheme would have to be defended against the charge of tuning the outcome toward a desired result</w:t>
      </w:r>
      <w:r>
        <w:t xml:space="preserve"> </w:t>
      </w:r>
      <w:hyperlink w:anchor="ref-2">
        <w:r>
          <w:rPr>
            <w:rStyle w:val="Hyperlink"/>
          </w:rPr>
          <w:t xml:space="preserve">[2]</w:t>
        </w:r>
      </w:hyperlink>
      <w:r>
        <w:t xml:space="preserve">.</w:t>
      </w:r>
    </w:p>
    <w:p>
      <w:pPr>
        <w:pStyle w:val="BodyText"/>
        <w:spacing w:line="480" w:lineRule="auto"/>
        <w:ind w:firstLine="720"/>
      </w:pPr>
      <w:r>
        <w:t xml:space="preserve">The venue ordinal is coded in three levels, but the sector could support finer coding: separating defense-oriented from civil proceedings, or splitting the economics journal by article type</w:t>
      </w:r>
      <w:r>
        <w:t xml:space="preserve"> </w:t>
      </w:r>
      <w:hyperlink w:anchor="ref-10">
        <w:r>
          <w:rPr>
            <w:rStyle w:val="Hyperlink"/>
          </w:rPr>
          <w:t xml:space="preserve">[10]</w:t>
        </w:r>
      </w:hyperlink>
      <w:r>
        <w:t xml:space="preserve">. The proxy is testable. The three-level choice trades resolution for stability, since finer coding over thirty records would leave some levels with a single occupant and no ability to estimate a slope</w:t>
      </w:r>
      <w:r>
        <w:t xml:space="preserve"> </w:t>
      </w:r>
      <w:hyperlink w:anchor="ref-12">
        <w:r>
          <w:rPr>
            <w:rStyle w:val="Hyperlink"/>
          </w:rPr>
          <w:t xml:space="preserve">[12]</w:t>
        </w:r>
      </w:hyperlink>
      <w:r>
        <w:t xml:space="preserve">. The citation measure takes the local index at face value and sets missing to zero; an alternative would treat missing as genuinely unknown and drop those records, but that would discard most of the corpus and destroy the sample</w:t>
      </w:r>
      <w:r>
        <w:t xml:space="preserve"> </w:t>
      </w:r>
      <w:hyperlink w:anchor="ref-5">
        <w:r>
          <w:rPr>
            <w:rStyle w:val="Hyperlink"/>
          </w:rPr>
          <w:t xml:space="preserve">[5]</w:t>
        </w:r>
      </w:hyperlink>
      <w:r>
        <w:t xml:space="preserve">. Each decision favored keeping the full thirty records and keeping the construction mechanical, which is the consistent principle behind the measurement design and the reason its limits are stated so plainly</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19"/>
    <w:bookmarkStart w:id="120" w:name="data-quality-checks"/>
    <w:p>
      <w:pPr>
        <w:pStyle w:val="Heading2"/>
        <w:spacing w:line="480" w:lineRule="auto"/>
      </w:pPr>
      <w:r>
        <w:t xml:space="preserve">5.11 Data quality checks</w:t>
      </w:r>
    </w:p>
    <w:p>
      <w:pPr>
        <w:pStyle w:val="FirstParagraph"/>
        <w:spacing w:line="480" w:lineRule="auto"/>
      </w:pPr>
      <w:r>
        <w:t xml:space="preserve">A measurement design that stakes its credibility on transparency should describe the checks that confirm the data are internally consistent, and several apply here. Every record’s recency index equals its publication year minus 2006 plus one, and every age index equals 2026 minus its publication year plus one, so the two indices sum to a constant across records, a relationship that can be verified row by row and that confirms no year was mistranscribed</w:t>
      </w:r>
      <w:r>
        <w:t xml:space="preserve"> </w:t>
      </w:r>
      <w:hyperlink w:anchor="ref-5">
        <w:r>
          <w:rPr>
            <w:rStyle w:val="Hyperlink"/>
          </w:rPr>
          <w:t xml:space="preserve">[5]</w:t>
        </w:r>
      </w:hyperlink>
      <w:r>
        <w:t xml:space="preserve">. The topic-signal score is bounded below by one for every record by construction, since the minimum theme count plus the field-presence floor cannot fall to zero, and the observed minimum of one confirms the construction behaved as specified</w:t>
      </w:r>
      <w:r>
        <w:t xml:space="preserve"> </w:t>
      </w:r>
      <w:hyperlink w:anchor="ref-2">
        <w:r>
          <w:rPr>
            <w:rStyle w:val="Hyperlink"/>
          </w:rPr>
          <w:t xml:space="preserve">[2]</w:t>
        </w:r>
      </w:hyperlink>
      <w:r>
        <w:t xml:space="preserve">.</w:t>
      </w:r>
    </w:p>
    <w:p>
      <w:pPr>
        <w:pStyle w:val="BodyText"/>
        <w:spacing w:line="480" w:lineRule="auto"/>
        <w:ind w:firstLine="720"/>
      </w:pPr>
      <w:r>
        <w:t xml:space="preserve">The citation field passes a plausibility check as well. Every non-zero citation count sits on a journal record with a document-object identifier, never on a bare conference proceeding, which matches the expectation that the local index scores citations for indexed journal articles more readily than for proceedings</w:t>
      </w:r>
      <w:r>
        <w:t xml:space="preserve"> </w:t>
      </w:r>
      <w:hyperlink w:anchor="ref-9">
        <w:r>
          <w:rPr>
            <w:rStyle w:val="Hyperlink"/>
          </w:rPr>
          <w:t xml:space="preserve">[9]</w:t>
        </w:r>
      </w:hyperlink>
      <w:r>
        <w:t xml:space="preserve">. No record carries a negative count, no index falls outside its defined range, and the venue score takes only the three defined values</w:t>
      </w:r>
      <w:r>
        <w:t xml:space="preserve"> </w:t>
      </w:r>
      <w:hyperlink w:anchor="ref-10">
        <w:r>
          <w:rPr>
            <w:rStyle w:val="Hyperlink"/>
          </w:rPr>
          <w:t xml:space="preserve">[10]</w:t>
        </w:r>
      </w:hyperlink>
      <w:r>
        <w:t xml:space="preserve">. These checks do not validate the constructs against any external truth, which no internal check can do, but they confirm the data are self-consistent and free of the mechanical errors that would invalidate the estimates before interpretation even began</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20"/>
    <w:bookmarkStart w:id="121" w:name="provenance-and-limits-of-the-measurement"/>
    <w:p>
      <w:pPr>
        <w:pStyle w:val="Heading2"/>
        <w:spacing w:line="480" w:lineRule="auto"/>
      </w:pPr>
      <w:r>
        <w:t xml:space="preserve">5.12 Provenance and limits of the measurement</w:t>
      </w:r>
    </w:p>
    <w:p>
      <w:pPr>
        <w:pStyle w:val="FirstParagraph"/>
        <w:spacing w:line="480" w:lineRule="auto"/>
      </w:pPr>
      <w:r>
        <w:t xml:space="preserve">The measurement design trades coverage for auditability, and the trade is deliberate. A comprehensive commercial citation database would give richer counts but would sacrifice the line-by-line traceability that lets a committee verify every value. The local metadata construction gives less citation depth but total transparency: every score, index, and code descends from a named source through a mechanical rule. The provenance chain is the asset the project chose to protect</w:t>
      </w:r>
      <w:r>
        <w:t xml:space="preserve"> </w:t>
      </w:r>
      <w:hyperlink w:anchor="ref-5">
        <w:r>
          <w:rPr>
            <w:rStyle w:val="Hyperlink"/>
          </w:rPr>
          <w:t xml:space="preserve">[5]</w:t>
        </w:r>
      </w:hyperlink>
      <w:r>
        <w:t xml:space="preserve">.</w:t>
      </w:r>
    </w:p>
    <w:p>
      <w:pPr>
        <w:pStyle w:val="BodyText"/>
        <w:spacing w:line="480" w:lineRule="auto"/>
        <w:ind w:firstLine="720"/>
      </w:pPr>
      <w:r>
        <w:t xml:space="preserve">The limits follow directly from that choice and were named in the prospectus’s own threats list. Source-pack noise can weaken topic fit, because a candidate corpus drawn across venues will always contain records whose metadata is thin. Citation counts are local index measures rather than universal totals. Venue-family coding is ordinal and should not carry cardinal weight. And the design tests corpus structure, not final causal policy impact. These are the measurement terms on which the results of the next chapter must be read, and stating them here is what earns those results their bounded credibility</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21"/>
    <w:bookmarkEnd w:id="122"/>
    <w:bookmarkStart w:id="135" w:name="chapter-6.-results"/>
    <w:p>
      <w:pPr>
        <w:pStyle w:val="Heading1"/>
        <w:spacing w:line="480" w:lineRule="auto"/>
      </w:pPr>
      <w:r>
        <w:t xml:space="preserve">Chapter 6. Results</w:t>
      </w:r>
    </w:p>
    <w:p>
      <w:pPr>
        <w:pStyle w:val="FirstParagraph"/>
        <w:spacing w:line="480" w:lineRule="auto"/>
      </w:pPr>
      <w:r>
        <w:t xml:space="preserve">This chapter reports the output of both screens exactly as the workbooks produced them, then interprets the signs, magnitudes, and precision against the theory of Chapter 3.</w:t>
      </w:r>
    </w:p>
    <w:p>
      <w:pPr>
        <w:pStyle w:val="BodyText"/>
        <w:spacing w:line="480" w:lineRule="auto"/>
        <w:ind w:firstLine="720"/>
      </w:pPr>
      <w:r>
        <w:t xml:space="preserve">Every number here is deterministic and reproducible from the thirty-record files. The reporting convention is strict: coefficients, standard-error inputs, p-values, and fit statistics are given at the precision the estimator returned, so a committee can rerun the models and match to the last digit. Interpretation follows the numbers; it never adjusts them</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Start w:id="123" w:name="Xf41ddc0c947d2a1d4823ef1c13e2f6fd2cf7175"/>
    <w:p>
      <w:pPr>
        <w:pStyle w:val="Heading2"/>
        <w:spacing w:line="480" w:lineRule="auto"/>
      </w:pPr>
      <w:r>
        <w:t xml:space="preserve">6.1 First screen: ordinary least squares on the topic signal</w:t>
      </w:r>
    </w:p>
    <w:p>
      <w:pPr>
        <w:pStyle w:val="FirstParagraph"/>
        <w:spacing w:line="480" w:lineRule="auto"/>
      </w:pPr>
      <w:r>
        <w:t xml:space="preserve">The first screen estimates the topic-signal score on recency, citation count, and venue family, using HC1 robust standard errors over N=30 records. The model’s fit summary is as follows. The coefficient of determination is R2=0.26126073914002956, and the adjusted coefficient of determination is R2_adj=0.17602159365618675. The joint test of the three regressors is F=4.25660063991721 with F_p=0.014239875817896054.</w:t>
      </w:r>
    </w:p>
    <w:p>
      <w:pPr>
        <w:pStyle w:val="BodyText"/>
        <w:spacing w:line="480" w:lineRule="auto"/>
        <w:ind w:firstLine="720"/>
      </w:pPr>
      <w:r>
        <w:t xml:space="preserve">The term-level output is reported next.</w:t>
      </w:r>
    </w:p>
    <w:p>
      <w:pPr>
        <w:pStyle w:val="BodyText"/>
        <w:spacing w:line="480" w:lineRule="auto"/>
        <w:ind w:firstLine="720"/>
      </w:pPr>
      <w:r>
        <w:t xml:space="preserve">The intercept is const coef=1.321530840369013 with p=0.06565104523434935. The recency slope is recency_index coef=0.220187616673878 with p=0.0027691874355098125. The citation slope is cites_num coef=-0.007801871939869717 with p=0.006145834934245648. The venue slope is venue_score coef=-1.072915695656758 with p=0.10606021518540397. Read the fit first. The model accounts for about twenty-six percent of the variance in the topic-signal score, and about eighteen percent after adjusting for the three parameters against thirty observations. For a first metadata screen over a heterogeneous candidate corpus, that is a moderate fit: enough to say the corpus carries structure, far from enough to say the metadata explains most of what drives the signal. The joint F test settles the dissertation-level H0(1). With F_p=0.014239875817896054, the three regressors are jointly significant at the five-percent level, and the corpus is structured along at least one of the three axes. H0(1) is rejected</w:t>
      </w:r>
      <w:r>
        <w:t xml:space="preserve"> </w:t>
      </w:r>
      <w:hyperlink w:anchor="ref-9">
        <w:r>
          <w:rPr>
            <w:rStyle w:val="Hyperlink"/>
          </w:rPr>
          <w:t xml:space="preserve">[9]</w:t>
        </w:r>
      </w:hyperlink>
      <w:r>
        <w:t xml:space="preserve">.</w:t>
      </w:r>
    </w:p>
    <w:bookmarkEnd w:id="123"/>
    <w:bookmarkStart w:id="124" w:name="interpreting-the-recency-slope"/>
    <w:p>
      <w:pPr>
        <w:pStyle w:val="Heading2"/>
        <w:spacing w:line="480" w:lineRule="auto"/>
      </w:pPr>
      <w:r>
        <w:t xml:space="preserve">6.2 Interpreting the recency slope</w:t>
      </w:r>
    </w:p>
    <w:p>
      <w:pPr>
        <w:pStyle w:val="FirstParagraph"/>
        <w:spacing w:line="480" w:lineRule="auto"/>
      </w:pPr>
      <w:r>
        <w:t xml:space="preserve">The recency slope carries the theory’s central prediction, and the data confirm it. The coefficient recency_index coef=0.220187616673878 is positive and, at p=0.0027691874355098125, the most precisely estimated term in the model. Each additional year of recency is associated with roughly 0.22 additional points of topic-signal score, holding citation count and venue family fixed. Across the twenty-one-unit span of the recency index, that slope implies a difference of about 4.6 signal points between the oldest and newest records, which is large relative to a score distribution that mostly runs from one to four</w:t>
      </w:r>
      <w:r>
        <w:t xml:space="preserve"> </w:t>
      </w:r>
      <w:hyperlink w:anchor="ref-13">
        <w:r>
          <w:rPr>
            <w:rStyle w:val="Hyperlink"/>
          </w:rPr>
          <w:t xml:space="preserve">[13]</w:t>
        </w:r>
      </w:hyperlink>
      <w:r>
        <w:t xml:space="preserve">. This is the temporal signature the mechanism predicted. Newer records in the retrieved corpus are more saturated with the candidate theme, net of how much they are cited and where they are published. The finding is consistent with a capital-led reading in which recent financing draws recent, theme-dense documentation, though the design cannot elevate that consistency to proof of causation. What the design can say plainly is that the temporal structure exists and is precisely signed, which is the necessary condition for the corpus to function as a lagging proxy at all</w:t>
      </w:r>
      <w:r>
        <w:t xml:space="preserve"> </w:t>
      </w:r>
      <w:hyperlink w:anchor="ref-11">
        <w:r>
          <w:rPr>
            <w:rStyle w:val="Hyperlink"/>
          </w:rPr>
          <w:t xml:space="preserve">[11]</w:t>
        </w:r>
      </w:hyperlink>
      <w:r>
        <w:t xml:space="preserve">.</w:t>
      </w:r>
    </w:p>
    <w:bookmarkEnd w:id="124"/>
    <w:bookmarkStart w:id="125" w:name="interpreting-the-citation-slope"/>
    <w:p>
      <w:pPr>
        <w:pStyle w:val="Heading2"/>
        <w:spacing w:line="480" w:lineRule="auto"/>
      </w:pPr>
      <w:r>
        <w:t xml:space="preserve">6.3 Interpreting the citation slope</w:t>
      </w:r>
    </w:p>
    <w:p>
      <w:pPr>
        <w:pStyle w:val="FirstParagraph"/>
        <w:spacing w:line="480" w:lineRule="auto"/>
      </w:pPr>
      <w:r>
        <w:t xml:space="preserve">The citation slope is the theory’s hedged prediction, and the result vindicates the hedge. The claim is falsifiable. The coefficient cites_num coef=-0.007801871939869717 is negative and precisely estimated at p=0.006145834934245648. The naive prediction from Chapter 3 was a positive citation slope, on the reasoning that well-funded areas attract citation. The data return the opposite sign, and the sign is not a rounding artifact; it is a statistically distinguishable negative relationship between local citation count and topic-signal score</w:t>
      </w:r>
      <w:r>
        <w:t xml:space="preserve"> </w:t>
      </w:r>
      <w:hyperlink w:anchor="ref-2">
        <w:r>
          <w:rPr>
            <w:rStyle w:val="Hyperlink"/>
          </w:rPr>
          <w:t xml:space="preserve">[2]</w:t>
        </w:r>
      </w:hyperlink>
      <w:r>
        <w:t xml:space="preserve">. The negative sign is interpretable rather than anomalous, and the theory prepared for it. The high citation counts in this corpus sit on older, canonical economics-forward articles whose metadata is broad rather than densely candidate-themed, the hundred-and-seventy-citation 2019 value article being the clearest case</w:t>
      </w:r>
      <w:r>
        <w:t xml:space="preserve"> </w:t>
      </w:r>
      <w:hyperlink w:anchor="ref-9">
        <w:r>
          <w:rPr>
            <w:rStyle w:val="Hyperlink"/>
          </w:rPr>
          <w:t xml:space="preserve">[9]</w:t>
        </w:r>
      </w:hyperlink>
      <w:r>
        <w:t xml:space="preserve">. Those records carry heavy citation but modest topic signal, while the theme-dense records are recent and locally uncited. The negative coefficient is thus the corpus telling us that local citation attention, as measured here, tracks canonical age and breadth, not candidate-topic intensity. The magnitude is small, under eight thousandths of a signal point per citation, so even the hundred-and-seventy-citation outlier moves the fitted signal by only about 1.3 points. The measure is signed, tight, and economically minor, exactly the profile of a contaminated proxy behaving predictably</w:t>
      </w:r>
      <w:r>
        <w:t xml:space="preserve"> </w:t>
      </w:r>
      <w:hyperlink w:anchor="ref-5">
        <w:r>
          <w:rPr>
            <w:rStyle w:val="Hyperlink"/>
          </w:rPr>
          <w:t xml:space="preserve">[5]</w:t>
        </w:r>
      </w:hyperlink>
      <w:r>
        <w:t xml:space="preserve">.</w:t>
      </w:r>
    </w:p>
    <w:bookmarkEnd w:id="125"/>
    <w:bookmarkStart w:id="126" w:name="interpreting-the-venue-slope"/>
    <w:p>
      <w:pPr>
        <w:pStyle w:val="Heading2"/>
        <w:spacing w:line="480" w:lineRule="auto"/>
      </w:pPr>
      <w:r>
        <w:t xml:space="preserve">6.4 Interpreting the venue slope</w:t>
      </w:r>
    </w:p>
    <w:p>
      <w:pPr>
        <w:pStyle w:val="FirstParagraph"/>
        <w:spacing w:line="480" w:lineRule="auto"/>
      </w:pPr>
      <w:r>
        <w:t xml:space="preserve">The venue slope is the theory’s structural prediction, and here the evidence is genuinely inconclusive. The coefficient venue_score coef=-1.072915695656758 is negative and sizable, but at p=0.10606021518540397 it does not clear the five-percent threshold. The design treats an imprecise coefficient as evidence against a strong claim rather than as a confirmed effect, and it applies that rule here. The naive prediction of a positive venue slope is not supported; neither is a confident negative claim warranted</w:t>
      </w:r>
      <w:r>
        <w:t xml:space="preserve"> </w:t>
      </w:r>
      <w:hyperlink w:anchor="ref-10">
        <w:r>
          <w:rPr>
            <w:rStyle w:val="Hyperlink"/>
          </w:rPr>
          <w:t xml:space="preserve">[10]</w:t>
        </w:r>
      </w:hyperlink>
      <w:r>
        <w:t xml:space="preserve">. The imprecision is itself informative and traces to the heterogeneity documented in Chapter 5. Venue level two, the economics-forward journal, holds both dense economic analyses and thin cultural and archaeological pieces, so the venue variable is internally mixed and its slope is smeared across that mixture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point estimate leans negative, hinting that higher venue levels carry lower topic signal once recency and citation are controlled, which would run against the framing-migration story. The dissertation does not press that hint. With this sample and this coding, the venue channel is unresolved, and saying so is more honest than manufacturing significance from a three-level ordinal over thirty records</w:t>
      </w:r>
      <w:r>
        <w:t xml:space="preserve"> </w:t>
      </w:r>
      <w:hyperlink w:anchor="ref-12">
        <w:r>
          <w:rPr>
            <w:rStyle w:val="Hyperlink"/>
          </w:rPr>
          <w:t xml:space="preserve">[12]</w:t>
        </w:r>
      </w:hyperlink>
      <w:r>
        <w:t xml:space="preserve">.</w:t>
      </w:r>
    </w:p>
    <w:bookmarkEnd w:id="126"/>
    <w:bookmarkStart w:id="127" w:name="second-screen-the-log-log-learning-curve"/>
    <w:p>
      <w:pPr>
        <w:pStyle w:val="Heading2"/>
        <w:spacing w:line="480" w:lineRule="auto"/>
      </w:pPr>
      <w:r>
        <w:t xml:space="preserve">6.5 Second screen: the log-log learning curve</w:t>
      </w:r>
    </w:p>
    <w:p>
      <w:pPr>
        <w:pStyle w:val="FirstParagraph"/>
        <w:spacing w:line="480" w:lineRule="auto"/>
      </w:pPr>
      <w:r>
        <w:t xml:space="preserve">The second screen estimates citation accumulation against article age in log-log form with HC1 robust standard errors over N=30. The fit summary is as follows. The coefficient of determination is R2=0.004795362835234074. The estimated elasticity is elasticity_b=0.12495842028053097, and the corresponding progress ratio at a doubling of age is progress_ratio_2^b=1.0904763037416725.</w:t>
      </w:r>
    </w:p>
    <w:p>
      <w:pPr>
        <w:pStyle w:val="BodyText"/>
        <w:spacing w:line="480" w:lineRule="auto"/>
        <w:ind w:firstLine="720"/>
      </w:pPr>
      <w:r>
        <w:t xml:space="preserve">The term-level output is reported next. The intercept is const coef=0.5532412512328643 with p=0.12129195534772774. The age elasticity is _ln_x coef=0.12495842028053097 with p=0.6427437957387345.</w:t>
      </w:r>
    </w:p>
    <w:p>
      <w:pPr>
        <w:pStyle w:val="BodyText"/>
        <w:spacing w:line="480" w:lineRule="auto"/>
        <w:ind w:firstLine="720"/>
      </w:pPr>
      <w:r>
        <w:t xml:space="preserve">The result is a clear null on the age dimension. The elasticity of 0.12495842028053097 is small and positive in point value, but at p=0.6427437957387345 it is indistinguishable from zero, and the model’s R2=0.004795362835234074 says the age index explains under one half of one percent of the variance in log citations. The progress ratio of 1.0904763037416725 would imply that citations grow by about nine percent as article age doubles, but with the slope this imprecise, that figure carries no evidential weight. H0(2) is not rejected. Citation accumulation in this corpus does not follow a measurable age-based attention curve</w:t>
      </w:r>
      <w:r>
        <w:t xml:space="preserve"> </w:t>
      </w:r>
      <w:hyperlink w:anchor="ref-4">
        <w:r>
          <w:rPr>
            <w:rStyle w:val="Hyperlink"/>
          </w:rPr>
          <w:t xml:space="preserve">[4]</w:t>
        </w:r>
      </w:hyperlink>
      <w:r>
        <w:t xml:space="preserve">.</w:t>
      </w:r>
    </w:p>
    <w:bookmarkEnd w:id="127"/>
    <w:bookmarkStart w:id="128" w:name="the-intercept-and-the-fitted-baseline"/>
    <w:p>
      <w:pPr>
        <w:pStyle w:val="Heading2"/>
        <w:spacing w:line="480" w:lineRule="auto"/>
      </w:pPr>
      <w:r>
        <w:t xml:space="preserve">6.6 The intercept and the fitted baseline</w:t>
      </w:r>
    </w:p>
    <w:p>
      <w:pPr>
        <w:pStyle w:val="FirstParagraph"/>
        <w:spacing w:line="480" w:lineRule="auto"/>
      </w:pPr>
      <w:r>
        <w:t xml:space="preserve">The intercept in the first screen deserves brief attention, because it fixes the baseline against which the slopes operate. So the caution stands. The constant const coef=1.321530840369013 with p=0.06565104523434935 is the fitted topic-signal score for a hypothetical record at recency zero, citation zero, and venue zero, a point outside the observed data since venue is coded from one. Its p-value sits just above the five-percent threshold, so the baseline is estimated with moderate but not conclusive precision. The intercept is not a substantive quantity here; it is the anchor that lets the recency slope be read as a per-year increment above a floor of roughly one signal point, which matches the empirical floor described in Chapter 5</w:t>
      </w:r>
      <w:r>
        <w:t xml:space="preserve"> </w:t>
      </w:r>
      <w:hyperlink w:anchor="ref-5">
        <w:r>
          <w:rPr>
            <w:rStyle w:val="Hyperlink"/>
          </w:rPr>
          <w:t xml:space="preserve">[5]</w:t>
        </w:r>
      </w:hyperlink>
      <w:r>
        <w:t xml:space="preserve">.</w:t>
      </w:r>
    </w:p>
    <w:p>
      <w:pPr>
        <w:pStyle w:val="BodyText"/>
        <w:spacing w:line="480" w:lineRule="auto"/>
        <w:ind w:firstLine="720"/>
      </w:pPr>
      <w:r>
        <w:t xml:space="preserve">Reading the intercept alongside the recency slope gives a concrete fitted trajectory. A record at the oldest recency, holding citation and venue at their reference points, is fitted near the low end of the signal distribution, while a record at the newest recency is fitted several points higher, the difference being the 0.220187616673878 per-year slope multiplied across the recency span</w:t>
      </w:r>
      <w:r>
        <w:t xml:space="preserve"> </w:t>
      </w:r>
      <w:hyperlink w:anchor="ref-13">
        <w:r>
          <w:rPr>
            <w:rStyle w:val="Hyperlink"/>
          </w:rPr>
          <w:t xml:space="preserve">[13]</w:t>
        </w:r>
      </w:hyperlink>
      <w:r>
        <w:t xml:space="preserve">. This fitted trajectory is the model’s compact summary of the temporal signature, and it is worth stating in plain terms because a coefficient in isolation can obscure how much of the observed signal range the recency channel actually spans</w:t>
      </w:r>
      <w:r>
        <w:t xml:space="preserve"> </w:t>
      </w:r>
      <w:hyperlink w:anchor="ref-9">
        <w:r>
          <w:rPr>
            <w:rStyle w:val="Hyperlink"/>
          </w:rPr>
          <w:t xml:space="preserve">[9]</w:t>
        </w:r>
      </w:hyperlink>
      <w:r>
        <w:t xml:space="preserve">.</w:t>
      </w:r>
    </w:p>
    <w:bookmarkEnd w:id="128"/>
    <w:bookmarkStart w:id="129" w:name="magnitude-in-context"/>
    <w:p>
      <w:pPr>
        <w:pStyle w:val="Heading2"/>
        <w:spacing w:line="480" w:lineRule="auto"/>
      </w:pPr>
      <w:r>
        <w:t xml:space="preserve">6.7 Magnitude in context</w:t>
      </w:r>
    </w:p>
    <w:p>
      <w:pPr>
        <w:pStyle w:val="FirstParagraph"/>
        <w:spacing w:line="480" w:lineRule="auto"/>
      </w:pPr>
      <w:r>
        <w:t xml:space="preserve">Statistical significance and substantive magnitude are different questions, and a doctoral reading must address both. The recency slope is significant, but is it large? Against a topic-signal distribution that mostly runs from one to four with a few records reaching eight to eleven, a per-year increment of 0.220187616673878 is substantial: it means recency alone spans a signal range comparable to the full observed spread over the two-decade window</w:t>
      </w:r>
      <w:r>
        <w:t xml:space="preserve"> </w:t>
      </w:r>
      <w:hyperlink w:anchor="ref-6">
        <w:r>
          <w:rPr>
            <w:rStyle w:val="Hyperlink"/>
          </w:rPr>
          <w:t xml:space="preserve">[6]</w:t>
        </w:r>
      </w:hyperlink>
      <w:r>
        <w:t xml:space="preserve">. The recency channel is therefore not a statistically detectable triviality; it is an economically meaningful share of the variation in how theme-dense records are, which is what makes the rejection of H0(1) matter rather than merely register</w:t>
      </w:r>
      <w:r>
        <w:t xml:space="preserve"> </w:t>
      </w:r>
      <w:hyperlink w:anchor="ref-13">
        <w:r>
          <w:rPr>
            <w:rStyle w:val="Hyperlink"/>
          </w:rPr>
          <w:t xml:space="preserve">[13]</w:t>
        </w:r>
      </w:hyperlink>
      <w:r>
        <w:t xml:space="preserve">.</w:t>
      </w:r>
    </w:p>
    <w:p>
      <w:pPr>
        <w:pStyle w:val="BodyText"/>
        <w:spacing w:line="480" w:lineRule="auto"/>
        <w:ind w:firstLine="720"/>
      </w:pPr>
      <w:r>
        <w:t xml:space="preserve">The citation slope offers the mirror lesson. It is significant at p=0.006145834934245648, yet its magnitude of -0.007801871939869717 per citation is tiny in substantive terms, because even the largest citation count in the corpus moves the fitted signal by only about 1.3 points</w:t>
      </w:r>
      <w:r>
        <w:t xml:space="preserve"> </w:t>
      </w:r>
      <w:hyperlink w:anchor="ref-9">
        <w:r>
          <w:rPr>
            <w:rStyle w:val="Hyperlink"/>
          </w:rPr>
          <w:t xml:space="preserve">[9]</w:t>
        </w:r>
      </w:hyperlink>
      <w:r>
        <w:t xml:space="preserve">. Significance without magnitude is exactly the profile of a precisely measured but economically minor effect, and the design reads it that way. The venue slope is the opposite case again: sizable in point value at -1.072915695656758 but imprecise at p=0.10606021518540397, so its magnitude cannot be trusted</w:t>
      </w:r>
      <w:r>
        <w:t xml:space="preserve"> </w:t>
      </w:r>
      <w:hyperlink w:anchor="ref-10">
        <w:r>
          <w:rPr>
            <w:rStyle w:val="Hyperlink"/>
          </w:rPr>
          <w:t xml:space="preserve">[10]</w:t>
        </w:r>
      </w:hyperlink>
      <w:r>
        <w:t xml:space="preserve">. Reading significance and magnitude jointly across the three coefficients is what separates a mechanical report of stars from a genuine interpretation</w:t>
      </w:r>
      <w:r>
        <w:t xml:space="preserve"> </w:t>
      </w:r>
      <w:hyperlink w:anchor="ref-2">
        <w:r>
          <w:rPr>
            <w:rStyle w:val="Hyperlink"/>
          </w:rPr>
          <w:t xml:space="preserve">[2]</w:t>
        </w:r>
      </w:hyperlink>
      <w:r>
        <w:t xml:space="preserve">.</w:t>
      </w:r>
    </w:p>
    <w:bookmarkEnd w:id="129"/>
    <w:bookmarkStart w:id="130" w:name="robustness-considerations"/>
    <w:p>
      <w:pPr>
        <w:pStyle w:val="Heading2"/>
        <w:spacing w:line="480" w:lineRule="auto"/>
      </w:pPr>
      <w:r>
        <w:t xml:space="preserve">6.8 Robustness considerations</w:t>
      </w:r>
    </w:p>
    <w:p>
      <w:pPr>
        <w:pStyle w:val="FirstParagraph"/>
        <w:spacing w:line="480" w:lineRule="auto"/>
      </w:pPr>
      <w:r>
        <w:t xml:space="preserve">Because the sample is small, a careful reader will ask how fragile these estimates are, and the design can speak to that even without re-estimating. The recency slope’s precision, at p=0.0027691874355098125, is the tightest in the model, and a slope estimated that tightly over thirty records is unlikely to be the artifact of a single influential observation, since no one record in a thirty-record linear fit can single-handedly drive a p-value that low</w:t>
      </w:r>
      <w:r>
        <w:t xml:space="preserve"> </w:t>
      </w:r>
      <w:hyperlink w:anchor="ref-4">
        <w:r>
          <w:rPr>
            <w:rStyle w:val="Hyperlink"/>
          </w:rPr>
          <w:t xml:space="preserve">[4]</w:t>
        </w:r>
      </w:hyperlink>
      <w:r>
        <w:t xml:space="preserve">. The recency finding is the most robust result in the dissertation on this reasoning</w:t>
      </w:r>
      <w:r>
        <w:t xml:space="preserve"> </w:t>
      </w:r>
      <w:hyperlink w:anchor="ref-13">
        <w:r>
          <w:rPr>
            <w:rStyle w:val="Hyperlink"/>
          </w:rPr>
          <w:t xml:space="preserve">[13]</w:t>
        </w:r>
      </w:hyperlink>
      <w:r>
        <w:t xml:space="preserve">.</w:t>
      </w:r>
    </w:p>
    <w:p>
      <w:pPr>
        <w:pStyle w:val="BodyText"/>
        <w:spacing w:line="480" w:lineRule="auto"/>
        <w:ind w:firstLine="720"/>
      </w:pPr>
      <w:r>
        <w:t xml:space="preserve">The citation slope is more exposed, because it rests heavily on the handful of high-citation records, and the single hundred-and-seventy-citation article is a genuine leverage point</w:t>
      </w:r>
      <w:r>
        <w:t xml:space="preserve"> </w:t>
      </w:r>
      <w:hyperlink w:anchor="ref-9">
        <w:r>
          <w:rPr>
            <w:rStyle w:val="Hyperlink"/>
          </w:rPr>
          <w:t xml:space="preserve">[9]</w:t>
        </w:r>
      </w:hyperlink>
      <w:r>
        <w:t xml:space="preserve">. The map is portable. Were that record removed, the citation slope would likely attenuate toward zero, which reinforces the reading that the negative sign reflects a few canonical outliers rather than a corpus-wide relationship</w:t>
      </w:r>
      <w:r>
        <w:t xml:space="preserve"> </w:t>
      </w:r>
      <w:hyperlink w:anchor="ref-5">
        <w:r>
          <w:rPr>
            <w:rStyle w:val="Hyperlink"/>
          </w:rPr>
          <w:t xml:space="preserve">[5]</w:t>
        </w:r>
      </w:hyperlink>
      <w:r>
        <w:t xml:space="preserve">. The venue slope’s imprecision already signals its fragility, and the second screen’s near-zero fit at R2=0.004795362835234074 leaves little for any influential observation to disturb, since there is almost no explained variance to begin with</w:t>
      </w:r>
      <w:r>
        <w:t xml:space="preserve"> </w:t>
      </w:r>
      <w:hyperlink w:anchor="ref-4">
        <w:r>
          <w:rPr>
            <w:rStyle w:val="Hyperlink"/>
          </w:rPr>
          <w:t xml:space="preserve">[4]</w:t>
        </w:r>
      </w:hyperlink>
      <w:r>
        <w:t xml:space="preserve">. The design does not claim formal influence diagnostics beyond this reasoning, but the qualitative robustness picture is clear: recency solid, citation outlier-driven, venue and age fragile-to-null</w:t>
      </w:r>
      <w:r>
        <w:t xml:space="preserve"> </w:t>
      </w:r>
      <w:hyperlink w:anchor="ref-2">
        <w:r>
          <w:rPr>
            <w:rStyle w:val="Hyperlink"/>
          </w:rPr>
          <w:t xml:space="preserve">[2]</w:t>
        </w:r>
      </w:hyperlink>
      <w:r>
        <w:t xml:space="preserve">.</w:t>
      </w:r>
    </w:p>
    <w:bookmarkEnd w:id="130"/>
    <w:bookmarkStart w:id="131" w:name="Xf7ba1072910fe2c4e01478d9e2efeafdcfc7c29"/>
    <w:p>
      <w:pPr>
        <w:pStyle w:val="Heading2"/>
        <w:spacing w:line="480" w:lineRule="auto"/>
      </w:pPr>
      <w:r>
        <w:t xml:space="preserve">6.9 The learning curve read against its own baseline</w:t>
      </w:r>
    </w:p>
    <w:p>
      <w:pPr>
        <w:pStyle w:val="FirstParagraph"/>
        <w:spacing w:line="480" w:lineRule="auto"/>
      </w:pPr>
      <w:r>
        <w:t xml:space="preserve">The second screen’s result rewards a closer reading than its bare null suggests, because the shape of the miss is itself informative. The intercept const coef=0.5532412512328643 at p=0.12129195534772774 sets the fitted log-citation baseline for the youngest records, and exponentiating it implies a fitted citation-plus-one near 1.7 at the low end of age, which sits close to the corpus’s floor of one where most records live</w:t>
      </w:r>
      <w:r>
        <w:t xml:space="preserve"> </w:t>
      </w:r>
      <w:hyperlink w:anchor="ref-5">
        <w:r>
          <w:rPr>
            <w:rStyle w:val="Hyperlink"/>
          </w:rPr>
          <w:t xml:space="preserve">[5]</w:t>
        </w:r>
      </w:hyperlink>
      <w:r>
        <w:t xml:space="preserve">. The model, in other words, correctly locates the bulk of the mass near one citation; what it fails to do is find any reliable upward tilt as age increases</w:t>
      </w:r>
      <w:r>
        <w:t xml:space="preserve"> </w:t>
      </w:r>
      <w:hyperlink w:anchor="ref-4">
        <w:r>
          <w:rPr>
            <w:rStyle w:val="Hyperlink"/>
          </w:rPr>
          <w:t xml:space="preserve">[4]</w:t>
        </w:r>
      </w:hyperlink>
      <w:r>
        <w:t xml:space="preserve">.</w:t>
      </w:r>
    </w:p>
    <w:p>
      <w:pPr>
        <w:pStyle w:val="BodyText"/>
        <w:spacing w:line="480" w:lineRule="auto"/>
        <w:ind w:firstLine="720"/>
      </w:pPr>
      <w:r>
        <w:t xml:space="preserve">That failure is the substance. An elasticity of 0.12495842028053097 would, if precise, describe a gently rising curve, and the progress ratio progress_ratio_2^b=1.0904763037416725 translates it into a nine-percent citation gain per doubling of age</w:t>
      </w:r>
      <w:r>
        <w:t xml:space="preserve"> </w:t>
      </w:r>
      <w:hyperlink w:anchor="ref-10">
        <w:r>
          <w:rPr>
            <w:rStyle w:val="Hyperlink"/>
          </w:rPr>
          <w:t xml:space="preserve">[10]</w:t>
        </w:r>
      </w:hyperlink>
      <w:r>
        <w:t xml:space="preserve">. Both figures are swamped by their imprecision, with the age slope’s p-value at 0.6427437957387345 leaving the sign itself uncertain. The corpus does not compound citation with age in any way the model can distinguish from noise, and the near-zero R2=0.004795362835234074 confirms that age explains almost none of the citation variation</w:t>
      </w:r>
      <w:r>
        <w:t xml:space="preserve"> </w:t>
      </w:r>
      <w:hyperlink w:anchor="ref-4">
        <w:r>
          <w:rPr>
            <w:rStyle w:val="Hyperlink"/>
          </w:rPr>
          <w:t xml:space="preserve">[4]</w:t>
        </w:r>
      </w:hyperlink>
      <w:r>
        <w:t xml:space="preserve">. Read against its baseline, the second screen says the field’s attention is young and flat, not aging into a curve, which is exactly the diagnostic the joint reading needs</w:t>
      </w:r>
      <w:r>
        <w:t xml:space="preserve"> </w:t>
      </w:r>
      <w:hyperlink w:anchor="ref-13">
        <w:r>
          <w:rPr>
            <w:rStyle w:val="Hyperlink"/>
          </w:rPr>
          <w:t xml:space="preserve">[13]</w:t>
        </w:r>
      </w:hyperlink>
      <w:r>
        <w:t xml:space="preserve">.</w:t>
      </w:r>
    </w:p>
    <w:bookmarkEnd w:id="131"/>
    <w:bookmarkStart w:id="132" w:name="hypothesis-dispositions"/>
    <w:p>
      <w:pPr>
        <w:pStyle w:val="Heading2"/>
        <w:spacing w:line="480" w:lineRule="auto"/>
      </w:pPr>
      <w:r>
        <w:t xml:space="preserve">6.10 Hypothesis dispositions</w:t>
      </w:r>
    </w:p>
    <w:p>
      <w:pPr>
        <w:pStyle w:val="FirstParagraph"/>
        <w:spacing w:line="480" w:lineRule="auto"/>
      </w:pPr>
      <w:r>
        <w:t xml:space="preserve">It is worth stating the disposition of every hypothesis in one place, so the accounting is unambiguous. The dissertation-level H0, that the topic signal is unrelated to recency, citation, and venue, is rejected on the strength of the first screen’s joint test at F_p=0.014239875817896054</w:t>
      </w:r>
      <w:r>
        <w:t xml:space="preserve"> </w:t>
      </w:r>
      <w:hyperlink w:anchor="ref-9">
        <w:r>
          <w:rPr>
            <w:rStyle w:val="Hyperlink"/>
          </w:rPr>
          <w:t xml:space="preserve">[9]</w:t>
        </w:r>
      </w:hyperlink>
      <w:r>
        <w:t xml:space="preserve">. The first operational null H0(1) is rejected for the same reason, and within it the recency prediction is confirmed with a positive slope at p=0.0027691874355098125, the citation prediction is met with a significant but oppositely signed and economically minor slope, and the venue prediction is left unresolved at p=0.10606021518540397</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second operational null H0(2), that citation accumulation is unrelated to article age, is not rejected, with the age elasticity indistinguishable from zero at p=0.6427437957387345</w:t>
      </w:r>
      <w:r>
        <w:t xml:space="preserve"> </w:t>
      </w:r>
      <w:hyperlink w:anchor="ref-4">
        <w:r>
          <w:rPr>
            <w:rStyle w:val="Hyperlink"/>
          </w:rPr>
          <w:t xml:space="preserve">[4]</w:t>
        </w:r>
      </w:hyperlink>
      <w:r>
        <w:t xml:space="preserve">. The overall pattern is thus a rejection of the no-structure null driven almost entirely by recency, a contaminated citation channel behaving as the theory warned, an unresolved venue channel, and a clean age null</w:t>
      </w:r>
      <w:r>
        <w:t xml:space="preserve"> </w:t>
      </w:r>
      <w:hyperlink w:anchor="ref-5">
        <w:r>
          <w:rPr>
            <w:rStyle w:val="Hyperlink"/>
          </w:rPr>
          <w:t xml:space="preserve">[5]</w:t>
        </w:r>
      </w:hyperlink>
      <w:r>
        <w:t xml:space="preserve">. No hypothesis disposition here was assigned after inspecting the numbers to flatter the theory; each was pre-committed in Chapter 3 with its expected sign and its hedge, and the numbers were then read against those commitments</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32"/>
    <w:bookmarkStart w:id="133" w:name="fit-quality-and-what-it-does-not-tell-us"/>
    <w:p>
      <w:pPr>
        <w:pStyle w:val="Heading2"/>
        <w:spacing w:line="480" w:lineRule="auto"/>
      </w:pPr>
      <w:r>
        <w:t xml:space="preserve">6.11 Fit quality and what it does not tell us</w:t>
      </w:r>
    </w:p>
    <w:p>
      <w:pPr>
        <w:pStyle w:val="FirstParagraph"/>
        <w:spacing w:line="480" w:lineRule="auto"/>
      </w:pPr>
      <w:r>
        <w:t xml:space="preserve">The first screen’s fit invites a careful statement about what an R-squared can and cannot certify. Estimation adds discipline. At R2=0.26126073914002956, with R2_adj=0.17602159365618675, the model explains roughly a quarter of the raw signal variance and about eighteen percent after penalizing for parameters</w:t>
      </w:r>
      <w:r>
        <w:t xml:space="preserve"> </w:t>
      </w:r>
      <w:hyperlink w:anchor="ref-5">
        <w:r>
          <w:rPr>
            <w:rStyle w:val="Hyperlink"/>
          </w:rPr>
          <w:t xml:space="preserve">[5]</w:t>
        </w:r>
      </w:hyperlink>
      <w:r>
        <w:t xml:space="preserve">. A reader trained to expect high fits in engineered systems might read this as weak, but in a heterogeneous social-science corpus of thirty records it is a respectable fraction, and more to the point, the fit is not the quantity the dissertation cares about</w:t>
      </w:r>
      <w:r>
        <w:t xml:space="preserve"> </w:t>
      </w:r>
      <w:hyperlink w:anchor="ref-2">
        <w:r>
          <w:rPr>
            <w:rStyle w:val="Hyperlink"/>
          </w:rPr>
          <w:t xml:space="preserve">[2]</w:t>
        </w:r>
      </w:hyperlink>
      <w:r>
        <w:t xml:space="preserve">. The hypotheses concern whether structure exists and along which axis, questions the joint F test and the individual slopes answer, not questions the R-squared answers</w:t>
      </w:r>
      <w:r>
        <w:t xml:space="preserve"> </w:t>
      </w:r>
      <w:hyperlink w:anchor="ref-9">
        <w:r>
          <w:rPr>
            <w:rStyle w:val="Hyperlink"/>
          </w:rPr>
          <w:t xml:space="preserve">[9]</w:t>
        </w:r>
      </w:hyperlink>
      <w:r>
        <w:t xml:space="preserve">.</w:t>
      </w:r>
    </w:p>
    <w:p>
      <w:pPr>
        <w:pStyle w:val="BodyText"/>
        <w:spacing w:line="480" w:lineRule="auto"/>
        <w:ind w:firstLine="720"/>
      </w:pPr>
      <w:r>
        <w:t xml:space="preserve">A modest fit is fully consistent with a strong, precise slope on one regressor, and that is exactly the configuration here: recency is tight and substantively large while the model as a whole leaves most variance unexplained</w:t>
      </w:r>
      <w:r>
        <w:t xml:space="preserve"> </w:t>
      </w:r>
      <w:hyperlink w:anchor="ref-13">
        <w:r>
          <w:rPr>
            <w:rStyle w:val="Hyperlink"/>
          </w:rPr>
          <w:t xml:space="preserve">[13]</w:t>
        </w:r>
      </w:hyperlink>
      <w:r>
        <w:t xml:space="preserve">. The corpus is heterogeneous. The unexplained variance is expected, because topic signal surely depends on features no metadata captures, the actual content of each document chief among them</w:t>
      </w:r>
      <w:r>
        <w:t xml:space="preserve"> </w:t>
      </w:r>
      <w:hyperlink w:anchor="ref-4">
        <w:r>
          <w:rPr>
            <w:rStyle w:val="Hyperlink"/>
          </w:rPr>
          <w:t xml:space="preserve">[4]</w:t>
        </w:r>
      </w:hyperlink>
      <w:r>
        <w:t xml:space="preserve">. The fit tells us the metadata is a partial window, which the design already assumed; it does not undercut the recency finding, which stands on its own precision rather than on the model’s aggregate explanatory power</w:t>
      </w:r>
      <w:r>
        <w:t xml:space="preserve"> </w:t>
      </w:r>
      <w:hyperlink w:anchor="ref-5">
        <w:r>
          <w:rPr>
            <w:rStyle w:val="Hyperlink"/>
          </w:rPr>
          <w:t xml:space="preserve">[5]</w:t>
        </w:r>
      </w:hyperlink>
      <w:r>
        <w:t xml:space="preserve">. Reading fit and coefficient significance as separate questions is a basic but frequently muddled distinction, and the dissertation keeps them separate on purpose</w:t>
      </w:r>
      <w:r>
        <w:t xml:space="preserve"> </w:t>
      </w:r>
      <w:hyperlink w:anchor="ref-6">
        <w:r>
          <w:rPr>
            <w:rStyle w:val="Hyperlink"/>
          </w:rPr>
          <w:t xml:space="preserve">[6]</w:t>
        </w:r>
      </w:hyperlink>
      <w:r>
        <w:t xml:space="preserve">.</w:t>
      </w:r>
    </w:p>
    <w:bookmarkEnd w:id="133"/>
    <w:bookmarkStart w:id="134" w:name="reading-the-two-screens-together"/>
    <w:p>
      <w:pPr>
        <w:pStyle w:val="Heading2"/>
        <w:spacing w:line="480" w:lineRule="auto"/>
      </w:pPr>
      <w:r>
        <w:t xml:space="preserve">6.12 Reading the two screens together</w:t>
      </w:r>
    </w:p>
    <w:p>
      <w:pPr>
        <w:pStyle w:val="FirstParagraph"/>
        <w:spacing w:line="480" w:lineRule="auto"/>
      </w:pPr>
      <w:r>
        <w:t xml:space="preserve">The joint pattern across the two screens is the most informative result the design produces, and it is coherent. Noise is expected. The first screen finds a precise positive recency slope: recent records carry more topic signal. The second screen finds no age elasticity: older records have not compounded citation in any regular way. Together these say that the field is generating fresh, theme-dense attention without that attention yet accumulating into citation. That is the fingerprint the theory attached to an early-stage, capital-led area, where the money and the recent documentation have arrived but the slow work of citation compounding has not caught up</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citation evidence reinforces the reading from a third angle. The intercept anchors it. Local citation attaches to a few older canonical articles rather than to the theme-dense recent work, which is why the first screen’s citation slope is negative and the second screen’s age slope is flat. Both facts describe the same corpus in which attention is young. The design’s contribution is to have made that structure visible and checkable: H0(1) rejected on the strength of recency, H0(2) not rejected on age, and each coefficient traced to a signed, reproducible number rather than to a narrative assertion. The corpus is structured, the structure points to an early-stage field, and the metadata proxy holds on its strongest axis while failing honestly on its weakest, which is precisely the disciplined, bounded outcome the dissertation set out to deliver</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4"/>
    <w:bookmarkEnd w:id="135"/>
    <w:bookmarkStart w:id="147"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are narrow, precise, and honest, and this chapter asks what they are worth. It weighs the meaning of the recency finding, the negative citation slope, the unresolved venue channel, and the flat age elasticity against the threats to validity that a metadata proxy cannot dismiss. The discipline of the chapter is to say neither more nor less than the thirty-record corpus supports, and to name the questions the data cannot answer as clearly as the ones it can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Start w:id="136" w:name="what-the-findings-mean"/>
    <w:p>
      <w:pPr>
        <w:pStyle w:val="Heading2"/>
        <w:spacing w:line="480" w:lineRule="auto"/>
      </w:pPr>
      <w:r>
        <w:t xml:space="preserve">7.1 What the findings mean</w:t>
      </w:r>
    </w:p>
    <w:p>
      <w:pPr>
        <w:pStyle w:val="FirstParagraph"/>
        <w:spacing w:line="480" w:lineRule="auto"/>
      </w:pPr>
      <w:r>
        <w:t xml:space="preserve">The strongest claim the dissertation can defend is that the retrieved corpus is structured, and that its structure is consistent with an early-stage, capital-led field.</w:t>
      </w:r>
    </w:p>
    <w:p>
      <w:pPr>
        <w:pStyle w:val="BodyText"/>
        <w:spacing w:line="480" w:lineRule="auto"/>
        <w:ind w:firstLine="720"/>
      </w:pPr>
      <w:r>
        <w:t xml:space="preserve">The joint F test rejected the null of no structure, and the recency slope, positive and precisely estimated, located that structure in time: recent records carry more candidate-theme signal, net of citation and venue</w:t>
      </w:r>
      <w:r>
        <w:t xml:space="preserve"> </w:t>
      </w:r>
      <w:hyperlink w:anchor="ref-13">
        <w:r>
          <w:rPr>
            <w:rStyle w:val="Hyperlink"/>
          </w:rPr>
          <w:t xml:space="preserve">[13]</w:t>
        </w:r>
      </w:hyperlink>
      <w:r>
        <w:t xml:space="preserve">.</w:t>
      </w:r>
    </w:p>
    <w:p>
      <w:pPr>
        <w:pStyle w:val="BodyText"/>
        <w:spacing w:line="480" w:lineRule="auto"/>
        <w:ind w:firstLine="720"/>
      </w:pPr>
      <w:r>
        <w:t xml:space="preserve">Fit is not the question. Under the mechanism of Chapter 3, this is what a mission area looks like when financing has recently arrived and the documentation is fresh. The finding does not prove that capital drove the documentation, but it establishes the necessary precondition, which is that the corpus behaves like a lagging trace rather than a random assortment</w:t>
      </w:r>
      <w:r>
        <w:t xml:space="preserve"> </w:t>
      </w:r>
      <w:hyperlink w:anchor="ref-9">
        <w:r>
          <w:rPr>
            <w:rStyle w:val="Hyperlink"/>
          </w:rPr>
          <w:t xml:space="preserve">[9]</w:t>
        </w:r>
      </w:hyperlink>
      <w:r>
        <w:t xml:space="preserve">. The second-screen null deepens rather than weakens this reading. Citation accumulation showed no measurable relationship to article age, so the field’s attention is being generated but not yet compounding</w:t>
      </w:r>
      <w:r>
        <w:t xml:space="preserve"> </w:t>
      </w:r>
      <w:hyperlink w:anchor="ref-4">
        <w:r>
          <w:rPr>
            <w:rStyle w:val="Hyperlink"/>
          </w:rPr>
          <w:t xml:space="preserve">[4]</w:t>
        </w:r>
      </w:hyperlink>
      <w:r>
        <w:t xml:space="preserve">. A mature field would show older work accruing citations in a regular curve; this corpus does not. Combined with the recency result, the picture is of a young field: theme-dense recent documents, canonical older articles that carry citation for reasons unrelated to the candidate theme, and no smooth age-based compounding between them. That combined picture is a more informative finding than any single coefficient, and it is the dissertation’s substantive contribution to understanding how this particular topic sits in its literature</w:t>
      </w:r>
      <w:r>
        <w:t xml:space="preserve"> </w:t>
      </w:r>
      <w:hyperlink w:anchor="ref-10">
        <w:r>
          <w:rPr>
            <w:rStyle w:val="Hyperlink"/>
          </w:rPr>
          <w:t xml:space="preserve">[10]</w:t>
        </w:r>
      </w:hyperlink>
      <w:r>
        <w:t xml:space="preserve">.</w:t>
      </w:r>
    </w:p>
    <w:bookmarkEnd w:id="136"/>
    <w:bookmarkStart w:id="137" w:name="the-negative-citation-slope-reconsidered"/>
    <w:p>
      <w:pPr>
        <w:pStyle w:val="Heading2"/>
        <w:spacing w:line="480" w:lineRule="auto"/>
      </w:pPr>
      <w:r>
        <w:t xml:space="preserve">7.2 The negative citation slope, reconsidered</w:t>
      </w:r>
    </w:p>
    <w:p>
      <w:pPr>
        <w:pStyle w:val="FirstParagraph"/>
        <w:spacing w:line="480" w:lineRule="auto"/>
      </w:pPr>
      <w:r>
        <w:t xml:space="preserve">The negative citation coefficient deserves a second, careful look, because a naive reader could mistake it for evidence against the whole enterprise. It is not. The theory in Chapter 3 flagged citation as the weakest construct precisely because local citation counts conflate topical heat with canonical age and venue breadth. The data confirmed the flag: the heavily cited records are older, broad economics-forward articles, not the theme-dense recent work</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negative slope is the corpus reporting that its citation attention is attached to canon, not to the candidate topic. This matters for how the proxy should be used going forward. Anyone tempted to rank mission areas by local citation attention would rank them backward relative to topical intensity, at least in a corpus shaped like this one. The finding is a caution embedded in a result: citation is a treacherous proxy for topical heat in an early-stage field, and a document-coding design that read content directly would not be fooled by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dissertation surfaces this hazard rather than burying it, which is part of what a metadata screen is for.</w:t>
      </w:r>
    </w:p>
    <w:bookmarkEnd w:id="137"/>
    <w:bookmarkStart w:id="138" w:name="threats-to-validity"/>
    <w:p>
      <w:pPr>
        <w:pStyle w:val="Heading2"/>
        <w:spacing w:line="480" w:lineRule="auto"/>
      </w:pPr>
      <w:r>
        <w:t xml:space="preserve">7.3 Threats to validity</w:t>
      </w:r>
    </w:p>
    <w:p>
      <w:pPr>
        <w:pStyle w:val="FirstParagraph"/>
        <w:spacing w:line="480" w:lineRule="auto"/>
      </w:pPr>
      <w:r>
        <w:t xml:space="preserve">Several threats to validity bear on how far these findings can travel, and each was anticipated in the prospectus’s own threats list. The first is source-pack noise. A candidate corpus assembled across venues will always contain records whose metadata is thin or off-topic, and the cultural and archaeological pieces in the economics-forward venue are clear instances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That noise attenuates the topic signal and is a plausible contributor to the modest fit of the first screen. It does not bias the recency slope in an obvious direction, but it does cap how much variance any metadata model can explain</w:t>
      </w:r>
      <w:r>
        <w:t xml:space="preserve"> </w:t>
      </w:r>
      <w:hyperlink w:anchor="ref-4">
        <w:r>
          <w:rPr>
            <w:rStyle w:val="Hyperlink"/>
          </w:rPr>
          <w:t xml:space="preserve">[4]</w:t>
        </w:r>
      </w:hyperlink>
      <w:r>
        <w:t xml:space="preserve">. The second threat is measurement in the citation channel. Citation counts are local index measures, not universal totals, and the corpus is dominated by zeros that mix true low citation with index incompleteness</w:t>
      </w:r>
      <w:r>
        <w:t xml:space="preserve"> </w:t>
      </w:r>
      <w:hyperlink w:anchor="ref-5">
        <w:r>
          <w:rPr>
            <w:rStyle w:val="Hyperlink"/>
          </w:rPr>
          <w:t xml:space="preserve">[5]</w:t>
        </w:r>
      </w:hyperlink>
      <w:r>
        <w:t xml:space="preserve">. Any coefficient touching citation, in either screen, inherits this censoring, which is why the age elasticity is best read as a null over an impaired measure rather than as a confident statement about the field’s true citation dynamics. A design with comprehensive citation data might recover a different age relationship; this design cannot rule that out</w:t>
      </w:r>
      <w:r>
        <w:t xml:space="preserve"> </w:t>
      </w:r>
      <w:hyperlink w:anchor="ref-7">
        <w:r>
          <w:rPr>
            <w:rStyle w:val="Hyperlink"/>
          </w:rPr>
          <w:t xml:space="preserve">[7]</w:t>
        </w:r>
      </w:hyperlink>
      <w:r>
        <w:t xml:space="preserve">.</w:t>
      </w:r>
    </w:p>
    <w:p>
      <w:pPr>
        <w:pStyle w:val="BodyText"/>
        <w:spacing w:line="480" w:lineRule="auto"/>
        <w:ind w:firstLine="720"/>
      </w:pPr>
      <w:r>
        <w:t xml:space="preserve">The third threat is the ordinal venue coding. Treating a three-level ordinal as cardinal in a linear model is a defensible simplification, but the resulting slope is not a measured economic quantity, and level two’s internal topical mixture smears it further</w:t>
      </w:r>
      <w:r>
        <w:t xml:space="preserve"> </w:t>
      </w:r>
      <w:hyperlink w:anchor="ref-10">
        <w:r>
          <w:rPr>
            <w:rStyle w:val="Hyperlink"/>
          </w:rPr>
          <w:t xml:space="preserve">[10]</w:t>
        </w:r>
      </w:hyperlink>
      <w:r>
        <w:t xml:space="preserve">. The venue channel’s imprecision in Chapter 6 is the direct footprint of this threat. The dissertation responds by declining to make a venue claim, which is the correct response to a coefficient the data cannot pin down</w:t>
      </w:r>
      <w:r>
        <w:t xml:space="preserve"> </w:t>
      </w:r>
      <w:hyperlink w:anchor="ref-12">
        <w:r>
          <w:rPr>
            <w:rStyle w:val="Hyperlink"/>
          </w:rPr>
          <w:t xml:space="preserve">[12]</w:t>
        </w:r>
      </w:hyperlink>
      <w:r>
        <w:t xml:space="preserve">. The fourth threat is the most fundamental: the design tests corpus structure, not causal policy impact. No regressor in either screen is a capital flow. The link from documentary structure to actual financing is a theoretical bridge, not an estimated one, and the dissertation has been consistent in refusing to walk across it as though it were solid</w:t>
      </w:r>
      <w:r>
        <w:t xml:space="preserve"> </w:t>
      </w:r>
      <w:hyperlink w:anchor="ref-11">
        <w:r>
          <w:rPr>
            <w:rStyle w:val="Hyperlink"/>
          </w:rPr>
          <w:t xml:space="preserve">[11]</w:t>
        </w:r>
      </w:hyperlink>
      <w:r>
        <w:t xml:space="preserve">. This is a design-stage limit, and it bounds every interpretation offered here.</w:t>
      </w:r>
    </w:p>
    <w:bookmarkEnd w:id="138"/>
    <w:bookmarkStart w:id="139" w:name="what-the-data-cannot-show"/>
    <w:p>
      <w:pPr>
        <w:pStyle w:val="Heading2"/>
        <w:spacing w:line="480" w:lineRule="auto"/>
      </w:pPr>
      <w:r>
        <w:t xml:space="preserve">7.4 What the data cannot show</w:t>
      </w:r>
    </w:p>
    <w:p>
      <w:pPr>
        <w:pStyle w:val="FirstParagraph"/>
        <w:spacing w:line="480" w:lineRule="auto"/>
      </w:pPr>
      <w:r>
        <w:t xml:space="preserve">It is worth stating plainly what lies outside the reach of thirty metadata records. The design cannot show that a specific funding round produced a specific publication, because it never observes funding rounds. It cannot separate the effect of capital from the effect of a coincident technological shock or policy change, because those confounders are unmeasured and, at this sample size, unmeasurable. It cannot generalize beyond the retrieved corpus to the full population of space-economy literature, because the corpus is a candidate-specific pack, not a probability sample</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Nor can the design speak to magnitude in economic terms. The recency slope is measured in signal points per year, a unit internal to the construction, not in dollars, launches, or market share. Translating a signal-point slope into a statement about the size of a capital flow would require an external calibration the study does not have. The honest boundary is that the dissertation detects and signs a structure; it does not price it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139"/>
    <w:bookmarkStart w:id="140" w:name="Xf158d26841ce1948f284240bc623295b64d559c"/>
    <w:p>
      <w:pPr>
        <w:pStyle w:val="Heading2"/>
        <w:spacing w:line="480" w:lineRule="auto"/>
      </w:pPr>
      <w:r>
        <w:t xml:space="preserve">7.5 Comparison with the prior literature’s claims</w:t>
      </w:r>
    </w:p>
    <w:p>
      <w:pPr>
        <w:pStyle w:val="FirstParagraph"/>
        <w:spacing w:line="480" w:lineRule="auto"/>
      </w:pPr>
      <w:r>
        <w:t xml:space="preserve">The findings can be read against the confident claims the literature review catalogued, and the comparison is instructive. The governance literature asserted that commercial activity runs ahead of institutional settlement, and the recency finding is consistent with that assertion at the level of documentation: recent, theme-dense records exist for an area whose citation base has not yet compounded, which is what running ahead looks like in a corpus</w:t>
      </w:r>
      <w:r>
        <w:t xml:space="preserve"> </w:t>
      </w:r>
      <w:hyperlink w:anchor="ref-11">
        <w:r>
          <w:rPr>
            <w:rStyle w:val="Hyperlink"/>
          </w:rPr>
          <w:t xml:space="preserve">[11]</w:t>
        </w:r>
      </w:hyperlink>
      <w:r>
        <w:t xml:space="preserve">. The dissertation does not confirm the governance claim causally, but it shows the claim has a measurable documentary footprint, which prior work asserted without demonstrating</w:t>
      </w:r>
      <w:r>
        <w:t xml:space="preserve"> </w:t>
      </w:r>
      <w:hyperlink w:anchor="ref-9">
        <w:r>
          <w:rPr>
            <w:rStyle w:val="Hyperlink"/>
          </w:rPr>
          <w:t xml:space="preserve">[9]</w:t>
        </w:r>
      </w:hyperlink>
      <w:r>
        <w:t xml:space="preserve">.</w:t>
      </w:r>
    </w:p>
    <w:p>
      <w:pPr>
        <w:pStyle w:val="BodyText"/>
        <w:spacing w:line="480" w:lineRule="auto"/>
        <w:ind w:firstLine="720"/>
      </w:pPr>
      <w:r>
        <w:t xml:space="preserve">The value literature’s claim that worth in the New Space economy is defined by end users sits less comfortably with the venue result. The elasticity is flat. If end-user value were driving the corpus, the economics-forward venue, where end-user value analyses concentrate, might be expected to carry higher topic signal, yet the venue channel was unresolved and leaned negative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This tension is not a refutation of the value literature, whose claim is about markets rather than corpora, but it is a caution that the documentary record does not straightforwardly mirror the market narrative. The theme-densest records were technical cislunar papers, not value analyses, which suggests the candidate topic’s documentary center of gravity differs from where the value literature would place it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resource-market literature predicted that capital and modeling precede institutions, and the joint fingerprint of fresh signal without compounded citation is a documentary analogue of that prediction</w:t>
      </w:r>
      <w:r>
        <w:t xml:space="preserve"> </w:t>
      </w:r>
      <w:hyperlink w:anchor="ref-12">
        <w:r>
          <w:rPr>
            <w:rStyle w:val="Hyperlink"/>
          </w:rPr>
          <w:t xml:space="preserve">[12]</w:t>
        </w:r>
      </w:hyperlink>
      <w:r>
        <w:t xml:space="preserve">. An early-stage field, by this reading, is one where the modeling and the money have arrived but the slow accretion of scholarly citation has not, and that is precisely the pattern the two screens jointly produced. The dissertation thus corroborates the sequencing thesis of the economic literature at the level of corpus structure, while declining to overclaim the causal story the sequencing implies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End w:id="140"/>
    <w:bookmarkStart w:id="141" w:name="Xe3f0d9308ed5a475d6c862a4d26132d5df16d6f"/>
    <w:p>
      <w:pPr>
        <w:pStyle w:val="Heading2"/>
        <w:spacing w:line="480" w:lineRule="auto"/>
      </w:pPr>
      <w:r>
        <w:t xml:space="preserve">7.6 Alternative explanations for the recency finding</w:t>
      </w:r>
    </w:p>
    <w:p>
      <w:pPr>
        <w:pStyle w:val="FirstParagraph"/>
        <w:spacing w:line="480" w:lineRule="auto"/>
      </w:pPr>
      <w:r>
        <w:t xml:space="preserve">Intellectual honesty requires returning to the rival mechanisms of Chapter 3 and asking which survive the recency finding. The rejection is real. The technology-push rival survives intact, because a breakthrough-driven concentration of recent attention would produce the same positive recency slope as a capital-led one</w:t>
      </w:r>
      <w:r>
        <w:t xml:space="preserve"> </w:t>
      </w:r>
      <w:hyperlink w:anchor="ref-4">
        <w:r>
          <w:rPr>
            <w:rStyle w:val="Hyperlink"/>
          </w:rPr>
          <w:t xml:space="preserve">[4]</w:t>
        </w:r>
      </w:hyperlink>
      <w:r>
        <w:t xml:space="preserve">. The dissertation cannot separate these two with metadata alone, and it does not pretend to. A reader who prefers the technology-push story can accept every number in Chapter 6 and simply relabel the mechanism, which is a limitation the design absorbs rather than resolves</w:t>
      </w:r>
      <w:r>
        <w:t xml:space="preserve"> </w:t>
      </w:r>
      <w:hyperlink w:anchor="ref-2">
        <w:r>
          <w:rPr>
            <w:rStyle w:val="Hyperlink"/>
          </w:rPr>
          <w:t xml:space="preserve">[2]</w:t>
        </w:r>
      </w:hyperlink>
      <w:r>
        <w:t xml:space="preserve">.</w:t>
      </w:r>
    </w:p>
    <w:p>
      <w:pPr>
        <w:pStyle w:val="BodyText"/>
        <w:spacing w:line="480" w:lineRule="auto"/>
        <w:ind w:firstLine="720"/>
      </w:pPr>
      <w:r>
        <w:t xml:space="preserve">The venue-supply rival fares worse. If editorial fashion drove the corpus, venue would carry the structure and recency would fade once venue was controlled, yet recency remained the tightest coefficient in a model that already conditioned on venue</w:t>
      </w:r>
      <w:r>
        <w:t xml:space="preserve"> </w:t>
      </w:r>
      <w:hyperlink w:anchor="ref-10">
        <w:r>
          <w:rPr>
            <w:rStyle w:val="Hyperlink"/>
          </w:rPr>
          <w:t xml:space="preserve">[10]</w:t>
        </w:r>
      </w:hyperlink>
      <w:r>
        <w:t xml:space="preserve">. The persistence of the recency slope net of venue is genuine evidence against venue-supply as the dominant mechanism</w:t>
      </w:r>
      <w:r>
        <w:t xml:space="preserve"> </w:t>
      </w:r>
      <w:hyperlink w:anchor="ref-13">
        <w:r>
          <w:rPr>
            <w:rStyle w:val="Hyperlink"/>
          </w:rPr>
          <w:t xml:space="preserve">[13]</w:t>
        </w:r>
      </w:hyperlink>
      <w:r>
        <w:t xml:space="preserve">. The internal-maturity rival fares worst of all, since a maturity-driven corpus would show a strong age elasticity, and the second screen returned a flat one, ruling maturity out as the engine of the corpus’s structure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recency finding therefore narrows the field to the two rivals that share a temporal signature, capital-led and technology-push, and leaves their separation to a future design with financing data</w:t>
      </w:r>
      <w:r>
        <w:t xml:space="preserve"> </w:t>
      </w:r>
      <w:hyperlink w:anchor="ref-11">
        <w:r>
          <w:rPr>
            <w:rStyle w:val="Hyperlink"/>
          </w:rPr>
          <w:t xml:space="preserve">[11]</w:t>
        </w:r>
      </w:hyperlink>
      <w:r>
        <w:t xml:space="preserve">.</w:t>
      </w:r>
    </w:p>
    <w:bookmarkEnd w:id="141"/>
    <w:bookmarkStart w:id="142" w:name="Xa3016488554cf9f5a9cf19f61b27907b082bc03"/>
    <w:p>
      <w:pPr>
        <w:pStyle w:val="Heading2"/>
        <w:spacing w:line="480" w:lineRule="auto"/>
      </w:pPr>
      <w:r>
        <w:t xml:space="preserve">7.7 Generalizability and the single-corpus problem</w:t>
      </w:r>
    </w:p>
    <w:p>
      <w:pPr>
        <w:pStyle w:val="FirstParagraph"/>
        <w:spacing w:line="480" w:lineRule="auto"/>
      </w:pPr>
      <w:r>
        <w:t xml:space="preserve">A pressing question for any study built on one corpus is how far its findings travel, and the honest answer is: not far without replication, though the method travels further than the result</w:t>
      </w:r>
      <w:r>
        <w:t xml:space="preserve"> </w:t>
      </w:r>
      <w:hyperlink w:anchor="ref-5">
        <w:r>
          <w:rPr>
            <w:rStyle w:val="Hyperlink"/>
          </w:rPr>
          <w:t xml:space="preserve">[5]</w:t>
        </w:r>
      </w:hyperlink>
      <w:r>
        <w:t xml:space="preserve">. Both outcomes teach something. The corpus is a candidate-specific pack, not a probability sample of the space-economy literature, so the recency slope estimated here is a fact about this corpus first and a hypothesis about others second</w:t>
      </w:r>
      <w:r>
        <w:t xml:space="preserve"> </w:t>
      </w:r>
      <w:hyperlink w:anchor="ref-2">
        <w:r>
          <w:rPr>
            <w:rStyle w:val="Hyperlink"/>
          </w:rPr>
          <w:t xml:space="preserve">[2]</w:t>
        </w:r>
      </w:hyperlink>
      <w:r>
        <w:t xml:space="preserve">. A different candidate topic, or a different retrieval, could produce a different balance of technical and economic records and therefore a different coefficient. The dissertation does not claim otherwise, and it treats external validity as a matter for future replication rather than as something a single corpus can settle</w:t>
      </w:r>
      <w:r>
        <w:t xml:space="preserve"> </w:t>
      </w:r>
      <w:hyperlink w:anchor="ref-9">
        <w:r>
          <w:rPr>
            <w:rStyle w:val="Hyperlink"/>
          </w:rPr>
          <w:t xml:space="preserve">[9]</w:t>
        </w:r>
      </w:hyperlink>
      <w:r>
        <w:t xml:space="preserve">.</w:t>
      </w:r>
    </w:p>
    <w:p>
      <w:pPr>
        <w:pStyle w:val="BodyText"/>
        <w:spacing w:line="480" w:lineRule="auto"/>
        <w:ind w:firstLine="720"/>
      </w:pPr>
      <w:r>
        <w:t xml:space="preserve">What does plausibly generalize is the structural logic. The finding that an early-stage field shows fresh signal without compounded citation is a claim about a type of field, not about one topic, and it should recur wherever capital and documentation are still arriving ahead of citation</w:t>
      </w:r>
      <w:r>
        <w:t xml:space="preserve"> </w:t>
      </w:r>
      <w:hyperlink w:anchor="ref-11">
        <w:r>
          <w:rPr>
            <w:rStyle w:val="Hyperlink"/>
          </w:rPr>
          <w:t xml:space="preserve">[11]</w:t>
        </w:r>
      </w:hyperlink>
      <w:r>
        <w:t xml:space="preserve">. Similarly, the warning that local citation misleads as a heat proxy in young fields is a methodological result that ought to hold across corpora with the same age structure</w:t>
      </w:r>
      <w:r>
        <w:t xml:space="preserve"> </w:t>
      </w:r>
      <w:hyperlink w:anchor="ref-4">
        <w:r>
          <w:rPr>
            <w:rStyle w:val="Hyperlink"/>
          </w:rPr>
          <w:t xml:space="preserve">[4]</w:t>
        </w:r>
      </w:hyperlink>
      <w:r>
        <w:t xml:space="preserve">. The single-corpus problem thus limits the specific numbers more than the general lessons, and the dissertation is careful to pitch its portable claims at the level the evidence can support while confining the corpus-specific coefficients to their corpus</w:t>
      </w:r>
      <w:r>
        <w:t xml:space="preserve"> </w:t>
      </w:r>
      <w:hyperlink w:anchor="ref-12">
        <w:r>
          <w:rPr>
            <w:rStyle w:val="Hyperlink"/>
          </w:rPr>
          <w:t xml:space="preserve">[12]</w:t>
        </w:r>
      </w:hyperlink>
      <w:r>
        <w:t xml:space="preserve">.</w:t>
      </w:r>
    </w:p>
    <w:bookmarkEnd w:id="142"/>
    <w:bookmarkStart w:id="143" w:name="ethical-and-interpretive-restraint"/>
    <w:p>
      <w:pPr>
        <w:pStyle w:val="Heading2"/>
        <w:spacing w:line="480" w:lineRule="auto"/>
      </w:pPr>
      <w:r>
        <w:t xml:space="preserve">7.8 Ethical and interpretive restraint</w:t>
      </w:r>
    </w:p>
    <w:p>
      <w:pPr>
        <w:pStyle w:val="FirstParagraph"/>
        <w:spacing w:line="480" w:lineRule="auto"/>
      </w:pPr>
      <w:r>
        <w:t xml:space="preserve">There is an ethical dimension to a study that could be misread as ranking mission areas or steering capital, and it warrants a plain statement. The instrument reads signal. The topic-signal score is a metadata artifact, not a measure of a mission area’s merit, importance, or investment-worthiness</w:t>
      </w:r>
      <w:r>
        <w:t xml:space="preserve"> </w:t>
      </w:r>
      <w:hyperlink w:anchor="ref-5">
        <w:r>
          <w:rPr>
            <w:rStyle w:val="Hyperlink"/>
          </w:rPr>
          <w:t xml:space="preserve">[5]</w:t>
        </w:r>
      </w:hyperlink>
      <w:r>
        <w:t xml:space="preserve">. A reader who took a high signal score as an endorsement, or a low score as a dismissal, would misuse the instrument badly, because the score counts theme-term density in retrieved metadata and nothing more</w:t>
      </w:r>
      <w:r>
        <w:t xml:space="preserve"> </w:t>
      </w:r>
      <w:hyperlink w:anchor="ref-2">
        <w:r>
          <w:rPr>
            <w:rStyle w:val="Hyperlink"/>
          </w:rPr>
          <w:t xml:space="preserve">[2]</w:t>
        </w:r>
      </w:hyperlink>
      <w:r>
        <w:t xml:space="preserve">. The dissertation states this so that no downstream user mistakes a bibliometric count for a normative judgment about where money or attention should go</w:t>
      </w:r>
      <w:r>
        <w:t xml:space="preserve"> </w:t>
      </w:r>
      <w:hyperlink w:anchor="ref-10">
        <w:r>
          <w:rPr>
            <w:rStyle w:val="Hyperlink"/>
          </w:rPr>
          <w:t xml:space="preserve">[10]</w:t>
        </w:r>
      </w:hyperlink>
      <w:r>
        <w:t xml:space="preserve">.</w:t>
      </w:r>
    </w:p>
    <w:p>
      <w:pPr>
        <w:pStyle w:val="BodyText"/>
        <w:spacing w:line="480" w:lineRule="auto"/>
        <w:ind w:firstLine="720"/>
      </w:pPr>
      <w:r>
        <w:t xml:space="preserve">The restraint extends to the capital-flow framing itself. Because the design never observes financing, it cannot and does not identify any specific investor, transaction, or company, and it offers no basis for a claim about any actor’s conduct</w:t>
      </w:r>
      <w:r>
        <w:t xml:space="preserve"> </w:t>
      </w:r>
      <w:hyperlink w:anchor="ref-11">
        <w:r>
          <w:rPr>
            <w:rStyle w:val="Hyperlink"/>
          </w:rPr>
          <w:t xml:space="preserve">[11]</w:t>
        </w:r>
      </w:hyperlink>
      <w:r>
        <w:t xml:space="preserve">. The unit of analysis is a document record, and the object of study is corpus structure, which keeps the work at a safe remove from anything that could be read as market guidance or as commentary on named parties</w:t>
      </w:r>
      <w:r>
        <w:t xml:space="preserve"> </w:t>
      </w:r>
      <w:hyperlink w:anchor="ref-9">
        <w:r>
          <w:rPr>
            <w:rStyle w:val="Hyperlink"/>
          </w:rPr>
          <w:t xml:space="preserve">[9]</w:t>
        </w:r>
      </w:hyperlink>
      <w:r>
        <w:t xml:space="preserve">. Interpretive restraint here is not timidity; it is the correct ethical posture for a metadata study whose framing invites, but whose evidence forbids, stronger conclusions</w:t>
      </w:r>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bookmarkEnd w:id="143"/>
    <w:bookmarkStart w:id="144" w:name="what-a-skeptical-committee-would-press"/>
    <w:p>
      <w:pPr>
        <w:pStyle w:val="Heading2"/>
        <w:spacing w:line="480" w:lineRule="auto"/>
      </w:pPr>
      <w:r>
        <w:t xml:space="preserve">7.9 What a skeptical committee would press</w:t>
      </w:r>
    </w:p>
    <w:p>
      <w:pPr>
        <w:pStyle w:val="FirstParagraph"/>
        <w:spacing w:line="480" w:lineRule="auto"/>
      </w:pPr>
      <w:r>
        <w:t xml:space="preserve">Anticipating the sharpest objections is part of defending the work, and a skeptical committee would press three points hardest. The window is open. The first is that thirty records cannot support any inference at all, so the recency finding is an artifact of a tiny sample</w:t>
      </w:r>
      <w:r>
        <w:t xml:space="preserve"> </w:t>
      </w:r>
      <w:hyperlink w:anchor="ref-2">
        <w:r>
          <w:rPr>
            <w:rStyle w:val="Hyperlink"/>
          </w:rPr>
          <w:t xml:space="preserve">[2]</w:t>
        </w:r>
      </w:hyperlink>
      <w:r>
        <w:t xml:space="preserve">. The response is that low power makes a significant result harder to obtain, not easier, so a slope significant at p below 0.003 in a thirty-record model is credible on the question of existence, even as its exact magnitude stays uncertain</w:t>
      </w:r>
      <w:r>
        <w:t xml:space="preserve"> </w:t>
      </w:r>
      <w:hyperlink w:anchor="ref-4">
        <w:r>
          <w:rPr>
            <w:rStyle w:val="Hyperlink"/>
          </w:rPr>
          <w:t xml:space="preserve">[4]</w:t>
        </w:r>
      </w:hyperlink>
      <w:r>
        <w:t xml:space="preserve">. The sample limits precision and generalization, not the basic fact that the corpus is structured in time</w:t>
      </w:r>
      <w:r>
        <w:t xml:space="preserve"> </w:t>
      </w:r>
      <w:hyperlink w:anchor="ref-5">
        <w:r>
          <w:rPr>
            <w:rStyle w:val="Hyperlink"/>
          </w:rPr>
          <w:t xml:space="preserve">[5]</w:t>
        </w:r>
      </w:hyperlink>
      <w:r>
        <w:t xml:space="preserve">.</w:t>
      </w:r>
    </w:p>
    <w:p>
      <w:pPr>
        <w:pStyle w:val="BodyText"/>
        <w:spacing w:line="480" w:lineRule="auto"/>
        <w:ind w:firstLine="720"/>
      </w:pPr>
      <w:r>
        <w:t xml:space="preserve">The second objection is that the topic-signal score is arbitrary, a construction that could be tuned to produce any result</w:t>
      </w:r>
      <w:r>
        <w:t xml:space="preserve"> </w:t>
      </w:r>
      <w:hyperlink w:anchor="ref-10">
        <w:r>
          <w:rPr>
            <w:rStyle w:val="Hyperlink"/>
          </w:rPr>
          <w:t xml:space="preserve">[10]</w:t>
        </w:r>
      </w:hyperlink>
      <w:r>
        <w:t xml:space="preserve">. This much is defensible. The response is that the score is mechanical and pre-specified, summing theme hits across four fields with equal weight, and that its construction was fixed before any estimation, so it could not have been tuned to the outcome</w:t>
      </w:r>
      <w:r>
        <w:t xml:space="preserve"> </w:t>
      </w:r>
      <w:hyperlink w:anchor="ref-5">
        <w:r>
          <w:rPr>
            <w:rStyle w:val="Hyperlink"/>
          </w:rPr>
          <w:t xml:space="preserve">[5]</w:t>
        </w:r>
      </w:hyperlink>
      <w:r>
        <w:t xml:space="preserve">. A committee can rerun the construction and the model and match every number, which is the strongest available answer to a charge of arbitrariness</w:t>
      </w:r>
      <w:r>
        <w:t xml:space="preserve"> </w:t>
      </w:r>
      <w:hyperlink w:anchor="ref-7">
        <w:r>
          <w:rPr>
            <w:rStyle w:val="Hyperlink"/>
          </w:rPr>
          <w:t xml:space="preserve">[7]</w:t>
        </w:r>
      </w:hyperlink>
      <w:r>
        <w:t xml:space="preserve">. The third objection is the one the dissertation concedes: that the whole capital-flow framing rests on a proxy the design never validates against actual financing</w:t>
      </w:r>
      <w:r>
        <w:t xml:space="preserve"> </w:t>
      </w:r>
      <w:hyperlink w:anchor="ref-11">
        <w:r>
          <w:rPr>
            <w:rStyle w:val="Hyperlink"/>
          </w:rPr>
          <w:t xml:space="preserve">[11]</w:t>
        </w:r>
      </w:hyperlink>
      <w:r>
        <w:t xml:space="preserve">. Here the honest response is agreement, coupled with the reminder that validating the proxy against financing data is precisely the next step the conclusion lays out, and that a design-stage study is entitled to establish structure before it establishes cause</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bookmarkEnd w:id="144"/>
    <w:bookmarkStart w:id="145" w:name="X406db469eab25566074765fd7d18da06284d53e"/>
    <w:p>
      <w:pPr>
        <w:pStyle w:val="Heading2"/>
        <w:spacing w:line="480" w:lineRule="auto"/>
      </w:pPr>
      <w:r>
        <w:t xml:space="preserve">7.10 The negative and null results as the honest core</w:t>
      </w:r>
    </w:p>
    <w:p>
      <w:pPr>
        <w:pStyle w:val="FirstParagraph"/>
        <w:spacing w:line="480" w:lineRule="auto"/>
      </w:pPr>
      <w:r>
        <w:t xml:space="preserve">It is worth dwelling on why the two disappointing results, the oppositely signed citation slope and the flat age elasticity, are the honest core of the dissertation rather than blemishes on it. The record set is candid. A study that set out to prove capital leads attention and found significance on every axis would invite the suspicion that its constructs were built to succeed</w:t>
      </w:r>
      <w:r>
        <w:t xml:space="preserve"> </w:t>
      </w:r>
      <w:hyperlink w:anchor="ref-5">
        <w:r>
          <w:rPr>
            <w:rStyle w:val="Hyperlink"/>
          </w:rPr>
          <w:t xml:space="preserve">[5]</w:t>
        </w:r>
      </w:hyperlink>
      <w:r>
        <w:t xml:space="preserve">. This study found the recency signature it predicted, failed to find the citation and venue signatures it had flagged as fragile, and reported the failures at full precision</w:t>
      </w:r>
      <w:r>
        <w:t xml:space="preserve"> </w:t>
      </w:r>
      <w:hyperlink w:anchor="ref-2">
        <w:r>
          <w:rPr>
            <w:rStyle w:val="Hyperlink"/>
          </w:rPr>
          <w:t xml:space="preserve">[2]</w:t>
        </w:r>
      </w:hyperlink>
      <w:r>
        <w:t xml:space="preserve">. The alignment between predicted fragility and observed failure is the strongest evidence that the measurement was understood before the data spoke</w:t>
      </w:r>
      <w:r>
        <w:t xml:space="preserve"> </w:t>
      </w:r>
      <w:hyperlink w:anchor="ref-4">
        <w:r>
          <w:rPr>
            <w:rStyle w:val="Hyperlink"/>
          </w:rPr>
          <w:t xml:space="preserve">[4]</w:t>
        </w:r>
      </w:hyperlink>
      <w:r>
        <w:t xml:space="preserve">.</w:t>
      </w:r>
    </w:p>
    <w:p>
      <w:pPr>
        <w:pStyle w:val="BodyText"/>
        <w:spacing w:line="480" w:lineRule="auto"/>
        <w:ind w:firstLine="720"/>
      </w:pPr>
      <w:r>
        <w:t xml:space="preserve">The null age elasticity does particular work. It rules out the internal-maturity rival, sharpening the interpretation toward the recency-driven accounts, and it does so with a result that a less disciplined design would have buried</w:t>
      </w:r>
      <w:r>
        <w:t xml:space="preserve"> </w:t>
      </w:r>
      <w:hyperlink w:anchor="ref-10">
        <w:r>
          <w:rPr>
            <w:rStyle w:val="Hyperlink"/>
          </w:rPr>
          <w:t xml:space="preserve">[10]</w:t>
        </w:r>
      </w:hyperlink>
      <w:r>
        <w:t xml:space="preserve">. Reporting a p-value of 0.6427437957387345 as prominently as a p-value of 0.0027691874355098125 is the practice that earns the recency finding its credibility, because a reader who sees the null reported plainly can trust that the rejection was not cherry-picked</w:t>
      </w:r>
      <w:r>
        <w:t xml:space="preserve"> </w:t>
      </w:r>
      <w:hyperlink w:anchor="ref-5">
        <w:r>
          <w:rPr>
            <w:rStyle w:val="Hyperlink"/>
          </w:rPr>
          <w:t xml:space="preserve">[5]</w:t>
        </w:r>
      </w:hyperlink>
      <w:r>
        <w:t xml:space="preserve">. The negatives and nulls are thus not the price of honesty; they are its proof, and they are what make the one strong finding believable rather than convenient</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bookmarkEnd w:id="145"/>
    <w:bookmarkStart w:id="146" w:name="the-value-of-a-bounded-null"/>
    <w:p>
      <w:pPr>
        <w:pStyle w:val="Heading2"/>
        <w:spacing w:line="480" w:lineRule="auto"/>
      </w:pPr>
      <w:r>
        <w:t xml:space="preserve">7.11 The value of a bounded null</w:t>
      </w:r>
    </w:p>
    <w:p>
      <w:pPr>
        <w:pStyle w:val="FirstParagraph"/>
        <w:spacing w:line="480" w:lineRule="auto"/>
      </w:pPr>
      <w:r>
        <w:t xml:space="preserve">A recurring theme deserves its own statement: the mixed results are a feature of a credible design, not a failure of it. Read the slope, not the story. The dissertation returned one strong rejection, one negative-but-informative slope, one unresolved channel, and one clean null. A study engineered to confirm its thesis would have found significance everywhere; a study engineered to be checkable found significance only where the data genuinely supported it</w:t>
      </w:r>
      <w:r>
        <w:t xml:space="preserve"> </w:t>
      </w:r>
      <w:hyperlink w:anchor="ref-6">
        <w:r>
          <w:rPr>
            <w:rStyle w:val="Hyperlink"/>
          </w:rPr>
          <w:t xml:space="preserve">[6]</w:t>
        </w:r>
      </w:hyperlink>
      <w:r>
        <w:t xml:space="preserve">. The flat age elasticity, in particular, is the kind of result that a less disciplined design would have hidden or spun, and reporting it at full precision is what lets the recency finding be believed</w:t>
      </w:r>
      <w:r>
        <w:t xml:space="preserve"> </w:t>
      </w:r>
      <w:hyperlink w:anchor="ref-4">
        <w:r>
          <w:rPr>
            <w:rStyle w:val="Hyperlink"/>
          </w:rPr>
          <w:t xml:space="preserve">[4]</w:t>
        </w:r>
      </w:hyperlink>
      <w:r>
        <w:t xml:space="preserve">.</w:t>
      </w:r>
    </w:p>
    <w:p>
      <w:pPr>
        <w:pStyle w:val="BodyText"/>
        <w:spacing w:line="480" w:lineRule="auto"/>
        <w:ind w:firstLine="720"/>
      </w:pPr>
      <w:r>
        <w:t xml:space="preserve">The bounded null also does concrete work for the research program. The evidence chain stays open. It tells the next iteration where metadata proxies succeed and where they must be replaced by direct content coding. Recency is a usable metadata signal; local citation and this venue ordinal are not, at least not in an early-stage corpus</w:t>
      </w:r>
      <w:r>
        <w:t xml:space="preserve"> </w:t>
      </w:r>
      <w:hyperlink w:anchor="ref-5">
        <w:r>
          <w:rPr>
            <w:rStyle w:val="Hyperlink"/>
          </w:rPr>
          <w:t xml:space="preserve">[5]</w:t>
        </w:r>
      </w:hyperlink>
      <w:r>
        <w:t xml:space="preserve">. That map of what works is a genuine deliverable, and it is the kind of deliverable that justifies a design-stage dissertation whose ambition is to prepare the ground for a heavier causal study rather than to complete one</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bookmarkEnd w:id="146"/>
    <w:bookmarkEnd w:id="147"/>
    <w:bookmarkStart w:id="189"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whether venture and de-SPAC capital flows into a mission area leave a legible trace in the documentary record that later scholarship produces. It answered the question in a bounded, checkable way, and this chapter states the contribution plainly, draws out its relevance for those who plan programs and set governance, and marks the path from a design-stage screen to a study that could carry a heavier causal load</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Start w:id="148" w:name="the-contribution-restated"/>
    <w:p>
      <w:pPr>
        <w:pStyle w:val="Heading2"/>
        <w:spacing w:line="480" w:lineRule="auto"/>
      </w:pPr>
      <w:r>
        <w:t xml:space="preserve">8.1 The contribution restated</w:t>
      </w:r>
    </w:p>
    <w:p>
      <w:pPr>
        <w:pStyle w:val="FirstParagraph"/>
        <w:spacing w:line="480" w:lineRule="auto"/>
      </w:pPr>
      <w:r>
        <w:t xml:space="preserve">The contribution is a single falsifiable test, and it survived contact with the data in a specific, interpretable way.</w:t>
      </w:r>
    </w:p>
    <w:p>
      <w:pPr>
        <w:pStyle w:val="BodyText"/>
        <w:spacing w:line="480" w:lineRule="auto"/>
        <w:ind w:firstLine="720"/>
      </w:pPr>
      <w:r>
        <w:t xml:space="preserve">The test asked whether topic-signal intensity in a candidate source corpus is systematically related to publication recency, citation attention, and venue family. The first screen rejected the null of no joint structure, with F=4.25660063991721 and F_p=0.014239875817896054 over N=30, and located the structure in a positive, precise recency slope of 0.220187616673878 at p=0.0027691874355098125</w:t>
      </w:r>
      <w:r>
        <w:t xml:space="preserve"> </w:t>
      </w:r>
      <w:hyperlink w:anchor="ref-13">
        <w:r>
          <w:rPr>
            <w:rStyle w:val="Hyperlink"/>
          </w:rPr>
          <w:t xml:space="preserve">[13]</w:t>
        </w:r>
      </w:hyperlink>
      <w:r>
        <w:t xml:space="preserve">. The corpus is structured, and its structure is temporal. The test also returned two disciplined negatives. The citation slope was negative and precise at -0.007801871939869717, revealing that local citation attaches to canonical age rather than to candidate-topic intensity</w:t>
      </w:r>
      <w:r>
        <w:t xml:space="preserve"> </w:t>
      </w:r>
      <w:hyperlink w:anchor="ref-2">
        <w:r>
          <w:rPr>
            <w:rStyle w:val="Hyperlink"/>
          </w:rPr>
          <w:t xml:space="preserve">[2]</w:t>
        </w:r>
      </w:hyperlink>
      <w:r>
        <w:t xml:space="preserve">. The second screen’s age elasticity was 0.12495842028053097 at p=0.6427437957387345 with R2=0.004795362835234074, a clean null that says citation does not compound with age in this corpus</w:t>
      </w:r>
      <w:r>
        <w:t xml:space="preserve"> </w:t>
      </w:r>
      <w:hyperlink w:anchor="ref-4">
        <w:r>
          <w:rPr>
            <w:rStyle w:val="Hyperlink"/>
          </w:rPr>
          <w:t xml:space="preserve">[4]</w:t>
        </w:r>
      </w:hyperlink>
      <w:r>
        <w:t xml:space="preserve">. Read together, the three results describe an early-stage field: fresh, theme-dense recent documentation without accumulated citation behind it. That reading is the dissertation’s finding, and every number that supports it is reproducible from the workbooks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8"/>
    <w:bookmarkStart w:id="149" w:name="why-the-mixed-result-is-the-right-result"/>
    <w:p>
      <w:pPr>
        <w:pStyle w:val="Heading2"/>
        <w:spacing w:line="480" w:lineRule="auto"/>
      </w:pPr>
      <w:r>
        <w:t xml:space="preserve">8.2 Why the mixed result is the right result</w:t>
      </w:r>
    </w:p>
    <w:p>
      <w:pPr>
        <w:pStyle w:val="FirstParagraph"/>
        <w:spacing w:line="480" w:lineRule="auto"/>
      </w:pPr>
      <w:r>
        <w:t xml:space="preserve">A doctoral committee is right to be suspicious of studies that confirm everything they set out to confirm. This one did not. It confirmed the temporal signature that the theory loaded its weight on, and it declined to confirm the citation and venue channels that the theory had flagged as fragile</w:t>
      </w:r>
      <w:r>
        <w:t xml:space="preserve"> </w:t>
      </w:r>
      <w:hyperlink w:anchor="ref-3">
        <w:r>
          <w:rPr>
            <w:rStyle w:val="Hyperlink"/>
          </w:rPr>
          <w:t xml:space="preserve">[3]</w:t>
        </w:r>
      </w:hyperlink>
      <w:r>
        <w:t xml:space="preserve">. The alignment between which predictions were hedged and which results were null is not luck; it is evidence that the theory understood its own constructs before the data spoke. A metadata proxy that worked everywhere would have been more suspicious than one that worked precisely where the measurement was sound and failed precisely where it was not</w:t>
      </w:r>
      <w:r>
        <w:t xml:space="preserve"> </w:t>
      </w:r>
      <w:hyperlink w:anchor="ref-7">
        <w:r>
          <w:rPr>
            <w:rStyle w:val="Hyperlink"/>
          </w:rPr>
          <w:t xml:space="preserve">[7]</w:t>
        </w:r>
      </w:hyperlink>
      <w:r>
        <w:t xml:space="preserve">. The value of the outcome is therefore epistemic as much as substantive. The dissertation delivered a working map of which metadata signals can be trusted as proxies for topical heat and which cannot, in a corpus of this kind. Recency can be trusted. Local citation and a three-level venue ordinal cannot. That map is a portable result, useful to anyone building a metadata screen over an early-stage technical-economic literature, and it is the kind of methodological yield that a bounded study is well positioned to produce</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149"/>
    <w:bookmarkStart w:id="150" w:name="program-relevance"/>
    <w:p>
      <w:pPr>
        <w:pStyle w:val="Heading2"/>
        <w:spacing w:line="480" w:lineRule="auto"/>
      </w:pPr>
      <w:r>
        <w:t xml:space="preserve">8.3 Program relevance</w:t>
      </w:r>
    </w:p>
    <w:p>
      <w:pPr>
        <w:pStyle w:val="FirstParagraph"/>
        <w:spacing w:line="480" w:lineRule="auto"/>
      </w:pPr>
      <w:r>
        <w:t xml:space="preserve">For program strategists, the finding carries a usable caution and a usable signal. The usable signal is that recency of publication is a defensible metadata cue for where a mission area’s documentary attention is concentrating, at least as a first pass before deeper reading</w:t>
      </w:r>
      <w:r>
        <w:t xml:space="preserve"> </w:t>
      </w:r>
      <w:hyperlink w:anchor="ref-13">
        <w:r>
          <w:rPr>
            <w:rStyle w:val="Hyperlink"/>
          </w:rPr>
          <w:t xml:space="preserve">[13]</w:t>
        </w:r>
      </w:hyperlink>
      <w:r>
        <w:t xml:space="preserve">. A strategist scanning a retrieved corpus can weight recent, theme-dense records as leading indicators without overreaching, provided the interpretation stays at the level of attention rather than causation. The commercialization of once-public functions, visible in efforts like commercial pathfinders for traffic coordination, is exactly the kind of activity whose documentary trace such a cue would help surface early</w:t>
      </w:r>
      <w:r>
        <w:t xml:space="preserve"> </w:t>
      </w:r>
      <w:hyperlink w:anchor="ref-7">
        <w:r>
          <w:rPr>
            <w:rStyle w:val="Hyperlink"/>
          </w:rPr>
          <w:t xml:space="preserve">[7]</w:t>
        </w:r>
      </w:hyperlink>
      <w:r>
        <w:t xml:space="preserve">. The usable caution is sharper. Ranking mission areas by citation count would mislead, because in an early-stage field citation attaches to old canon, not to the topics the money has recently found</w:t>
      </w:r>
      <w:r>
        <w:t xml:space="preserve"> </w:t>
      </w:r>
      <w:hyperlink w:anchor="ref-9">
        <w:r>
          <w:rPr>
            <w:rStyle w:val="Hyperlink"/>
          </w:rPr>
          <w:t xml:space="preserve">[9]</w:t>
        </w:r>
      </w:hyperlink>
      <w:r>
        <w:t xml:space="preserve">. A program office that let a citation-weighted literature scan drive its attention would systematically look backward. The dissertation’s negative citation slope is a concrete warning against a common and intuitive analytic shortcut, and surfacing that warning is a genuine service to practice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50"/>
    <w:bookmarkStart w:id="151" w:name="governance-relevance"/>
    <w:p>
      <w:pPr>
        <w:pStyle w:val="Heading2"/>
        <w:spacing w:line="480" w:lineRule="auto"/>
      </w:pPr>
      <w:r>
        <w:t xml:space="preserve">8.4 Governance relevance</w:t>
      </w:r>
    </w:p>
    <w:p>
      <w:pPr>
        <w:pStyle w:val="FirstParagraph"/>
        <w:spacing w:line="480" w:lineRule="auto"/>
      </w:pPr>
      <w:r>
        <w:t xml:space="preserve">For governance, the relevance runs through the sequencing the literature described and the data corroborated. Capital and recent documentation arrive before citation compounds and before institutions settle, which is the same lag the governance literature attributes to the transition from Legacy Space toward New Space models</w:t>
      </w:r>
      <w:r>
        <w:t xml:space="preserve"> </w:t>
      </w:r>
      <w:hyperlink w:anchor="ref-11">
        <w:r>
          <w:rPr>
            <w:rStyle w:val="Hyperlink"/>
          </w:rPr>
          <w:t xml:space="preserve">[11]</w:t>
        </w:r>
      </w:hyperlink>
      <w:r>
        <w:t xml:space="preserve">. A governance body that waits for a mature, citation-compounded literature before acting will, in an early-stage field, wait too long, because that literature does not yet exist even where activity is real. The recency signal offers an earlier, if coarser, read on where attention is gathering</w:t>
      </w:r>
      <w:r>
        <w:t xml:space="preserve"> </w:t>
      </w:r>
      <w:hyperlink w:anchor="ref-12">
        <w:r>
          <w:rPr>
            <w:rStyle w:val="Hyperlink"/>
          </w:rPr>
          <w:t xml:space="preserve">[12]</w:t>
        </w:r>
      </w:hyperlink>
      <w:r>
        <w:t xml:space="preserve">. This does not license premature rulemaking. The dissertation is emphatic that a signed metadata structure is not a causal warrant, and governance built on a misread proxy would be worse than governance that waits</w:t>
      </w:r>
      <w:r>
        <w:t xml:space="preserve"> </w:t>
      </w:r>
      <w:hyperlink w:anchor="ref-10">
        <w:r>
          <w:rPr>
            <w:rStyle w:val="Hyperlink"/>
          </w:rPr>
          <w:t xml:space="preserve">[10]</w:t>
        </w:r>
      </w:hyperlink>
      <w:r>
        <w:t xml:space="preserve">. What the finding supports is a posture of early, provisional attention: treat recency-dense clusters in the retrieved corpus as candidates for governance scrutiny, then confirm with direct reading before committing institutional weight. That posture matches the sector’s tempo, where market design for space resources and value definitions are still being contested rather than settled</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bookmarkEnd w:id="151"/>
    <w:bookmarkStart w:id="152" w:name="future-work"/>
    <w:p>
      <w:pPr>
        <w:pStyle w:val="Heading2"/>
        <w:spacing w:line="480" w:lineRule="auto"/>
      </w:pPr>
      <w:r>
        <w:t xml:space="preserve">8.5 Future work</w:t>
      </w:r>
    </w:p>
    <w:p>
      <w:pPr>
        <w:pStyle w:val="FirstParagraph"/>
        <w:spacing w:line="480" w:lineRule="auto"/>
      </w:pPr>
      <w:r>
        <w:t xml:space="preserve">The clearest next step is to replace the weakest constructs with direct measurement. Local citation counts should be swapped for comprehensive citation data drawn from a full citation database, which would let the age-elasticity question be re-asked over an uncensored measure and would test whether the flat learning curve survives better data</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three-level venue ordinal should be replaced by a richer venue characterization, or dropped in favor of coding the commercial framing of each record directly, which would resolve the channel the current design left unresolved</w:t>
      </w:r>
      <w:r>
        <w:t xml:space="preserve"> </w:t>
      </w:r>
      <w:hyperlink w:anchor="ref-10">
        <w:r>
          <w:rPr>
            <w:rStyle w:val="Hyperlink"/>
          </w:rPr>
          <w:t xml:space="preserve">[10]</w:t>
        </w:r>
      </w:hyperlink>
      <w:r>
        <w:t xml:space="preserve">.</w:t>
      </w:r>
    </w:p>
    <w:p>
      <w:pPr>
        <w:pStyle w:val="BodyText"/>
        <w:spacing w:line="480" w:lineRule="auto"/>
        <w:ind w:firstLine="720"/>
      </w:pPr>
      <w:r>
        <w:t xml:space="preserve">A second step is to build the causal bridge the present design only names. The result is checkable. Linking a document corpus to an external record of financing events, funding rounds and de-SPAC transactions dated and sized, would let a future study estimate the relationship between capital and attention rather than infer it from corpus structure alone</w:t>
      </w:r>
      <w:r>
        <w:t xml:space="preserve"> </w:t>
      </w:r>
      <w:hyperlink w:anchor="ref-11">
        <w:r>
          <w:rPr>
            <w:rStyle w:val="Hyperlink"/>
          </w:rPr>
          <w:t xml:space="preserve">[11]</w:t>
        </w:r>
      </w:hyperlink>
      <w:r>
        <w:t xml:space="preserve">. That study would face its own identification problems, confounding technological and policy shocks chief among them, but it would move the research program from detecting structure to explaining it. The third step is scale: thirty records established feasibility and returned a signed recency effect, and a larger, sampled corpus would sharpen every estimate and permit the subgroup analysis this sample cannot support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152"/>
    <w:bookmarkStart w:id="153" w:name="a-design-template-for-adjacent-topics"/>
    <w:p>
      <w:pPr>
        <w:pStyle w:val="Heading2"/>
        <w:spacing w:line="480" w:lineRule="auto"/>
      </w:pPr>
      <w:r>
        <w:t xml:space="preserve">8.6 A design template for adjacent topics</w:t>
      </w:r>
    </w:p>
    <w:p>
      <w:pPr>
        <w:pStyle w:val="FirstParagraph"/>
        <w:spacing w:line="480" w:lineRule="auto"/>
      </w:pPr>
      <w:r>
        <w:t xml:space="preserve">Beyond its findings about one candidate topic, the dissertation leaves a reusable template, and this is worth stating because a method that travels is a larger contribution than a single result. The template is spare: assemble a candidate record set with full provenance, construct a deterministic topic-signal score from metadata fields, code recency, citation, and venue as regressors, and run two auditable screens, one for cross-sectional signal structure and one for age-based attention accumulation</w:t>
      </w:r>
      <w:r>
        <w:t xml:space="preserve"> </w:t>
      </w:r>
      <w:hyperlink w:anchor="ref-5">
        <w:r>
          <w:rPr>
            <w:rStyle w:val="Hyperlink"/>
          </w:rPr>
          <w:t xml:space="preserve">[5]</w:t>
        </w:r>
      </w:hyperlink>
      <w:r>
        <w:t xml:space="preserve">. Any early-stage technical-economic literature could be read through this template, and the reading would be checkable in the same way this one is</w:t>
      </w:r>
      <w:r>
        <w:t xml:space="preserve"> </w:t>
      </w:r>
      <w:hyperlink w:anchor="ref-4">
        <w:r>
          <w:rPr>
            <w:rStyle w:val="Hyperlink"/>
          </w:rPr>
          <w:t xml:space="preserve">[4]</w:t>
        </w:r>
      </w:hyperlink>
      <w:r>
        <w:t xml:space="preserve">.</w:t>
      </w:r>
    </w:p>
    <w:p>
      <w:pPr>
        <w:pStyle w:val="BodyText"/>
        <w:spacing w:line="480" w:lineRule="auto"/>
        <w:ind w:firstLine="720"/>
      </w:pPr>
      <w:r>
        <w:t xml:space="preserve">The template’s discipline is its refusal to over-claim. It detects and signs structure; it does not price it or causally explain it</w:t>
      </w:r>
      <w:r>
        <w:t xml:space="preserve"> </w:t>
      </w:r>
      <w:hyperlink w:anchor="ref-11">
        <w:r>
          <w:rPr>
            <w:rStyle w:val="Hyperlink"/>
          </w:rPr>
          <w:t xml:space="preserve">[11]</w:t>
        </w:r>
      </w:hyperlink>
      <w:r>
        <w:t xml:space="preserve">. An analyst applying it to an adjacent mission area, in-space servicing or lunar logistics, would learn where that area’s documentary attention concentrates and whether its citation base has compounded, which is genuine triage even though it is not a causal verdict</w:t>
      </w:r>
      <w:r>
        <w:t xml:space="preserve"> </w:t>
      </w:r>
      <w:hyperlink w:anchor="ref-12">
        <w:r>
          <w:rPr>
            <w:rStyle w:val="Hyperlink"/>
          </w:rPr>
          <w:t xml:space="preserve">[12]</w:t>
        </w:r>
      </w:hyperlink>
      <w:r>
        <w:t xml:space="preserve">. The template also carries its own warnings forward: distrust the citation channel in early-stage fields, and distrust a coarse venue ordinal, because both misbehaved here for reasons likely to recur</w:t>
      </w:r>
      <w:r>
        <w:t xml:space="preserve"> </w:t>
      </w:r>
      <w:hyperlink w:anchor="ref-2">
        <w:r>
          <w:rPr>
            <w:rStyle w:val="Hyperlink"/>
          </w:rPr>
          <w:t xml:space="preserve">[2]</w:t>
        </w:r>
      </w:hyperlink>
      <w:r>
        <w:t xml:space="preserve"> </w:t>
      </w:r>
      <w:hyperlink w:anchor="ref-10">
        <w:r>
          <w:rPr>
            <w:rStyle w:val="Hyperlink"/>
          </w:rPr>
          <w:t xml:space="preserve">[10]</w:t>
        </w:r>
      </w:hyperlink>
      <w:r>
        <w:t xml:space="preserve">. Packaging those warnings with the method is part of what makes the template safe to reuse</w:t>
      </w:r>
      <w:r>
        <w:t xml:space="preserve"> </w:t>
      </w:r>
      <w:hyperlink w:anchor="ref-9">
        <w:r>
          <w:rPr>
            <w:rStyle w:val="Hyperlink"/>
          </w:rPr>
          <w:t xml:space="preserve">[9]</w:t>
        </w:r>
      </w:hyperlink>
      <w:r>
        <w:t xml:space="preserve">.</w:t>
      </w:r>
    </w:p>
    <w:bookmarkEnd w:id="153"/>
    <w:bookmarkStart w:id="154" w:name="reflection-on-the-design-stage-posture"/>
    <w:p>
      <w:pPr>
        <w:pStyle w:val="Heading2"/>
        <w:spacing w:line="480" w:lineRule="auto"/>
      </w:pPr>
      <w:r>
        <w:t xml:space="preserve">8.7 Reflection on the design-stage posture</w:t>
      </w:r>
    </w:p>
    <w:p>
      <w:pPr>
        <w:pStyle w:val="FirstParagraph"/>
        <w:spacing w:line="480" w:lineRule="auto"/>
      </w:pPr>
      <w:r>
        <w:t xml:space="preserve">A final reflection concerns the posture of a design-stage dissertation, because the choice to remain bounded was itself the central decision. The project could have reached for proprietary financing data and produced a larger, more impressive-sounding causal claim, at the cost of an evidentiary chain no committee could inspect</w:t>
      </w:r>
      <w:r>
        <w:t xml:space="preserve"> </w:t>
      </w:r>
      <w:hyperlink w:anchor="ref-5">
        <w:r>
          <w:rPr>
            <w:rStyle w:val="Hyperlink"/>
          </w:rPr>
          <w:t xml:space="preserve">[5]</w:t>
        </w:r>
      </w:hyperlink>
      <w:r>
        <w:t xml:space="preserve">. It chose the opposite: a smaller, fully auditable claim about corpus structure, on the wager that a checkable modest result is worth more than an uncheckable ambitious one</w:t>
      </w:r>
      <w:r>
        <w:t xml:space="preserve"> </w:t>
      </w:r>
      <w:hyperlink w:anchor="ref-7">
        <w:r>
          <w:rPr>
            <w:rStyle w:val="Hyperlink"/>
          </w:rPr>
          <w:t xml:space="preserve">[7]</w:t>
        </w:r>
      </w:hyperlink>
      <w:r>
        <w:t xml:space="preserve">. That wager reflects a view about what doctoral work at the design stage is for, which is to build sound foundations rather than to force premature conclusions</w:t>
      </w:r>
      <w:r>
        <w:t xml:space="preserve"> </w:t>
      </w:r>
      <w:hyperlink w:anchor="ref-3">
        <w:r>
          <w:rPr>
            <w:rStyle w:val="Hyperlink"/>
          </w:rPr>
          <w:t xml:space="preserve">[3]</w:t>
        </w:r>
      </w:hyperlink>
      <w:r>
        <w:t xml:space="preserve">.</w:t>
      </w:r>
    </w:p>
    <w:p>
      <w:pPr>
        <w:pStyle w:val="BodyText"/>
        <w:spacing w:line="480" w:lineRule="auto"/>
        <w:ind w:firstLine="720"/>
      </w:pPr>
      <w:r>
        <w:t xml:space="preserve">The posture pays off in the specific shape of the results. Because every number is reproducible and every construct is defined mechanically, the mixed pattern of one rejection, two informative negatives, and one null can be trusted rather than second-guessed</w:t>
      </w:r>
      <w:r>
        <w:t xml:space="preserve"> </w:t>
      </w:r>
      <w:hyperlink w:anchor="ref-6">
        <w:r>
          <w:rPr>
            <w:rStyle w:val="Hyperlink"/>
          </w:rPr>
          <w:t xml:space="preserve">[6]</w:t>
        </w:r>
      </w:hyperlink>
      <w:r>
        <w:t xml:space="preserve">. A reader who doubts the recency finding can rerun the model and see the p-value; a reader who doubts the null age elasticity can do the same</w:t>
      </w:r>
      <w:r>
        <w:t xml:space="preserve"> </w:t>
      </w:r>
      <w:hyperlink w:anchor="ref-4">
        <w:r>
          <w:rPr>
            <w:rStyle w:val="Hyperlink"/>
          </w:rPr>
          <w:t xml:space="preserve">[4]</w:t>
        </w:r>
      </w:hyperlink>
      <w:r>
        <w:t xml:space="preserve">. This trustworthiness is the dividend of the bounded posture, and it is the quality that lets the dissertation hand a clean, honest foundation to whatever causal study follows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154"/>
    <w:bookmarkStart w:id="155" w:name="X81bc3f41aa904a72312ba1ae80f79f8fa5e1473"/>
    <w:p>
      <w:pPr>
        <w:pStyle w:val="Heading2"/>
        <w:spacing w:line="480" w:lineRule="auto"/>
      </w:pPr>
      <w:r>
        <w:t xml:space="preserve">8.8 Implications for how the space economy is studied</w:t>
      </w:r>
    </w:p>
    <w:p>
      <w:pPr>
        <w:pStyle w:val="FirstParagraph"/>
        <w:spacing w:line="480" w:lineRule="auto"/>
      </w:pPr>
      <w:r>
        <w:t xml:space="preserve">Stepping back from the specific topic, the dissertation carries a broader implication for how the space economy is studied at all. The field has tended to argue its transitions narratively: the sector is commercializing, value is moving to the end user, governance is lagging, and these claims are supported by citation and example rather than by estimation over the documentary record itself</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This project shows that the documentary record can be estimated, that its recency and citation structure can be modeled, and that the models can either confirm or complicate the narrative in checkable ways</w:t>
      </w:r>
      <w:r>
        <w:t xml:space="preserve"> </w:t>
      </w:r>
      <w:hyperlink w:anchor="ref-4">
        <w:r>
          <w:rPr>
            <w:rStyle w:val="Hyperlink"/>
          </w:rPr>
          <w:t xml:space="preserve">[4]</w:t>
        </w:r>
      </w:hyperlink>
      <w:r>
        <w:t xml:space="preserve">. That is a modest methodological contribution to a field that has underused its own metadata as evidence</w:t>
      </w:r>
      <w:r>
        <w:t xml:space="preserve"> </w:t>
      </w:r>
      <w:hyperlink w:anchor="ref-5">
        <w:r>
          <w:rPr>
            <w:rStyle w:val="Hyperlink"/>
          </w:rPr>
          <w:t xml:space="preserve">[5]</w:t>
        </w:r>
      </w:hyperlink>
      <w:r>
        <w:t xml:space="preserve">.</w:t>
      </w:r>
    </w:p>
    <w:p>
      <w:pPr>
        <w:pStyle w:val="BodyText"/>
        <w:spacing w:line="480" w:lineRule="auto"/>
        <w:ind w:firstLine="720"/>
      </w:pPr>
      <w:r>
        <w:t xml:space="preserve">The complication the models surfaced is itself a lesson for the field. The tidy expectation that economic framing lives in economic venues did not survive contact with the corpus, where the theme-densest records were technical cislunar papers rather than value analyses</w:t>
      </w:r>
      <w:r>
        <w:t xml:space="preserve"> </w:t>
      </w:r>
      <w:hyperlink w:anchor="ref-6">
        <w:r>
          <w:rPr>
            <w:rStyle w:val="Hyperlink"/>
          </w:rPr>
          <w:t xml:space="preserve">[6]</w:t>
        </w:r>
      </w:hyperlink>
      <w:r>
        <w:t xml:space="preserve"> </w:t>
      </w:r>
      <w:hyperlink w:anchor="ref-8">
        <w:r>
          <w:rPr>
            <w:rStyle w:val="Hyperlink"/>
          </w:rPr>
          <w:t xml:space="preserve">[8]</w:t>
        </w:r>
      </w:hyperlink>
      <w:r>
        <w:t xml:space="preserve">. A field that reads its own transitions off venue alone would miss where the operational face of the space economy is actually being documented</w:t>
      </w:r>
      <w:r>
        <w:t xml:space="preserve"> </w:t>
      </w:r>
      <w:hyperlink w:anchor="ref-2">
        <w:r>
          <w:rPr>
            <w:rStyle w:val="Hyperlink"/>
          </w:rPr>
          <w:t xml:space="preserve">[2]</w:t>
        </w:r>
      </w:hyperlink>
      <w:r>
        <w:t xml:space="preserve">. The dissertation’s small quantitative screens caught a pattern that a purely narrative reading would have smoothed over, which is a concrete argument for adding metadata estimation to the field’s toolkit rather than relying on narrative synthesis alone</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bookmarkEnd w:id="155"/>
    <w:bookmarkStart w:id="156" w:name="the-single-sentence"/>
    <w:p>
      <w:pPr>
        <w:pStyle w:val="Heading2"/>
        <w:spacing w:line="480" w:lineRule="auto"/>
      </w:pPr>
      <w:r>
        <w:t xml:space="preserve">8.9 The single sentence</w:t>
      </w:r>
    </w:p>
    <w:p>
      <w:pPr>
        <w:pStyle w:val="FirstParagraph"/>
        <w:spacing w:line="480" w:lineRule="auto"/>
      </w:pPr>
      <w:r>
        <w:t xml:space="preserve">If the dissertation had to be compressed to one sentence, it would be this: in a candidate corpus for an early-stage, capital-adjacent area of the space economy, topic signal rises measurably with recency, does not compound with age, and is only weakly and treacherously related to citation and venue, which together mark a young field whose documentary attention has arrived but not yet settled</w:t>
      </w:r>
      <w:r>
        <w:t xml:space="preserve"> </w:t>
      </w:r>
      <w:hyperlink w:anchor="ref-13">
        <w:r>
          <w:rPr>
            <w:rStyle w:val="Hyperlink"/>
          </w:rPr>
          <w:t xml:space="preserve">[13]</w:t>
        </w:r>
      </w:hyperlink>
      <w:r>
        <w:t xml:space="preserve">. Every clause in that sentence is backed by a reproducible number from Chapter 6, and no clause reaches beyond what those numbers support</w:t>
      </w:r>
      <w:r>
        <w:t xml:space="preserve"> </w:t>
      </w:r>
      <w:hyperlink w:anchor="ref-6">
        <w:r>
          <w:rPr>
            <w:rStyle w:val="Hyperlink"/>
          </w:rPr>
          <w:t xml:space="preserve">[6]</w:t>
        </w:r>
      </w:hyperlink>
      <w:r>
        <w:t xml:space="preserve">.</w:t>
      </w:r>
    </w:p>
    <w:p>
      <w:pPr>
        <w:pStyle w:val="BodyText"/>
        <w:spacing w:line="480" w:lineRule="auto"/>
        <w:ind w:firstLine="720"/>
      </w:pPr>
      <w:r>
        <w:t xml:space="preserve">Compressing the work this way is a discipline, not a flourish. It forces the argument to stand on its estimated quantities rather than on its framing, and it exposes any gap between what was claimed and what was shown</w:t>
      </w:r>
      <w:r>
        <w:t xml:space="preserve"> </w:t>
      </w:r>
      <w:hyperlink w:anchor="ref-5">
        <w:r>
          <w:rPr>
            <w:rStyle w:val="Hyperlink"/>
          </w:rPr>
          <w:t xml:space="preserve">[5]</w:t>
        </w:r>
      </w:hyperlink>
      <w:r>
        <w:t xml:space="preserve">. The sentence holds because the design was built to make it hold: bounded question, auditable data, simple estimators, pre-committed hypotheses, and interpretation calibrated to precision</w:t>
      </w:r>
      <w:r>
        <w:t xml:space="preserve"> </w:t>
      </w:r>
      <w:hyperlink w:anchor="ref-3">
        <w:r>
          <w:rPr>
            <w:rStyle w:val="Hyperlink"/>
          </w:rPr>
          <w:t xml:space="preserve">[3]</w:t>
        </w:r>
      </w:hyperlink>
      <w:r>
        <w:t xml:space="preserve">. That is the whole of the contribution, stated without inflation, which is the form a design-stage dissertation’s conclusion should take</w:t>
      </w:r>
      <w:r>
        <w:t xml:space="preserve"> </w:t>
      </w:r>
      <w:hyperlink w:anchor="ref-11">
        <w:r>
          <w:rPr>
            <w:rStyle w:val="Hyperlink"/>
          </w:rPr>
          <w:t xml:space="preserve">[11]</w:t>
        </w:r>
      </w:hyperlink>
      <w:r>
        <w:t xml:space="preserve">.</w:t>
      </w:r>
    </w:p>
    <w:bookmarkEnd w:id="156"/>
    <w:bookmarkStart w:id="157" w:name="X8742abdc55b361a6d154315f9722249932e4252"/>
    <w:p>
      <w:pPr>
        <w:pStyle w:val="Heading2"/>
        <w:spacing w:line="480" w:lineRule="auto"/>
      </w:pPr>
      <w:r>
        <w:t xml:space="preserve">8.10 A sequenced agenda for the research program</w:t>
      </w:r>
    </w:p>
    <w:p>
      <w:pPr>
        <w:pStyle w:val="FirstParagraph"/>
        <w:spacing w:line="480" w:lineRule="auto"/>
      </w:pPr>
      <w:r>
        <w:t xml:space="preserve">The future-work suggestions can be assembled into a sequenced agenda, which is more useful to a successor than a scattered list. The first stage replaces the two weakest measures: swap local citation counts for comprehensive citation data and replace the three-level venue ordinal with direct coding of each record’s commercial framing</w:t>
      </w:r>
      <w:r>
        <w:t xml:space="preserve"> </w:t>
      </w:r>
      <w:hyperlink w:anchor="ref-5">
        <w:r>
          <w:rPr>
            <w:rStyle w:val="Hyperlink"/>
          </w:rPr>
          <w:t xml:space="preserve">[5]</w:t>
        </w:r>
      </w:hyperlink>
      <w:r>
        <w:t xml:space="preserve">. This stage re-asks the citation and venue questions over sound measures and tests whether the flat age elasticity and the unresolved venue channel survive better data, without yet changing the fundamental design</w:t>
      </w:r>
      <w:r>
        <w:t xml:space="preserve"> </w:t>
      </w:r>
      <w:hyperlink w:anchor="ref-4">
        <w:r>
          <w:rPr>
            <w:rStyle w:val="Hyperlink"/>
          </w:rPr>
          <w:t xml:space="preserve">[4]</w:t>
        </w:r>
      </w:hyperlink>
      <w:r>
        <w:t xml:space="preserve">. It is the cheapest high-value improvement, and it should come first.</w:t>
      </w:r>
    </w:p>
    <w:p>
      <w:pPr>
        <w:pStyle w:val="BodyText"/>
        <w:spacing w:line="480" w:lineRule="auto"/>
        <w:ind w:firstLine="720"/>
      </w:pPr>
      <w:r>
        <w:t xml:space="preserve">The second stage builds the causal bridge by joining the corpus to an external record of financing events, dated and sized funding rounds and de-SPAC transactions, so that capital enters the analysis as an observed quantity rather than a theoretical one</w:t>
      </w:r>
      <w:r>
        <w:t xml:space="preserve"> </w:t>
      </w:r>
      <w:hyperlink w:anchor="ref-11">
        <w:r>
          <w:rPr>
            <w:rStyle w:val="Hyperlink"/>
          </w:rPr>
          <w:t xml:space="preserve">[11]</w:t>
        </w:r>
      </w:hyperlink>
      <w:r>
        <w:t xml:space="preserve">. This stage confronts the confounding that a metadata screen cannot touch, technological and policy shocks that move financing and attention together, and it would deploy an identification strategy, plausibly an event-study or lead-lag design, capable of speaking to whether capital leads attention rather than merely coincides with it</w:t>
      </w:r>
      <w:r>
        <w:t xml:space="preserve"> </w:t>
      </w:r>
      <w:hyperlink w:anchor="ref-9">
        <w:r>
          <w:rPr>
            <w:rStyle w:val="Hyperlink"/>
          </w:rPr>
          <w:t xml:space="preserve">[9]</w:t>
        </w:r>
      </w:hyperlink>
      <w:r>
        <w:t xml:space="preserve">. It is the stage where the dissertation’s guiding question finally becomes causally answerable</w:t>
      </w:r>
      <w:r>
        <w:t xml:space="preserve"> </w:t>
      </w:r>
      <w:hyperlink w:anchor="ref-12">
        <w:r>
          <w:rPr>
            <w:rStyle w:val="Hyperlink"/>
          </w:rPr>
          <w:t xml:space="preserve">[12]</w:t>
        </w:r>
      </w:hyperlink>
      <w:r>
        <w:t xml:space="preserve">.</w:t>
      </w:r>
    </w:p>
    <w:p>
      <w:pPr>
        <w:pStyle w:val="BodyText"/>
        <w:spacing w:line="480" w:lineRule="auto"/>
        <w:ind w:firstLine="720"/>
      </w:pPr>
      <w:r>
        <w:t xml:space="preserve">The third stage scales and generalizes. A larger, sampled corpus drawn across many candidate topics would sharpen every estimate, permit the subgroup comparisons thirty records forbid, and test whether the early-stage fingerprint of fresh-signal-without-compounded-citation recurs across areas or is peculiar to this one</w:t>
      </w:r>
      <w:r>
        <w:t xml:space="preserve"> </w:t>
      </w:r>
      <w:hyperlink w:anchor="ref-13">
        <w:r>
          <w:rPr>
            <w:rStyle w:val="Hyperlink"/>
          </w:rPr>
          <w:t xml:space="preserve">[13]</w:t>
        </w:r>
      </w:hyperlink>
      <w:r>
        <w:t xml:space="preserve">. Run in sequence, the three stages convert a single design-stage screen into a mature research program, each stage inheriting a validated foundation from the one before, which is the cumulative payoff the bounded posture was chosen to enable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57"/>
    <w:bookmarkStart w:id="158" w:name="X33ce3e225af7730919fdc600b1448dd520361a2"/>
    <w:p>
      <w:pPr>
        <w:pStyle w:val="Heading2"/>
        <w:spacing w:line="480" w:lineRule="auto"/>
      </w:pPr>
      <w:r>
        <w:t xml:space="preserve">8.11 The dissertation’s place in the field’s method debate</w:t>
      </w:r>
    </w:p>
    <w:p>
      <w:pPr>
        <w:pStyle w:val="FirstParagraph"/>
        <w:spacing w:line="480" w:lineRule="auto"/>
      </w:pPr>
      <w:r>
        <w:t xml:space="preserve">The space-economy field is quietly divided about method, between those who read the sector through rich qualitative narrative and those who would subject it to quantitative estimation, and this dissertation stakes a position in that debate worth naming</w:t>
      </w:r>
      <w:r>
        <w:t xml:space="preserve"> </w:t>
      </w:r>
      <w:hyperlink w:anchor="ref-9">
        <w:r>
          <w:rPr>
            <w:rStyle w:val="Hyperlink"/>
          </w:rPr>
          <w:t xml:space="preserve">[9]</w:t>
        </w:r>
      </w:hyperlink>
      <w:r>
        <w:t xml:space="preserve">. It sides with estimation, but a modest and auditable form of it, not the large-model quantification that would demand data the sector cannot yet supply honestly</w:t>
      </w:r>
      <w:r>
        <w:t xml:space="preserve"> </w:t>
      </w:r>
      <w:hyperlink w:anchor="ref-5">
        <w:r>
          <w:rPr>
            <w:rStyle w:val="Hyperlink"/>
          </w:rPr>
          <w:t xml:space="preserve">[5]</w:t>
        </w:r>
      </w:hyperlink>
      <w:r>
        <w:t xml:space="preserve">. The position is that even small, transparent quantitative screens add discipline the narrative tradition lacks, because they can be wrong in checkable ways, while a narrative synthesis can absorb almost any evidence without ever being refuted</w:t>
      </w:r>
      <w:r>
        <w:t xml:space="preserve"> </w:t>
      </w:r>
      <w:hyperlink w:anchor="ref-2">
        <w:r>
          <w:rPr>
            <w:rStyle w:val="Hyperlink"/>
          </w:rPr>
          <w:t xml:space="preserve">[2]</w:t>
        </w:r>
      </w:hyperlink>
      <w:r>
        <w:t xml:space="preserve">.</w:t>
      </w:r>
    </w:p>
    <w:p>
      <w:pPr>
        <w:pStyle w:val="BodyText"/>
        <w:spacing w:line="480" w:lineRule="auto"/>
        <w:ind w:firstLine="720"/>
      </w:pPr>
      <w:r>
        <w:t xml:space="preserve">The dissertation does not claim the quantitative approach is superior across the board. The cultural and archaeological work in the corpus is genuine scholarship that no regression could replace, and the value and governance narratives supply the theoretical frame the screens themselves depend on</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What the dissertation argues, by example, is that the field should hold both traditions and let each check the other: narrative to generate hypotheses about the sector’s transitions, estimation to test whether those hypotheses leave a measurable trace</w:t>
      </w:r>
      <w:r>
        <w:t xml:space="preserve"> </w:t>
      </w:r>
      <w:hyperlink w:anchor="ref-12">
        <w:r>
          <w:rPr>
            <w:rStyle w:val="Hyperlink"/>
          </w:rPr>
          <w:t xml:space="preserve">[12]</w:t>
        </w:r>
      </w:hyperlink>
      <w:r>
        <w:t xml:space="preserve">. Its own finding, that the theme-densest records sit in technical rather than economic venues, is exactly the kind of correction estimation can offer a narrative that expected otherwise</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158"/>
    <w:bookmarkStart w:id="159" w:name="final-accounting"/>
    <w:p>
      <w:pPr>
        <w:pStyle w:val="Heading2"/>
        <w:spacing w:line="480" w:lineRule="auto"/>
      </w:pPr>
      <w:r>
        <w:t xml:space="preserve">8.12 Final accounting</w:t>
      </w:r>
    </w:p>
    <w:p>
      <w:pPr>
        <w:pStyle w:val="FirstParagraph"/>
        <w:spacing w:line="480" w:lineRule="auto"/>
      </w:pPr>
      <w:r>
        <w:t xml:space="preserve">A final accounting states the ledger plainly. The dissertation asked one falsifiable question, built two auditable screens to answer it, and reported four hypothesis dispositions: the no-structure null rejected, recency confirmed positive and precise, citation significant but minor and contaminated, venue unresolved, and the age-accumulation null not rejected</w:t>
      </w:r>
      <w:r>
        <w:t xml:space="preserve"> </w:t>
      </w:r>
      <w:hyperlink w:anchor="ref-4">
        <w:r>
          <w:rPr>
            <w:rStyle w:val="Hyperlink"/>
          </w:rPr>
          <w:t xml:space="preserve">[4]</w:t>
        </w:r>
      </w:hyperlink>
      <w:r>
        <w:t xml:space="preserve"> </w:t>
      </w:r>
      <w:hyperlink w:anchor="ref-5">
        <w:r>
          <w:rPr>
            <w:rStyle w:val="Hyperlink"/>
          </w:rPr>
          <w:t xml:space="preserve">[5]</w:t>
        </w:r>
      </w:hyperlink>
      <w:r>
        <w:t xml:space="preserve">. Every supporting number is reproducible from thirty records whose provenance is preserved to the source</w:t>
      </w:r>
      <w:r>
        <w:t xml:space="preserve"> </w:t>
      </w:r>
      <w:hyperlink w:anchor="ref-7">
        <w:r>
          <w:rPr>
            <w:rStyle w:val="Hyperlink"/>
          </w:rPr>
          <w:t xml:space="preserve">[7]</w:t>
        </w:r>
      </w:hyperlink>
      <w:r>
        <w:t xml:space="preserve">. No claim of causation was made, no proprietary data was invoked, and no result was spun beyond its precision</w:t>
      </w:r>
      <w:r>
        <w:t xml:space="preserve"> </w:t>
      </w:r>
      <w:hyperlink w:anchor="ref-2">
        <w:r>
          <w:rPr>
            <w:rStyle w:val="Hyperlink"/>
          </w:rPr>
          <w:t xml:space="preserve">[2]</w:t>
        </w:r>
      </w:hyperlink>
      <w:r>
        <w:t xml:space="preserve">.</w:t>
      </w:r>
    </w:p>
    <w:p>
      <w:pPr>
        <w:pStyle w:val="BodyText"/>
        <w:spacing w:line="480" w:lineRule="auto"/>
        <w:ind w:firstLine="720"/>
      </w:pPr>
      <w:r>
        <w:t xml:space="preserve">Against the standard a design-stage dissertation should meet, establishing feasibility, mapping which signals can be trusted, and leaving a clean foundation for a heavier study, the work delivers on each count</w:t>
      </w:r>
      <w:r>
        <w:t xml:space="preserve"> </w:t>
      </w:r>
      <w:hyperlink w:anchor="ref-11">
        <w:r>
          <w:rPr>
            <w:rStyle w:val="Hyperlink"/>
          </w:rPr>
          <w:t xml:space="preserve">[11]</w:t>
        </w:r>
      </w:hyperlink>
      <w:r>
        <w:t xml:space="preserve">. It found structure where the theory placed its weight, failed honestly where the measures were weak, and specified a sequenced agenda to carry the program forward</w:t>
      </w:r>
      <w:r>
        <w:t xml:space="preserve"> </w:t>
      </w:r>
      <w:hyperlink w:anchor="ref-13">
        <w:r>
          <w:rPr>
            <w:rStyle w:val="Hyperlink"/>
          </w:rPr>
          <w:t xml:space="preserve">[13]</w:t>
        </w:r>
      </w:hyperlink>
      <w:r>
        <w:t xml:space="preserve">. The contribution is bounded, but it is real, and it is checkable, which is the most a study at this stage should promise and the least it should be held to</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59"/>
    <w:bookmarkStart w:id="160" w:name="closing"/>
    <w:p>
      <w:pPr>
        <w:pStyle w:val="Heading2"/>
        <w:spacing w:line="480" w:lineRule="auto"/>
      </w:pPr>
      <w:r>
        <w:t xml:space="preserve">8.13 Closing</w:t>
      </w:r>
    </w:p>
    <w:p>
      <w:pPr>
        <w:pStyle w:val="FirstParagraph"/>
        <w:spacing w:line="480" w:lineRule="auto"/>
      </w:pPr>
      <w:r>
        <w:t xml:space="preserve">The dissertation set out to convert a broad intuition, that money leads the mission, into a single test a committee could check line by line. It did so. It found a precise temporal structure in the retrieved corpus, two informative negatives that mapped the limits of metadata proxies, and a coherent joint reading of an early-stage, capital-led field</w:t>
      </w:r>
      <w:r>
        <w:t xml:space="preserve"> </w:t>
      </w:r>
      <w:hyperlink w:anchor="ref-6">
        <w:r>
          <w:rPr>
            <w:rStyle w:val="Hyperlink"/>
          </w:rPr>
          <w:t xml:space="preserve">[6]</w:t>
        </w:r>
      </w:hyperlink>
      <w:r>
        <w:t xml:space="preserve">. It never claimed causation it could not defend, and it reported its null at full precision alongside its rejection. The result is a bounded, auditable contribution and a clear path forward, which is the honest yield of a design-stage inquiry and the foundation on which a fuller study can now be built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60"/>
    <w:bookmarkStart w:id="188" w:name="references"/>
    <w:p>
      <w:pPr>
        <w:pStyle w:val="Heading2"/>
        <w:spacing w:line="480" w:lineRule="auto"/>
      </w:pPr>
      <w:r>
        <w:t xml:space="preserve">References</w:t>
      </w:r>
    </w:p>
    <w:p>
      <w:pPr>
        <w:pStyle w:val="FirstParagraph"/>
        <w:spacing w:line="480" w:lineRule="auto"/>
      </w:pPr>
      <w:bookmarkStart w:id="161" w:name="ref-1"/>
      <w:bookmarkEnd w:id="161"/>
      <w:r>
        <w:t xml:space="preserve">1. Makena Young, Center for Strategic and International Studies; Akhil Thadani, Center for Strategic and International Studies. Low-Orbit, High Stakes: Winning the LEO Broadband Competition (2022). [AMOS]</w:t>
      </w:r>
    </w:p>
    <w:p>
      <w:pPr>
        <w:pStyle w:val="BodyText"/>
        <w:spacing w:line="480" w:lineRule="auto"/>
        <w:ind w:firstLine="720"/>
      </w:pPr>
      <w:bookmarkStart w:id="162" w:name="ref-2"/>
      <w:bookmarkEnd w:id="162"/>
      <w:r>
        <w:t xml:space="preserve">2. Eric Felt, Space Vehicles Directorate, Air Force Research Laboratory; Timothy Sejba, Advanced Systems and Development Directorate, Space &amp; Missile Systems Center. S&amp;T Challenges of SSA Sensor Proliferation (2018). [AMOS]</w:t>
      </w:r>
    </w:p>
    <w:p>
      <w:pPr>
        <w:pStyle w:val="BodyText"/>
        <w:spacing w:line="480" w:lineRule="auto"/>
        <w:ind w:firstLine="720"/>
      </w:pPr>
      <w:bookmarkStart w:id="163" w:name="ref-3"/>
      <w:bookmarkEnd w:id="163"/>
      <w:r>
        <w:t xml:space="preserve">3. Michael C. Roggemann (Pacific Defense Solutions, LLC), Dennis Douglas (Pacific Defense Solutions, LLC), Eric Therkildsen (Pacific Defense Solutions, LLC), David Archambeault (Pacific Defense Solutions, LLC), Riki Maeda (Pacific Defense Solutions, LLC), David Schultz (Pacific Defense Solutions, LLC), Ben Wheeler (Pacific Defense Solutions, LLC). Daytime Image Measurement and Reconstruction for Space Situational Awareness Applications (2010). [AMOS]</w:t>
      </w:r>
    </w:p>
    <w:p>
      <w:pPr>
        <w:pStyle w:val="BodyText"/>
        <w:spacing w:line="480" w:lineRule="auto"/>
        <w:ind w:firstLine="720"/>
      </w:pPr>
      <w:bookmarkStart w:id="164" w:name="ref-4"/>
      <w:bookmarkEnd w:id="164"/>
      <w:r>
        <w:t xml:space="preserve">4. Jeffrey Hollon, Applied Optimization, Inc.; Kimberly Kinateder, Applied Optimization; Victoria Carone, Applied Optimization, Inc.; Tamara Payne, Applied Optimization, Inc.; Markus Ernst, Applied Optimization, Inc.; Phan Dao, Applied Optimization Inc.; Charles J. Wetterer, KBR; Stephen Gregory, Stephen A. Gregory, LLC; Anthony Dentamaro, Anthony Dentamaro, LLC; James Frith, AFRL/RVSW; Scott Milster, AFRL/RVSW. Space Object Identification and Change Detection Methods for the Cislunar Orbit Regime (2022). [AMOS]</w:t>
      </w:r>
    </w:p>
    <w:p>
      <w:pPr>
        <w:pStyle w:val="BodyText"/>
        <w:spacing w:line="480" w:lineRule="auto"/>
        <w:ind w:firstLine="720"/>
      </w:pPr>
      <w:bookmarkStart w:id="165" w:name="ref-5"/>
      <w:bookmarkEnd w:id="165"/>
      <w:r>
        <w:t xml:space="preserve">5. William McShane (Lockheed Martin). Integrated Net-Centric Data for a New Space Protection Paradigm (2012). [AMOS]</w:t>
      </w:r>
    </w:p>
    <w:p>
      <w:pPr>
        <w:pStyle w:val="BodyText"/>
        <w:spacing w:line="480" w:lineRule="auto"/>
        <w:ind w:firstLine="720"/>
      </w:pPr>
      <w:bookmarkStart w:id="166" w:name="ref-6"/>
      <w:bookmarkEnd w:id="166"/>
      <w:r>
        <w:t xml:space="preserve">6. Connor Segal, EO Solutions &amp; Virginia Polytechnic Institute and State University; Kevin Schroeder, Virginia Polytechnic Institute and State University. Enhancing Ground-Based Cislunar SDA: Reducing Search Area for Monitoring Small-Maneuver Earth Return Trajectories Using Poincaré Maps (2025). doi:</w:t>
      </w:r>
      <w:r>
        <w:t xml:space="preserve"> </w:t>
      </w:r>
      <w:hyperlink r:id="rId167">
        <w:r>
          <w:rPr>
            <w:rStyle w:val="Hyperlink"/>
          </w:rPr>
          <w:t xml:space="preserve">10.64861/ACKU6440</w:t>
        </w:r>
      </w:hyperlink>
    </w:p>
    <w:p>
      <w:pPr>
        <w:pStyle w:val="BodyText"/>
        <w:spacing w:line="480" w:lineRule="auto"/>
        <w:ind w:firstLine="720"/>
      </w:pPr>
      <w:bookmarkStart w:id="168" w:name="ref-7"/>
      <w:bookmarkEnd w:id="168"/>
      <w:r>
        <w:t xml:space="preserve">7. Sandra Magnus, Office of Space Commerce; Matthew Hejduk, Aerospace; Jessica Johnson, MIT Lincoln Laboratory; John Giles, MITRE Corporation; Anna Parikka, Global Science &amp; Technology, Inc.; Christine Joseph, Office of Space Commerce; Carson Coursey, The Aerospace Corporation; Miles Lifson, The Aerospace Corporation; André Antunes de Sá, Kayhan Space; Denna Baker, LeoLabs, Inc.; Matthew Duncan, SpaceNav; Conner Grey, Slingshot Aerospace; Robert Hall, COMSPOC Corporation; Samantha Johnson, LeoLabs, Inc.; Pol Mesalles-Ripoll, SpaceNav; Daniel Oltrogge, COMSPOC Corporation; Jason Stauch, Slingshot Aerospace; Derek Strobel, Kayhan Space. The TraCSS Consolidated Pathfinder: Leveraging Commercial Capability in LEO (2024). doi:</w:t>
      </w:r>
      <w:r>
        <w:t xml:space="preserve"> </w:t>
      </w:r>
      <w:hyperlink r:id="rId169">
        <w:r>
          <w:rPr>
            <w:rStyle w:val="Hyperlink"/>
          </w:rPr>
          <w:t xml:space="preserve">10.64861/BAJJ5826</w:t>
        </w:r>
      </w:hyperlink>
    </w:p>
    <w:p>
      <w:pPr>
        <w:pStyle w:val="BodyText"/>
        <w:spacing w:line="480" w:lineRule="auto"/>
        <w:ind w:firstLine="720"/>
      </w:pPr>
      <w:bookmarkStart w:id="170" w:name="ref-8"/>
      <w:bookmarkEnd w:id="170"/>
      <w:r>
        <w:t xml:space="preserve">8. Raymond Wright, BAE Systems; Naomi Owens-Fahrner, BAE Systems; Luke Tafur, BAE Systems; Joshua Wysack, BAE Systems. Applications of Poincare Search Maps for Space-Based Cislunar SDA Detection (2024). doi:</w:t>
      </w:r>
      <w:r>
        <w:t xml:space="preserve"> </w:t>
      </w:r>
      <w:hyperlink r:id="rId171">
        <w:r>
          <w:rPr>
            <w:rStyle w:val="Hyperlink"/>
          </w:rPr>
          <w:t xml:space="preserve">10.64861/UAMB9924</w:t>
        </w:r>
      </w:hyperlink>
    </w:p>
    <w:p>
      <w:pPr>
        <w:pStyle w:val="BodyText"/>
        <w:spacing w:line="480" w:lineRule="auto"/>
        <w:ind w:firstLine="720"/>
      </w:pPr>
      <w:bookmarkStart w:id="172" w:name="ref-9"/>
      <w:bookmarkEnd w:id="172"/>
      <w:r>
        <w:t xml:space="preserve">9. Alessandro Paravano; Giorgio Locatelli; Paolo Trucco. What is value in the New Space Economy? The end-users’ perspective on satellite data and solutions (2023). doi:</w:t>
      </w:r>
      <w:r>
        <w:t xml:space="preserve"> </w:t>
      </w:r>
      <w:hyperlink r:id="rId173">
        <w:r>
          <w:rPr>
            <w:rStyle w:val="Hyperlink"/>
          </w:rPr>
          <w:t xml:space="preserve">10.1016/j.actaastro.2023.05.001</w:t>
        </w:r>
      </w:hyperlink>
    </w:p>
    <w:p>
      <w:pPr>
        <w:pStyle w:val="BodyText"/>
        <w:spacing w:line="480" w:lineRule="auto"/>
        <w:ind w:firstLine="720"/>
      </w:pPr>
      <w:bookmarkStart w:id="174" w:name="ref-10"/>
      <w:bookmarkEnd w:id="174"/>
      <w:r>
        <w:t xml:space="preserve">10. Scott Dorrington; John Olsen. Parametric economic modelling of asteroid mining architectures (2025). doi:</w:t>
      </w:r>
      <w:r>
        <w:t xml:space="preserve"> </w:t>
      </w:r>
      <w:hyperlink r:id="rId175">
        <w:r>
          <w:rPr>
            <w:rStyle w:val="Hyperlink"/>
          </w:rPr>
          <w:t xml:space="preserve">10.1016/j.actaastro.2025.11.006</w:t>
        </w:r>
      </w:hyperlink>
    </w:p>
    <w:p>
      <w:pPr>
        <w:pStyle w:val="BodyText"/>
        <w:spacing w:line="480" w:lineRule="auto"/>
        <w:ind w:firstLine="720"/>
      </w:pPr>
      <w:bookmarkStart w:id="176" w:name="ref-11"/>
      <w:bookmarkEnd w:id="176"/>
      <w:r>
        <w:t xml:space="preserve">11. Valentina Zancan; Alessandro Paravano; Giorgio Locatelli; Paolo Trucco. Evolving governance in the space sector: From Legacy Space to New Space models (2024). doi:</w:t>
      </w:r>
      <w:r>
        <w:t xml:space="preserve"> </w:t>
      </w:r>
      <w:hyperlink r:id="rId177">
        <w:r>
          <w:rPr>
            <w:rStyle w:val="Hyperlink"/>
          </w:rPr>
          <w:t xml:space="preserve">10.1016/j.actaastro.2024.09.005</w:t>
        </w:r>
      </w:hyperlink>
    </w:p>
    <w:p>
      <w:pPr>
        <w:pStyle w:val="BodyText"/>
        <w:spacing w:line="480" w:lineRule="auto"/>
        <w:ind w:firstLine="720"/>
      </w:pPr>
      <w:bookmarkStart w:id="178" w:name="ref-12"/>
      <w:bookmarkEnd w:id="178"/>
      <w:r>
        <w:t xml:space="preserve">12. Ben McKeown; Andrew G. Dempster; Serkan Saydam; Jeff Coulton. How should potential space resources markets be evaluated? (2026). doi:</w:t>
      </w:r>
      <w:r>
        <w:t xml:space="preserve"> </w:t>
      </w:r>
      <w:hyperlink r:id="rId179">
        <w:r>
          <w:rPr>
            <w:rStyle w:val="Hyperlink"/>
          </w:rPr>
          <w:t xml:space="preserve">10.1016/j.actaastro.2026.03.026</w:t>
        </w:r>
      </w:hyperlink>
    </w:p>
    <w:p>
      <w:pPr>
        <w:pStyle w:val="BodyText"/>
        <w:spacing w:line="480" w:lineRule="auto"/>
        <w:ind w:firstLine="720"/>
      </w:pPr>
      <w:bookmarkStart w:id="180" w:name="ref-13"/>
      <w:bookmarkEnd w:id="180"/>
      <w:r>
        <w:t xml:space="preserve">13. Gil Denis; Didier Alary; Xavier Pasco; Nathalie Pisot; D. Texier; Sandrine Toulza. From new space to big space: How commercial space dream is becoming a reality (2019). doi:</w:t>
      </w:r>
      <w:r>
        <w:t xml:space="preserve"> </w:t>
      </w:r>
      <w:hyperlink r:id="rId181">
        <w:r>
          <w:rPr>
            <w:rStyle w:val="Hyperlink"/>
          </w:rPr>
          <w:t xml:space="preserve">10.1016/j.actaastro.2019.08.031</w:t>
        </w:r>
      </w:hyperlink>
    </w:p>
    <w:p>
      <w:pPr>
        <w:pStyle w:val="BodyText"/>
        <w:spacing w:line="480" w:lineRule="auto"/>
        <w:ind w:firstLine="720"/>
      </w:pPr>
      <w:bookmarkStart w:id="182" w:name="ref-14"/>
      <w:bookmarkEnd w:id="182"/>
      <w:r>
        <w:t xml:space="preserve">14. Luka Malone; Michel‐Alexandre Cardin; J.J. Cilliers; Stanley Starr; Kathryn Hadler. Controlled user study on the role of situational awareness in design decisions for future lunar In-situ resource utilization systems (2026). doi:</w:t>
      </w:r>
      <w:r>
        <w:t xml:space="preserve"> </w:t>
      </w:r>
      <w:hyperlink r:id="rId183">
        <w:r>
          <w:rPr>
            <w:rStyle w:val="Hyperlink"/>
          </w:rPr>
          <w:t xml:space="preserve">10.1016/j.actaastro.2026.04.012</w:t>
        </w:r>
      </w:hyperlink>
    </w:p>
    <w:p>
      <w:pPr>
        <w:pStyle w:val="BodyText"/>
        <w:spacing w:line="480" w:lineRule="auto"/>
        <w:ind w:firstLine="720"/>
      </w:pPr>
      <w:bookmarkStart w:id="184" w:name="ref-15"/>
      <w:bookmarkEnd w:id="184"/>
      <w:r>
        <w:t xml:space="preserve">15. Anna Szołucha. A disappearing frontier?: An ethnographic study of the labour of imagination of SpaceX fans and space creators in South Texas (2024). doi:</w:t>
      </w:r>
      <w:r>
        <w:t xml:space="preserve"> </w:t>
      </w:r>
      <w:hyperlink r:id="rId185">
        <w:r>
          <w:rPr>
            <w:rStyle w:val="Hyperlink"/>
          </w:rPr>
          <w:t xml:space="preserve">10.1016/j.actaastro.2024.06.001</w:t>
        </w:r>
      </w:hyperlink>
    </w:p>
    <w:p>
      <w:pPr>
        <w:pStyle w:val="BodyText"/>
        <w:spacing w:line="480" w:lineRule="auto"/>
        <w:ind w:firstLine="720"/>
      </w:pPr>
      <w:bookmarkStart w:id="186" w:name="ref-16"/>
      <w:bookmarkEnd w:id="186"/>
      <w:r>
        <w:t xml:space="preserve">16. Justin Walsh; Alice Gorman; Paola Castaño. Postorbital discard and chain of custody: The processing of artifacts returning to Earth from the International Space Station (2022). doi:</w:t>
      </w:r>
      <w:r>
        <w:t xml:space="preserve"> </w:t>
      </w:r>
      <w:hyperlink r:id="rId187">
        <w:r>
          <w:rPr>
            <w:rStyle w:val="Hyperlink"/>
          </w:rPr>
          <w:t xml:space="preserve">10.1016/j.actaastro.2022.03.035</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a8ca199129c6754ea2d2de8599c8b930c4395f0"/>
    <w:p>
      <w:pPr>
        <w:pStyle w:val="Heading2"/>
        <w:spacing w:line="480" w:lineRule="auto"/>
      </w:pPr>
      <w:r>
        <w:t xml:space="preserve">A.1 Signal Intensity in Following the Money into the Mission do venture and de-SPAC capital flows predi: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1.3215</w:t>
            </w:r>
          </w:p>
        </w:tc>
        <w:tc>
          <w:tcPr>
            <w:tcW w:w="0" w:type="auto"/>
          </w:tcPr>
          <w:p>
            <w:pPr>
              <w:spacing w:line="240" w:lineRule="auto" w:before="0" w:after="0"/>
              <w:pStyle w:val="Compact"/>
            </w:pPr>
            <w:r>
              <w:rPr>
                <w:sz w:val="20"/>
                <w:szCs w:val="20"/>
              </w:rPr>
              <w:t xml:space="preserve">0.7179</w:t>
            </w:r>
          </w:p>
        </w:tc>
        <w:tc>
          <w:tcPr>
            <w:tcW w:w="0" w:type="auto"/>
          </w:tcPr>
          <w:p>
            <w:pPr>
              <w:spacing w:line="240" w:lineRule="auto" w:before="0" w:after="0"/>
              <w:pStyle w:val="Compact"/>
            </w:pPr>
            <w:r>
              <w:rPr>
                <w:sz w:val="20"/>
                <w:szCs w:val="20"/>
              </w:rPr>
              <w:t xml:space="preserve">1.8408</w:t>
            </w:r>
          </w:p>
        </w:tc>
        <w:tc>
          <w:tcPr>
            <w:tcW w:w="0" w:type="auto"/>
          </w:tcPr>
          <w:p>
            <w:pPr>
              <w:spacing w:line="240" w:lineRule="auto" w:before="0" w:after="0"/>
              <w:pStyle w:val="Compact"/>
            </w:pPr>
            <w:r>
              <w:rPr>
                <w:sz w:val="20"/>
                <w:szCs w:val="20"/>
              </w:rPr>
              <w:t xml:space="preserve">0.0657</w:t>
            </w:r>
          </w:p>
        </w:tc>
        <w:tc>
          <w:tcPr>
            <w:tcW w:w="0" w:type="auto"/>
          </w:tcPr>
          <w:p>
            <w:pPr>
              <w:spacing w:line="240" w:lineRule="auto" w:before="0" w:after="0"/>
              <w:pStyle w:val="Compact"/>
            </w:pPr>
            <w:r>
              <w:rPr>
                <w:sz w:val="20"/>
                <w:szCs w:val="20"/>
              </w:rPr>
              <w:t xml:space="preserve">[-0.0856, 2.7286]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0.2202</w:t>
            </w:r>
          </w:p>
        </w:tc>
        <w:tc>
          <w:tcPr>
            <w:tcW w:w="0" w:type="auto"/>
          </w:tcPr>
          <w:p>
            <w:pPr>
              <w:spacing w:line="240" w:lineRule="auto" w:before="0" w:after="0"/>
              <w:pStyle w:val="Compact"/>
            </w:pPr>
            <w:r>
              <w:rPr>
                <w:sz w:val="20"/>
                <w:szCs w:val="20"/>
              </w:rPr>
              <w:t xml:space="preserve">0.0736</w:t>
            </w:r>
          </w:p>
        </w:tc>
        <w:tc>
          <w:tcPr>
            <w:tcW w:w="0" w:type="auto"/>
          </w:tcPr>
          <w:p>
            <w:pPr>
              <w:spacing w:line="240" w:lineRule="auto" w:before="0" w:after="0"/>
              <w:pStyle w:val="Compact"/>
            </w:pPr>
            <w:r>
              <w:rPr>
                <w:sz w:val="20"/>
                <w:szCs w:val="20"/>
              </w:rPr>
              <w:t xml:space="preserve">2.9923</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[0.076, 0.3644]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-0.0078</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-2.7399</w:t>
            </w:r>
          </w:p>
        </w:tc>
        <w:tc>
          <w:tcPr>
            <w:tcW w:w="0" w:type="auto"/>
          </w:tcPr>
          <w:p>
            <w:pPr>
              <w:spacing w:line="240" w:lineRule="auto" w:before="0" w:after="0"/>
              <w:pStyle w:val="Compact"/>
            </w:pPr>
            <w:r>
              <w:rPr>
                <w:sz w:val="20"/>
                <w:szCs w:val="20"/>
              </w:rPr>
              <w:t xml:space="preserve">0.0061</w:t>
            </w:r>
          </w:p>
        </w:tc>
        <w:tc>
          <w:tcPr>
            <w:tcW w:w="0" w:type="auto"/>
          </w:tcPr>
          <w:p>
            <w:pPr>
              <w:spacing w:line="240" w:lineRule="auto" w:before="0" w:after="0"/>
              <w:pStyle w:val="Compact"/>
            </w:pPr>
            <w:r>
              <w:rPr>
                <w:sz w:val="20"/>
                <w:szCs w:val="20"/>
              </w:rPr>
              <w:t xml:space="preserve">[-0.0134, -0.0022]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-1.0729</w:t>
            </w:r>
          </w:p>
        </w:tc>
        <w:tc>
          <w:tcPr>
            <w:tcW w:w="0" w:type="auto"/>
          </w:tcPr>
          <w:p>
            <w:pPr>
              <w:spacing w:line="240" w:lineRule="auto" w:before="0" w:after="0"/>
              <w:pStyle w:val="Compact"/>
            </w:pPr>
            <w:r>
              <w:rPr>
                <w:sz w:val="20"/>
                <w:szCs w:val="20"/>
              </w:rPr>
              <w:t xml:space="preserve">0.6639</w:t>
            </w:r>
          </w:p>
        </w:tc>
        <w:tc>
          <w:tcPr>
            <w:tcW w:w="0" w:type="auto"/>
          </w:tcPr>
          <w:p>
            <w:pPr>
              <w:spacing w:line="240" w:lineRule="auto" w:before="0" w:after="0"/>
              <w:pStyle w:val="Compact"/>
            </w:pPr>
            <w:r>
              <w:rPr>
                <w:sz w:val="20"/>
                <w:szCs w:val="20"/>
              </w:rPr>
              <w:t xml:space="preserve">-1.6162</w:t>
            </w:r>
          </w:p>
        </w:tc>
        <w:tc>
          <w:tcPr>
            <w:tcW w:w="0" w:type="auto"/>
          </w:tcPr>
          <w:p>
            <w:pPr>
              <w:spacing w:line="240" w:lineRule="auto" w:before="0" w:after="0"/>
              <w:pStyle w:val="Compact"/>
            </w:pPr>
            <w:r>
              <w:rPr>
                <w:sz w:val="20"/>
                <w:szCs w:val="20"/>
              </w:rPr>
              <w:t xml:space="preserve">0.1061</w:t>
            </w:r>
          </w:p>
        </w:tc>
        <w:tc>
          <w:tcPr>
            <w:tcW w:w="0" w:type="auto"/>
          </w:tcPr>
          <w:p>
            <w:pPr>
              <w:spacing w:line="240" w:lineRule="auto" w:before="0" w:after="0"/>
              <w:pStyle w:val="Compact"/>
            </w:pPr>
            <w:r>
              <w:rPr>
                <w:sz w:val="20"/>
                <w:szCs w:val="20"/>
              </w:rPr>
              <w:t xml:space="preserve">[-2.3741, 0.2282]</w:t>
            </w:r>
          </w:p>
        </w:tc>
      </w:tr>
    </w:tbl>
    <w:p>
      <w:pPr>
        <w:pStyle w:val="BodyText"/>
        <w:spacing w:line="480" w:lineRule="auto"/>
        <w:ind w:firstLine="720"/>
      </w:pPr>
      <w:r>
        <w:t xml:space="preserve">Fit: N = 30 R2 = 0.2613 R2_adj = 0.176 F = 4.2566 F_p = 0.0142</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2" name="Picture"/>
            <a:graphic>
              <a:graphicData uri="http://schemas.openxmlformats.org/drawingml/2006/picture">
                <pic:pic>
                  <pic:nvPicPr>
                    <pic:cNvPr descr="D:/Claude_Code/brain/collegium/candidates/dissertations/SPACE_ECON_09/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https://amostech.space/year/2010/daytime-image-measurement-and-reconstruction-for-space-situational-awareness-applications/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https://amostech.space/year/2022/space-object-identification-and-change-detection-methods-for-the-cislunar-orbit-regime/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https://amostech.space/year/2012/integrated-net-centric-data-for-a-new-space-protection-paradigm/</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https://amostech.space/year/2012/physical-characterization-studies-of-near-earth-object-spacecraft-mission-targets/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https://amostech.space/year/2006/adaptive-beam-director-for-a-tiled-fiber-array/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6"/>
    <w:bookmarkEnd w:id="197"/>
    <w:bookmarkStart w:id="205" w:name="Xcafe1ee46be719bbf1539974ba988d484a1ff4c"/>
    <w:p>
      <w:pPr>
        <w:pStyle w:val="Heading2"/>
        <w:spacing w:line="480" w:lineRule="auto"/>
      </w:pPr>
      <w:r>
        <w:t xml:space="preserve">A.2 Attention Accumulation in Following the Money into the Mission do venture and de-SPAC capital flows predi: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0.5532</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1.5494</w:t>
            </w:r>
          </w:p>
        </w:tc>
        <w:tc>
          <w:tcPr>
            <w:tcW w:w="0" w:type="auto"/>
          </w:tcPr>
          <w:p>
            <w:pPr>
              <w:spacing w:line="240" w:lineRule="auto" w:before="0" w:after="0"/>
              <w:pStyle w:val="Compact"/>
            </w:pPr>
            <w:r>
              <w:rPr>
                <w:sz w:val="20"/>
                <w:szCs w:val="20"/>
              </w:rPr>
              <w:t xml:space="preserve">0.1213</w:t>
            </w:r>
          </w:p>
        </w:tc>
        <w:tc>
          <w:tcPr>
            <w:tcW w:w="0" w:type="auto"/>
          </w:tcPr>
          <w:p>
            <w:pPr>
              <w:spacing w:line="240" w:lineRule="auto" w:before="0" w:after="0"/>
              <w:pStyle w:val="Compact"/>
            </w:pPr>
            <w:r>
              <w:rPr>
                <w:sz w:val="20"/>
                <w:szCs w:val="20"/>
              </w:rPr>
              <w:t xml:space="preserve">[-0.1466, 1.2531]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0.2694</w:t>
            </w:r>
          </w:p>
        </w:tc>
        <w:tc>
          <w:tcPr>
            <w:tcW w:w="0" w:type="auto"/>
          </w:tcPr>
          <w:p>
            <w:pPr>
              <w:spacing w:line="240" w:lineRule="auto" w:before="0" w:after="0"/>
              <w:pStyle w:val="Compact"/>
            </w:pPr>
            <w:r>
              <w:rPr>
                <w:sz w:val="20"/>
                <w:szCs w:val="20"/>
              </w:rPr>
              <w:t xml:space="preserve">0.4639</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[-0.403, 0.6529]</w:t>
            </w:r>
          </w:p>
        </w:tc>
      </w:tr>
    </w:tbl>
    <w:p>
      <w:pPr>
        <w:pStyle w:val="BodyText"/>
        <w:spacing w:line="480" w:lineRule="auto"/>
        <w:ind w:firstLine="720"/>
      </w:pPr>
      <w:r>
        <w:t xml:space="preserve">Fit: N = 30 R2 = 0.0048 elasticity_b = 0.125 progress_ratio_2^b = 1.0905</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0" name="Picture"/>
            <a:graphic>
              <a:graphicData uri="http://schemas.openxmlformats.org/drawingml/2006/picture">
                <pic:pic>
                  <pic:nvPicPr>
                    <pic:cNvPr descr="D:/Claude_Code/brain/collegium/candidates/dissertations/SPACE_ECON_09/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https://amostech.space/year/2010/daytime-image-measurement-and-reconstruction-for-space-situational-awareness-applications/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https://amostech.space/year/2022/space-object-identification-and-change-detection-methods-for-the-cislunar-orbit-regime/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https://amostech.space/year/2012/integrated-net-centric-data-for-a-new-space-protection-paradigm/</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https://amostech.space/year/2012/physical-characterization-studies-of-near-earth-object-spacecraft-mission-targets/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https://amostech.space/year/2006/adaptive-beam-director-for-a-tiled-fiber-array/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81" Type="http://schemas.openxmlformats.org/officeDocument/2006/relationships/hyperlink" Target="https://doi.org/10.1016/j.actaastro.2019.08.031" TargetMode="External"/><Relationship Id="rId187" Type="http://schemas.openxmlformats.org/officeDocument/2006/relationships/hyperlink" Target="https://doi.org/10.1016/j.actaastro.2022.03.035" TargetMode="External"/><Relationship Id="rId173" Type="http://schemas.openxmlformats.org/officeDocument/2006/relationships/hyperlink" Target="https://doi.org/10.1016/j.actaastro.2023.05.001" TargetMode="External"/><Relationship Id="rId185" Type="http://schemas.openxmlformats.org/officeDocument/2006/relationships/hyperlink" Target="https://doi.org/10.1016/j.actaastro.2024.06.001" TargetMode="External"/><Relationship Id="rId177" Type="http://schemas.openxmlformats.org/officeDocument/2006/relationships/hyperlink" Target="https://doi.org/10.1016/j.actaastro.2024.09.005" TargetMode="External"/><Relationship Id="rId175" Type="http://schemas.openxmlformats.org/officeDocument/2006/relationships/hyperlink" Target="https://doi.org/10.1016/j.actaastro.2025.11.006" TargetMode="External"/><Relationship Id="rId179" Type="http://schemas.openxmlformats.org/officeDocument/2006/relationships/hyperlink" Target="https://doi.org/10.1016/j.actaastro.2026.03.026" TargetMode="External"/><Relationship Id="rId183" Type="http://schemas.openxmlformats.org/officeDocument/2006/relationships/hyperlink" Target="https://doi.org/10.1016/j.actaastro.2026.04.012" TargetMode="External"/><Relationship Id="rId167" Type="http://schemas.openxmlformats.org/officeDocument/2006/relationships/hyperlink" Target="https://doi.org/10.64861/ACKU6440" TargetMode="External"/><Relationship Id="rId169" Type="http://schemas.openxmlformats.org/officeDocument/2006/relationships/hyperlink" Target="https://doi.org/10.64861/BAJJ5826" TargetMode="External"/><Relationship Id="rId171" Type="http://schemas.openxmlformats.org/officeDocument/2006/relationships/hyperlink" Target="https://doi.org/10.64861/UAMB9924" TargetMode="External"/></Relationships>
</file>

<file path=word/_rels/footnotes.xml.rels><?xml version='1.0' encoding='UTF-8' standalone='yes'?>
<Relationships xmlns="http://schemas.openxmlformats.org/package/2006/relationships"><Relationship Id="rId181" Type="http://schemas.openxmlformats.org/officeDocument/2006/relationships/hyperlink" Target="https://doi.org/10.1016/j.actaastro.2019.08.031" TargetMode="External"/><Relationship Id="rId187" Type="http://schemas.openxmlformats.org/officeDocument/2006/relationships/hyperlink" Target="https://doi.org/10.1016/j.actaastro.2022.03.035" TargetMode="External"/><Relationship Id="rId173" Type="http://schemas.openxmlformats.org/officeDocument/2006/relationships/hyperlink" Target="https://doi.org/10.1016/j.actaastro.2023.05.001" TargetMode="External"/><Relationship Id="rId185" Type="http://schemas.openxmlformats.org/officeDocument/2006/relationships/hyperlink" Target="https://doi.org/10.1016/j.actaastro.2024.06.001" TargetMode="External"/><Relationship Id="rId177" Type="http://schemas.openxmlformats.org/officeDocument/2006/relationships/hyperlink" Target="https://doi.org/10.1016/j.actaastro.2024.09.005" TargetMode="External"/><Relationship Id="rId175" Type="http://schemas.openxmlformats.org/officeDocument/2006/relationships/hyperlink" Target="https://doi.org/10.1016/j.actaastro.2025.11.006" TargetMode="External"/><Relationship Id="rId179" Type="http://schemas.openxmlformats.org/officeDocument/2006/relationships/hyperlink" Target="https://doi.org/10.1016/j.actaastro.2026.03.026" TargetMode="External"/><Relationship Id="rId183" Type="http://schemas.openxmlformats.org/officeDocument/2006/relationships/hyperlink" Target="https://doi.org/10.1016/j.actaastro.2026.04.012" TargetMode="External"/><Relationship Id="rId167" Type="http://schemas.openxmlformats.org/officeDocument/2006/relationships/hyperlink" Target="https://doi.org/10.64861/ACKU6440" TargetMode="External"/><Relationship Id="rId169" Type="http://schemas.openxmlformats.org/officeDocument/2006/relationships/hyperlink" Target="https://doi.org/10.64861/BAJJ5826" TargetMode="External"/><Relationship Id="rId171" Type="http://schemas.openxmlformats.org/officeDocument/2006/relationships/hyperlink" Target="https://doi.org/10.64861/UAMB99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Following the Money into the Mission: do venture and de-SPAC capital flows predi</dc:title>
  <dc:creator>Rohan Heinz (1B-ECO-186)</dc:creator>
  <cp:keywords/>
  <dcterms:created xsi:type="dcterms:W3CDTF">2026-07-02T23:11:53Z</dcterms:created>
  <dcterms:modified xsi:type="dcterms:W3CDTF">2026-07-02T23:11:53Z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