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1b3032ab18beb0fd3764992c0f176ed55734122"/>
    <w:p>
      <w:pPr>
        <w:pStyle w:val="Heading1"/>
      </w:pPr>
      <w:r>
        <w:t xml:space="preserve">Signal Intensity in Carrying Capacity as an Economic Limit estimating the rent-maximizing satellite: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Nia Haddad (1B-ECO-227) and the dissertation project</w:t>
      </w:r>
      <w:r>
        <w:t xml:space="preserve"> </w:t>
      </w:r>
      <w:r>
        <w:rPr>
          <w:i/>
          <w:iCs/>
        </w:rPr>
        <w:t xml:space="preserve">Carrying Capacity as an Economic Limit: estimating the rent-maximizing satellite</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R2=0.09377360954310765, R2_adj=-0.010790973971149143, F=1.0027852584531523, F_p=0.4072926491859611. The exact term summary is: const coef=6.6598603109671055 p=0.0036622939620990207; recency_index coef=-0.06979821889866827 p=0.704169942323762; cites_num coef=-0.04235406257237981 p=0.525858943866395; venue_score coef=-1.0459507585995826 p=0.1976185857303132.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Mark A. Sturza, Viasat, Inc.; Mark D. Dankberg, Viasat, Inc.; William N. Blount, Viasat, Inc.. LEO Capacity Modeling for Sustainable Design (2022). [AMOS]</w:t>
      </w:r>
      <w:r>
        <w:t xml:space="preserve"> </w:t>
      </w:r>
      <w:bookmarkStart w:id="68" w:name="ref-2"/>
      <w:bookmarkEnd w:id="68"/>
      <w:r>
        <w:t xml:space="preserve">2.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r>
        <w:t xml:space="preserve"> </w:t>
      </w:r>
      <w:bookmarkStart w:id="69" w:name="ref-3"/>
      <w:bookmarkEnd w:id="69"/>
      <w:r>
        <w:t xml:space="preserve">3. Mark Sturza, Viasat; Mark Dankberg, Viasat; William Blount, Viasat. Resilience of LEO Constellations to Accidental and Intentional Fragmentation Events (2024). doi:</w:t>
      </w:r>
      <w:r>
        <w:t xml:space="preserve"> </w:t>
      </w:r>
      <w:hyperlink r:id="rId70">
        <w:r>
          <w:rPr>
            <w:rStyle w:val="Hyperlink"/>
          </w:rPr>
          <w:t xml:space="preserve">10.64861/ZFDQ4641</w:t>
        </w:r>
      </w:hyperlink>
      <w:r>
        <w:t xml:space="preserve"> </w:t>
      </w:r>
      <w:bookmarkStart w:id="71" w:name="ref-4"/>
      <w:bookmarkEnd w:id="71"/>
      <w:r>
        <w:t xml:space="preserve">4. Indigo Brownhall, University College London; Miles Lifson, The Aerospace Corporation; Giovanni Lavezzi, Massachusetts Institute of Technology; Enrico Zucchelli, Massachusetts Institute of Technology; Mark Moretto, North Carolina State University; Santosh Bhattarai, University College London; Richard Linares, Massachusetts Institute of Technology. Verification and Validation of Orbital Capacity Assessment Tools of Varying Fidelities (2025). doi:</w:t>
      </w:r>
      <w:r>
        <w:t xml:space="preserve"> </w:t>
      </w:r>
      <w:hyperlink r:id="rId72">
        <w:r>
          <w:rPr>
            <w:rStyle w:val="Hyperlink"/>
          </w:rPr>
          <w:t xml:space="preserve">10.64861/UHIX1013</w:t>
        </w:r>
      </w:hyperlink>
      <w:r>
        <w:t xml:space="preserve"> </w:t>
      </w:r>
      <w:bookmarkStart w:id="73" w:name="ref-5"/>
      <w:bookmarkEnd w:id="73"/>
      <w:r>
        <w:t xml:space="preserve">5.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4" w:name="ref-6"/>
      <w:bookmarkEnd w:id="74"/>
      <w:r>
        <w:t xml:space="preserve">6. Kristin Shahady, University of North Dakota. The Future Risk of Space Debris and Contested Environments Increases the Intrinsic and Actual Cost of GEO Slots (2023). doi:</w:t>
      </w:r>
      <w:r>
        <w:t xml:space="preserve"> </w:t>
      </w:r>
      <w:hyperlink r:id="rId75">
        <w:r>
          <w:rPr>
            <w:rStyle w:val="Hyperlink"/>
          </w:rPr>
          <w:t xml:space="preserve">10.64861/DYBG6563</w:t>
        </w:r>
      </w:hyperlink>
      <w:r>
        <w:t xml:space="preserve"> </w:t>
      </w:r>
      <w:bookmarkStart w:id="76" w:name="ref-7"/>
      <w:bookmarkEnd w:id="76"/>
      <w:r>
        <w:t xml:space="preserve">7. Krzysztof Arminski, Polish Space Agency; Tomasz Zubowicz, Polish Space Agency; Stefania Wolf, Polish Space Agency; Mikolaj Kruzynski, Polish Space Agency; Zygmunt Anio?, Polish Space Agency; Tymoteusz Trocki, POLSA; Edwin Wnuk, Polish Space Agency. A multi-objective approach to the optimal selection of assets for the design of an optical sensor network (2023). doi:</w:t>
      </w:r>
      <w:r>
        <w:t xml:space="preserve"> </w:t>
      </w:r>
      <w:hyperlink r:id="rId77">
        <w:r>
          <w:rPr>
            <w:rStyle w:val="Hyperlink"/>
          </w:rPr>
          <w:t xml:space="preserve">10.64861/EZRE5509</w:t>
        </w:r>
      </w:hyperlink>
      <w:r>
        <w:t xml:space="preserve"> </w:t>
      </w:r>
      <w:bookmarkStart w:id="78" w:name="ref-8"/>
      <w:bookmarkEnd w:id="78"/>
      <w:r>
        <w:t xml:space="preserve">8. Ryan D. Coder, (Georgia Institute of Technology), Marcus J. Holzinger, (Georgia Institute of Technology). Sizing of a Raven-class Telescope Using Performance Sensitivities (2013). [AMOS]</w:t>
      </w:r>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6.6599</w:t>
            </w:r>
          </w:p>
        </w:tc>
        <w:tc>
          <w:tcPr>
            <w:tcW w:w="0" w:type="auto"/>
          </w:tcPr>
          <w:p>
            <w:pPr>
              <w:spacing w:line="240" w:lineRule="auto" w:before="0" w:after="0"/>
              <w:pStyle w:val="Compact"/>
            </w:pPr>
            <w:r>
              <w:rPr>
                <w:sz w:val="20"/>
                <w:szCs w:val="20"/>
              </w:rPr>
              <w:t xml:space="preserve">2.2919</w:t>
            </w:r>
          </w:p>
        </w:tc>
        <w:tc>
          <w:tcPr>
            <w:tcW w:w="0" w:type="auto"/>
          </w:tcPr>
          <w:p>
            <w:pPr>
              <w:spacing w:line="240" w:lineRule="auto" w:before="0" w:after="0"/>
              <w:pStyle w:val="Compact"/>
            </w:pPr>
            <w:r>
              <w:rPr>
                <w:sz w:val="20"/>
                <w:szCs w:val="20"/>
              </w:rPr>
              <w:t xml:space="preserve">2.9059</w:t>
            </w:r>
          </w:p>
        </w:tc>
        <w:tc>
          <w:tcPr>
            <w:tcW w:w="0" w:type="auto"/>
          </w:tcPr>
          <w:p>
            <w:pPr>
              <w:spacing w:line="240" w:lineRule="auto" w:before="0" w:after="0"/>
              <w:pStyle w:val="Compact"/>
            </w:pPr>
            <w:r>
              <w:rPr>
                <w:sz w:val="20"/>
                <w:szCs w:val="20"/>
              </w:rPr>
              <w:t xml:space="preserve">0.0037</w:t>
            </w:r>
          </w:p>
        </w:tc>
        <w:tc>
          <w:tcPr>
            <w:tcW w:w="0" w:type="auto"/>
          </w:tcPr>
          <w:p>
            <w:pPr>
              <w:spacing w:line="240" w:lineRule="auto" w:before="0" w:after="0"/>
              <w:pStyle w:val="Compact"/>
            </w:pPr>
            <w:r>
              <w:rPr>
                <w:sz w:val="20"/>
                <w:szCs w:val="20"/>
              </w:rPr>
              <w:t xml:space="preserve">[2.1679, 11.1518]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-0.0698</w:t>
            </w:r>
          </w:p>
        </w:tc>
        <w:tc>
          <w:tcPr>
            <w:tcW w:w="0" w:type="auto"/>
          </w:tcPr>
          <w:p>
            <w:pPr>
              <w:spacing w:line="240" w:lineRule="auto" w:before="0" w:after="0"/>
              <w:pStyle w:val="Compact"/>
            </w:pPr>
            <w:r>
              <w:rPr>
                <w:sz w:val="20"/>
                <w:szCs w:val="20"/>
              </w:rPr>
              <w:t xml:space="preserve">0.1838</w:t>
            </w:r>
          </w:p>
        </w:tc>
        <w:tc>
          <w:tcPr>
            <w:tcW w:w="0" w:type="auto"/>
          </w:tcPr>
          <w:p>
            <w:pPr>
              <w:spacing w:line="240" w:lineRule="auto" w:before="0" w:after="0"/>
              <w:pStyle w:val="Compact"/>
            </w:pPr>
            <w:r>
              <w:rPr>
                <w:sz w:val="20"/>
                <w:szCs w:val="20"/>
              </w:rPr>
              <w:t xml:space="preserve">-0.3797</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[-0.4301, 0.2905]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-0.0424</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-0.6343</w:t>
            </w:r>
          </w:p>
        </w:tc>
        <w:tc>
          <w:tcPr>
            <w:tcW w:w="0" w:type="auto"/>
          </w:tcPr>
          <w:p>
            <w:pPr>
              <w:spacing w:line="240" w:lineRule="auto" w:before="0" w:after="0"/>
              <w:pStyle w:val="Compact"/>
            </w:pPr>
            <w:r>
              <w:rPr>
                <w:sz w:val="20"/>
                <w:szCs w:val="20"/>
              </w:rPr>
              <w:t xml:space="preserve">0.5259</w:t>
            </w:r>
          </w:p>
        </w:tc>
        <w:tc>
          <w:tcPr>
            <w:tcW w:w="0" w:type="auto"/>
          </w:tcPr>
          <w:p>
            <w:pPr>
              <w:spacing w:line="240" w:lineRule="auto" w:before="0" w:after="0"/>
              <w:pStyle w:val="Compact"/>
            </w:pPr>
            <w:r>
              <w:rPr>
                <w:sz w:val="20"/>
                <w:szCs w:val="20"/>
              </w:rPr>
              <w:t xml:space="preserve">[-0.1732, 0.0885]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-1.046</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-1.2884</w:t>
            </w:r>
          </w:p>
        </w:tc>
        <w:tc>
          <w:tcPr>
            <w:tcW w:w="0" w:type="auto"/>
          </w:tcPr>
          <w:p>
            <w:pPr>
              <w:spacing w:line="240" w:lineRule="auto" w:before="0" w:after="0"/>
              <w:pStyle w:val="Compact"/>
            </w:pPr>
            <w:r>
              <w:rPr>
                <w:sz w:val="20"/>
                <w:szCs w:val="20"/>
              </w:rPr>
              <w:t xml:space="preserve">0.1976</w:t>
            </w:r>
          </w:p>
        </w:tc>
        <w:tc>
          <w:tcPr>
            <w:tcW w:w="0" w:type="auto"/>
          </w:tcPr>
          <w:p>
            <w:pPr>
              <w:spacing w:line="240" w:lineRule="auto" w:before="0" w:after="0"/>
              <w:pStyle w:val="Compact"/>
            </w:pPr>
            <w:r>
              <w:rPr>
                <w:sz w:val="20"/>
                <w:szCs w:val="20"/>
              </w:rPr>
              <w:t xml:space="preserve">[-2.6371, 0.5452]</w:t>
            </w:r>
          </w:p>
        </w:tc>
      </w:tr>
    </w:tbl>
    <w:p>
      <w:pPr>
        <w:pStyle w:val="BodyText"/>
      </w:pPr>
      <w:r>
        <w:t xml:space="preserve">Fit: N = 30 R2 = 0.0938 R2_adj = -0.0108 F = 1.0028 F_p = 0.4073</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SPACE_ECON_08\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https://amostech.space/year/2022/leo-capacity-modeling-for-sustainable-design/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10.64861/EZRE5509</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https://amostech.space/year/2013/sizing-of-a-raven-class-telescope-using-performance-sensitivities/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https://amostech.space/year/2022/capacity-based-cislunar-space-domain-awareness-architecture-optimization/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10.64861/DDFP2152</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10.64861/CKGQ5448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10.1016/j.actaastro.2024.07.022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10.1016/j.actaastro.2024.05.018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10.1016/j.actaastro.2025.10.028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10.1016/j.actaastro.2019.11.029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10.1016/j.actaastro.2021.01.009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10.1016/j.actaastro.2018.05.040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10.1016/j.actaastro.2025.03.025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10.1016/j.actaastro.2021.01.050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LEO Capacity Modeling for Sustainable Design (AMOS)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Roadmap: Australia Economic-Technological Renaissance in Space</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6.6599</w:t>
            </w:r>
          </w:p>
        </w:tc>
        <w:tc>
          <w:tcPr>
            <w:tcW w:w="0" w:type="auto"/>
          </w:tcPr>
          <w:p>
            <w:pPr>
              <w:spacing w:line="240" w:lineRule="auto" w:before="0" w:after="0"/>
              <w:pStyle w:val="Compact"/>
            </w:pPr>
            <w:r>
              <w:rPr>
                <w:sz w:val="20"/>
                <w:szCs w:val="20"/>
              </w:rPr>
              <w:t xml:space="preserve">2.2919</w:t>
            </w:r>
          </w:p>
        </w:tc>
        <w:tc>
          <w:tcPr>
            <w:tcW w:w="0" w:type="auto"/>
          </w:tcPr>
          <w:p>
            <w:pPr>
              <w:spacing w:line="240" w:lineRule="auto" w:before="0" w:after="0"/>
              <w:pStyle w:val="Compact"/>
            </w:pPr>
            <w:r>
              <w:rPr>
                <w:sz w:val="20"/>
                <w:szCs w:val="20"/>
              </w:rPr>
              <w:t xml:space="preserve">2.9059</w:t>
            </w:r>
          </w:p>
        </w:tc>
        <w:tc>
          <w:tcPr>
            <w:tcW w:w="0" w:type="auto"/>
          </w:tcPr>
          <w:p>
            <w:pPr>
              <w:spacing w:line="240" w:lineRule="auto" w:before="0" w:after="0"/>
              <w:pStyle w:val="Compact"/>
            </w:pPr>
            <w:r>
              <w:rPr>
                <w:sz w:val="20"/>
                <w:szCs w:val="20"/>
              </w:rPr>
              <w:t xml:space="preserve">0.0037</w:t>
            </w:r>
          </w:p>
        </w:tc>
        <w:tc>
          <w:tcPr>
            <w:tcW w:w="0" w:type="auto"/>
          </w:tcPr>
          <w:p>
            <w:pPr>
              <w:spacing w:line="240" w:lineRule="auto" w:before="0" w:after="0"/>
              <w:pStyle w:val="Compact"/>
            </w:pPr>
            <w:r>
              <w:rPr>
                <w:sz w:val="20"/>
                <w:szCs w:val="20"/>
              </w:rPr>
              <w:t xml:space="preserve">[2.1679, 11.1518]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-0.0698</w:t>
            </w:r>
          </w:p>
        </w:tc>
        <w:tc>
          <w:tcPr>
            <w:tcW w:w="0" w:type="auto"/>
          </w:tcPr>
          <w:p>
            <w:pPr>
              <w:spacing w:line="240" w:lineRule="auto" w:before="0" w:after="0"/>
              <w:pStyle w:val="Compact"/>
            </w:pPr>
            <w:r>
              <w:rPr>
                <w:sz w:val="20"/>
                <w:szCs w:val="20"/>
              </w:rPr>
              <w:t xml:space="preserve">0.1838</w:t>
            </w:r>
          </w:p>
        </w:tc>
        <w:tc>
          <w:tcPr>
            <w:tcW w:w="0" w:type="auto"/>
          </w:tcPr>
          <w:p>
            <w:pPr>
              <w:spacing w:line="240" w:lineRule="auto" w:before="0" w:after="0"/>
              <w:pStyle w:val="Compact"/>
            </w:pPr>
            <w:r>
              <w:rPr>
                <w:sz w:val="20"/>
                <w:szCs w:val="20"/>
              </w:rPr>
              <w:t xml:space="preserve">-0.3797</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[-0.4301, 0.2905]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-0.0424</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-0.6343</w:t>
            </w:r>
          </w:p>
        </w:tc>
        <w:tc>
          <w:tcPr>
            <w:tcW w:w="0" w:type="auto"/>
          </w:tcPr>
          <w:p>
            <w:pPr>
              <w:spacing w:line="240" w:lineRule="auto" w:before="0" w:after="0"/>
              <w:pStyle w:val="Compact"/>
            </w:pPr>
            <w:r>
              <w:rPr>
                <w:sz w:val="20"/>
                <w:szCs w:val="20"/>
              </w:rPr>
              <w:t xml:space="preserve">0.5259</w:t>
            </w:r>
          </w:p>
        </w:tc>
        <w:tc>
          <w:tcPr>
            <w:tcW w:w="0" w:type="auto"/>
          </w:tcPr>
          <w:p>
            <w:pPr>
              <w:spacing w:line="240" w:lineRule="auto" w:before="0" w:after="0"/>
              <w:pStyle w:val="Compact"/>
            </w:pPr>
            <w:r>
              <w:rPr>
                <w:sz w:val="20"/>
                <w:szCs w:val="20"/>
              </w:rPr>
              <w:t xml:space="preserve">[-0.1732, 0.0885]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-1.046</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-1.2884</w:t>
            </w:r>
          </w:p>
        </w:tc>
        <w:tc>
          <w:tcPr>
            <w:tcW w:w="0" w:type="auto"/>
          </w:tcPr>
          <w:p>
            <w:pPr>
              <w:spacing w:line="240" w:lineRule="auto" w:before="0" w:after="0"/>
              <w:pStyle w:val="Compact"/>
            </w:pPr>
            <w:r>
              <w:rPr>
                <w:sz w:val="20"/>
                <w:szCs w:val="20"/>
              </w:rPr>
              <w:t xml:space="preserve">0.1976</w:t>
            </w:r>
          </w:p>
        </w:tc>
        <w:tc>
          <w:tcPr>
            <w:tcW w:w="0" w:type="auto"/>
          </w:tcPr>
          <w:p>
            <w:pPr>
              <w:spacing w:line="240" w:lineRule="auto" w:before="0" w:after="0"/>
              <w:pStyle w:val="Compact"/>
            </w:pPr>
            <w:r>
              <w:rPr>
                <w:sz w:val="20"/>
                <w:szCs w:val="20"/>
              </w:rPr>
              <w:t xml:space="preserve">[-2.6371, 0.5452]</w:t>
            </w:r>
          </w:p>
        </w:tc>
      </w:tr>
    </w:tbl>
    <w:p>
      <w:pPr>
        <w:pStyle w:val="BodyText"/>
      </w:pPr>
      <w:r>
        <w:t xml:space="preserve">Fit: N = 30 R2 = 0.0938 R2_adj = -0.0108 F = 1.0028 F_p = 0.4073</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5" Target="https://doi.org/10.64861/DYBG6563" TargetMode="External" /><Relationship Type="http://schemas.openxmlformats.org/officeDocument/2006/relationships/hyperlink" Id="rId77" Target="https://doi.org/10.64861/EZRE5509" TargetMode="External" /><Relationship Type="http://schemas.openxmlformats.org/officeDocument/2006/relationships/hyperlink" Id="rId72" Target="https://doi.org/10.64861/UHIX1013" TargetMode="External" /><Relationship Type="http://schemas.openxmlformats.org/officeDocument/2006/relationships/hyperlink" Id="rId70" Target="https://doi.org/10.64861/ZFDQ4641"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DYBG6563" TargetMode="External" /><Relationship Type="http://schemas.openxmlformats.org/officeDocument/2006/relationships/hyperlink" Id="rId77" Target="https://doi.org/10.64861/EZRE5509" TargetMode="External" /><Relationship Type="http://schemas.openxmlformats.org/officeDocument/2006/relationships/hyperlink" Id="rId72" Target="https://doi.org/10.64861/UHIX1013" TargetMode="External" /><Relationship Type="http://schemas.openxmlformats.org/officeDocument/2006/relationships/hyperlink" Id="rId70" Target="https://doi.org/10.64861/ZFDQ464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2026-06-29T09:44:28Z</dcterms:created>
  <dcterms:modified xsi:type="dcterms:W3CDTF">2026-06-29T09:44:28Z</dcterms:modified>
</cp:coreProperties>
</file>

<file path=docProps/custom.xml><?xml version="1.0" encoding="utf-8"?>
<Properties xmlns="http://schemas.openxmlformats.org/officeDocument/2006/custom-properties" xmlns:vt="http://schemas.openxmlformats.org/officeDocument/2006/docPropsVTypes"/>
</file>