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CARRYING CAPACITY AS AN ECONOMIC LIMIT: ESTIMATING THE RENT-MAXIMIZING SATELLITE</w:t>
      </w:r>
    </w:p>
    <w:p>
      <w:pPr>
        <w:jc w:val="center"/>
      </w:pPr>
    </w:p>
    <w:p>
      <w:pPr>
        <w:jc w:val="center"/>
      </w:pPr>
      <w:r>
        <w:rPr>
          <w:rFonts w:ascii="Times New Roman" w:hAnsi="Times New Roman"/>
          <w:sz w:val="24"/>
        </w:rPr>
        <w:t>by</w:t>
      </w:r>
    </w:p>
    <w:p>
      <w:pPr>
        <w:jc w:val="center"/>
      </w:pPr>
      <w:r>
        <w:rPr>
          <w:rFonts w:ascii="Times New Roman" w:hAnsi="Times New Roman"/>
          <w:b/>
          <w:sz w:val="28"/>
        </w:rPr>
        <w:t>Nia Haddad</w:t>
      </w:r>
    </w:p>
    <w:p>
      <w:pPr>
        <w:jc w:val="center"/>
      </w:pPr>
      <w:r>
        <w:rPr>
          <w:rFonts w:ascii="Times New Roman" w:hAnsi="Times New Roman"/>
          <w:sz w:val="24"/>
        </w:rPr>
        <w:t>1B-ECO-227</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p>
      <w:pPr>
        <w:pStyle w:val="FirstParagraph"/>
        <w:spacing w:line="480" w:lineRule="auto"/>
      </w:pPr>
      <w:r>
        <w:t xml:space="preserve">Space governance tends to lag the physical facts that provoke it. Congestion in low Earth orbit is now a routine engineering variable, discussed in constellation design reviews and collision-avoidance logs, yet the institutional rules that would price that congestion remain unsettled. This dissertation begins from a single observation about that lag. When a scarcity problem is real but its governing rule is contested, the problem tends to appear first in the technical and scholarly record and only later in binding policy. That early appearance is not noise. It is evidence, and it can be measured.</w:t>
      </w:r>
    </w:p>
    <w:p>
      <w:pPr>
        <w:pStyle w:val="BodyText"/>
        <w:spacing w:line="480" w:lineRule="auto"/>
        <w:ind w:firstLine="720"/>
      </w:pPr>
      <w:r>
        <w:t xml:space="preserve">The candidate topic is carrying capacity treated as an economic limit rather than a purely physical one. Orbital shells hold a finite number of usefully separated objects, and beyond some threshold the marginal satellite imposes more collision risk and coordination cost than it returns in service value</w:t>
      </w:r>
      <w:r>
        <w:t xml:space="preserve"> </w:t>
      </w:r>
      <w:hyperlink w:anchor="ref-1">
        <w:r>
          <w:rPr>
            <w:rStyle w:val="Hyperlink"/>
          </w:rPr>
          <w:t xml:space="preserve">[1]</w:t>
        </w:r>
      </w:hyperlink>
      <w:r>
        <w:t xml:space="preserve"> </w:t>
      </w:r>
      <w:hyperlink w:anchor="ref-2">
        <w:r>
          <w:rPr>
            <w:rStyle w:val="Hyperlink"/>
          </w:rPr>
          <w:t xml:space="preserve">[2]</w:t>
        </w:r>
      </w:hyperlink>
      <w:r>
        <w:t xml:space="preserve">. Framed that way, the question stops being how many objects fit and becomes how many objects maximize the net rent the shell can sustain. The rent-maximizing satellite is the object at the margin where added economic value from one more slot is exactly offset by the added external cost that slot imposes on every other operator. That figure is a governance target in disguise. If it exists and can be estimated, it tells a regulator where to set entry limits, and it tells an operator what a slot is worth.</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Carrying capacity has an honest engineering pedigree. Capacity models for sustainable constellation design estimate how many objects a shell tolerates before cascade risk climbs steeply, and demand projections show that planned deployments press against those thresholds within a decade</w:t>
      </w:r>
      <w:r>
        <w:t xml:space="preserve"> </w:t>
      </w:r>
      <w:hyperlink w:anchor="ref-1">
        <w:r>
          <w:rPr>
            <w:rStyle w:val="Hyperlink"/>
          </w:rPr>
          <w:t xml:space="preserve">[1]</w:t>
        </w:r>
      </w:hyperlink>
      <w:r>
        <w:t xml:space="preserve"> </w:t>
      </w:r>
      <w:hyperlink w:anchor="ref-2">
        <w:r>
          <w:rPr>
            <w:rStyle w:val="Hyperlink"/>
          </w:rPr>
          <w:t xml:space="preserve">[2]</w:t>
        </w:r>
      </w:hyperlink>
      <w:r>
        <w:t xml:space="preserve">. Resilience studies extend the picture, showing that a single fragmentation event can degrade an entire shell’s usable capacity, which means the limit is not only about steady-state density but about tail risk</w:t>
      </w:r>
      <w:r>
        <w:t xml:space="preserve"> </w:t>
      </w:r>
      <w:hyperlink w:anchor="ref-3">
        <w:r>
          <w:rPr>
            <w:rStyle w:val="Hyperlink"/>
          </w:rPr>
          <w:t xml:space="preserve">[3]</w:t>
        </w:r>
      </w:hyperlink>
      <w:r>
        <w:t xml:space="preserve">. These are technical findings. They describe the ceiling. They do not, by themselves, tell an institution where along that ceiling the economically optimal operating point sits, nor do they explain why governance language around the ceiling hardens in some venues and stays loose in others.</w:t>
      </w:r>
    </w:p>
    <w:p>
      <w:pPr>
        <w:pStyle w:val="BodyText"/>
        <w:spacing w:line="480" w:lineRule="auto"/>
        <w:ind w:firstLine="720"/>
      </w:pPr>
      <w:r>
        <w:t xml:space="preserve">That is the seam this project occupies. It is a narrow seam, and it is the whole of the project. The economic reframing of capacity is attractive precisely because it converts a physical ceiling into a decision variable, but the reframing is only useful if it can be disciplined by evidence rather than asserted. A doctoral treatment of the topic therefore owes the reader two things. It owes a defensible theoretical claim about what a rent-maximizing capacity limit is. And it owes a test that could fail. Without the second, the first is an intuition wearing formal clothing.</w:t>
      </w:r>
    </w:p>
    <w:p>
      <w:pPr>
        <w:pStyle w:val="BodyText"/>
        <w:spacing w:line="480" w:lineRule="auto"/>
        <w:ind w:firstLine="720"/>
      </w:pPr>
      <w:r>
        <w:t xml:space="preserve">The stakes are not abstract. Orbits fill. Slot value in contested orbital regions is already being discussed as a cost that rises with debris risk and geopolitical contestation, which implies that operators and regulators are implicitly pricing capacity even without an agreed method</w:t>
      </w:r>
      <w:r>
        <w:t xml:space="preserve"> </w:t>
      </w:r>
      <w:hyperlink w:anchor="ref-6">
        <w:r>
          <w:rPr>
            <w:rStyle w:val="Hyperlink"/>
          </w:rPr>
          <w:t xml:space="preserve">[6]</w:t>
        </w:r>
      </w:hyperlink>
      <w:r>
        <w:t xml:space="preserve">. Capacity management is now being written into the space-traffic-management research agenda as a distinct function that interacts with, but is not identical to, collision avoidance</w:t>
      </w:r>
      <w:r>
        <w:t xml:space="preserve"> </w:t>
      </w:r>
      <w:hyperlink w:anchor="ref-9">
        <w:r>
          <w:rPr>
            <w:rStyle w:val="Hyperlink"/>
          </w:rPr>
          <w:t xml:space="preserve">[9]</w:t>
        </w:r>
      </w:hyperlink>
      <w:r>
        <w:t xml:space="preserve">. When a concept migrates from engineering appendices into the governance vocabulary of a field, that migration leaves a documentary trace. The trace is what this dissertation measures.</w:t>
      </w:r>
    </w:p>
    <w:p>
      <w:pPr>
        <w:pStyle w:val="BodyText"/>
        <w:spacing w:line="480" w:lineRule="auto"/>
        <w:ind w:firstLine="720"/>
      </w:pPr>
      <w:r>
        <w:t xml:space="preserve">Consider what a regulator actually faces. An operator applies for a shell that is already dense. The regulator has collision statistics, a rough capacity envelope, and no shared method for saying whether the applicant’s satellite sits below or above the rent-maximizing margin. Absent that method, the decision defaults either to first-come priority or to political discretion. Both defaults waste the thing capacity was supposed to protect, which is the long-run usability of the orbit itself. An economic-limit framing promises a defensible third option. The promise is worth taking seriously enough to test whether the framing has actually taken hold in the field or merely circulates as rhetoric.</w:t>
      </w:r>
    </w:p>
    <w:bookmarkEnd w:id="61"/>
    <w:bookmarkStart w:id="62" w:name="the-single-falsifiable-contribution"/>
    <w:p>
      <w:pPr>
        <w:pStyle w:val="Heading2"/>
        <w:spacing w:line="480" w:lineRule="auto"/>
      </w:pPr>
      <w:r>
        <w:t xml:space="preserve">1.2 The single falsifiable contribution</w:t>
      </w:r>
    </w:p>
    <w:p>
      <w:pPr>
        <w:pStyle w:val="FirstParagraph"/>
        <w:spacing w:line="480" w:lineRule="auto"/>
      </w:pPr>
      <w:r>
        <w:t xml:space="preserve">I make one testable claim, and I state it so that it can be rejected. Consider the retrieved scholarly corpus on orbital carrying capacity as an economic limit. Each source record carries metadata: how recently it was published, how much citation attention it has drawn, and what family of venue it appeared in. The null hypothesis holds that the intensity of the topic signal in a source record is unrelated to those three features. The alternative holds that topic-signal intensity is systematically related to publication recency, citation attention, and venue family.</w:t>
      </w:r>
    </w:p>
    <w:p>
      <w:pPr>
        <w:pStyle w:val="BodyText"/>
        <w:spacing w:line="480" w:lineRule="auto"/>
        <w:ind w:firstLine="720"/>
      </w:pPr>
      <w:r>
        <w:t xml:space="preserve">H0: the candidate-topic signal is unrelated to publication recency, citation attention, and venue family in the retrieved corpus.</w:t>
      </w:r>
    </w:p>
    <w:p>
      <w:pPr>
        <w:pStyle w:val="BodyText"/>
        <w:spacing w:line="480" w:lineRule="auto"/>
        <w:ind w:firstLine="720"/>
      </w:pPr>
      <w:r>
        <w:t xml:space="preserve">H1: the candidate-topic signal is systematically related to publication recency, citation attention, and venue family in the retrieved corpus.</w:t>
      </w:r>
    </w:p>
    <w:p>
      <w:pPr>
        <w:pStyle w:val="BodyText"/>
        <w:spacing w:line="480" w:lineRule="auto"/>
        <w:ind w:firstLine="720"/>
      </w:pPr>
      <w:r>
        <w:t xml:space="preserve">This is deliberately modest. I am not claiming to estimate the rent-maximizing satellite as a live orbital-mechanics quantity in this document. I am claiming that the emergence of the economic-limit framing is visible in the structure of the literature, and that visibility is either present or absent in the metadata. If the estimators return weak and imprecise associations, the honest reading is that the corpus does not yet carry the structured signal the alternative hypothesis predicts, and I report that outcome rather than dress it up. A design that can only confirm itself is not a doctoral design. This one can come back negative, and as the results chapter shows, on several coefficients it does.</w:t>
      </w:r>
    </w:p>
    <w:p>
      <w:pPr>
        <w:pStyle w:val="BodyText"/>
        <w:spacing w:line="480" w:lineRule="auto"/>
        <w:ind w:firstLine="720"/>
      </w:pPr>
      <w:r>
        <w:t xml:space="preserve">Why lean on metadata at all, rather than reading each document and coding its argument directly? Two reasons. The first is discipline. A metadata screen forces every claim through a variable that another researcher can reconstruct from the same retained records, which closes the gap between assertion and evidence that so often opens in policy writing. The second is sequence. Before spending the far larger effort of hand-coding what each document argues about rent and capacity, it is worth knowing whether the topic even registers as structured in the cheap-to-observe features. If it does not register there, the direction of the harder study changes. A negative screen is not a failed study. It is a redirected one.</w:t>
      </w:r>
    </w:p>
    <w:bookmarkEnd w:id="62"/>
    <w:bookmarkStart w:id="63" w:name="approach-in-brief"/>
    <w:p>
      <w:pPr>
        <w:pStyle w:val="Heading2"/>
        <w:spacing w:line="480" w:lineRule="auto"/>
      </w:pPr>
      <w:r>
        <w:t xml:space="preserve">1.3 Approach in brief</w:t>
      </w:r>
    </w:p>
    <w:p>
      <w:pPr>
        <w:pStyle w:val="FirstParagraph"/>
        <w:spacing w:line="480" w:lineRule="auto"/>
      </w:pPr>
      <w:r>
        <w:t xml:space="preserve">Two empirical screens carry the weight. The first is an ordinary least squares model of topic-signal intensity regressed on a recency index, a reported citation count, and an ordinal venue-family score. The second is a log-log learning-curve model that asks whether citation accumulation follows a measurable function of article age. Neither screen settles the full policy question of where to set an orbital entry limit. Together they do something narrower and more defensible: they show how the retrieved corpus is structured, which parts of the topic are already legible in metadata, and which parts will require direct document coding that no bibliometric screen can supply.</w:t>
      </w:r>
    </w:p>
    <w:p>
      <w:pPr>
        <w:pStyle w:val="BodyText"/>
        <w:spacing w:line="480" w:lineRule="auto"/>
        <w:ind w:firstLine="720"/>
      </w:pPr>
      <w:r>
        <w:t xml:space="preserve">The data are local and auditable. They consist of a candidate-specific source record set, a set of deterministic feature rows generated from those records, and two empirical workbooks whose every observation preserves its source provenance, publication year, venue family, and derived variables. Thirty source records enter each estimation. The number is small, and I treat it as small throughout, because a corpus screen built on thirty records should not be asked to carry conclusions it cannot support. The verification-and-validation literature on capacity assessment tools makes the same point about fidelity: an estimate is only as trustworthy as the provenance and calibration behind it, and overreading a low-fidelity tool is itself an error</w:t>
      </w:r>
      <w:r>
        <w:t xml:space="preserve"> </w:t>
      </w:r>
      <w:hyperlink w:anchor="ref-4">
        <w:r>
          <w:rPr>
            <w:rStyle w:val="Hyperlink"/>
          </w:rPr>
          <w:t xml:space="preserve">[4]</w:t>
        </w:r>
      </w:hyperlink>
      <w:r>
        <w:t xml:space="preserve">.</w:t>
      </w:r>
    </w:p>
    <w:bookmarkEnd w:id="63"/>
    <w:bookmarkStart w:id="64" w:name="what-this-dissertation-does-not-claim"/>
    <w:p>
      <w:pPr>
        <w:pStyle w:val="Heading2"/>
        <w:spacing w:line="480" w:lineRule="auto"/>
      </w:pPr>
      <w:r>
        <w:t xml:space="preserve">1.4 What this dissertation does not claim</w:t>
      </w:r>
    </w:p>
    <w:p>
      <w:pPr>
        <w:pStyle w:val="FirstParagraph"/>
        <w:spacing w:line="480" w:lineRule="auto"/>
      </w:pPr>
      <w:r>
        <w:t xml:space="preserve">Honesty about scope is part of the contribution. I do not claim a universal citation count; the citation figures are local index measures and are treated that way. I do not claim that venue-family coding captures anything beyond a coarse ordinal ranking from conference proceedings through archival journals. I do not claim that a metadata screen substitutes for the harder work of coding what each document actually argues about capacity and rent. And I do not claim causal identification of policy impact. The design tests corpus structure. It is a disciplined bridge from source retrieval to interpretation, not a verdict on how any specific orbital shell should be regulated</w:t>
      </w:r>
      <w:r>
        <w:t xml:space="preserve"> </w:t>
      </w:r>
      <w:hyperlink w:anchor="ref-5">
        <w:r>
          <w:rPr>
            <w:rStyle w:val="Hyperlink"/>
          </w:rPr>
          <w:t xml:space="preserve">[5]</w:t>
        </w:r>
      </w:hyperlink>
      <w:r>
        <w:t xml:space="preserve">.</w:t>
      </w:r>
    </w:p>
    <w:p>
      <w:pPr>
        <w:pStyle w:val="BodyText"/>
        <w:spacing w:line="480" w:lineRule="auto"/>
        <w:ind w:firstLine="720"/>
      </w:pPr>
      <w:r>
        <w:t xml:space="preserve">The reason to be this careful is that space-sustainability arguments have a documented tendency to outrun their evidence. Information-sharing and trust-preservation work in this field has argued that governance progress depends on making the evidentiary chain inspectable rather than asserting shared understanding</w:t>
      </w:r>
      <w:r>
        <w:t xml:space="preserve"> </w:t>
      </w:r>
      <w:hyperlink w:anchor="ref-5">
        <w:r>
          <w:rPr>
            <w:rStyle w:val="Hyperlink"/>
          </w:rPr>
          <w:t xml:space="preserve">[5]</w:t>
        </w:r>
      </w:hyperlink>
      <w:r>
        <w:t xml:space="preserve">. I take that seriously as a methodological commitment. Every number in the results chapter can be traced back to a workbook row, and every row can be traced back to a source.</w:t>
      </w:r>
    </w:p>
    <w:bookmarkEnd w:id="64"/>
    <w:bookmarkStart w:id="65" w:name="roadmap"/>
    <w:p>
      <w:pPr>
        <w:pStyle w:val="Heading2"/>
        <w:spacing w:line="480" w:lineRule="auto"/>
      </w:pPr>
      <w:r>
        <w:t xml:space="preserve">1.5 Roadmap</w:t>
      </w:r>
    </w:p>
    <w:p>
      <w:pPr>
        <w:pStyle w:val="FirstParagraph"/>
        <w:spacing w:line="480" w:lineRule="auto"/>
      </w:pPr>
      <w:r>
        <w:t xml:space="preserve">The remainder proceeds in seven chapters. Chapter 2 situates the project against prior work on capacity modeling, demand projection, resilience, slot valuation, and capacity management, and it identifies the specific seam this dissertation addresses. Chapter 3 develops the theory: what a rent-maximizing capacity limit is, why an economic ceiling can bind before a physical one does, and how that mechanism generates the testable predictions about corpus structure. Chapter 4 lays out the methodology and the identification logic, explaining what the two estimators can and cannot recover. Chapter 5 documents the data: how the source records were assembled, how each variable was constructed, what the sources are, and why N equals thirty. Chapter 6 reports the estimator output exactly, coefficient by coefficient, and interprets the signs and magnitudes without inflating them. Chapter 7 turns to discussion and limitations, naming the threats to validity and marking the boundary between what the data show and what they cannot. Chapter 8 states the contribution, draws the governance and program implications, and specifies the document-coding design that a next study would need to move from corpus structure toward the rent-maximizing satellite itself.</w:t>
      </w:r>
    </w:p>
    <w:p>
      <w:pPr>
        <w:pStyle w:val="BodyText"/>
        <w:spacing w:line="480" w:lineRule="auto"/>
        <w:ind w:firstLine="720"/>
      </w:pPr>
      <w:r>
        <w:t xml:space="preserve">A reader should finish this dissertation able to trace one clean path from a source record to a variable, from a variable to an estimate, and from an estimate to a bounded interpretation. That path, more than any single coefficient, is the point. The chapters that follow are built so that the path never breaks: each analytic move is tied to a document that a skeptic can pull and check.</w:t>
      </w:r>
    </w:p>
    <w:bookmarkEnd w:id="65"/>
    <w:bookmarkStart w:id="66" w:name="Xaf48f62a74c1b7bde554dc687c1618cbed0ac8b"/>
    <w:p>
      <w:pPr>
        <w:pStyle w:val="Heading2"/>
        <w:spacing w:line="480" w:lineRule="auto"/>
      </w:pPr>
      <w:r>
        <w:t xml:space="preserve">1.6 The economics of a commons that fills before it breaks</w:t>
      </w:r>
    </w:p>
    <w:p>
      <w:pPr>
        <w:pStyle w:val="FirstParagraph"/>
        <w:spacing w:line="480" w:lineRule="auto"/>
      </w:pPr>
      <w:r>
        <w:t xml:space="preserve">It helps to name the economic tradition this dissertation draws on, because the naming clarifies what is genuinely new here and what is borrowed. The congestion of a shared, rival, non-excludable resource is the oldest problem in resource economics. Fisheries collapse when each boat ignores the stock it depletes for the next boat. Roads jam when each driver ignores the delay imposed on everyone behind. Orbital shells are the same structure wearing a different coat: each operator captures the full service value of its own satellite while the collision risk and margin erosion it creates are spread across every other operator in the shell. The private optimum and the collective optimum diverge, and the divergence widens as the shell fills. That is the mechanism, and it is why an economic ceiling arrives before a physical one.</w:t>
      </w:r>
    </w:p>
    <w:p>
      <w:pPr>
        <w:pStyle w:val="BodyText"/>
        <w:spacing w:line="480" w:lineRule="auto"/>
        <w:ind w:firstLine="720"/>
      </w:pPr>
      <w:r>
        <w:t xml:space="preserve">What makes the orbital case distinctive, and worth a dissertation rather than a footnote in the commons literature, is the tail. A fishery that is overfished recovers slowly but continuously; the stock declines and can be rebuilt. An orbital shell operated past its resilience margin does not decline continuously. It can convert, in a single fragmentation event, from usable to unusable, and the debris that renders it unusable persists for decades or centuries</w:t>
      </w:r>
      <w:r>
        <w:t xml:space="preserve"> </w:t>
      </w:r>
      <w:hyperlink w:anchor="ref-3">
        <w:r>
          <w:rPr>
            <w:rStyle w:val="Hyperlink"/>
          </w:rPr>
          <w:t xml:space="preserve">[3]</w:t>
        </w:r>
      </w:hyperlink>
      <w:r>
        <w:t xml:space="preserve">. The externality is therefore not merely additive congestion; it is the erosion of a buffer against catastrophic, near-irreversible loss. Pricing that buffer is a harder economic problem than pricing ordinary congestion, and it is the problem that gives the rent-maximizing satellite its urgency.</w:t>
      </w:r>
    </w:p>
    <w:p>
      <w:pPr>
        <w:pStyle w:val="BodyText"/>
        <w:spacing w:line="480" w:lineRule="auto"/>
        <w:ind w:firstLine="720"/>
      </w:pPr>
      <w:r>
        <w:t xml:space="preserve">The rent framing carries one more implication worth stating at the outset. If a shell has a rent-maximizing occupancy, then the slots below that occupancy have positive scarcity value, and that value is a rent in the strict economic sense: a return to a fixed, scarce factor that no operator created. Whoever holds those slots captures the rent, and how the rent is allocated, by first-come priority, by auction, by administrative grant, is a distributional question with real winners and losers. Slot-valuation evidence showing that contested positions already cost more when debris risk rises is the empirical shadow of exactly this rent</w:t>
      </w:r>
      <w:r>
        <w:t xml:space="preserve"> </w:t>
      </w:r>
      <w:hyperlink w:anchor="ref-6">
        <w:r>
          <w:rPr>
            <w:rStyle w:val="Hyperlink"/>
          </w:rPr>
          <w:t xml:space="preserve">[6]</w:t>
        </w:r>
      </w:hyperlink>
      <w:r>
        <w:t xml:space="preserve">. The framing this dissertation tests is, at bottom, a claim that these rents are real, estimable, and governable, and the modest bibliometric question here is whether the field has begun to treat them that way.</w:t>
      </w:r>
    </w:p>
    <w:bookmarkEnd w:id="66"/>
    <w:bookmarkStart w:id="67" w:name="X899457455cfb29489f4bc3bc40882e6abbcc2be"/>
    <w:p>
      <w:pPr>
        <w:pStyle w:val="Heading2"/>
        <w:spacing w:line="480" w:lineRule="auto"/>
      </w:pPr>
      <w:r>
        <w:t xml:space="preserve">1.7 Why a design-stage dissertation, and what that entails</w:t>
      </w:r>
    </w:p>
    <w:p>
      <w:pPr>
        <w:pStyle w:val="FirstParagraph"/>
        <w:spacing w:line="480" w:lineRule="auto"/>
      </w:pPr>
      <w:r>
        <w:t xml:space="preserve">This is explicitly a design-stage dissertation, and the phrase is a commitment rather than an apology. A design-stage work earns its doctoral standing not by delivering the final causal estimate but by delivering an inspectable design that a later study can execute: a sharp question, an estimator matched to it, a documented dataset, and an honest account of what the estimator can and cannot recover. The standard I hold myself to is that every step be reproducible from the retained artifacts, so that a skeptic starting from the same source records would build the same variables, run the same models, and reach the same bounded conclusions</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That standard rules out several tempting moves. It rules out reaching for a headline capacity number from any single source and treating it as established, because the verification literature shows those numbers are only as good as their calibration</w:t>
      </w:r>
      <w:r>
        <w:t xml:space="preserve"> </w:t>
      </w:r>
      <w:hyperlink w:anchor="ref-4">
        <w:r>
          <w:rPr>
            <w:rStyle w:val="Hyperlink"/>
          </w:rPr>
          <w:t xml:space="preserve">[4]</w:t>
        </w:r>
      </w:hyperlink>
      <w:r>
        <w:t xml:space="preserve">. It rules out narrating a causal story the metadata cannot support. And it rules out hiding a weak result behind confident prose, because the entire value of a design-stage work collapses if its author cannot report a null cleanly. The chapters ahead are written to that standard, and the results chapter tests whether I actually hold to it when the coefficients come back flat.</w:t>
      </w:r>
    </w:p>
    <w:p>
      <w:pPr>
        <w:pStyle w:val="BodyText"/>
        <w:spacing w:line="480" w:lineRule="auto"/>
        <w:ind w:firstLine="720"/>
      </w:pPr>
      <w:r>
        <w:t xml:space="preserve">The payoff of the design-stage posture is that it makes the negative result useful. In a study that promised a causal estimate, a null would read as failure. In a design-stage study, a null reads as information about where the cheap evidence runs out, which is precisely the guidance a research program needs before committing to an expensive document-coding effort. The introduction therefore ends not with a promised finding but with a promised discipline: whatever the two screens return, they will be reported against their own uncertainty, and the reader will always be able to see the source beneath the number.</w:t>
      </w:r>
    </w:p>
    <w:bookmarkEnd w:id="67"/>
    <w:bookmarkStart w:id="68" w:name="Xa1b1b4b35774dbb0ed8276ddf56533c08671fa5"/>
    <w:p>
      <w:pPr>
        <w:pStyle w:val="Heading2"/>
        <w:spacing w:line="480" w:lineRule="auto"/>
      </w:pPr>
      <w:r>
        <w:t xml:space="preserve">1.8 Situating the question in the current moment of the field</w:t>
      </w:r>
    </w:p>
    <w:p>
      <w:pPr>
        <w:pStyle w:val="FirstParagraph"/>
        <w:spacing w:line="480" w:lineRule="auto"/>
      </w:pPr>
      <w:r>
        <w:t xml:space="preserve">The timing of this question is not incidental. Low Earth orbit is undergoing the fastest change in its operational history, as constellations of thousands of satellites move from proposal to deployment inside a few years, and the capacity models that once described a distant ceiling now describe a near one</w:t>
      </w:r>
      <w:r>
        <w:t xml:space="preserve"> </w:t>
      </w:r>
      <w:hyperlink w:anchor="ref-1">
        <w:r>
          <w:rPr>
            <w:rStyle w:val="Hyperlink"/>
          </w:rPr>
          <w:t xml:space="preserve">[1]</w:t>
        </w:r>
      </w:hyperlink>
      <w:r>
        <w:t xml:space="preserve"> </w:t>
      </w:r>
      <w:hyperlink w:anchor="ref-2">
        <w:r>
          <w:rPr>
            <w:rStyle w:val="Hyperlink"/>
          </w:rPr>
          <w:t xml:space="preserve">[2]</w:t>
        </w:r>
      </w:hyperlink>
      <w:r>
        <w:t xml:space="preserve">. When the binding constraint was decades away, the difference between a physical and an economic limit was academic. As the constraint approaches, the difference becomes the entire policy question, because the economic limit is the one that arrives first and the one that determines whether the resource is used well or squandered. A dissertation asking whether the field has begun to treat capacity as an economic object is therefore asking a question the field is being forced to answer in real time, whether or not its literature has caught up.</w:t>
      </w:r>
    </w:p>
    <w:p>
      <w:pPr>
        <w:pStyle w:val="BodyText"/>
        <w:spacing w:line="480" w:lineRule="auto"/>
        <w:ind w:firstLine="720"/>
      </w:pPr>
      <w:r>
        <w:t xml:space="preserve">The governance institutions that would act on an economic-limit answer are also in motion. Capacity management is being articulated as a distinct function within the space-traffic-management architecture, separate from the immediate task of avoiding today’s conjunctions</w:t>
      </w:r>
      <w:r>
        <w:t xml:space="preserve"> </w:t>
      </w:r>
      <w:hyperlink w:anchor="ref-9">
        <w:r>
          <w:rPr>
            <w:rStyle w:val="Hyperlink"/>
          </w:rPr>
          <w:t xml:space="preserve">[9]</w:t>
        </w:r>
      </w:hyperlink>
      <w:r>
        <w:t xml:space="preserve">. That articulation creates an institutional home for the rent-maximizing concept, a place where an estimate, if one existed, could be used. The concept and the institution are converging, and the open question is whether the intellectual work has consolidated enough to fill the institutional space that is opening for it. This dissertation cannot resolve that convergence, but it can take an honest reading of where the intellectual side stands, and an honest reading is worth more than an optimistic one when institutions are deciding how much weight to place on a still-forming idea.</w:t>
      </w:r>
    </w:p>
    <w:bookmarkEnd w:id="68"/>
    <w:bookmarkStart w:id="69" w:name="the-readers-takeaway"/>
    <w:p>
      <w:pPr>
        <w:pStyle w:val="Heading2"/>
        <w:spacing w:line="480" w:lineRule="auto"/>
      </w:pPr>
      <w:r>
        <w:t xml:space="preserve">1.9 The reader’s takeaway</w:t>
      </w:r>
    </w:p>
    <w:p>
      <w:pPr>
        <w:pStyle w:val="FirstParagraph"/>
        <w:spacing w:line="480" w:lineRule="auto"/>
      </w:pPr>
      <w:r>
        <w:t xml:space="preserve">By the final chapter, a reader should hold three things. First, a clear definition of the rent-maximizing satellite as the object at the occupancy where marginal private value equals marginal social cost, and an understanding of why that economic ceiling binds before the physical one. Second, a falsifiable test of whether the emergence of that framing is visible in the structure of the topic’s literature, executed with two reproducible estimators on a documented corpus. Third, an honest account of what the test found, what it could not find, and what a stronger design would need to move from corpus structure toward the estimate the framing ultimately demands. Those three things, held together, are the dissertation. The chapters that follow deliver them in order, and each is written so the reader can check it against the retained sources rather than take it on trust.</w:t>
      </w:r>
    </w:p>
    <w:bookmarkEnd w:id="69"/>
    <w:bookmarkEnd w:id="70"/>
    <w:bookmarkStart w:id="82" w:name="chapter-2.-literature-review"/>
    <w:p>
      <w:pPr>
        <w:pStyle w:val="Heading1"/>
        <w:spacing w:line="480" w:lineRule="auto"/>
      </w:pPr>
      <w:r>
        <w:t xml:space="preserve">Chapter 2. Literature Review</w:t>
      </w:r>
    </w:p>
    <w:p>
      <w:pPr>
        <w:pStyle w:val="FirstParagraph"/>
        <w:spacing w:line="480" w:lineRule="auto"/>
      </w:pPr>
      <w:r>
        <w:t xml:space="preserve">The work behind this dissertation sits at the meeting point of two conversations that rarely cite each other cleanly. One conversation is technical. It asks how many objects an orbital shell can hold before collision risk becomes self-sustaining, and it answers with physics, catalog data, and simulation</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The other conversation is economic and institutional. It asks who should get the scarce slots, what they are worth, and which rule allocates them without destroying the resource</w:t>
      </w:r>
      <w:r>
        <w:t xml:space="preserve"> </w:t>
      </w:r>
      <w:hyperlink w:anchor="ref-6">
        <w:r>
          <w:rPr>
            <w:rStyle w:val="Hyperlink"/>
          </w:rPr>
          <w:t xml:space="preserve">[6]</w:t>
        </w:r>
      </w:hyperlink>
      <w:r>
        <w:t xml:space="preserve"> </w:t>
      </w:r>
      <w:hyperlink w:anchor="ref-9">
        <w:r>
          <w:rPr>
            <w:rStyle w:val="Hyperlink"/>
          </w:rPr>
          <w:t xml:space="preserve">[9]</w:t>
        </w:r>
      </w:hyperlink>
      <w:r>
        <w:t xml:space="preserve">. This chapter reads both, marks where they connect, and names the specific place where they do not.</w:t>
      </w:r>
    </w:p>
    <w:bookmarkStart w:id="71" w:name="the-physical-capacity-literature"/>
    <w:p>
      <w:pPr>
        <w:pStyle w:val="Heading2"/>
        <w:spacing w:line="480" w:lineRule="auto"/>
      </w:pPr>
      <w:r>
        <w:t xml:space="preserve">2.1 The physical-capacity literature</w:t>
      </w:r>
    </w:p>
    <w:p>
      <w:pPr>
        <w:pStyle w:val="FirstParagraph"/>
        <w:spacing w:line="480" w:lineRule="auto"/>
      </w:pPr>
      <w:r>
        <w:t xml:space="preserve">The foundational move in the technical strand is to treat an orbital shell as a container with a tolerance. Capacity modeling for sustainable design estimates the density at which the expected number of new fragments from collisions begins to exceed the number removed by atmospheric decay, and it converts that tipping behavior into a usable object budget for constellation planners</w:t>
      </w:r>
      <w:r>
        <w:t xml:space="preserve"> </w:t>
      </w:r>
      <w:hyperlink w:anchor="ref-1">
        <w:r>
          <w:rPr>
            <w:rStyle w:val="Hyperlink"/>
          </w:rPr>
          <w:t xml:space="preserve">[1]</w:t>
        </w:r>
      </w:hyperlink>
      <w:r>
        <w:t xml:space="preserve">. The value of this work is that it makes scarcity concrete. Crowding becomes a count. A shell is not vaguely crowded; it has a number, and the number depends on altitude, object size, and maneuver capability.</w:t>
      </w:r>
    </w:p>
    <w:p>
      <w:pPr>
        <w:pStyle w:val="BodyText"/>
        <w:spacing w:line="480" w:lineRule="auto"/>
        <w:ind w:firstLine="720"/>
      </w:pPr>
      <w:r>
        <w:t xml:space="preserve">Projected orbital demand studies push the container model forward in time. When the planned deployments of large constellations are laid against the estimated environmental capacity of the shells they target, the two lines converge inside the current planning horizon rather than in some distant future</w:t>
      </w:r>
      <w:r>
        <w:t xml:space="preserve"> </w:t>
      </w:r>
      <w:hyperlink w:anchor="ref-2">
        <w:r>
          <w:rPr>
            <w:rStyle w:val="Hyperlink"/>
          </w:rPr>
          <w:t xml:space="preserve">[2]</w:t>
        </w:r>
      </w:hyperlink>
      <w:r>
        <w:t xml:space="preserve">. That convergence is the reason capacity stopped being an academic curiosity. It became a scheduling problem for real operators. The demand-side work matters here because it establishes that the binding constraint is near, which is exactly the condition under which an economic-limit framing becomes decision-relevant rather than merely interesting.</w:t>
      </w:r>
    </w:p>
    <w:p>
      <w:pPr>
        <w:pStyle w:val="BodyText"/>
        <w:spacing w:line="480" w:lineRule="auto"/>
        <w:ind w:firstLine="720"/>
      </w:pPr>
      <w:r>
        <w:t xml:space="preserve">Resilience research complicates the tidy container picture in a productive way. A shell’s usable capacity is not a fixed number but a distribution with a dangerous tail, because a single accidental or intentional fragmentation event can inject debris that degrades the entire shell at once</w:t>
      </w:r>
      <w:r>
        <w:t xml:space="preserve"> </w:t>
      </w:r>
      <w:hyperlink w:anchor="ref-3">
        <w:r>
          <w:rPr>
            <w:rStyle w:val="Hyperlink"/>
          </w:rPr>
          <w:t xml:space="preserve">[3]</w:t>
        </w:r>
      </w:hyperlink>
      <w:r>
        <w:t xml:space="preserve">. This finding reframes capacity as a risk-bearing quantity. The economically relevant limit is therefore not the steady-state maximum but the operating point that leaves enough margin to absorb a shock without cascading. An economic model that ignored tail risk would price slots as if the worst case never arrived, and the resilience literature is the standing objection to that mistake.</w:t>
      </w:r>
    </w:p>
    <w:p>
      <w:pPr>
        <w:pStyle w:val="BodyText"/>
        <w:spacing w:line="480" w:lineRule="auto"/>
        <w:ind w:firstLine="720"/>
      </w:pPr>
      <w:r>
        <w:t xml:space="preserve">Verification and validation of capacity assessment tools supplies the epistemic caution the whole strand needs. Different tools estimate capacity at different fidelities, and comparing them shows that a headline capacity number is only as good as the calibration, assumptions, and provenance behind it</w:t>
      </w:r>
      <w:r>
        <w:t xml:space="preserve"> </w:t>
      </w:r>
      <w:hyperlink w:anchor="ref-4">
        <w:r>
          <w:rPr>
            <w:rStyle w:val="Hyperlink"/>
          </w:rPr>
          <w:t xml:space="preserve">[4]</w:t>
        </w:r>
      </w:hyperlink>
      <w:r>
        <w:t xml:space="preserve">. This is not a side point. It is the reason a dissertation that leans on retrieved capacity documents cannot treat any single reported figure as ground truth, and it justifies the metadata-screen posture this project adopts: measure what the corpus structurally supports before importing any one estimate as settled.</w:t>
      </w:r>
    </w:p>
    <w:bookmarkEnd w:id="71"/>
    <w:bookmarkStart w:id="72" w:name="X301fa961a2376dbd12041380fb719305f2873d0"/>
    <w:p>
      <w:pPr>
        <w:pStyle w:val="Heading2"/>
        <w:spacing w:line="480" w:lineRule="auto"/>
      </w:pPr>
      <w:r>
        <w:t xml:space="preserve">2.2 The economic and slot-valuation literature</w:t>
      </w:r>
    </w:p>
    <w:p>
      <w:pPr>
        <w:pStyle w:val="FirstParagraph"/>
        <w:spacing w:line="480" w:lineRule="auto"/>
      </w:pPr>
      <w:r>
        <w:t xml:space="preserve">The economic strand starts where the physical strand stops. It asks about value. Work on GEO slots argues that the intrinsic and actual cost of an orbital position rises as debris risk and contested access increase, which means the price of a slot already encodes a scarcity that no operator negotiated for individually</w:t>
      </w:r>
      <w:r>
        <w:t xml:space="preserve"> </w:t>
      </w:r>
      <w:hyperlink w:anchor="ref-6">
        <w:r>
          <w:rPr>
            <w:rStyle w:val="Hyperlink"/>
          </w:rPr>
          <w:t xml:space="preserve">[6]</w:t>
        </w:r>
      </w:hyperlink>
      <w:r>
        <w:t xml:space="preserve">. This is the clearest bridge in the retrieved corpus between physical congestion and economic rent. It says that the market is pricing capacity implicitly, and that the price moves with risk. The rent-maximizing framing this dissertation studies is the natural formalization of that observation: if slot value rises with congestion-driven risk, there is some occupancy at which the marginal slot’s value equals its marginal external cost, and that occupancy is the target.</w:t>
      </w:r>
    </w:p>
    <w:p>
      <w:pPr>
        <w:pStyle w:val="BodyText"/>
        <w:spacing w:line="480" w:lineRule="auto"/>
        <w:ind w:firstLine="720"/>
      </w:pPr>
      <w:r>
        <w:t xml:space="preserve">Space capacity management, treated as a governance function, is the newest and most directly relevant strand</w:t>
      </w:r>
      <w:r>
        <w:t xml:space="preserve"> </w:t>
      </w:r>
      <w:hyperlink w:anchor="ref-9">
        <w:r>
          <w:rPr>
            <w:rStyle w:val="Hyperlink"/>
          </w:rPr>
          <w:t xml:space="preserve">[9]</w:t>
        </w:r>
      </w:hyperlink>
      <w:r>
        <w:t xml:space="preserve">. It separates capacity management from space traffic management, arguing that avoiding today’s collisions and stewarding tomorrow’s usable orbit are different jobs that interact but should not be conflated. That distinction matters for this project because it locates the economic-limit question inside a named institutional function rather than leaving it as an abstraction. If capacity management is becoming a recognized function, then the concept should be leaving a growing trace in the literature, which is precisely the kind of structure the empirical screens are built to detect.</w:t>
      </w:r>
    </w:p>
    <w:bookmarkEnd w:id="72"/>
    <w:bookmarkStart w:id="73" w:name="X235d23d83330a39672aafcbb5211d4ca200908d"/>
    <w:p>
      <w:pPr>
        <w:pStyle w:val="Heading2"/>
        <w:spacing w:line="480" w:lineRule="auto"/>
      </w:pPr>
      <w:r>
        <w:t xml:space="preserve">2.3 Adjacent design and demand-uncertainty work</w:t>
      </w:r>
    </w:p>
    <w:p>
      <w:pPr>
        <w:pStyle w:val="FirstParagraph"/>
        <w:spacing w:line="480" w:lineRule="auto"/>
      </w:pPr>
      <w:r>
        <w:t xml:space="preserve">Several adjacent studies inform how demand meets capacity under uncertainty. Flexible staged-deployment analysis for mega-constellations shows that operators facing uncertain demand can stage their build-out to preserve option value, which implies that the effective demand pressing on a shell is itself endogenous to expected returns and risk</w:t>
      </w:r>
      <w:r>
        <w:t xml:space="preserve"> </w:t>
      </w:r>
      <w:hyperlink w:anchor="ref-14">
        <w:r>
          <w:rPr>
            <w:rStyle w:val="Hyperlink"/>
          </w:rPr>
          <w:t xml:space="preserve">[14]</w:t>
        </w:r>
      </w:hyperlink>
      <w:r>
        <w:t xml:space="preserve">. Architecture studies for constellation services, such as messaging-oriented CubeSat designs, show that service value per satellite varies widely with mission design, which cautions against treating every object in a shell as an equal claimant on capacity</w:t>
      </w:r>
      <w:r>
        <w:t xml:space="preserve"> </w:t>
      </w:r>
      <w:hyperlink w:anchor="ref-10">
        <w:r>
          <w:rPr>
            <w:rStyle w:val="Hyperlink"/>
          </w:rPr>
          <w:t xml:space="preserve">[10]</w:t>
        </w:r>
      </w:hyperlink>
      <w:r>
        <w:t xml:space="preserve">. These works do not price capacity directly, but they establish that both the supply of usable slots and the demand for them are shaped by economic choices, not fixed by physics alone.</w:t>
      </w:r>
    </w:p>
    <w:p>
      <w:pPr>
        <w:pStyle w:val="BodyText"/>
        <w:spacing w:line="480" w:lineRule="auto"/>
        <w:ind w:firstLine="720"/>
      </w:pPr>
      <w:r>
        <w:t xml:space="preserve">Parametric economic modeling from the resource-extraction corner of the field offers a useful methodological analogy. Asteroid-mining architecture studies build explicit cost-and-return models to decide which architecture is worth pursuing under uncertainty</w:t>
      </w:r>
      <w:r>
        <w:t xml:space="preserve"> </w:t>
      </w:r>
      <w:hyperlink w:anchor="ref-12">
        <w:r>
          <w:rPr>
            <w:rStyle w:val="Hyperlink"/>
          </w:rPr>
          <w:t xml:space="preserve">[12]</w:t>
        </w:r>
      </w:hyperlink>
      <w:r>
        <w:t xml:space="preserve">. The transferable lesson is not the subject matter but the discipline: an economic limit is estimated, not asserted, and the estimate is only as credible as the parameters and provenance feeding it. That discipline is what this dissertation tries to import into the capacity conversation, even at the modest scale of a corpus screen.</w:t>
      </w:r>
    </w:p>
    <w:bookmarkEnd w:id="73"/>
    <w:bookmarkStart w:id="74" w:name="the-measurement-conversation"/>
    <w:p>
      <w:pPr>
        <w:pStyle w:val="Heading2"/>
        <w:spacing w:line="480" w:lineRule="auto"/>
      </w:pPr>
      <w:r>
        <w:t xml:space="preserve">2.4 The measurement conversation</w:t>
      </w:r>
    </w:p>
    <w:p>
      <w:pPr>
        <w:pStyle w:val="FirstParagraph"/>
        <w:spacing w:line="480" w:lineRule="auto"/>
      </w:pPr>
      <w:r>
        <w:t xml:space="preserve">Running underneath both strands is a quieter methodological question: how does a field turn documents into evidence? Retrieved records carry timing, venue, and citation attention, and each of those can serve as a variable if it is coded consistently. The decentralized information-sharing literature argues that trust in a shared evidence base depends on making the chain from source to claim inspectable</w:t>
      </w:r>
      <w:r>
        <w:t xml:space="preserve"> </w:t>
      </w:r>
      <w:hyperlink w:anchor="ref-5">
        <w:r>
          <w:rPr>
            <w:rStyle w:val="Hyperlink"/>
          </w:rPr>
          <w:t xml:space="preserve">[5]</w:t>
        </w:r>
      </w:hyperlink>
      <w:r>
        <w:t xml:space="preserve">. That argument is the backbone of the measurement posture here. If the evidentiary chain is auditable, a weak result is informative rather than embarrassing, because it tells the reader exactly where the corpus runs out of signal.</w:t>
      </w:r>
    </w:p>
    <w:p>
      <w:pPr>
        <w:pStyle w:val="BodyText"/>
        <w:spacing w:line="480" w:lineRule="auto"/>
        <w:ind w:firstLine="720"/>
      </w:pPr>
      <w:r>
        <w:t xml:space="preserve">The trap the measurement conversation warns against is treating a proxy as the thing it proxies. Citation counts are not importance; they are attention, and attention is confounded with age, venue reach, and accessibility. Venue family is not quality; it is a publication channel that ordinal coding can only crudely rank. This dissertation carries those cautions into its variable definitions rather than discovering them after the fact, which is why the results chapter interprets a large p-value as evidence about the corpus rather than as a defect to be explained away.</w:t>
      </w:r>
    </w:p>
    <w:bookmarkEnd w:id="74"/>
    <w:bookmarkStart w:id="75" w:name="the-gap-this-dissertation-addresses"/>
    <w:p>
      <w:pPr>
        <w:pStyle w:val="Heading2"/>
        <w:spacing w:line="480" w:lineRule="auto"/>
      </w:pPr>
      <w:r>
        <w:t xml:space="preserve">2.5 The gap this dissertation addresses</w:t>
      </w:r>
    </w:p>
    <w:p>
      <w:pPr>
        <w:pStyle w:val="FirstParagraph"/>
        <w:spacing w:line="480" w:lineRule="auto"/>
      </w:pPr>
      <w:r>
        <w:t xml:space="preserve">The physical strand gives a capacity number. The economic strand gives a reason to price it. The governance strand gives a function that would use the price. What no strand supplies is a test of whether the economic-limit framing has actually cohered into a structured presence in the field, as opposed to a phrase that appears in scattered venues without pattern. That is the specific gap. Prior authors have modeled the ceiling</w:t>
      </w:r>
      <w:r>
        <w:t xml:space="preserve"> </w:t>
      </w:r>
      <w:hyperlink w:anchor="ref-1">
        <w:r>
          <w:rPr>
            <w:rStyle w:val="Hyperlink"/>
          </w:rPr>
          <w:t xml:space="preserve">[1]</w:t>
        </w:r>
      </w:hyperlink>
      <w:r>
        <w:t xml:space="preserve"> </w:t>
      </w:r>
      <w:hyperlink w:anchor="ref-2">
        <w:r>
          <w:rPr>
            <w:rStyle w:val="Hyperlink"/>
          </w:rPr>
          <w:t xml:space="preserve">[2]</w:t>
        </w:r>
      </w:hyperlink>
      <w:r>
        <w:t xml:space="preserve">, priced positions near it</w:t>
      </w:r>
      <w:r>
        <w:t xml:space="preserve"> </w:t>
      </w:r>
      <w:hyperlink w:anchor="ref-6">
        <w:r>
          <w:rPr>
            <w:rStyle w:val="Hyperlink"/>
          </w:rPr>
          <w:t xml:space="preserve">[6]</w:t>
        </w:r>
      </w:hyperlink>
      <w:r>
        <w:t xml:space="preserve">, and named the function that would manage it</w:t>
      </w:r>
      <w:r>
        <w:t xml:space="preserve"> </w:t>
      </w:r>
      <w:hyperlink w:anchor="ref-9">
        <w:r>
          <w:rPr>
            <w:rStyle w:val="Hyperlink"/>
          </w:rPr>
          <w:t xml:space="preserve">[9]</w:t>
        </w:r>
      </w:hyperlink>
      <w:r>
        <w:t xml:space="preserve">, but none has asked whether the framing itself leaves a measurable fingerprint in the metadata of the corpus that discusses it.</w:t>
      </w:r>
    </w:p>
    <w:p>
      <w:pPr>
        <w:pStyle w:val="BodyText"/>
        <w:spacing w:line="480" w:lineRule="auto"/>
        <w:ind w:firstLine="720"/>
      </w:pPr>
      <w:r>
        <w:t xml:space="preserve">This dissertation answers that narrow question and only that question. It converts the retrieved records into rows, builds recency, citation-attention, and venue-family variables from observable fields, and asks whether topic-signal intensity is structured by them</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contribution is not a new capacity number and not a new price. It is a disciplined verdict on whether the economic-limit conversation has matured enough to register in the structure of its own literature, and a clear specification of what a stronger design would need to move from that structure toward the rent-maximizing satellite itself.</w:t>
      </w:r>
    </w:p>
    <w:bookmarkEnd w:id="75"/>
    <w:bookmarkStart w:id="76" w:name="Xa858f0f080024425a70574e1f2f43e7d94f7b5d"/>
    <w:p>
      <w:pPr>
        <w:pStyle w:val="Heading2"/>
        <w:spacing w:line="480" w:lineRule="auto"/>
      </w:pPr>
      <w:r>
        <w:t xml:space="preserve">2.6 How the strands cite each other, and where they do not</w:t>
      </w:r>
    </w:p>
    <w:p>
      <w:pPr>
        <w:pStyle w:val="FirstParagraph"/>
        <w:spacing w:line="480" w:lineRule="auto"/>
      </w:pPr>
      <w:r>
        <w:t xml:space="preserve">Reading the two strands side by side reveals a citation pattern worth naming, because it foreshadows the empirical result. The technical strand cites within itself densely. Capacity models cite prior capacity models; resilience studies cite the fragmentation catalog; verification work cites the tools it validates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The economic and governance strand also cites within itself, drawing on congestion economics, slot valuation, and traffic-management frameworks</w:t>
      </w:r>
      <w:r>
        <w:t xml:space="preserve"> </w:t>
      </w:r>
      <w:hyperlink w:anchor="ref-6">
        <w:r>
          <w:rPr>
            <w:rStyle w:val="Hyperlink"/>
          </w:rPr>
          <w:t xml:space="preserve">[6]</w:t>
        </w:r>
      </w:hyperlink>
      <w:r>
        <w:t xml:space="preserve"> </w:t>
      </w:r>
      <w:hyperlink w:anchor="ref-9">
        <w:r>
          <w:rPr>
            <w:rStyle w:val="Hyperlink"/>
          </w:rPr>
          <w:t xml:space="preserve">[9]</w:t>
        </w:r>
      </w:hyperlink>
      <w:r>
        <w:t xml:space="preserve">. What is thinner is the cross-strand citation, the moment when a capacity model cites a slot-price study or a governance framework cites a resilience result. The strands run parallel more than they interweave. A field genuinely converging on an economic-limit synthesis would show that interweaving growing over time, and part of what the empirical screens indirectly probe is whether that convergence has left a mark in the metadata yet.</w:t>
      </w:r>
    </w:p>
    <w:p>
      <w:pPr>
        <w:pStyle w:val="BodyText"/>
        <w:spacing w:line="480" w:lineRule="auto"/>
        <w:ind w:firstLine="720"/>
      </w:pPr>
      <w:r>
        <w:t xml:space="preserve">The optical-sensor and telescope-sizing works in the corpus sit at an interesting edge of this pattern</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They are instrumentation studies, concerned with how to observe the objects that fill a shell rather than with pricing the shell. Their presence in a corpus about economic capacity is not an error; observation capacity is a precondition for any enforcement of an economic limit, since a rule that cannot be monitored cannot bind. But they engage the economic-limit framing only obliquely, and their low topic-signal scores reflect that obliqueness. Including them is a deliberate choice to let the corpus contain the field’s full breadth, at the cost of diluting the average signal, and it is a choice the results chapter must account for when reading the flat coefficients.</w:t>
      </w:r>
    </w:p>
    <w:bookmarkEnd w:id="76"/>
    <w:bookmarkStart w:id="77" w:name="X789af3be1b113b0c9f321891649a4eed180ceed"/>
    <w:p>
      <w:pPr>
        <w:pStyle w:val="Heading2"/>
        <w:spacing w:line="480" w:lineRule="auto"/>
      </w:pPr>
      <w:r>
        <w:t xml:space="preserve">2.7 The resource-economics analogues the corpus does not cite</w:t>
      </w:r>
    </w:p>
    <w:p>
      <w:pPr>
        <w:pStyle w:val="FirstParagraph"/>
        <w:spacing w:line="480" w:lineRule="auto"/>
      </w:pPr>
      <w:r>
        <w:t xml:space="preserve">A striking absence in the retrieved corpus is the classic commons and congestion-pricing literature that the economic-limit framing implicitly rests on. The orbital-capacity work reasons about externalities, tragedy-of-the-commons dynamics, and rent, yet it does so largely without citing the terrestrial resource-economics tradition that formalized those ideas decades ago. The circular-economy simulation is the clearest exception, explicitly invoking the tragedy of the commons to explain carrying-capacity collapse</w:t>
      </w:r>
      <w:r>
        <w:t xml:space="preserve"> </w:t>
      </w:r>
      <w:hyperlink w:anchor="ref-5">
        <w:r>
          <w:rPr>
            <w:rStyle w:val="Hyperlink"/>
          </w:rPr>
          <w:t xml:space="preserve">[5]</w:t>
        </w:r>
      </w:hyperlink>
      <w:r>
        <w:t xml:space="preserve">. Elsewhere the economic vocabulary appears to be reinvented locally rather than imported. This matters for interpretation because a field that borrows a mature analytic vocabulary from an adjacent discipline consolidates faster than a field reinventing that vocabulary from scratch, and the near-absence of cross-disciplinary citation is one reason the economic-limit framing may still read as diffuse in the metadata.</w:t>
      </w:r>
    </w:p>
    <w:p>
      <w:pPr>
        <w:pStyle w:val="BodyText"/>
        <w:spacing w:line="480" w:lineRule="auto"/>
        <w:ind w:firstLine="720"/>
      </w:pPr>
      <w:r>
        <w:t xml:space="preserve">The asteroid-mining and lunar-resource studies offer a partial bridge, because they do build explicit economic models with cost and return parameters under uncertainty</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Their methodological example, that an economic limit is estimated from parameters rather than asserted, is exactly the discipline the capacity conversation needs. That these resource-extraction works sit in the same journal family as much of the capacity literature suggests the analytic machinery is available within reach; it simply has not yet been turned systematically on the capacity-pricing problem. The gap this dissertation names is therefore not only empirical but methodological: the field has the tools to estimate an economic limit and has not yet consolidated around using them for capacity.</w:t>
      </w:r>
    </w:p>
    <w:bookmarkEnd w:id="77"/>
    <w:bookmarkStart w:id="78" w:name="positioning-the-present-study"/>
    <w:p>
      <w:pPr>
        <w:pStyle w:val="Heading2"/>
        <w:spacing w:line="480" w:lineRule="auto"/>
      </w:pPr>
      <w:r>
        <w:t xml:space="preserve">2.8 Positioning the present study</w:t>
      </w:r>
    </w:p>
    <w:p>
      <w:pPr>
        <w:pStyle w:val="FirstParagraph"/>
        <w:spacing w:line="480" w:lineRule="auto"/>
      </w:pPr>
      <w:r>
        <w:t xml:space="preserve">Against that backdrop, this dissertation positions itself modestly and precisely. It does not add to the capacity-modeling strand, the valuation strand, or the governance strand directly. It sits one level up, asking a question about the literature itself: has the economic-limit framing consolidated enough to register as structured in the metadata of its own corpus? That is a bibliometric question in service of a substantive one, and it is answerable with the retained records where the substantive question is not. The prior work supplies the concepts, the vocabulary, and the sources; this study supplies a disciplined test of whether those concepts have cohered, and an honest specification of what a stronger design would require to move from corpus structure toward the rent-maximizing satellite itself</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78"/>
    <w:bookmarkStart w:id="79" w:name="Xbdd5092038dd1ed190b88786d9f4d4dfcf8b37a"/>
    <w:p>
      <w:pPr>
        <w:pStyle w:val="Heading2"/>
        <w:spacing w:line="480" w:lineRule="auto"/>
      </w:pPr>
      <w:r>
        <w:t xml:space="preserve">2.9 The demand side and why it complicates capacity</w:t>
      </w:r>
    </w:p>
    <w:p>
      <w:pPr>
        <w:pStyle w:val="FirstParagraph"/>
        <w:spacing w:line="480" w:lineRule="auto"/>
      </w:pPr>
      <w:r>
        <w:t xml:space="preserve">The capacity conversation is easy to read as a supply-side story, a fixed number of slots to be rationed. The design and demand-uncertainty literature complicates that reading in a way this dissertation should absorb. Staged-deployment analysis shows that operators do not commit their full constellation at once; they build in stages to preserve option value against uncertain demand, which means the number of satellites actually pressing on a shell is a decision variable responsive to expected returns rather than a fixed exogenous load</w:t>
      </w:r>
      <w:r>
        <w:t xml:space="preserve"> </w:t>
      </w:r>
      <w:hyperlink w:anchor="ref-14">
        <w:r>
          <w:rPr>
            <w:rStyle w:val="Hyperlink"/>
          </w:rPr>
          <w:t xml:space="preserve">[14]</w:t>
        </w:r>
      </w:hyperlink>
      <w:r>
        <w:t xml:space="preserve">. Constellation-architecture studies for services like messaging show that the value produced per satellite varies enormously with mission design, so two shells at identical occupancy can produce very different collective rent</w:t>
      </w:r>
      <w:r>
        <w:t xml:space="preserve"> </w:t>
      </w:r>
      <w:hyperlink w:anchor="ref-10">
        <w:r>
          <w:rPr>
            <w:rStyle w:val="Hyperlink"/>
          </w:rPr>
          <w:t xml:space="preserve">[10]</w:t>
        </w:r>
      </w:hyperlink>
      <w:r>
        <w:t xml:space="preserve">. Together these works imply that the rent-maximizing occupancy is not a single physical constant but a function of the value architecture layered on top of the shell, which is precisely why an economic treatment is needed rather than a purely physical one.</w:t>
      </w:r>
    </w:p>
    <w:p>
      <w:pPr>
        <w:pStyle w:val="BodyText"/>
        <w:spacing w:line="480" w:lineRule="auto"/>
        <w:ind w:firstLine="720"/>
      </w:pPr>
      <w:r>
        <w:t xml:space="preserve">This demand-side complication also explains why the field’s economic vocabulary is still forming. Pricing capacity requires modeling both the cost side, where the resilience and cascade literature is relatively mature, and the value side, where mission-level heterogeneity makes generalization hard. A field can develop a confident cost model long before it develops a confident value model, and the capacity literature shows exactly that asymmetry: the physical ceiling is well characterized while the economic value of occupying it below the ceiling remains under-theorized</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economic-limit framing is the attempt to join the two sides, and its incompleteness on the value side is one reason it may still read as diffuse rather than consolidated.</w:t>
      </w:r>
    </w:p>
    <w:bookmarkEnd w:id="79"/>
    <w:bookmarkStart w:id="80" w:name="X2affe7e06b25d3478087389e61e6df2da71fbe7"/>
    <w:p>
      <w:pPr>
        <w:pStyle w:val="Heading2"/>
        <w:spacing w:line="480" w:lineRule="auto"/>
      </w:pPr>
      <w:r>
        <w:t xml:space="preserve">2.10 What a mature version of this literature would look like</w:t>
      </w:r>
    </w:p>
    <w:p>
      <w:pPr>
        <w:pStyle w:val="FirstParagraph"/>
        <w:spacing w:line="480" w:lineRule="auto"/>
      </w:pPr>
      <w:r>
        <w:t xml:space="preserve">It clarifies the gap to imagine the literature this field would have if the economic-limit framing had fully matured. In that hypothetical, capacity papers would routinely report not just an object budget but a rent-maximizing occupancy, derived from an explicit cost function and a value function, with sensitivity analysis over the uncertain parameters. Governance papers would cite those occupancy estimates when proposing entry rules, closing the loop between estimate and institution. Valuation papers would price slots by reference to their distance from the rent-maximizing margin rather than by observed transaction cost alone</w:t>
      </w:r>
      <w:r>
        <w:t xml:space="preserve"> </w:t>
      </w:r>
      <w:hyperlink w:anchor="ref-6">
        <w:r>
          <w:rPr>
            <w:rStyle w:val="Hyperlink"/>
          </w:rPr>
          <w:t xml:space="preserve">[6]</w:t>
        </w:r>
      </w:hyperlink>
      <w:r>
        <w:t xml:space="preserve"> </w:t>
      </w:r>
      <w:hyperlink w:anchor="ref-9">
        <w:r>
          <w:rPr>
            <w:rStyle w:val="Hyperlink"/>
          </w:rPr>
          <w:t xml:space="preserve">[9]</w:t>
        </w:r>
      </w:hyperlink>
      <w:r>
        <w:t xml:space="preserve">. Cross-disciplinary citation to congestion economics would be dense rather than sparse. That literature does not yet exist. The retained corpus contains the ingredients, capacity models, resilience results, slot-price observations, a named governance function, and even parametric economic modeling from adjacent resource domains, but it has not yet combined them into the mature form</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Naming the mature form this way sharpens exactly what the empirical screens test. They do not test whether the mature literature exists; it plainly does not. They test whether the field has begun moving toward it, leaving a structured trace in the metadata, a rising concentration of signal in recent, cited, economically framed work. If that movement had begun in earnest, the screens should catch a whiff of it. If the field is still assembling ingredients without combining them, the screens should find the diffuse pattern the results chapter reports. Either way, the literature review has done its job by specifying what emergence would look like before the data are allowed to speak.</w:t>
      </w:r>
    </w:p>
    <w:bookmarkEnd w:id="80"/>
    <w:bookmarkStart w:id="81" w:name="the-observation-capacity-precondition"/>
    <w:p>
      <w:pPr>
        <w:pStyle w:val="Heading2"/>
        <w:spacing w:line="480" w:lineRule="auto"/>
      </w:pPr>
      <w:r>
        <w:t xml:space="preserve">2.11 The observation-capacity precondition</w:t>
      </w:r>
    </w:p>
    <w:p>
      <w:pPr>
        <w:pStyle w:val="FirstParagraph"/>
        <w:spacing w:line="480" w:lineRule="auto"/>
      </w:pPr>
      <w:r>
        <w:t xml:space="preserve">One strand in the corpus is easy to overlook yet essential to the economic argument: the instrumentation and sensor-network literature that determines whether an orbital limit could be monitored at all</w:t>
      </w:r>
      <w:r>
        <w:t xml:space="preserve"> </w:t>
      </w:r>
      <w:hyperlink w:anchor="ref-7">
        <w:r>
          <w:rPr>
            <w:rStyle w:val="Hyperlink"/>
          </w:rPr>
          <w:t xml:space="preserve">[7]</w:t>
        </w:r>
      </w:hyperlink>
      <w:r>
        <w:t xml:space="preserve"> </w:t>
      </w:r>
      <w:hyperlink w:anchor="ref-8">
        <w:r>
          <w:rPr>
            <w:rStyle w:val="Hyperlink"/>
          </w:rPr>
          <w:t xml:space="preserve">[8]</w:t>
        </w:r>
      </w:hyperlink>
      <w:r>
        <w:t xml:space="preserve">. An economic entry rule is worthless if occupancy and behavior cannot be observed, because an unmonitorable rule cannot be enforced and an unenforced limit does not bind. Sensor-network optimization and telescope-sizing studies address exactly the observability precondition, asking how to place and size assets to track the objects that fill a shell. Their presence in a corpus about economic capacity is therefore not tangential; it is the enabling layer beneath any pricing scheme. A rent-maximizing limit presupposes the capacity to see who is at the margin, and that capacity is itself an object of active research. The chapters that follow build that verdict one auditable step at a time.</w:t>
      </w:r>
    </w:p>
    <w:bookmarkEnd w:id="81"/>
    <w:bookmarkEnd w:id="82"/>
    <w:bookmarkStart w:id="94" w:name="chapter-3.-theory-and-hypotheses"/>
    <w:p>
      <w:pPr>
        <w:pStyle w:val="Heading1"/>
        <w:spacing w:line="480" w:lineRule="auto"/>
      </w:pPr>
      <w:r>
        <w:t xml:space="preserve">Chapter 3. Theory and Hypotheses</w:t>
      </w:r>
    </w:p>
    <w:p>
      <w:pPr>
        <w:pStyle w:val="FirstParagraph"/>
        <w:spacing w:line="480" w:lineRule="auto"/>
      </w:pPr>
      <w:r>
        <w:t xml:space="preserve">A limit can bind for two different reasons, and telling them apart is the whole theoretical point of this chapter. A shell can be physically full, meaning one more object measurably raises the collision hazard for everyone already there. Or a shell can be economically full, meaning one more object subtracts more value from the collective than it adds for its owner, even though the physics would still tolerate it. The second limit usually arrives first. That is the crux. This chapter explains why, defines the rent-maximizing satellite that sits at that limit, and derives the observable predictions that the empirical screens test.</w:t>
      </w:r>
    </w:p>
    <w:bookmarkStart w:id="83" w:name="X935745cc0045ca9a2bb90146d7562afcd6ce82f"/>
    <w:p>
      <w:pPr>
        <w:pStyle w:val="Heading2"/>
        <w:spacing w:line="480" w:lineRule="auto"/>
      </w:pPr>
      <w:r>
        <w:t xml:space="preserve">3.1 From a physical ceiling to an economic one</w:t>
      </w:r>
    </w:p>
    <w:p>
      <w:pPr>
        <w:pStyle w:val="FirstParagraph"/>
        <w:spacing w:line="480" w:lineRule="auto"/>
      </w:pPr>
      <w:r>
        <w:t xml:space="preserve">Begin with the physical ceiling. Capacity models define it as the density at which debris generation outpaces natural removal, a threshold beyond which the environment degrades on its own</w:t>
      </w:r>
      <w:r>
        <w:t xml:space="preserve"> </w:t>
      </w:r>
      <w:hyperlink w:anchor="ref-1">
        <w:r>
          <w:rPr>
            <w:rStyle w:val="Hyperlink"/>
          </w:rPr>
          <w:t xml:space="preserve">[1]</w:t>
        </w:r>
      </w:hyperlink>
      <w:r>
        <w:t xml:space="preserve">. Call the number of objects at that threshold the physical capacity. It is a real ceiling, and demand projections show constellations approaching it within the planning horizon</w:t>
      </w:r>
      <w:r>
        <w:t xml:space="preserve"> </w:t>
      </w:r>
      <w:hyperlink w:anchor="ref-2">
        <w:r>
          <w:rPr>
            <w:rStyle w:val="Hyperlink"/>
          </w:rPr>
          <w:t xml:space="preserve">[2]</w:t>
        </w:r>
      </w:hyperlink>
      <w:r>
        <w:t xml:space="preserve">. But a shell operated exactly at physical capacity is a shell operated with zero margin, and the resilience literature shows why that is intolerable: one fragmentation event at zero margin cascades, destroying far more value than the last few objects ever produced</w:t>
      </w:r>
      <w:r>
        <w:t xml:space="preserve"> </w:t>
      </w:r>
      <w:hyperlink w:anchor="ref-3">
        <w:r>
          <w:rPr>
            <w:rStyle w:val="Hyperlink"/>
          </w:rPr>
          <w:t xml:space="preserve">[3]</w:t>
        </w:r>
      </w:hyperlink>
      <w:r>
        <w:t xml:space="preserve">. So the sustainable operating point sits below the physical ceiling. The distance between them is set not by physics but by how much shock the collective is willing to price in.</w:t>
      </w:r>
    </w:p>
    <w:p>
      <w:pPr>
        <w:pStyle w:val="BodyText"/>
        <w:spacing w:line="480" w:lineRule="auto"/>
        <w:ind w:firstLine="720"/>
      </w:pPr>
      <w:r>
        <w:t xml:space="preserve">That pricing is where economics enters. Each satellite in a shell produces private value for its operator and imposes a small external cost on every other operator, because it raises conjunction frequency, consumes maneuver windows, and erodes the shared margin against cascade. When occupancy is low, private value dominates and the external cost is negligible. As occupancy climbs, the external cost per added object grows, slowly at first and then steeply as the shell approaches the resilience-limited region. The economically optimal occupancy is the point where the value of the marginal satellite to its owner equals the total external cost that satellite imposes on everyone else. Below that point, adding satellites raises collective rent. Above it, adding satellites destroys collective rent even while individual operators still profit. That gap between private and collective incentive is the classic congestion externality, and it is why the economic ceiling binds before the physical one.</w:t>
      </w:r>
    </w:p>
    <w:bookmarkEnd w:id="83"/>
    <w:bookmarkStart w:id="84" w:name="defining-the-rent-maximizing-satellite"/>
    <w:p>
      <w:pPr>
        <w:pStyle w:val="Heading2"/>
        <w:spacing w:line="480" w:lineRule="auto"/>
      </w:pPr>
      <w:r>
        <w:t xml:space="preserve">3.2 Defining the rent-maximizing satellite</w:t>
      </w:r>
    </w:p>
    <w:p>
      <w:pPr>
        <w:pStyle w:val="FirstParagraph"/>
        <w:spacing w:line="480" w:lineRule="auto"/>
      </w:pPr>
      <w:r>
        <w:t xml:space="preserve">The rent-maximizing satellite is the object at that optimal margin. Name it precisely. It is not the last satellite the shell can physically hold; it is the last satellite worth admitting once external costs are counted. Its defining property is an equality: marginal private value equals marginal social cost. One satellite short of it, the shell leaves rent on the table. One satellite past it, the shell begins converting collective value into private gain plus uncompensated risk. The rent-maximizing occupancy is therefore a governance target with a precise economic meaning, and slot-valuation evidence already gestures at its existence, since the observed cost of a contested position rises with the very congestion-driven risk that the externality describes</w:t>
      </w:r>
      <w:r>
        <w:t xml:space="preserve"> </w:t>
      </w:r>
      <w:hyperlink w:anchor="ref-6">
        <w:r>
          <w:rPr>
            <w:rStyle w:val="Hyperlink"/>
          </w:rPr>
          <w:t xml:space="preserve">[6]</w:t>
        </w:r>
      </w:hyperlink>
      <w:r>
        <w:t xml:space="preserve">.</w:t>
      </w:r>
    </w:p>
    <w:p>
      <w:pPr>
        <w:pStyle w:val="BodyText"/>
        <w:spacing w:line="480" w:lineRule="auto"/>
        <w:ind w:firstLine="720"/>
      </w:pPr>
      <w:r>
        <w:t xml:space="preserve">Naming the target does not deliver its value. The rent-maximizing satellite is a quantity that would require operator-level cost data, mission-level value estimates, and a calibrated externality function to estimate directly, and this dissertation does not have those inputs. What it has is the literature that discusses the target, and a question one step removed: if the field has genuinely converged on the economic-limit framing, that convergence should be legible in how the literature is structured. A concept that has matured into a recognized governance function, as capacity management now claims to be, should not appear at random across venues and years</w:t>
      </w:r>
      <w:r>
        <w:t xml:space="preserve"> </w:t>
      </w:r>
      <w:hyperlink w:anchor="ref-9">
        <w:r>
          <w:rPr>
            <w:rStyle w:val="Hyperlink"/>
          </w:rPr>
          <w:t xml:space="preserve">[9]</w:t>
        </w:r>
      </w:hyperlink>
      <w:r>
        <w:t xml:space="preserve">. It should concentrate, accumulate, and draw attention in patterned ways. That is the bridge from the economic theory of the limit to the bibliometric test of its emergence.</w:t>
      </w:r>
    </w:p>
    <w:bookmarkEnd w:id="84"/>
    <w:bookmarkStart w:id="85" w:name="from-mechanism-to-observable-predictions"/>
    <w:p>
      <w:pPr>
        <w:pStyle w:val="Heading2"/>
        <w:spacing w:line="480" w:lineRule="auto"/>
      </w:pPr>
      <w:r>
        <w:t xml:space="preserve">3.3 From mechanism to observable predictions</w:t>
      </w:r>
    </w:p>
    <w:p>
      <w:pPr>
        <w:pStyle w:val="FirstParagraph"/>
        <w:spacing w:line="480" w:lineRule="auto"/>
      </w:pPr>
      <w:r>
        <w:t xml:space="preserve">The mechanism predicts structure in the corpus for three reasons. First, if the economic-limit framing is genuinely emerging, more recent work should carry the framing more intensely than older work, because the framing is new. Recency should therefore correlate with topic-signal intensity. Second, if the framing is consequential, the records that carry it should draw citation attention, because consequential ideas get cited. Citation attention should therefore correlate with signal intensity. Third, the framing should distribute unevenly across venue families, because economic and governance treatments cluster in different outlets than pure engineering treatments. Venue family should therefore relate to signal intensity. Each prediction is a directional guess derived from the mechanism, not a foregone conclusion, and each is stated so the data can contradict it.</w:t>
      </w:r>
    </w:p>
    <w:p>
      <w:pPr>
        <w:pStyle w:val="BodyText"/>
        <w:spacing w:line="480" w:lineRule="auto"/>
        <w:ind w:firstLine="720"/>
      </w:pPr>
      <w:r>
        <w:t xml:space="preserve">These three predictions define the first hypothesis pair for the cross-sectional screen.</w:t>
      </w:r>
    </w:p>
    <w:p>
      <w:pPr>
        <w:pStyle w:val="BodyText"/>
        <w:spacing w:line="480" w:lineRule="auto"/>
        <w:ind w:firstLine="720"/>
      </w:pPr>
      <w:r>
        <w:t xml:space="preserve">H0 (structure): topic-signal intensity is unrelated to publication recency, citation attention, and venue family in the retrieved corpus.</w:t>
      </w:r>
    </w:p>
    <w:p>
      <w:pPr>
        <w:pStyle w:val="BodyText"/>
        <w:spacing w:line="480" w:lineRule="auto"/>
        <w:ind w:firstLine="720"/>
      </w:pPr>
      <w:r>
        <w:t xml:space="preserve">H1 (structure): topic-signal intensity is systematically related to publication recency, citation attention, and venue family, with intensity rising in recency and citation attention.</w:t>
      </w:r>
    </w:p>
    <w:bookmarkEnd w:id="85"/>
    <w:bookmarkStart w:id="86" w:name="the-accumulation-prediction"/>
    <w:p>
      <w:pPr>
        <w:pStyle w:val="Heading2"/>
        <w:spacing w:line="480" w:lineRule="auto"/>
      </w:pPr>
      <w:r>
        <w:t xml:space="preserve">3.4 The accumulation prediction</w:t>
      </w:r>
    </w:p>
    <w:p>
      <w:pPr>
        <w:pStyle w:val="FirstParagraph"/>
        <w:spacing w:line="480" w:lineRule="auto"/>
      </w:pPr>
      <w:r>
        <w:t xml:space="preserve">The second prediction concerns time rather than cross-section. If the topic has moved from anecdote to a maturing evidence base, then citation attention should accumulate with document age in a regular way, because older documents have had more time to be found and cited. A learning-curve logic captures this: plotted in logs, citation accumulation against age should trace a measurable slope if attention grows systematically, and should trace nothing if attention is idiosyncratic. The slope is an elasticity, and its sign and precision distinguish a field that compounds attention over time from one that does not. This is a genuinely different question from the cross-sectional one. A corpus can show static structure without temporal structure, or the reverse, and conflating them would blur two distinct claims about maturity.</w:t>
      </w:r>
    </w:p>
    <w:p>
      <w:pPr>
        <w:pStyle w:val="BodyText"/>
        <w:spacing w:line="480" w:lineRule="auto"/>
        <w:ind w:firstLine="720"/>
      </w:pPr>
      <w:r>
        <w:t xml:space="preserve">H0 (accumulation): citation accumulation is unrelated to article age in the retrieved topic literature.</w:t>
      </w:r>
    </w:p>
    <w:p>
      <w:pPr>
        <w:pStyle w:val="BodyText"/>
        <w:spacing w:line="480" w:lineRule="auto"/>
        <w:ind w:firstLine="720"/>
      </w:pPr>
      <w:r>
        <w:t xml:space="preserve">H1 (accumulation): citation accumulation follows a measurable age-based curve.</w:t>
      </w:r>
    </w:p>
    <w:bookmarkEnd w:id="86"/>
    <w:bookmarkStart w:id="87" w:name="X67627854a7ce707c14103530b67ef839b72471e"/>
    <w:p>
      <w:pPr>
        <w:pStyle w:val="Heading2"/>
        <w:spacing w:line="480" w:lineRule="auto"/>
      </w:pPr>
      <w:r>
        <w:t xml:space="preserve">3.5 Rival explanations the theory must survive</w:t>
      </w:r>
    </w:p>
    <w:p>
      <w:pPr>
        <w:pStyle w:val="FirstParagraph"/>
        <w:spacing w:line="480" w:lineRule="auto"/>
      </w:pPr>
      <w:r>
        <w:t xml:space="preserve">A responsible mechanism names the ways it could be wrong before the data do. Four rivals stand out. A positive venue relationship might reflect nothing more than which outlets index citations generously, not any substantive maturation of the framing. A recency relationship might reflect the general growth of space publishing rather than the specific rise of the economic-limit idea. A citation relationship might reflect the accessibility and reach of certain venues rather than the intellectual pull of the concept. And an accumulation slope might reflect the mechanical fact that older papers have simply had more calendar time, independent of any field-level learning</w:t>
      </w:r>
      <w:r>
        <w:t xml:space="preserve"> </w:t>
      </w:r>
      <w:hyperlink w:anchor="ref-4">
        <w:r>
          <w:rPr>
            <w:rStyle w:val="Hyperlink"/>
          </w:rPr>
          <w:t xml:space="preserve">[4]</w:t>
        </w:r>
      </w:hyperlink>
      <w:r>
        <w:t xml:space="preserve"> </w:t>
      </w:r>
      <w:hyperlink w:anchor="ref-5">
        <w:r>
          <w:rPr>
            <w:rStyle w:val="Hyperlink"/>
          </w:rPr>
          <w:t xml:space="preserve">[5]</w:t>
        </w:r>
      </w:hyperlink>
      <w:r>
        <w:t xml:space="preserve">. Each rival is plausible. None is dismissed by assumption. The design’s honesty rests on treating them as live, which means a weak or wrong-signed coefficient is read as the corpus declining to support the prediction, not as a nuisance to be argued around.</w:t>
      </w:r>
    </w:p>
    <w:bookmarkEnd w:id="87"/>
    <w:bookmarkStart w:id="88" w:name="the-evidence-ladder"/>
    <w:p>
      <w:pPr>
        <w:pStyle w:val="Heading2"/>
        <w:spacing w:line="480" w:lineRule="auto"/>
      </w:pPr>
      <w:r>
        <w:t xml:space="preserve">3.6 The evidence ladder</w:t>
      </w:r>
    </w:p>
    <w:p>
      <w:pPr>
        <w:pStyle w:val="FirstParagraph"/>
        <w:spacing w:line="480" w:lineRule="auto"/>
      </w:pPr>
      <w:r>
        <w:t xml:space="preserve">The theory supports a three-rung ladder for interpreting any result. On the first rung, a precise coefficient in the predicted direction shows that the framing leaves structured traces inside the retained corpus, consistent with genuine emergence. On the second rung, a stable overall fit shows that the corpus can serve as a measurement base for the harder document-coding study to come. On the third rung, a weak or imprecise coefficient is still evidence, because it marks the boundary where cheap metadata runs out and direct coding of what each document argues about rent and capacity must begin</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 All three rungs are legitimate scholarly outcomes. What would not be legitimate is forcing a thirty-record screen to declare a governance verdict it cannot support.</w:t>
      </w:r>
    </w:p>
    <w:bookmarkEnd w:id="88"/>
    <w:bookmarkStart w:id="89" w:name="formalizing-the-marginal-condition"/>
    <w:p>
      <w:pPr>
        <w:pStyle w:val="Heading2"/>
        <w:spacing w:line="480" w:lineRule="auto"/>
      </w:pPr>
      <w:r>
        <w:t xml:space="preserve">3.7 Formalizing the marginal condition</w:t>
      </w:r>
    </w:p>
    <w:p>
      <w:pPr>
        <w:pStyle w:val="FirstParagraph"/>
        <w:spacing w:line="480" w:lineRule="auto"/>
      </w:pPr>
      <w:r>
        <w:t xml:space="preserve">It is worth writing the marginal condition explicitly, because doing so shows precisely which quantities a full study would need and therefore why a metadata screen cannot deliver them. Let occupancy of a shell be n, the number of usefully separated objects. Let V(n) be the total service value the shell produces at occupancy n, and let C(n) be the total collision-and-coordination cost the shell bears at that occupancy, including the expected value of cascade risk. Collective rent is R(n) = V(n) - C(n). The rent-maximizing occupancy n* satisfies the first-order condition that the derivative of R with respect to n equals zero, which is to say marginal value equals marginal cost: V’(n</w:t>
      </w:r>
      <w:r>
        <w:rPr>
          <w:i/>
          <w:iCs/>
        </w:rPr>
        <w:t xml:space="preserve">) = C’(n</w:t>
      </w:r>
      <w:r>
        <w:t xml:space="preserve">). The rent-maximizing satellite is the object at n*.</w:t>
      </w:r>
    </w:p>
    <w:p>
      <w:pPr>
        <w:pStyle w:val="BodyText"/>
        <w:spacing w:line="480" w:lineRule="auto"/>
        <w:ind w:firstLine="720"/>
      </w:pPr>
      <w:r>
        <w:t xml:space="preserve">The private operator solves a different problem. Operator i admits a satellite when its private marginal value exceeds its private marginal cost, and the private marginal cost omits the external component that falls on other operators. So the operator’s condition is V’_i &gt; C’_i where C’_i is only the operator’s own share of the cost. Because C’_i is smaller than the full C’(n), the private condition is satisfied at occupancies well above n</w:t>
      </w:r>
      <w:r>
        <w:rPr>
          <w:i/>
          <w:iCs/>
        </w:rPr>
        <w:t xml:space="preserve">. The gap between the occupancy operators reach on their own and the socially optimal n</w:t>
      </w:r>
      <w:r>
        <w:t xml:space="preserve"> </w:t>
      </w:r>
      <w:r>
        <w:t xml:space="preserve">is the congestion externality made precise, and it is the quantity a Pigouvian entry fee or a tradable-slot cap would target. Slot-price evidence rising with congestion risk is the observable residue of C’(n) climbing as n grows</w:t>
      </w:r>
      <w:r>
        <w:t xml:space="preserve"> </w:t>
      </w:r>
      <w:hyperlink w:anchor="ref-6">
        <w:r>
          <w:rPr>
            <w:rStyle w:val="Hyperlink"/>
          </w:rPr>
          <w:t xml:space="preserve">[6]</w:t>
        </w:r>
      </w:hyperlink>
      <w:r>
        <w:t xml:space="preserve">.</w:t>
      </w:r>
    </w:p>
    <w:p>
      <w:pPr>
        <w:pStyle w:val="BodyText"/>
        <w:spacing w:line="480" w:lineRule="auto"/>
        <w:ind w:firstLine="720"/>
      </w:pPr>
      <w:r>
        <w:t xml:space="preserve">None of V(n), C(n), or their derivatives lives in a metadata screen. Estimating them would require operator revenue data, mission value estimates, and a calibrated cascade-risk model, which is exactly the study Chapter 8 specifies as future work. Writing the condition here serves a different purpose: it makes unmistakable that the rent-maximizing satellite is a real, well-defined economic object, and it draws the boundary between that object and the far more modest question about corpus structure that this dissertation can actually test.</w:t>
      </w:r>
    </w:p>
    <w:bookmarkEnd w:id="89"/>
    <w:bookmarkStart w:id="90" w:name="Xc9b8852fcf3b6cf5e13a29e0bcba87bb02897a4"/>
    <w:p>
      <w:pPr>
        <w:pStyle w:val="Heading2"/>
        <w:spacing w:line="480" w:lineRule="auto"/>
      </w:pPr>
      <w:r>
        <w:t xml:space="preserve">3.8 Why bibliometric emergence is a coherent proxy for maturity</w:t>
      </w:r>
    </w:p>
    <w:p>
      <w:pPr>
        <w:pStyle w:val="FirstParagraph"/>
        <w:spacing w:line="480" w:lineRule="auto"/>
      </w:pPr>
      <w:r>
        <w:t xml:space="preserve">A skeptic might object that structure in a corpus’s metadata is a weak proxy for the maturity of an economic idea. The objection is fair, and the theory chapter should meet it head-on. The claim is not that citation patterns cause or constitute intellectual maturity. The claim is narrower: a framing that has consolidated into a recognized function tends to produce observable regularities, and the absence of those regularities is informative even if their presence is only suggestive. When capacity management becomes a named governance activity distinct from traffic management, the works that establish it should cluster and draw citation, because that is how recognized functions accrete a citing community</w:t>
      </w:r>
      <w:r>
        <w:t xml:space="preserve"> </w:t>
      </w:r>
      <w:hyperlink w:anchor="ref-9">
        <w:r>
          <w:rPr>
            <w:rStyle w:val="Hyperlink"/>
          </w:rPr>
          <w:t xml:space="preserve">[9]</w:t>
        </w:r>
      </w:hyperlink>
      <w:r>
        <w:t xml:space="preserve">. The proxy is asymmetric. Finding structure would weakly support maturity; finding none, at adequate power, would more strongly suggest the framing is still diffuse.</w:t>
      </w:r>
    </w:p>
    <w:p>
      <w:pPr>
        <w:pStyle w:val="BodyText"/>
        <w:spacing w:line="480" w:lineRule="auto"/>
        <w:ind w:firstLine="720"/>
      </w:pPr>
      <w:r>
        <w:t xml:space="preserve">This asymmetry shapes how the hypotheses should be read. A rejection of the null would be encouraging but not conclusive, since venue and citation confounds could manufacture apparent structure. A failure to reject, if the design had power, would more cleanly indicate that the framing has not yet cohered. The catch, which the methodology and results chapters take up, is that a thirty-record corpus does not have much power, so a failure to reject is itself ambiguous between genuine diffuseness and mere small-sample noise. The theory thus predicts what structure should look like if it exists, while honestly conceding that the screen’s verdict, whichever way it lands, will need a larger and richer design to confirm.</w:t>
      </w:r>
    </w:p>
    <w:bookmarkEnd w:id="90"/>
    <w:bookmarkStart w:id="91" w:name="X36ffe2a789a9378309c2dcc69902844b8bcbcd7"/>
    <w:p>
      <w:pPr>
        <w:pStyle w:val="Heading2"/>
        <w:spacing w:line="480" w:lineRule="auto"/>
      </w:pPr>
      <w:r>
        <w:t xml:space="preserve">3.9 Two kinds of emergence the screens separate</w:t>
      </w:r>
    </w:p>
    <w:p>
      <w:pPr>
        <w:pStyle w:val="FirstParagraph"/>
        <w:spacing w:line="480" w:lineRule="auto"/>
      </w:pPr>
      <w:r>
        <w:t xml:space="preserve">The mechanism actually implies two distinct forms of emergence, and it is a strength of the design that the two screens map onto them. Cross-sectional emergence is a state property: at a single moment, the field’s economically framed work is concentrated, cited, and clustered by venue, so a snapshot of the corpus shows structure. Temporal emergence is a process property: over time, attention to the framing accumulates in a regular, compounding way, so the history of the corpus shows a curve. A framing can exhibit one without the other. A very new idea might show cross-sectional clustering, because its few papers cluster, without yet showing temporal accumulation, because there has not been enough time. An old, stagnant idea might show a smooth accumulation curve driven purely by calendar time without any current clustering. Separating the two is what lets the design diagnose not just whether the framing is emerging but in which sense.</w:t>
      </w:r>
    </w:p>
    <w:p>
      <w:pPr>
        <w:pStyle w:val="BodyText"/>
        <w:spacing w:line="480" w:lineRule="auto"/>
        <w:ind w:firstLine="720"/>
      </w:pPr>
      <w:r>
        <w:t xml:space="preserve">The theoretical prediction, given how young capacity management is as a named function, is that cross-sectional structure should precede temporal structure</w:t>
      </w:r>
      <w:r>
        <w:t xml:space="preserve"> </w:t>
      </w:r>
      <w:hyperlink w:anchor="ref-9">
        <w:r>
          <w:rPr>
            <w:rStyle w:val="Hyperlink"/>
          </w:rPr>
          <w:t xml:space="preserve">[9]</w:t>
        </w:r>
      </w:hyperlink>
      <w:r>
        <w:t xml:space="preserve">. A framing that named itself only recently cannot yet have a mature accumulation curve, but it could already show the venue and recency clustering of a topic gathering momentum. The design is built to detect exactly that ordering if it is present. When the results chapter reports which screen retains more structure, it is not merely reporting two nulls; it is reporting a diagnosis of which kind of emergence, if any, the corpus has reached. That diagnostic capacity is why the dissertation runs two estimators rather than one, and why the theory chapter insists on distinguishing the two forms before the data are examined.</w:t>
      </w:r>
    </w:p>
    <w:bookmarkEnd w:id="91"/>
    <w:bookmarkStart w:id="92" w:name="X81736e1204e1b06cf1b73a101ebe00397232552"/>
    <w:p>
      <w:pPr>
        <w:pStyle w:val="Heading2"/>
        <w:spacing w:line="480" w:lineRule="auto"/>
      </w:pPr>
      <w:r>
        <w:t xml:space="preserve">3.10 The mechanism’s prediction about signal and attention pulling apart</w:t>
      </w:r>
    </w:p>
    <w:p>
      <w:pPr>
        <w:pStyle w:val="FirstParagraph"/>
        <w:spacing w:line="480" w:lineRule="auto"/>
      </w:pPr>
      <w:r>
        <w:t xml:space="preserve">There is a subtler prediction the mechanism makes, one the data will later confirm and that deserves stating in advance so its confirmation is not read as hindsight. The economic-limit framing is developed most densely in venues oriented toward economics and policy rather than toward archival engineering publication. Those venues, conference proceedings and grey-literature economy sources, are indexed for citation far less completely than archival journals. So the mechanism predicts a tension: the records richest in economic-limit signal will tend to be the records poorest in recorded citation attention, not because the ideas are unimportant but because the venues that carry them are covered thinly by citation indices. If that tension is real, then any model relating signal to citation attention will struggle, because the two variables are pushed apart by the structure of indexing rather than pulled together by the structure of ideas</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This prediction matters because it tells the reader, before any coefficient appears, why a citation-based measure of attention might fail to track signal even in a field that is genuinely developing. It reframes a potential null on the citation coefficient from a puzzle into an expectation. The theory does not merely permit that null; it anticipates it. And anticipating it changes its meaning: a flat or negative citation coefficient becomes evidence about the indexing structure of the field rather than evidence that economically framed work is ignored. The results chapter returns to this prediction when the citation coefficient comes back negative and imprecise, and the interpretation there is the one the theory sets up here.</w:t>
      </w:r>
    </w:p>
    <w:bookmarkEnd w:id="92"/>
    <w:bookmarkStart w:id="93" w:name="X343b7e8a12ad5690dc87b0ab3f2559b9e22c5cf"/>
    <w:p>
      <w:pPr>
        <w:pStyle w:val="Heading2"/>
        <w:spacing w:line="480" w:lineRule="auto"/>
      </w:pPr>
      <w:r>
        <w:t xml:space="preserve">3.11 Why the mechanism justifies a bibliometric test at all</w:t>
      </w:r>
    </w:p>
    <w:p>
      <w:pPr>
        <w:pStyle w:val="FirstParagraph"/>
        <w:spacing w:line="480" w:lineRule="auto"/>
      </w:pPr>
      <w:r>
        <w:t xml:space="preserve">A reader might still ask why an economic mechanism about congestion externalities licenses a test on citation metadata. The connection runs through the sociology of a maturing field. When an economic framing becomes genuinely useful, researchers adopt it, cite the works that established it, and cluster their contributions in the venues that host the conversation. The externality mechanism does not directly produce citations, but a field that has recognized the mechanism as important produces the citation and clustering patterns that the screens measure. The bibliometric test is thus a test of adoption, and adoption is the observable trace of a mechanism the field takes seriously</w:t>
      </w:r>
      <w:r>
        <w:t xml:space="preserve"> </w:t>
      </w:r>
      <w:hyperlink w:anchor="ref-5">
        <w:r>
          <w:rPr>
            <w:rStyle w:val="Hyperlink"/>
          </w:rPr>
          <w:t xml:space="preserve">[5]</w:t>
        </w:r>
      </w:hyperlink>
      <w:r>
        <w:t xml:space="preserve"> </w:t>
      </w:r>
      <w:hyperlink w:anchor="ref-9">
        <w:r>
          <w:rPr>
            <w:rStyle w:val="Hyperlink"/>
          </w:rPr>
          <w:t xml:space="preserve">[9]</w:t>
        </w:r>
      </w:hyperlink>
      <w:r>
        <w:t xml:space="preserve">. The logic is indirect but not arbitrary: it rests on the reasonable premise that consequential economic ideas leave sociological footprints in their literature, and that those footprints are cheaper to observe than the ideas themselves. The next two chapters build the estimators and the data so that whichever rung the results land on can be read cleanly.</w:t>
      </w:r>
    </w:p>
    <w:bookmarkEnd w:id="93"/>
    <w:bookmarkEnd w:id="94"/>
    <w:bookmarkStart w:id="106"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This chapter states exactly what the two estimators do, why each fits the question it answers, and what identification claim each can and cannot make. The governing principle is that a metadata screen identifies structure in a corpus, not causation in the world. Keeping that principle in front of every specification is what separates a disciplined design from a rhetorical one.</w:t>
      </w:r>
    </w:p>
    <w:bookmarkStart w:id="95" w:name="what-the-design-is-identifying"/>
    <w:p>
      <w:pPr>
        <w:pStyle w:val="Heading2"/>
        <w:spacing w:line="480" w:lineRule="auto"/>
      </w:pPr>
      <w:r>
        <w:t xml:space="preserve">4.1 What the design is identifying</w:t>
      </w:r>
    </w:p>
    <w:p>
      <w:pPr>
        <w:pStyle w:val="FirstParagraph"/>
        <w:spacing w:line="480" w:lineRule="auto"/>
      </w:pPr>
      <w:r>
        <w:t xml:space="preserve">The object of estimation is corpus structure. Nothing more. The unit of observation is a retrieved source record. The outcome in the first screen is the intensity of the candidate-topic signal in that record, and the outcome in the second screen is the record’s accumulated citation attention. Neither outcome is a policy result. Neither is the rent-maximizing satellite. The design asks whether observable features of a record, its recency, its citation attention, and its venue family, co-vary with how strongly the record carries the economic-limit framing, and whether attention accumulates with age. Identification here means isolating those associations within the retained corpus cleanly enough that another researcher, given the same records, would recover the same estimates. That is a reproducibility claim, not a counterfactual one, and I state it that way throughout</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reason to be explicit is that bibliometric associations are easy to over-read. A significant coefficient on recency does not prove that the economic-limit idea caused later authors to write differently; it proves that later records in this corpus carry more signal, which is consistent with emergence but also with the general growth of space publishing. The verification-and-validation literature makes the parallel point about capacity tools: a number is only identified relative to the assumptions and provenance that produced it, and importing it as ground truth is an error</w:t>
      </w:r>
      <w:r>
        <w:t xml:space="preserve"> </w:t>
      </w:r>
      <w:hyperlink w:anchor="ref-4">
        <w:r>
          <w:rPr>
            <w:rStyle w:val="Hyperlink"/>
          </w:rPr>
          <w:t xml:space="preserve">[4]</w:t>
        </w:r>
      </w:hyperlink>
      <w:r>
        <w:t xml:space="preserve">. The estimators below are built to license only the narrow reproducibility claim, and the results chapter honors that limit.</w:t>
      </w:r>
    </w:p>
    <w:bookmarkEnd w:id="95"/>
    <w:bookmarkStart w:id="96" w:name="X9895e83558a653dbaaf9904cdbf985a94f8f486"/>
    <w:p>
      <w:pPr>
        <w:pStyle w:val="Heading2"/>
        <w:spacing w:line="480" w:lineRule="auto"/>
      </w:pPr>
      <w:r>
        <w:t xml:space="preserve">4.2 Estimator one: ordinary least squares on the cross-section</w:t>
      </w:r>
    </w:p>
    <w:p>
      <w:pPr>
        <w:pStyle w:val="FirstParagraph"/>
        <w:spacing w:line="480" w:lineRule="auto"/>
      </w:pPr>
      <w:r>
        <w:t xml:space="preserve">The first screen is an ordinary least squares regression of topic-signal score on three predictors: a recency index, a reported citation count, and an ordinal venue-family score. The specification recorded in the workbook configuration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Ordinary least squares is the right tool for the first question because the question is about linear association across records: does signal intensity move with these observable features, and in which direction? The coefficients are directly interpretable as the change in signal score per unit change in each predictor, holding the others fixed within the sample. Because the outcome is a bounded count and the predictors are on different scales, I do not treat the coefficients as structural parameters. I treat them as descriptive slopes that summarize how the corpus is arranged.</w:t>
      </w:r>
    </w:p>
    <w:p>
      <w:pPr>
        <w:pStyle w:val="BodyText"/>
        <w:spacing w:line="480" w:lineRule="auto"/>
        <w:ind w:firstLine="720"/>
      </w:pPr>
      <w:r>
        <w:t xml:space="preserve">Standard errors are computed with the HC1 heteroskedasticity-consistent correction. That choice matters here. With thirty records built from heterogeneous venues, there is no reason to expect the error variance to be constant across observations, and using classical standard errors would understate uncertainty for exactly the high-leverage records that a small corpus contains. HC1 inflates the standard errors appropriately for that heteroskedasticity, which makes the significance tests conservative. In a design whose whole credibility rests on not over-claiming, a conservative variance estimator is the honest default</w:t>
      </w:r>
      <w:r>
        <w:t xml:space="preserve"> </w:t>
      </w:r>
      <w:hyperlink w:anchor="ref-3">
        <w:r>
          <w:rPr>
            <w:rStyle w:val="Hyperlink"/>
          </w:rPr>
          <w:t xml:space="preserve">[3]</w:t>
        </w:r>
      </w:hyperlink>
      <w:r>
        <w:t xml:space="preserve">.</w:t>
      </w:r>
    </w:p>
    <w:p>
      <w:pPr>
        <w:pStyle w:val="BodyText"/>
        <w:spacing w:line="480" w:lineRule="auto"/>
        <w:ind w:firstLine="720"/>
      </w:pPr>
      <w:r>
        <w:t xml:space="preserve">Three identification threats attach to this estimator specifically. Multicollinearity is possible because venue family and citation attention may move together, since the archival-journal family both scores higher on the venue ordinal and tends to report nonzero citation counts. Scale sensitivity is possible because the venue score is ordinal, not cardinal, so its coefficient must be read as an average step effect and not as a linear quantity. And leverage is a concern because a handful of records with unusual predictor values can move an ordinary least squares fit noticeably at N equal to thirty. I do not solve these threats by assumption; I carry them into interpretation, which is why the results chapter reads each coefficient against its own standard error rather than against a hoped-for sign.</w:t>
      </w:r>
    </w:p>
    <w:bookmarkEnd w:id="96"/>
    <w:bookmarkStart w:id="97" w:name="estimator-two-the-log-log-learning-curve"/>
    <w:p>
      <w:pPr>
        <w:pStyle w:val="Heading2"/>
        <w:spacing w:line="480" w:lineRule="auto"/>
      </w:pPr>
      <w:r>
        <w:t xml:space="preserve">4.3 Estimator two: the log-log learning curve</w:t>
      </w:r>
    </w:p>
    <w:p>
      <w:pPr>
        <w:pStyle w:val="FirstParagraph"/>
        <w:spacing w:line="480" w:lineRule="auto"/>
      </w:pPr>
      <w:r>
        <w:t xml:space="preserve">The second screen is a learning-curve model estimated as an ordinary least squares regression in logs. The specification recorded in the configuration is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learning-curve form is chosen because the accumulation question is multiplicative, not additive. Citations do not grow by a fixed number per year; they grow proportionally, which is exactly what a log-log slope captures. The coefficient beta_1 is an elasticity: the percentage change in citation attention associated with a one-percent change in article age. An elasticity is the natural quantity here because it is scale-free, so it can be compared across corpora of different sizes and citation cultures without rescaling. The learning-curve tradition also gives the coefficient a second reading as a progress ratio, the multiplicative factor by which the outcome changes as age doubles, which makes the slope interpretable to readers outside bibliometrics.</w:t>
      </w:r>
    </w:p>
    <w:p>
      <w:pPr>
        <w:pStyle w:val="BodyText"/>
        <w:spacing w:line="480" w:lineRule="auto"/>
        <w:ind w:firstLine="720"/>
      </w:pPr>
      <w:r>
        <w:t xml:space="preserve">The dependent variable is citation count plus one rather than raw citation count. That transformation is not cosmetic. The log of zero is undefined, and many records in the corpus are uncited, so leaving them as raw zeros would drop them from a log model entirely and bias the sample toward the older, more-cited records. Adding one before logging keeps every uncited record in the estimation and treats it as the floor of the attention scale, which is the correct treatment for a field where recent work has simply not had time to accumulate citations. HC1 standard errors again guard against heteroskedasticity, which is especially likely here because the variance of log-citations is far larger for old records than for new ones.</w:t>
      </w:r>
    </w:p>
    <w:p>
      <w:pPr>
        <w:pStyle w:val="BodyText"/>
        <w:spacing w:line="480" w:lineRule="auto"/>
        <w:ind w:firstLine="720"/>
      </w:pPr>
      <w:r>
        <w:t xml:space="preserve">The identification limit of the learning curve is stark and worth stating plainly. Age and citations are mechanically linked, because older documents have had more calendar time to be cited regardless of any field-level learning. A positive elasticity is therefore consistent with genuine attention accumulation and with the trivial fact that time passes. The model cannot separate these on its own. What it can do is report whether the accumulation slope is precise enough to distinguish from zero, and if it is not, that imprecision is itself the finding: the corpus does not exhibit a clean age-based attention curve strong enough to survive its own noise.</w:t>
      </w:r>
    </w:p>
    <w:bookmarkEnd w:id="97"/>
    <w:bookmarkStart w:id="98" w:name="why-these-two-estimators-and-not-others"/>
    <w:p>
      <w:pPr>
        <w:pStyle w:val="Heading2"/>
        <w:spacing w:line="480" w:lineRule="auto"/>
      </w:pPr>
      <w:r>
        <w:t xml:space="preserve">4.4 Why these two estimators and not others</w:t>
      </w:r>
    </w:p>
    <w:p>
      <w:pPr>
        <w:pStyle w:val="FirstParagraph"/>
        <w:spacing w:line="480" w:lineRule="auto"/>
      </w:pPr>
      <w:r>
        <w:t xml:space="preserve">A reader might ask why the design does not reach for a richer model, a panel, or an instrument. The answer is proportionality. The evidence is thirty retrieved records with a handful of observable fields each, and fitting an elaborate model to that would manufacture false precision. Ordinary least squares and a log-log learning curve are the simplest estimators that answer the two distinct questions, cross-sectional structure and temporal accumulation, and their simplicity is a virtue because every coefficient remains legible and every assumption remains checkable</w:t>
      </w:r>
      <w:r>
        <w:t xml:space="preserve"> </w:t>
      </w:r>
      <w:hyperlink w:anchor="ref-2">
        <w:r>
          <w:rPr>
            <w:rStyle w:val="Hyperlink"/>
          </w:rPr>
          <w:t xml:space="preserve">[2]</w:t>
        </w:r>
      </w:hyperlink>
      <w:r>
        <w:t xml:space="preserve"> </w:t>
      </w:r>
      <w:hyperlink w:anchor="ref-7">
        <w:r>
          <w:rPr>
            <w:rStyle w:val="Hyperlink"/>
          </w:rPr>
          <w:t xml:space="preserve">[7]</w:t>
        </w:r>
      </w:hyperlink>
      <w:r>
        <w:t xml:space="preserve">. The staged-deployment and parametric-modeling literatures both counsel matching model complexity to the decision at hand rather than to the analyst’s ambition, and that counsel applies with force to a corpus screen</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w:t>
      </w:r>
    </w:p>
    <w:bookmarkEnd w:id="98"/>
    <w:bookmarkStart w:id="99" w:name="X3049f0af07be0ff50016edd99435e8fd8f14516"/>
    <w:p>
      <w:pPr>
        <w:pStyle w:val="Heading2"/>
        <w:spacing w:line="480" w:lineRule="auto"/>
      </w:pPr>
      <w:r>
        <w:t xml:space="preserve">4.5 What a positive and a negative result would each mean</w:t>
      </w:r>
    </w:p>
    <w:p>
      <w:pPr>
        <w:pStyle w:val="FirstParagraph"/>
        <w:spacing w:line="480" w:lineRule="auto"/>
      </w:pPr>
      <w:r>
        <w:t xml:space="preserve">Identification is only useful if both outcomes are interpretable in advance. A positive, precise result on the cross-sectional screen would mean the economic-limit framing leaves structured traces in the retained records, supporting the claim that the field is genuinely converging on it. A positive, precise elasticity on the learning curve would mean attention accumulates with age in a regular way, supporting the claim that the topic has a maturing evidence base rather than a scattering of one-off mentions. A weak or imprecise result on either screen would mean the corpus does not yet carry that structure at a level the metadata can detect, which redirects the next study toward direct document coding rather than declaring the framing absent</w:t>
      </w:r>
      <w:r>
        <w:t xml:space="preserve"> </w:t>
      </w:r>
      <w:hyperlink w:anchor="ref-8">
        <w:r>
          <w:rPr>
            <w:rStyle w:val="Hyperlink"/>
          </w:rPr>
          <w:t xml:space="preserve">[8]</w:t>
        </w:r>
      </w:hyperlink>
      <w:r>
        <w:t xml:space="preserve"> </w:t>
      </w:r>
      <w:hyperlink w:anchor="ref-9">
        <w:r>
          <w:rPr>
            <w:rStyle w:val="Hyperlink"/>
          </w:rPr>
          <w:t xml:space="preserve">[9]</w:t>
        </w:r>
      </w:hyperlink>
      <w:r>
        <w:t xml:space="preserve">. Both outcomes advance the dissertation, because both are reported honestly against the estimator’s own uncertainty.</w:t>
      </w:r>
    </w:p>
    <w:bookmarkEnd w:id="99"/>
    <w:bookmarkStart w:id="100" w:name="Xebd7f1ceecac47d427d1bed0922959a2360ec15"/>
    <w:p>
      <w:pPr>
        <w:pStyle w:val="Heading2"/>
        <w:spacing w:line="480" w:lineRule="auto"/>
      </w:pPr>
      <w:r>
        <w:t xml:space="preserve">4.6 The role of the standard error in the whole design</w:t>
      </w:r>
    </w:p>
    <w:p>
      <w:pPr>
        <w:pStyle w:val="FirstParagraph"/>
        <w:spacing w:line="480" w:lineRule="auto"/>
      </w:pPr>
      <w:r>
        <w:t xml:space="preserve">The credibility of this design rests less on the coefficients than on the standard errors, and the point deserves its own treatment. In a large-sample causal study, the analyst reports a coefficient and reads its sign as the finding. In a thirty-record corpus screen, that habit would be a trap, because the sign of an imprecise estimate is nearly meaningless. A coefficient of the wrong sign with a standard error twice its size carries no information about direction; it is a draw from a distribution centered near zero. The design therefore treats the standard error as the primary object and the point estimate as secondary. A precise coefficient of either sign is informative. An imprecise coefficient, whatever its sign, is read as the corpus declining to support a claim.</w:t>
      </w:r>
    </w:p>
    <w:p>
      <w:pPr>
        <w:pStyle w:val="BodyText"/>
        <w:spacing w:line="480" w:lineRule="auto"/>
        <w:ind w:firstLine="720"/>
      </w:pPr>
      <w:r>
        <w:t xml:space="preserve">This posture has a concrete consequence for how the results chapter is written. It reports each coefficient immediately alongside its standard error and p-value, and it interprets significance before it interprets sign. Where a slope cannot be distinguished from zero, the chapter says so and stops, rather than spinning a story from the sign. The HC1 correction reinforces this discipline by widening the standard errors for high-leverage records, which makes the significance bar appropriately hard to clear in a small, heterogeneous sample. The whole apparatus is arranged so that the design cannot accidentally manufacture a finding from noise, which is the failure mode most likely to afflict a small bibliometric screen</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00"/>
    <w:bookmarkStart w:id="101" w:name="X8c26a5b9c97d2b50293b0145eb3e4ce64831f7e"/>
    <w:p>
      <w:pPr>
        <w:pStyle w:val="Heading2"/>
        <w:spacing w:line="480" w:lineRule="auto"/>
      </w:pPr>
      <w:r>
        <w:t xml:space="preserve">4.7 Reproducibility as the identification standard</w:t>
      </w:r>
    </w:p>
    <w:p>
      <w:pPr>
        <w:pStyle w:val="FirstParagraph"/>
        <w:spacing w:line="480" w:lineRule="auto"/>
      </w:pPr>
      <w:r>
        <w:t xml:space="preserve">Because the design identifies structure rather than causation, its quality standard is reproducibility rather than counterfactual validity. Reproducibility here means something exact: given the same thirty source records, a second analyst applying the documented variable-construction rules would build the identical feature rows, and running the two specifications on those rows would return the identical coefficients, standard errors, and fit statistics. That is a stronger guarantee than most causal designs can offer, and it is the guarantee this design is built to keep. Every variable has a deterministic construction rule, every row preserves its source, and every estimator is a standard, widely implemented procedure with no tuning parameters that could drift between analysts</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reproducibility standard also disciplines what counts as a result. A result is not a narrative about the space sector; it is a number that another analyst would recover from the same records. When Chapter 6 reports that the joint F-test cannot reject the null, that statement is reproducible in the strict sense: anyone with the workbook can regenerate the F statistic and its p-value. When it declines to interpret the sign of an imprecise slope, that restraint is part of the reproducible result, because a different analyst reading the same standard error would reach the same restraint. Holding the design to reproducibility rather than to storytelling is what lets a null be reported as a finding rather than hidden as an embarrassment.</w:t>
      </w:r>
    </w:p>
    <w:bookmarkEnd w:id="101"/>
    <w:bookmarkStart w:id="102" w:name="power-and-the-honest-limits-it-imposes"/>
    <w:p>
      <w:pPr>
        <w:pStyle w:val="Heading2"/>
        <w:spacing w:line="480" w:lineRule="auto"/>
      </w:pPr>
      <w:r>
        <w:t xml:space="preserve">4.8 Power, and the honest limits it imposes</w:t>
      </w:r>
    </w:p>
    <w:p>
      <w:pPr>
        <w:pStyle w:val="FirstParagraph"/>
        <w:spacing w:line="480" w:lineRule="auto"/>
      </w:pPr>
      <w:r>
        <w:t xml:space="preserve">No account of this design is complete without a frank treatment of statistical power, because power is the single largest constraint on what the screens can conclude. With thirty records and three predictors, the cross-sectional model spends four degrees of freedom on parameters and leaves twenty-six for error, which is enough to estimate the coefficients but not enough to estimate them precisely unless the underlying associations are strong. For a moderate true effect, a sample this size has a substantial chance of failing to reach significance simply because the standard errors are wide. That is not a flaw to be hidden; it is a fact to be stated, because it determines how a null should be read. A null in a well-powered design is strong evidence of absence. A null in an underpowered design is weaker evidence, consistent with both true absence and a real effect the sample could not resolve.</w:t>
      </w:r>
    </w:p>
    <w:p>
      <w:pPr>
        <w:pStyle w:val="BodyText"/>
        <w:spacing w:line="480" w:lineRule="auto"/>
        <w:ind w:firstLine="720"/>
      </w:pPr>
      <w:r>
        <w:t xml:space="preserve">The design responds to this constraint honestly in two ways. It does not claim that a failure to reject proves the framing is unstructured; it claims only that the structure, if present, is not strong enough to surface at this sample size, which is a genuinely different and more defensible statement. And it uses the power limitation to shape the recommendation for future work, since the clearest way to convert an ambiguous null into a definitive one is to enlarge the corpus. The methodology therefore treats low power not as an embarrassment to be minimized but as a measured quantity that bounds the interpretation and directs the next design</w:t>
      </w:r>
      <w:r>
        <w:t xml:space="preserve"> </w:t>
      </w:r>
      <w:hyperlink w:anchor="ref-2">
        <w:r>
          <w:rPr>
            <w:rStyle w:val="Hyperlink"/>
          </w:rPr>
          <w:t xml:space="preserve">[2]</w:t>
        </w:r>
      </w:hyperlink>
      <w:r>
        <w:t xml:space="preserve"> </w:t>
      </w:r>
      <w:hyperlink w:anchor="ref-8">
        <w:r>
          <w:rPr>
            <w:rStyle w:val="Hyperlink"/>
          </w:rPr>
          <w:t xml:space="preserve">[8]</w:t>
        </w:r>
      </w:hyperlink>
      <w:r>
        <w:t xml:space="preserve">. A reader who wants to know whether the framing is truly diffuse will find the honest answer here: this design cannot fully distinguish diffuseness from small-sample noise, and it says so.</w:t>
      </w:r>
    </w:p>
    <w:bookmarkEnd w:id="102"/>
    <w:bookmarkStart w:id="103" w:name="X8e6f12ce8dbaab52cafe877275bb73216d061a2"/>
    <w:p>
      <w:pPr>
        <w:pStyle w:val="Heading2"/>
        <w:spacing w:line="480" w:lineRule="auto"/>
      </w:pPr>
      <w:r>
        <w:t xml:space="preserve">4.9 Why not pool the two screens into one model</w:t>
      </w:r>
    </w:p>
    <w:p>
      <w:pPr>
        <w:pStyle w:val="FirstParagraph"/>
        <w:spacing w:line="480" w:lineRule="auto"/>
      </w:pPr>
      <w:r>
        <w:t xml:space="preserve">A final methodological choice worth defending is the decision to keep the two screens separate rather than folding recency, citations, venue, and age into a single omnibus regression. The temptation to pool is real, since more predictors in one model can look more thorough. The reasons not to pool are decisive at this sample size. Recency and age are near-mirror transformations of the same year field, so including both in one model would introduce severe collinearity that would inflate every standard error and render the coefficients uninterpretable. The two screens also answer conceptually distinct questions, cross-sectional structure versus temporal accumulation, and pooling them would blur a distinction the theory chapter worked to establish. And a single model with more predictors on thirty records would spend degrees of freedom the design cannot spare, further eroding the already limited power</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Keeping the screens separate is therefore not a matter of convenience but of correct specification. Each estimator is matched to one question, uses only the predictors that question requires, and preserves the degrees of freedom needed to estimate its coefficients as precisely as thirty records allow. The cost is that the two screens must be interpreted jointly by the reader rather than by a single fit statistic, and the results chapter does exactly that joint interpretation. The benefit is that neither screen is contaminated by the other’s variables, so each null means precisely what it says.</w:t>
      </w:r>
    </w:p>
    <w:bookmarkEnd w:id="103"/>
    <w:bookmarkStart w:id="104" w:name="X5ca90e211f46c3642cd6a1bd43e76768868682f"/>
    <w:p>
      <w:pPr>
        <w:pStyle w:val="Heading2"/>
        <w:spacing w:line="480" w:lineRule="auto"/>
      </w:pPr>
      <w:r>
        <w:t xml:space="preserve">4.10 The estimators as a template, not a one-off</w:t>
      </w:r>
    </w:p>
    <w:p>
      <w:pPr>
        <w:pStyle w:val="FirstParagraph"/>
        <w:spacing w:line="480" w:lineRule="auto"/>
      </w:pPr>
      <w:r>
        <w:t xml:space="preserve">The two estimators here are chosen for this corpus, but the pairing generalizes into a reusable template for design-stage questions of this shape. Any research program facing a promising framing and a partial, unevenly indexed literature can run the same two-screen structure: an ordinary least squares model to ask whether the framing’s intensity is arranged cross-sectionally by observable record features, and a log-log learning curve to ask whether attention to it accumulates over time. The two questions, state and process, are the natural decomposition of the emergence question for almost any topic, and the two estimators are the simplest tools that answer them without manufacturing false precision</w:t>
      </w:r>
      <w:r>
        <w:t xml:space="preserve"> </w:t>
      </w:r>
      <w:hyperlink w:anchor="ref-2">
        <w:r>
          <w:rPr>
            <w:rStyle w:val="Hyperlink"/>
          </w:rPr>
          <w:t xml:space="preserve">[2]</w:t>
        </w:r>
      </w:hyperlink>
      <w:r>
        <w:t xml:space="preserve"> </w:t>
      </w:r>
      <w:hyperlink w:anchor="ref-12">
        <w:r>
          <w:rPr>
            <w:rStyle w:val="Hyperlink"/>
          </w:rPr>
          <w:t xml:space="preserve">[12]</w:t>
        </w:r>
      </w:hyperlink>
      <w:r>
        <w:t xml:space="preserve">. Documenting the pairing as a template is part of the methodological contribution, because it lets the next study reuse the design rather than reinvent it.</w:t>
      </w:r>
    </w:p>
    <w:bookmarkEnd w:id="104"/>
    <w:bookmarkStart w:id="105" w:name="Xad6a0bfb9aee51221f52a2399fd4bba3d13c382"/>
    <w:p>
      <w:pPr>
        <w:pStyle w:val="Heading2"/>
        <w:spacing w:line="480" w:lineRule="auto"/>
      </w:pPr>
      <w:r>
        <w:t xml:space="preserve">4.11 Guarding against the analyst’s degrees of freedom</w:t>
      </w:r>
    </w:p>
    <w:p>
      <w:pPr>
        <w:pStyle w:val="FirstParagraph"/>
        <w:spacing w:line="480" w:lineRule="auto"/>
      </w:pPr>
      <w:r>
        <w:t xml:space="preserve">A subtle threat to any small-sample analysis is the analyst’s own freedom to choose specifications until one looks significant. This design forecloses that freedom deliberately. The two specifications, their predictors, their functional forms, and their variance estimator, were fixed by the configuration files before the coefficients were examined, so there is no room to search across models for a favorable result. The outcome and predictors are the ones the source records supply, not a selection tuned after seeing the data. And the interpretation rule, read significance before sign and decline to interpret imprecise slopes, was set in advance, so a flat result cannot be rescued by a post hoc reading. Removing the analyst’s degrees of freedom is what separates a genuine null from a null that merely reflects a failure to search hard enough for a positive, and it is a precondition for treating the reported result as evidence rather than as one draw from a hidden garden of forking specifications</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next chapter documents the data that feed these two estimators, so that every number in the results can be traced to a source.</w:t>
      </w:r>
    </w:p>
    <w:bookmarkEnd w:id="105"/>
    <w:bookmarkEnd w:id="106"/>
    <w:bookmarkStart w:id="119" w:name="chapter-5.-data-and-measurement"/>
    <w:p>
      <w:pPr>
        <w:pStyle w:val="Heading1"/>
        <w:spacing w:line="480" w:lineRule="auto"/>
      </w:pPr>
      <w:r>
        <w:t xml:space="preserve">Chapter 5. Data and Measurement</w:t>
      </w:r>
    </w:p>
    <w:p>
      <w:pPr>
        <w:pStyle w:val="FirstParagraph"/>
        <w:spacing w:line="480" w:lineRule="auto"/>
      </w:pPr>
      <w:r>
        <w:t xml:space="preserve">Every estimate resolves to a row. Every row resolves to a source. This chapter documents that chain: how the corpus was assembled, how each variable was built from observable fields, what the sources are, and why the sample size is thirty rather than three hundred. The discipline is deliberate. A design whose claims are modest earns its credibility by making the data completely inspectable, so a skeptic can reconstruct any number from the same records</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Start w:id="107" w:name="the-corpus-and-how-it-was-assembled"/>
    <w:p>
      <w:pPr>
        <w:pStyle w:val="Heading2"/>
        <w:spacing w:line="480" w:lineRule="auto"/>
      </w:pPr>
      <w:r>
        <w:t xml:space="preserve">5.1 The corpus and how it was assembled</w:t>
      </w:r>
    </w:p>
    <w:p>
      <w:pPr>
        <w:pStyle w:val="FirstParagraph"/>
        <w:spacing w:line="480" w:lineRule="auto"/>
      </w:pPr>
      <w:r>
        <w:t xml:space="preserve">The universe is a candidate-specific set of source records on orbital carrying capacity treated as an economic limit. Records were drawn from a local index spanning three venue families: the Advanced Maui Optical and Space Surveillance conference proceedings, the archival journal Acta Astronautica, and a smaller set of space-economy sources. The retained corpus holds thirty records. Each is retained with its provenance intact, so the source column of the workbook carries either a resolvable digital object identifier, a conference URL, or, for a few space-economy items, a descriptive string naming the work. That provenance field is not decorative. It is the anchor that lets the entire measurement chain be audited backward from any estimate.</w:t>
      </w:r>
    </w:p>
    <w:p>
      <w:pPr>
        <w:pStyle w:val="BodyText"/>
        <w:spacing w:line="480" w:lineRule="auto"/>
        <w:ind w:firstLine="720"/>
      </w:pPr>
      <w:r>
        <w:t xml:space="preserve">The corpus is small on purpose and by circumstance. It is scoped to the records that genuinely engage the economic-limit framing rather than the far larger set that mentions capacity in passing, and the tight scope is what keeps the topic-signal variable meaningful. A corpus padded with tangential hits would dilute exactly the signal the design tries to detect. The cost of that choice is statistical power, and I accept the cost explicitly: thirty records support a screen for structure, not a precise estimate of any coefficient, and the results chapter never asks them to do more.</w:t>
      </w:r>
    </w:p>
    <w:bookmarkEnd w:id="107"/>
    <w:bookmarkStart w:id="108" w:name="X462424f6d54d192c5a1ef96c18d5ffec677776a"/>
    <w:p>
      <w:pPr>
        <w:pStyle w:val="Heading2"/>
        <w:spacing w:line="480" w:lineRule="auto"/>
      </w:pPr>
      <w:r>
        <w:t xml:space="preserve">5.2 The outcome variable in the cross-sectional screen</w:t>
      </w:r>
    </w:p>
    <w:p>
      <w:pPr>
        <w:pStyle w:val="FirstParagraph"/>
        <w:spacing w:line="480" w:lineRule="auto"/>
      </w:pPr>
      <w:r>
        <w:t xml:space="preserve">The first screen’s outcome is the topic-signal score, a composite count of how strongly a record carries the candidate-theme vocabulary. It is built deterministically from term hits across four fields of each record: the title, the snippet or abstract fragment, the keyword field, and the author metadata. A record whose title, keywords, and abstract all foreground capacity, rent, and economic-limit language scores high; a record that touches the theme only glancingly scores low. Because the construction is a fixed rule applied identically to every record, two analysts running it on the same corpus recover the same scores. That determinism is the point: the outcome is reproducible, not a matter of coder judgment.</w:t>
      </w:r>
    </w:p>
    <w:p>
      <w:pPr>
        <w:pStyle w:val="BodyText"/>
        <w:spacing w:line="480" w:lineRule="auto"/>
        <w:ind w:firstLine="720"/>
      </w:pPr>
      <w:r>
        <w:t xml:space="preserve">In the retained data the signal score ranges from one to eleven. The highest-scoring record is a MITRE and CisLunar circular-economy simulation that models orbital carrying-capacity collapse under a tragedy-of-the-commons dynamic and proposes recycling defunct satellites into propellant, which reads as a dense concentration of the exact economic-limit vocabulary the score is built to detect</w:t>
      </w:r>
      <w:r>
        <w:t xml:space="preserve"> </w:t>
      </w:r>
      <w:hyperlink w:anchor="ref-5">
        <w:r>
          <w:rPr>
            <w:rStyle w:val="Hyperlink"/>
          </w:rPr>
          <w:t xml:space="preserve">[5]</w:t>
        </w:r>
      </w:hyperlink>
      <w:r>
        <w:t xml:space="preserve">. The lowest scores attach to records that engage capacity only as background to an unrelated engineering result, such as a distributed radar-sounder tether study whose primary subject lies elsewhere</w:t>
      </w:r>
      <w:r>
        <w:t xml:space="preserve"> </w:t>
      </w:r>
      <w:hyperlink w:anchor="ref-13">
        <w:r>
          <w:rPr>
            <w:rStyle w:val="Hyperlink"/>
          </w:rPr>
          <w:t xml:space="preserve">[13]</w:t>
        </w:r>
      </w:hyperlink>
      <w:r>
        <w:t xml:space="preserve">. The spread is what makes the variable usable as an outcome: it varies across records so that the variation tracks substantive engagement with the framing.</w:t>
      </w:r>
    </w:p>
    <w:bookmarkEnd w:id="108"/>
    <w:bookmarkStart w:id="109" w:name="X258ea8fa5ccba74e70184b0d7b811e89063d9fe"/>
    <w:p>
      <w:pPr>
        <w:pStyle w:val="Heading2"/>
        <w:spacing w:line="480" w:lineRule="auto"/>
      </w:pPr>
      <w:r>
        <w:t xml:space="preserve">5.3 The predictors in the cross-sectional screen</w:t>
      </w:r>
    </w:p>
    <w:p>
      <w:pPr>
        <w:pStyle w:val="FirstParagraph"/>
        <w:spacing w:line="480" w:lineRule="auto"/>
      </w:pPr>
      <w:r>
        <w:t xml:space="preserve">Three predictors enter the first screen. The recency index is publication year minus the minimum publication year in the sample plus one, so the oldest record scores one and each later year adds a point. In the retained data the index runs from one, for a 2013 telescope-sizing study</w:t>
      </w:r>
      <w:r>
        <w:t xml:space="preserve"> </w:t>
      </w:r>
      <w:hyperlink w:anchor="ref-8">
        <w:r>
          <w:rPr>
            <w:rStyle w:val="Hyperlink"/>
          </w:rPr>
          <w:t xml:space="preserve">[8]</w:t>
        </w:r>
      </w:hyperlink>
      <w:r>
        <w:t xml:space="preserve">, to fourteen, for a 2026 lunar in-situ-resource study</w:t>
      </w:r>
      <w:r>
        <w:t xml:space="preserve"> </w:t>
      </w:r>
      <w:hyperlink w:anchor="ref-11">
        <w:r>
          <w:rPr>
            <w:rStyle w:val="Hyperlink"/>
          </w:rPr>
          <w:t xml:space="preserve">[11]</w:t>
        </w:r>
      </w:hyperlink>
      <w:r>
        <w:t xml:space="preserve">. The construction is intentionally plain. It encodes only ordinal recency, and it makes no claim about publishing volume or field growth beyond the position of each record in time.</w:t>
      </w:r>
    </w:p>
    <w:p>
      <w:pPr>
        <w:pStyle w:val="BodyText"/>
        <w:spacing w:line="480" w:lineRule="auto"/>
        <w:ind w:firstLine="720"/>
      </w:pPr>
      <w:r>
        <w:t xml:space="preserve">The citation count is parsed directly from the local index’s cites field and set to zero where the index reported no count. It ranges from zero to twenty-seven across the corpus. A structural feature of the data deserves flagging here: the conference and space-economy records overwhelmingly carry a reported count of zero, while the archival-journal records carry the nonzero counts. The single most-cited record, a 2018 study, reports twenty-seven citations. This is a local index measure, not a universal citation total, and I treat it that way throughout, because conference proceedings are indexed far less completely than journals and their zeros reflect indexing coverage as much as genuine obscurity.</w:t>
      </w:r>
    </w:p>
    <w:p>
      <w:pPr>
        <w:pStyle w:val="BodyText"/>
        <w:spacing w:line="480" w:lineRule="auto"/>
        <w:ind w:firstLine="720"/>
      </w:pPr>
      <w:r>
        <w:t xml:space="preserve">The venue-family score is an ordinal code: the conference family scores one, Acta Astronautica scores two, and the space-economy family scores three. Twelve records fall in the first family, twelve in the second, and six in the third. The ordinal is a crude ranking of venue type, not a quality ranking, and its coefficient must be read as an average step effect between adjacent families rather than as a cardinal quantity. The concentration of citation counts in the middle family means venue and citation attention are partly entangled, a point the methodology chapter flagged as a multicollinearity threat and the results chapter reads accordingly.</w:t>
      </w:r>
    </w:p>
    <w:bookmarkEnd w:id="109"/>
    <w:bookmarkStart w:id="110" w:name="the-variables-in-the-accumulation-screen"/>
    <w:p>
      <w:pPr>
        <w:pStyle w:val="Heading2"/>
        <w:spacing w:line="480" w:lineRule="auto"/>
      </w:pPr>
      <w:r>
        <w:t xml:space="preserve">5.4 The variables in the accumulation screen</w:t>
      </w:r>
    </w:p>
    <w:p>
      <w:pPr>
        <w:pStyle w:val="FirstParagraph"/>
        <w:spacing w:line="480" w:lineRule="auto"/>
      </w:pPr>
      <w:r>
        <w:t xml:space="preserve">The second screen uses a different outcome and a single predictor, both drawn from the same records. The outcome is citation count plus one, a transformation that keeps uncited records in a log model rather than dropping them. Because so many records carry a reported count of zero, the plus-one floor is not a minor technicality; it is what allows the majority of the corpus to remain in the estimation at all, and it treats an uncited record as sitting at the bottom of the attention scale rather than off the scale entirely.</w:t>
      </w:r>
    </w:p>
    <w:p>
      <w:pPr>
        <w:pStyle w:val="BodyText"/>
        <w:spacing w:line="480" w:lineRule="auto"/>
        <w:ind w:firstLine="720"/>
      </w:pPr>
      <w:r>
        <w:t xml:space="preserve">The predictor is the age index, computed as 2026 minus publication year plus one, so a 2026 record scores one and a 2013 record scores fourteen. Age and recency are mirror images built from the same year field, and the two screens use them for opposite purposes: recency asks whether newer records carry more signal, while age asks whether older records have accumulated more attention. Keeping them as separate constructions, rather than reusing one, preserves the conceptual distinction between the cross-sectional and temporal questions that the theory chapter drew.</w:t>
      </w:r>
    </w:p>
    <w:bookmarkEnd w:id="110"/>
    <w:bookmarkStart w:id="111" w:name="provenance-sources-and-auditability"/>
    <w:p>
      <w:pPr>
        <w:pStyle w:val="Heading2"/>
        <w:spacing w:line="480" w:lineRule="auto"/>
      </w:pPr>
      <w:r>
        <w:t xml:space="preserve">5.5 Provenance, sources, and auditability</w:t>
      </w:r>
    </w:p>
    <w:p>
      <w:pPr>
        <w:pStyle w:val="FirstParagraph"/>
        <w:spacing w:line="480" w:lineRule="auto"/>
      </w:pPr>
      <w:r>
        <w:t xml:space="preserve">The retained records span the field’s recognizable landmarks. Capacity modeling for sustainable design and projected orbital demand anchor the physical-capacity end</w:t>
      </w:r>
      <w:r>
        <w:t xml:space="preserve"> </w:t>
      </w:r>
      <w:hyperlink w:anchor="ref-1">
        <w:r>
          <w:rPr>
            <w:rStyle w:val="Hyperlink"/>
          </w:rPr>
          <w:t xml:space="preserve">[1]</w:t>
        </w:r>
      </w:hyperlink>
      <w:r>
        <w:t xml:space="preserve"> </w:t>
      </w:r>
      <w:hyperlink w:anchor="ref-2">
        <w:r>
          <w:rPr>
            <w:rStyle w:val="Hyperlink"/>
          </w:rPr>
          <w:t xml:space="preserve">[2]</w:t>
        </w:r>
      </w:hyperlink>
      <w:r>
        <w:t xml:space="preserve">. Resilience-to-fragmentation and verification-of-capacity-tools work supply the risk and fidelity dimensions</w:t>
      </w:r>
      <w:r>
        <w:t xml:space="preserve"> </w:t>
      </w:r>
      <w:hyperlink w:anchor="ref-3">
        <w:r>
          <w:rPr>
            <w:rStyle w:val="Hyperlink"/>
          </w:rPr>
          <w:t xml:space="preserve">[3]</w:t>
        </w:r>
      </w:hyperlink>
      <w:r>
        <w:t xml:space="preserve"> </w:t>
      </w:r>
      <w:hyperlink w:anchor="ref-4">
        <w:r>
          <w:rPr>
            <w:rStyle w:val="Hyperlink"/>
          </w:rPr>
          <w:t xml:space="preserve">[4]</w:t>
        </w:r>
      </w:hyperlink>
      <w:r>
        <w:t xml:space="preserve">. Slot-cost and capacity-management studies anchor the economic and governance end</w:t>
      </w:r>
      <w:r>
        <w:t xml:space="preserve"> </w:t>
      </w:r>
      <w:hyperlink w:anchor="ref-6">
        <w:r>
          <w:rPr>
            <w:rStyle w:val="Hyperlink"/>
          </w:rPr>
          <w:t xml:space="preserve">[6]</w:t>
        </w:r>
      </w:hyperlink>
      <w:r>
        <w:t xml:space="preserve"> </w:t>
      </w:r>
      <w:hyperlink w:anchor="ref-9">
        <w:r>
          <w:rPr>
            <w:rStyle w:val="Hyperlink"/>
          </w:rPr>
          <w:t xml:space="preserve">[9]</w:t>
        </w:r>
      </w:hyperlink>
      <w:r>
        <w:t xml:space="preserve">. Adjacent architecture and demand-uncertainty studies, including staged mega-constellation deployment and CubeSat messaging constellations, fill in how supply and demand for slots respond to economic choices</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Each of these enters the workbook as a row with its source string intact, so any reader can pull the underlying document and check the coding.</w:t>
      </w:r>
    </w:p>
    <w:p>
      <w:pPr>
        <w:pStyle w:val="BodyText"/>
        <w:spacing w:line="480" w:lineRule="auto"/>
        <w:ind w:firstLine="720"/>
      </w:pPr>
      <w:r>
        <w:t xml:space="preserve">Measurement validity rests on the fit between question and data, and I state the fit honestly. The design is strongest as a test of whether the retained records contain structure, because the variables are exactly the observable fields the records supply. It is weakest if read as proof of a causal policy effect outside the corpus, because none of the variables measures a governance outcome directly. The results chapter preserves that distinction by reporting the exact estimator statistics first and interpreting them as evidence about the measured record, never as an unsupported claim about the wider space sector</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11"/>
    <w:bookmarkStart w:id="112" w:name="Xf7ef7d6c8472696b0747a05108f19c999b4721d"/>
    <w:p>
      <w:pPr>
        <w:pStyle w:val="Heading2"/>
        <w:spacing w:line="480" w:lineRule="auto"/>
      </w:pPr>
      <w:r>
        <w:t xml:space="preserve">5.6 The structural entanglement inside the data</w:t>
      </w:r>
    </w:p>
    <w:p>
      <w:pPr>
        <w:pStyle w:val="FirstParagraph"/>
        <w:spacing w:line="480" w:lineRule="auto"/>
      </w:pPr>
      <w:r>
        <w:t xml:space="preserve">One feature of the retained data is so consequential for the results that it deserves a section of its own: signal intensity and citation attention are structurally opposed in this corpus, not merely uncorrelated. Trace it through the rows. The records that score highest on topic signal are the space-economy items in the third venue family, including the circular-economy simulation and the orbital-classification and roadmap sources, all of which carry a reported citation count of zero because the local index does not track citations for that family</w:t>
      </w:r>
      <w:r>
        <w:t xml:space="preserve"> </w:t>
      </w:r>
      <w:hyperlink w:anchor="ref-5">
        <w:r>
          <w:rPr>
            <w:rStyle w:val="Hyperlink"/>
          </w:rPr>
          <w:t xml:space="preserve">[5]</w:t>
        </w:r>
      </w:hyperlink>
      <w:r>
        <w:t xml:space="preserve">. The records that carry the corpus’s nonzero citation counts are the Acta Astronautica journal articles in the second family, several of which engage the economic-limit framing only obliquely and therefore score low on signal. The single highest citation count, twenty-seven, attaches to a 2018 journal article whose signal score is a middling five.</w:t>
      </w:r>
    </w:p>
    <w:p>
      <w:pPr>
        <w:pStyle w:val="BodyText"/>
        <w:spacing w:line="480" w:lineRule="auto"/>
        <w:ind w:firstLine="720"/>
      </w:pPr>
      <w:r>
        <w:t xml:space="preserve">This opposition is not a coding error; it is a fact about how the field is indexed. The venues where the economic-limit vocabulary is densest are conference proceedings and grey-literature economy sources that citation indices cover thinly, while the venues that citation indices cover well are journals whose engagement with the framing is more diffuse. The consequence for estimation is direct: any model relating signal to citations must contend with a corpus in which the two move apart by construction. When the results chapter reports a negative point estimate on the citation coefficient, this entanglement is the reason, and naming it here in advance is what keeps that coefficient from being over-read later.</w:t>
      </w:r>
    </w:p>
    <w:bookmarkEnd w:id="112"/>
    <w:bookmarkStart w:id="113" w:name="descriptive-shape-of-the-sample"/>
    <w:p>
      <w:pPr>
        <w:pStyle w:val="Heading2"/>
        <w:spacing w:line="480" w:lineRule="auto"/>
      </w:pPr>
      <w:r>
        <w:t xml:space="preserve">5.7 Descriptive shape of the sample</w:t>
      </w:r>
    </w:p>
    <w:p>
      <w:pPr>
        <w:pStyle w:val="FirstParagraph"/>
        <w:spacing w:line="480" w:lineRule="auto"/>
      </w:pPr>
      <w:r>
        <w:t xml:space="preserve">A few descriptive facts orient the reader before the estimation. Publication years span 2013 to 2026, with the mass of records concentrated in 2020 through 2025, so the corpus is genuinely contemporary rather than historical. The venue families split twelve, twelve, and six across conference, journal, and economy sources, which gives each family enough records to influence the venue coefficient but leaves the smallest family thin. Signal scores cluster in the low-to-middle range, with a long right tail reaching eleven, so the outcome has usable variance but is not symmetric. Reported citation counts are heavily zero-inflated, with a majority of records at zero and a handful of journal articles carrying counts from five to twenty-seven, which is the classic shape that motivates the plus-one transformation in the accumulation screen.</w:t>
      </w:r>
    </w:p>
    <w:p>
      <w:pPr>
        <w:pStyle w:val="BodyText"/>
        <w:spacing w:line="480" w:lineRule="auto"/>
        <w:ind w:firstLine="720"/>
      </w:pPr>
      <w:r>
        <w:t xml:space="preserve">These shapes matter because they set the ceiling on what the estimators can find. A heavily zero-inflated citation field limits the power of any model using citations as a predictor or outcome, because most of the variation sits in a spike at zero rather than spread across a range. A right-skewed signal outcome and a coarse ordinal venue code further limit precision. None of these features is a defect to be corrected; they are the honest shape of a scoped, contemporary corpus, and reporting them here lets the reader anticipate the flat coefficients the results chapter documents rather than being surprised by them.</w:t>
      </w:r>
    </w:p>
    <w:bookmarkEnd w:id="113"/>
    <w:bookmarkStart w:id="114" w:name="the-audit-trail"/>
    <w:p>
      <w:pPr>
        <w:pStyle w:val="Heading2"/>
        <w:spacing w:line="480" w:lineRule="auto"/>
      </w:pPr>
      <w:r>
        <w:t xml:space="preserve">5.8 The audit trail</w:t>
      </w:r>
    </w:p>
    <w:p>
      <w:pPr>
        <w:pStyle w:val="FirstParagraph"/>
        <w:spacing w:line="480" w:lineRule="auto"/>
      </w:pPr>
      <w:r>
        <w:t xml:space="preserve">The whole point of documenting the data this thoroughly is to make the audit trail complete. A reader who doubts any number in Chapter 6 can follow it backward without leaving the retained artifacts. The coefficient comes from a workbook. The workbook rows come from the paper datasets, each row carrying its source string. The variable in each row comes from a construction rule stated in the configuration and repeated in this chapter. And the source string resolves to a document, a digital object identifier, a conference URL, or a named work, that the reader can pull and inspect against the coding</w:t>
      </w:r>
      <w:r>
        <w:t xml:space="preserve"> </w:t>
      </w:r>
      <w:hyperlink w:anchor="ref-1">
        <w:r>
          <w:rPr>
            <w:rStyle w:val="Hyperlink"/>
          </w:rPr>
          <w:t xml:space="preserve">[1]</w:t>
        </w:r>
      </w:hyperlink>
      <w:r>
        <w:t xml:space="preserve"> </w:t>
      </w:r>
      <w:hyperlink w:anchor="ref-2">
        <w:r>
          <w:rPr>
            <w:rStyle w:val="Hyperlink"/>
          </w:rPr>
          <w:t xml:space="preserve">[2]</w:t>
        </w:r>
      </w:hyperlink>
      <w:r>
        <w:t xml:space="preserve">. No step in that chain requires trusting the author’s judgment over a rule another analyst could apply identically. That completeness is the measurement contribution of the dissertation, and it is what licenses the modest claims the results support.</w:t>
      </w:r>
    </w:p>
    <w:bookmarkEnd w:id="114"/>
    <w:bookmarkStart w:id="115" w:name="X7460f34161dfac9b4ed68d478452bacf93cddf6"/>
    <w:p>
      <w:pPr>
        <w:pStyle w:val="Heading2"/>
        <w:spacing w:line="480" w:lineRule="auto"/>
      </w:pPr>
      <w:r>
        <w:t xml:space="preserve">5.9 What the variables deliberately leave out</w:t>
      </w:r>
    </w:p>
    <w:p>
      <w:pPr>
        <w:pStyle w:val="FirstParagraph"/>
        <w:spacing w:line="480" w:lineRule="auto"/>
      </w:pPr>
      <w:r>
        <w:t xml:space="preserve">Honest measurement documentation names the omissions as clearly as the inclusions. Three things the variables deliberately do not capture set the boundary of what the results can mean. They do not capture the conceptual sophistication of a document’s economic argument, only the density of its theme vocabulary, so a subtle treatment that avoids the term list is undercounted and a shallow one that repeats it is overcounted. They do not capture the true influence of a document, only the citation count a single local index reports, so influential conference work sits at zero while journal work of narrower relevance carries the recorded citations. And they do not capture the internal heterogeneity of a venue family, only a single ordinal integer, so all of the variation between a theory-heavy and an instrumentation-heavy journal article collapses to the same venue score.</w:t>
      </w:r>
    </w:p>
    <w:p>
      <w:pPr>
        <w:pStyle w:val="BodyText"/>
        <w:spacing w:line="480" w:lineRule="auto"/>
        <w:ind w:firstLine="720"/>
      </w:pPr>
      <w:r>
        <w:t xml:space="preserve">These omissions are not oversights; they are the price of a reproducible, deterministic construction that any analyst could replicate. A richer coding of sophistication, influence, and venue would require judgment calls that would break the reproducibility standard the design rests on. The choice is a genuine tradeoff: reproducibility bought at the cost of nuance. The results chapter reads the flat coefficients with these omissions in full view, because a coefficient built on vocabulary density and single-index citations can only ever detect the coarse structure those variables encode, and its silence about finer structure is a property of the measurement, not a fact about the field.</w:t>
      </w:r>
    </w:p>
    <w:bookmarkEnd w:id="115"/>
    <w:bookmarkStart w:id="116" w:name="from-data-to-estimation"/>
    <w:p>
      <w:pPr>
        <w:pStyle w:val="Heading2"/>
        <w:spacing w:line="480" w:lineRule="auto"/>
      </w:pPr>
      <w:r>
        <w:t xml:space="preserve">5.10 From data to estimation</w:t>
      </w:r>
    </w:p>
    <w:p>
      <w:pPr>
        <w:pStyle w:val="FirstParagraph"/>
        <w:spacing w:line="480" w:lineRule="auto"/>
      </w:pPr>
      <w:r>
        <w:t xml:space="preserve">With the corpus scoped, the variables constructed, the structural entanglement flagged, the descriptive shape laid out, and the omissions named, the data are ready for estimation. The reader now knows what each variable means, how it was built, what it captures, and what it cannot capture. That knowledge is what makes the results interpretable, because a coefficient is only as meaningful as the variables beneath it, and those variables have now been documented completely. The estimation that follows applies two standard procedures to these documented rows, and every statistic it produces can be traced back through this chapter to a source. The design promised an inspectable path from source to interpretation, and the data chapter is the middle link in that path, connecting the sources reviewed earlier to the estimates reported next</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16"/>
    <w:bookmarkStart w:id="117" w:name="a-note-on-the-space-economy-family"/>
    <w:p>
      <w:pPr>
        <w:pStyle w:val="Heading2"/>
        <w:spacing w:line="480" w:lineRule="auto"/>
      </w:pPr>
      <w:r>
        <w:t xml:space="preserve">5.11 A note on the space-economy family</w:t>
      </w:r>
    </w:p>
    <w:p>
      <w:pPr>
        <w:pStyle w:val="FirstParagraph"/>
        <w:spacing w:line="480" w:lineRule="auto"/>
      </w:pPr>
      <w:r>
        <w:t xml:space="preserve">The six records in the third venue family, the space-economy sources, deserve a closing note because they carry disproportionate weight in the topic-signal outcome despite their small number. These are the records most explicitly about the economics of orbital capacity, including the circular-economy simulation of carrying-capacity collapse and the orbital-classification and roadmap sources</w:t>
      </w:r>
      <w:r>
        <w:t xml:space="preserve"> </w:t>
      </w:r>
      <w:hyperlink w:anchor="ref-5">
        <w:r>
          <w:rPr>
            <w:rStyle w:val="Hyperlink"/>
          </w:rPr>
          <w:t xml:space="preserve">[5]</w:t>
        </w:r>
      </w:hyperlink>
      <w:r>
        <w:t xml:space="preserve">. They score high on signal precisely because they engage the economic-limit framing head-on rather than obliquely. Yet the local index reports every one of them as uncited, because the venues that host them are not tracked for citations the way archival journals are. This family is therefore the sharpest instance of the signal-attention opposition documented above: it is where the framing is densest and where recorded attention is, by construction, zero. Understanding this family is understanding why the citation coefficient behaves as it does, and it is why the results chapter reads that coefficient through the lens of indexing structure rather than intellectual neglect.</w:t>
      </w:r>
    </w:p>
    <w:bookmarkEnd w:id="117"/>
    <w:bookmarkStart w:id="118" w:name="X014aad4e16bb27063a9efeeb3b3fcaa27c85afd"/>
    <w:p>
      <w:pPr>
        <w:pStyle w:val="Heading2"/>
        <w:spacing w:line="480" w:lineRule="auto"/>
      </w:pPr>
      <w:r>
        <w:t xml:space="preserve">5.12 Provenance integrity across the two datasets</w:t>
      </w:r>
    </w:p>
    <w:p>
      <w:pPr>
        <w:pStyle w:val="FirstParagraph"/>
        <w:spacing w:line="480" w:lineRule="auto"/>
      </w:pPr>
      <w:r>
        <w:t xml:space="preserve">A final measurement point concerns consistency between the two paper datasets. The cross-sectional and accumulation screens draw on the same underlying records, and the same source strings appear in both, which lets a reader confirm that a record coded as high-signal in the first dataset is the same record whose age and citation-plus-one are coded in the second. That cross-dataset consistency is not automatic; it is a property the workbooks were built to preserve, and it matters because a reader auditing one screen can carry that audit into the other without re-establishing which record is which. The year field, the citation field, and the source string are shared anchors across both datasets, so the two screens are demonstrably analyzing the same corpus rather than two loosely related samples. Preserving that integrity is the last piece of the audit trail, and it is what allows the joint interpretation of the two nulls in the discussion chapter to rest on a single, coherent body of evidence</w:t>
      </w:r>
      <w:r>
        <w:t xml:space="preserve"> </w:t>
      </w:r>
      <w:hyperlink w:anchor="ref-1">
        <w:r>
          <w:rPr>
            <w:rStyle w:val="Hyperlink"/>
          </w:rPr>
          <w:t xml:space="preserve">[1]</w:t>
        </w:r>
      </w:hyperlink>
      <w:r>
        <w:t xml:space="preserve"> </w:t>
      </w:r>
      <w:hyperlink w:anchor="ref-2">
        <w:r>
          <w:rPr>
            <w:rStyle w:val="Hyperlink"/>
          </w:rPr>
          <w:t xml:space="preserve">[2]</w:t>
        </w:r>
      </w:hyperlink>
      <w:r>
        <w:t xml:space="preserve">. With the data documented, the analysis can now report what the two estimators actually returned.</w:t>
      </w:r>
    </w:p>
    <w:bookmarkEnd w:id="118"/>
    <w:bookmarkEnd w:id="119"/>
    <w:bookmarkStart w:id="128" w:name="chapter-6.-results"/>
    <w:p>
      <w:pPr>
        <w:pStyle w:val="Heading1"/>
        <w:spacing w:line="480" w:lineRule="auto"/>
      </w:pPr>
      <w:r>
        <w:t xml:space="preserve">Chapter 6. Results</w:t>
      </w:r>
    </w:p>
    <w:p>
      <w:pPr>
        <w:pStyle w:val="FirstParagraph"/>
        <w:spacing w:line="480" w:lineRule="auto"/>
      </w:pPr>
      <w:r>
        <w:t xml:space="preserve">This chapter reports the exact output of the two estimators and interprets the signs and magnitudes without inflating either. The numbers are taken directly from the empirical workbooks, and I present them before I interpret them, so the reader sees the evidence before the reading. The overall story is a disciplined one: the corpus shows some interpretable arrangement, but almost none of the individual associations is precise enough to survive its own standard error, and I say so plainly rather than mining the estimates for the one comfortable coefficient.</w:t>
      </w:r>
    </w:p>
    <w:bookmarkStart w:id="120" w:name="X6997fe7bed7a0aedcf615f765d8c2c689795bb3"/>
    <w:p>
      <w:pPr>
        <w:pStyle w:val="Heading2"/>
        <w:spacing w:line="480" w:lineRule="auto"/>
      </w:pPr>
      <w:r>
        <w:t xml:space="preserve">6.1 The cross-sectional screen: ordinary least squares</w:t>
      </w:r>
    </w:p>
    <w:p>
      <w:pPr>
        <w:pStyle w:val="FirstParagraph"/>
        <w:spacing w:line="480" w:lineRule="auto"/>
      </w:pPr>
      <w:r>
        <w:t xml:space="preserve">The first screen is an ordinary least squares regression of the topic-signal score on the recency index, the reported citation count, and the ordinal venue-family score, with HC1 heteroskedasticity-consistent standard errors. The fit summary is:</w:t>
      </w:r>
    </w:p>
    <w:p>
      <w:pPr>
        <w:pStyle w:val="BodyText"/>
        <w:spacing w:line="480" w:lineRule="auto"/>
        <w:ind w:firstLine="720"/>
      </w:pPr>
      <w:r>
        <w:t xml:space="preserve">N = 30, R2 = 0.0938, R2_adj = -0.0108, F = 1.003, F_p = 0.4073.</w:t>
      </w:r>
    </w:p>
    <w:p>
      <w:pPr>
        <w:pStyle w:val="BodyText"/>
        <w:spacing w:line="480" w:lineRule="auto"/>
        <w:ind w:firstLine="720"/>
      </w:pPr>
      <w:r>
        <w:t xml:space="preserve">The term-level estimates are:</w:t>
      </w:r>
    </w:p>
    <w:p>
      <w:pPr>
        <w:pStyle w:val="Compact"/>
        <w:spacing w:line="480" w:lineRule="auto"/>
        <w:numPr>
          <w:ilvl w:val="0"/>
          <w:numId w:val="1001"/>
        </w:numPr>
      </w:pPr>
      <w:r>
        <w:t xml:space="preserve">const: coefficient 6.6599, standard error 2.2919, p = 0.0037.</w:t>
      </w:r>
    </w:p>
    <w:p>
      <w:pPr>
        <w:pStyle w:val="Compact"/>
        <w:spacing w:line="480" w:lineRule="auto"/>
        <w:numPr>
          <w:ilvl w:val="0"/>
          <w:numId w:val="1001"/>
        </w:numPr>
      </w:pPr>
      <w:r>
        <w:t xml:space="preserve">recency_index: coefficient -0.0698, standard error 0.1838, p = 0.7042.</w:t>
      </w:r>
    </w:p>
    <w:p>
      <w:pPr>
        <w:pStyle w:val="Compact"/>
        <w:spacing w:line="480" w:lineRule="auto"/>
        <w:numPr>
          <w:ilvl w:val="0"/>
          <w:numId w:val="1001"/>
        </w:numPr>
      </w:pPr>
      <w:r>
        <w:t xml:space="preserve">cites_num: coefficient -0.0424, standard error 0.0668, p = 0.5259.</w:t>
      </w:r>
    </w:p>
    <w:p>
      <w:pPr>
        <w:pStyle w:val="Compact"/>
        <w:spacing w:line="480" w:lineRule="auto"/>
        <w:numPr>
          <w:ilvl w:val="0"/>
          <w:numId w:val="1001"/>
        </w:numPr>
      </w:pPr>
      <w:r>
        <w:t xml:space="preserve">venue_score: coefficient -1.046, standard error 0.8118, p = 0.1976.</w:t>
      </w:r>
    </w:p>
    <w:p>
      <w:pPr>
        <w:pStyle w:val="FirstParagraph"/>
        <w:spacing w:line="480" w:lineRule="auto"/>
      </w:pPr>
      <w:r>
        <w:t xml:space="preserve">Start with the fit. It is poor. The model accounts for 9.38 percent of the variance in topic-signal score, and the adjusted figure is slightly negative at -0.0108, which is the arithmetic way of saying that the three predictors together explain no more than random chance would once the model is penalized for its parameters. The joint F statistic is 1.003 with a p-value of 0.4073, so the null that all three slopes are zero cannot be rejected at any conventional threshold. On the joint test alone, the cross-sectional screen returns evidence for H0: the retained corpus does not exhibit signal structure that the recency, citation, and venue predictors jointly capture.</w:t>
      </w:r>
    </w:p>
    <w:p>
      <w:pPr>
        <w:pStyle w:val="BodyText"/>
        <w:spacing w:line="480" w:lineRule="auto"/>
        <w:ind w:firstLine="720"/>
      </w:pPr>
      <w:r>
        <w:t xml:space="preserve">The one precise coefficient is the intercept. At 6.6599 with a standard error of 2.2919 and a p-value of 0.0037, the constant is firmly distinguishable from zero, but a significant intercept carries no substantive claim here. It simply locates the average topic-signal score of the reference case near the middle of the one-to-eleven scale. It tells us the records carry the theme, which we already knew from how the corpus was scoped; it tells us nothing about whether recency, attention, or venue arranges that signal.</w:t>
      </w:r>
    </w:p>
    <w:p>
      <w:pPr>
        <w:pStyle w:val="BodyText"/>
        <w:spacing w:line="480" w:lineRule="auto"/>
        <w:ind w:firstLine="720"/>
      </w:pPr>
      <w:r>
        <w:t xml:space="preserve">Now the three substantive slopes, each of which is imprecise. The recency coefficient is -0.0698 with a standard error of 0.1838 and a p-value of 0.7042. The point estimate is negative, which runs against the theoretical prediction that newer records would carry more signal, but the standard error is more than twice the size of the coefficient, so the honest reading is that recency is unrelated to signal intensity in this corpus. The sign is not interpretable when the estimate cannot be distinguished from zero, and I decline to make anything of it.</w:t>
      </w:r>
    </w:p>
    <w:p>
      <w:pPr>
        <w:pStyle w:val="BodyText"/>
        <w:spacing w:line="480" w:lineRule="auto"/>
        <w:ind w:firstLine="720"/>
      </w:pPr>
      <w:r>
        <w:t xml:space="preserve">The citation coefficient is -0.0424 with a standard error of 0.0668 and a p-value of 0.5259. Again the point estimate is negative and again it is swamped by its standard error. The prediction was that consequential, signal-heavy records would draw more citation attention, producing a positive slope. The data do not deliver that. If anything the raw arrangement leans the other way, because the highest-signal records in the corpus are the space-economy and conference items that the local index reports as uncited, while the cited items are journal articles whose primary subject often sits adjacent to the economic-limit framing rather than at its center. That structural feature, flagged in the data chapter, is the plausible source of the negative point estimate, and it is exactly why the coefficient should not be over-read.</w:t>
      </w:r>
    </w:p>
    <w:p>
      <w:pPr>
        <w:pStyle w:val="BodyText"/>
        <w:spacing w:line="480" w:lineRule="auto"/>
        <w:ind w:firstLine="720"/>
      </w:pPr>
      <w:r>
        <w:t xml:space="preserve">The venue coefficient is the largest in magnitude at -1.046, with a standard error of 0.8118 and a p-value of 0.1976. This is the only slope that comes close to conventional significance, and it is worth a careful sentence. The negative sign means that moving up the venue ordinal, from the conference family toward the space-economy family, is associated with a lower topic-signal score of about one point per step within the sample. That pattern is real in the arrangement of the data, but at p = 0.1976 it is not precise enough to treat as established, and its interpretation is confounded, because the venue ordinal and the citation field are entangled by construction. I therefore read it as a suggestive feature of the corpus worth targeting in a larger design, not as a finding.</w:t>
      </w:r>
    </w:p>
    <w:p>
      <w:pPr>
        <w:pStyle w:val="BodyText"/>
        <w:spacing w:line="480" w:lineRule="auto"/>
        <w:ind w:firstLine="720"/>
      </w:pPr>
      <w:r>
        <w:t xml:space="preserve">Taken as a whole, the cross-sectional screen lands on the third rung of the evidence ladder from the theory chapter. The framing is present in the records, but its intensity is not structured by the observable metadata at a level the screen can detect. That is a negative result, and it is informative: it tells a future study that recency, raw citation counts, and coarse venue codes are too weak to carry the emergence question, and that direct coding of what each document argues is where the next effort belongs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20"/>
    <w:bookmarkStart w:id="121" w:name="X3c11340e6c3f4044475dd06d56b0af0935461b8"/>
    <w:p>
      <w:pPr>
        <w:pStyle w:val="Heading2"/>
        <w:spacing w:line="480" w:lineRule="auto"/>
      </w:pPr>
      <w:r>
        <w:t xml:space="preserve">6.2 The accumulation screen: log-log learning curve</w:t>
      </w:r>
    </w:p>
    <w:p>
      <w:pPr>
        <w:pStyle w:val="FirstParagraph"/>
        <w:spacing w:line="480" w:lineRule="auto"/>
      </w:pPr>
      <w:r>
        <w:t xml:space="preserve">The second screen asks a different question with a different estimator: a log-log learning-curve regression of citation count plus one on the age index, again with HC1 standard errors. The fit summary is:</w:t>
      </w:r>
    </w:p>
    <w:p>
      <w:pPr>
        <w:pStyle w:val="BodyText"/>
        <w:spacing w:line="480" w:lineRule="auto"/>
        <w:ind w:firstLine="720"/>
      </w:pPr>
      <w:r>
        <w:t xml:space="preserve">N = 30, R2 = 0.0123, elasticity_b = 0.2076, progress_ratio (2^b) = 1.1547.</w:t>
      </w:r>
    </w:p>
    <w:p>
      <w:pPr>
        <w:pStyle w:val="BodyText"/>
        <w:spacing w:line="480" w:lineRule="auto"/>
        <w:ind w:firstLine="720"/>
      </w:pPr>
      <w:r>
        <w:t xml:space="preserve">The term-level estimates are:</w:t>
      </w:r>
    </w:p>
    <w:p>
      <w:pPr>
        <w:pStyle w:val="Compact"/>
        <w:spacing w:line="480" w:lineRule="auto"/>
        <w:numPr>
          <w:ilvl w:val="0"/>
          <w:numId w:val="1002"/>
        </w:numPr>
      </w:pPr>
      <w:r>
        <w:t xml:space="preserve">const: coefficient 0.3970, standard error 0.4043, p = 0.3261.</w:t>
      </w:r>
    </w:p>
    <w:p>
      <w:pPr>
        <w:pStyle w:val="Compact"/>
        <w:spacing w:line="480" w:lineRule="auto"/>
        <w:numPr>
          <w:ilvl w:val="0"/>
          <w:numId w:val="1002"/>
        </w:numPr>
      </w:pPr>
      <w:r>
        <w:t xml:space="preserve">ln(age): coefficient 0.2076, standard error 0.3116, p = 0.5053.</w:t>
      </w:r>
    </w:p>
    <w:p>
      <w:pPr>
        <w:pStyle w:val="FirstParagraph"/>
        <w:spacing w:line="480" w:lineRule="auto"/>
      </w:pPr>
      <w:r>
        <w:t xml:space="preserve">The fit is even thinner than the first screen. It is close to nothing. The model explains 1.23 percent of the variance in log-citations, which is negligible. The age elasticity is 0.2076 with a standard error of 0.3116 and a p-value of 0.5053, so the slope cannot be distinguished from zero. The intercept, at 0.3970 with a standard error of 0.4043 and a p-value of 0.3261, is likewise imprecise.</w:t>
      </w:r>
    </w:p>
    <w:p>
      <w:pPr>
        <w:pStyle w:val="BodyText"/>
        <w:spacing w:line="480" w:lineRule="auto"/>
        <w:ind w:firstLine="720"/>
      </w:pPr>
      <w:r>
        <w:t xml:space="preserve">Read the elasticity carefully, because its sign is the one that matches theory even though its precision does not. A coefficient of 0.2076 means that within the sample, a one-percent increase in article age is associated with roughly a 0.21-percent increase in citations-plus-one. The progress-ratio reading is more intuitive: the factor of 1.1547 says that as a record’s age doubles, its expected citation-plus-one count rises by about 15 percent. Directionally, that is exactly the pattern the accumulation hypothesis predicted, older records carrying more attention, and it is also exactly the pattern that mechanical calendar time would produce independent of any field-level learning. The methodology chapter warned that the model cannot separate those two stories, and here that warning binds.</w:t>
      </w:r>
    </w:p>
    <w:p>
      <w:pPr>
        <w:pStyle w:val="BodyText"/>
        <w:spacing w:line="480" w:lineRule="auto"/>
        <w:ind w:firstLine="720"/>
      </w:pPr>
      <w:r>
        <w:t xml:space="preserve">What settles the interpretation is the standard error, not the sign. With a p-value of 0.5053, the elasticity is well inside the range that random noise would generate around zero, so the accumulation screen cannot reject H0 either. The corpus does not exhibit an age-based attention curve precise enough to distinguish from statistical noise, and given how many records carry a reported citation count of zero, that imprecision is unsurprising: a corpus dominated by uncited conference and space-economy items simply does not contain enough attention variation for a learning curve to grip.</w:t>
      </w:r>
    </w:p>
    <w:bookmarkEnd w:id="121"/>
    <w:bookmarkStart w:id="122" w:name="what-the-two-screens-jointly-show"/>
    <w:p>
      <w:pPr>
        <w:pStyle w:val="Heading2"/>
        <w:spacing w:line="480" w:lineRule="auto"/>
      </w:pPr>
      <w:r>
        <w:t xml:space="preserve">6.3 What the two screens jointly show</w:t>
      </w:r>
    </w:p>
    <w:p>
      <w:pPr>
        <w:pStyle w:val="FirstParagraph"/>
        <w:spacing w:line="480" w:lineRule="auto"/>
      </w:pPr>
      <w:r>
        <w:t xml:space="preserve">Read together, the results are consistent and modest. The signal is faint. Neither the cross-sectional screen nor the temporal screen rejects its null. The topic-signal intensity of a record is not structured by its recency, its local citation count, or its venue family at a detectable level, and citation attention does not accumulate with age precisely enough to distinguish real learning from the passage of time. The only precise estimates in either model are the two intercepts, which locate the average levels and carry no structural claim.</w:t>
      </w:r>
    </w:p>
    <w:p>
      <w:pPr>
        <w:pStyle w:val="BodyText"/>
        <w:spacing w:line="480" w:lineRule="auto"/>
        <w:ind w:firstLine="720"/>
      </w:pPr>
      <w:r>
        <w:t xml:space="preserve">This is a genuine finding rather than a failure, and the design was built to make it so. The economic-limit framing is present across the retained corpus, but its emergence has not yet crystallized into the metadata-level structure that the alternative hypotheses predicted. The likely reason is legible in the data itself: the records carrying the densest economic-limit vocabulary are precisely the ones the local index reports as uncited, so signal intensity and citation attention pull apart rather than together</w:t>
      </w:r>
      <w:r>
        <w:t xml:space="preserve"> </w:t>
      </w:r>
      <w:hyperlink w:anchor="ref-5">
        <w:r>
          <w:rPr>
            <w:rStyle w:val="Hyperlink"/>
          </w:rPr>
          <w:t xml:space="preserve">[5]</w:t>
        </w:r>
      </w:hyperlink>
      <w:r>
        <w:t xml:space="preserve"> </w:t>
      </w:r>
      <w:hyperlink w:anchor="ref-6">
        <w:r>
          <w:rPr>
            <w:rStyle w:val="Hyperlink"/>
          </w:rPr>
          <w:t xml:space="preserve">[6]</w:t>
        </w:r>
      </w:hyperlink>
      <w:r>
        <w:t xml:space="preserve">. A design that could detect emergence would therefore need richer attention measures than a local citation field and finer topic coding than a term-hit count.</w:t>
      </w:r>
    </w:p>
    <w:bookmarkEnd w:id="122"/>
    <w:bookmarkStart w:id="123" w:name="Xa73d1639b397f739818059ec6091d9fab173a74"/>
    <w:p>
      <w:pPr>
        <w:pStyle w:val="Heading2"/>
        <w:spacing w:line="480" w:lineRule="auto"/>
      </w:pPr>
      <w:r>
        <w:t xml:space="preserve">6.4 Reading the magnitudes against the scales</w:t>
      </w:r>
    </w:p>
    <w:p>
      <w:pPr>
        <w:pStyle w:val="FirstParagraph"/>
        <w:spacing w:line="480" w:lineRule="auto"/>
      </w:pPr>
      <w:r>
        <w:t xml:space="preserve">Significance is not the only thing worth reading; the raw magnitudes, interpreted against the variable scales, tell their own bounded story. The signal score runs from one to eleven, so a coefficient’s practical size is best judged as a fraction of that ten-point range. The recency coefficient of -0.0698 implies that moving across the full fourteen-point recency span would shift predicted signal by roughly one point, less than a tenth of the outcome range, and that is the ceiling on recency’s practical relevance even if the estimate were precise, which it is not. The citation coefficient of -0.0424 implies that the most-cited record in the corpus, at twenty-seven citations, would sit only about one point lower in predicted signal than an uncited record, again a small effect swamped by its standard error. Only the venue coefficient, at -1.046 per ordinal step, reaches a magnitude that would matter practically, roughly a one-point signal decline per venue-family step, and it is precisely the coefficient whose interpretation is most confounded by the signal-citation entanglement documented in the data chapter.</w:t>
      </w:r>
    </w:p>
    <w:p>
      <w:pPr>
        <w:pStyle w:val="BodyText"/>
        <w:spacing w:line="480" w:lineRule="auto"/>
        <w:ind w:firstLine="720"/>
      </w:pPr>
      <w:r>
        <w:t xml:space="preserve">The lesson from the magnitudes reinforces the lesson from the p-values. Even taken at face value and ignoring their imprecision, two of the three slopes are practically negligible against the outcome scale, and the third is confounded. There is no reading of these numbers, generous or strict, that supports a claim of strong metadata structure. The generous reading, that venue family matters somewhat, is exactly the reading the confound most undermines. The strict reading, that nothing is precise enough to distinguish from zero, is the one the standard errors compel. Both readings land in the same place, which is a corpus whose signal is not organized by the observable metadata.</w:t>
      </w:r>
    </w:p>
    <w:bookmarkEnd w:id="123"/>
    <w:bookmarkStart w:id="124" w:name="what-the-intercepts-do-and-do-not-say"/>
    <w:p>
      <w:pPr>
        <w:pStyle w:val="Heading2"/>
        <w:spacing w:line="480" w:lineRule="auto"/>
      </w:pPr>
      <w:r>
        <w:t xml:space="preserve">6.5 What the intercepts do and do not say</w:t>
      </w:r>
    </w:p>
    <w:p>
      <w:pPr>
        <w:pStyle w:val="FirstParagraph"/>
        <w:spacing w:line="480" w:lineRule="auto"/>
      </w:pPr>
      <w:r>
        <w:t xml:space="preserve">Because the two intercepts are the only precise estimates in either model, they deserve a careful debunking so they are not mistaken for findings. In the cross-sectional model the intercept of 6.6599 is the predicted signal score when recency, citations, and venue score are all zero. No real record has all three predictors at zero, so the intercept is an extrapolation to an empty point rather than a description of any observation; its precision reflects that the outcome has a stable central level, not that any predictor explains it. In the learning-curve model the intercept of 0.3970 is the predicted log of citations-plus-one at log-age zero, which corresponds to a one-year-old record, and its imprecision at p = 0.3261 means even that anchor is loosely estimated. Neither intercept carries a structural claim about the economic-limit framing. They locate levels; the slopes were supposed to carry the structure, and the slopes came back flat.</w:t>
      </w:r>
    </w:p>
    <w:p>
      <w:pPr>
        <w:pStyle w:val="BodyText"/>
        <w:spacing w:line="480" w:lineRule="auto"/>
        <w:ind w:firstLine="720"/>
      </w:pPr>
      <w:r>
        <w:t xml:space="preserve">Stating this plainly matters because a naive reading of the output might seize on the significant constant in the first model as though the model had found something. It found the average signal level, which the scoping of the corpus guaranteed in advance. The distinction between a significant intercept and a significant slope is the difference between knowing the records carry the theme and knowing the theme is structured, and only the second was ever the question.</w:t>
      </w:r>
    </w:p>
    <w:bookmarkEnd w:id="124"/>
    <w:bookmarkStart w:id="125" w:name="X46dec9842b6a290ed4013fdec592528261a7f5d"/>
    <w:p>
      <w:pPr>
        <w:pStyle w:val="Heading2"/>
        <w:spacing w:line="480" w:lineRule="auto"/>
      </w:pPr>
      <w:r>
        <w:t xml:space="preserve">6.6 Robustness of the null to the obvious alternatives</w:t>
      </w:r>
    </w:p>
    <w:p>
      <w:pPr>
        <w:pStyle w:val="FirstParagraph"/>
        <w:spacing w:line="480" w:lineRule="auto"/>
      </w:pPr>
      <w:r>
        <w:t xml:space="preserve">A responsible results chapter asks whether the null would survive the obvious re-specifications, even where the data are too thin to run them all formally. Three checks are worth reasoning through. First, dropping the confounded venue variable would leave recency and citations, both already far from significance on their own, so a two-predictor model would if anything fit worse, not better; the joint null does not depend on the venue term carrying it. Second, the heavily zero-inflated citation field means that any transformation of citations, logged, capped, or binarized, faces the same spike at zero that limits its explanatory power, so the citation result is unlikely to be an artifact of functional form. Third, the learning-curve elasticity of 0.2076 is small enough and imprecise enough that no reasonable trimming of the two most-cited records would rescue it into significance; the accumulation signal simply is not in the data. These are reasoned robustness arguments rather than a battery of formal re-estimations, and I present them plainly as reasoning, because at N equal to thirty a parade of re-specifications would manufacture false confidence rather than earn real robustness.</w:t>
      </w:r>
    </w:p>
    <w:p>
      <w:pPr>
        <w:pStyle w:val="BodyText"/>
        <w:spacing w:line="480" w:lineRule="auto"/>
        <w:ind w:firstLine="720"/>
      </w:pPr>
      <w:r>
        <w:t xml:space="preserve">The convergent picture across these checks is that the null is not fragile. It does not hinge on one variable, one transformation, or one influential record. It reflects a corpus in which the observable metadata genuinely does not organize the topic signal, for reasons the data chapter made structural. That robustness is what lets Chapter 7 read the null as substantive rather than as a modeling accident.</w:t>
      </w:r>
    </w:p>
    <w:bookmarkEnd w:id="125"/>
    <w:bookmarkStart w:id="126" w:name="X66c79726818ea430f8822f82267e9a800c6ec8d"/>
    <w:p>
      <w:pPr>
        <w:pStyle w:val="Heading2"/>
        <w:spacing w:line="480" w:lineRule="auto"/>
      </w:pPr>
      <w:r>
        <w:t xml:space="preserve">6.7 The elasticity and progress ratio in plain terms</w:t>
      </w:r>
    </w:p>
    <w:p>
      <w:pPr>
        <w:pStyle w:val="FirstParagraph"/>
        <w:spacing w:line="480" w:lineRule="auto"/>
      </w:pPr>
      <w:r>
        <w:t xml:space="preserve">The learning-curve output includes two derived quantities, the elasticity of 0.2076 and the progress ratio of 1.1547, and both deserve translation into plain terms so their meaning and their imprecision are equally clear. The elasticity is the percentage response of citations-plus-one to a percentage change in age. At 0.2076, it says that a corpus record that is one percent older than another is associated with about a fifth of a percent more recorded attention, holding nothing else because nothing else is in the model. The progress ratio restates the same slope multiplicatively: 1.1547 means that as a record’s age doubles, its expected citation-plus-one count rises by roughly 15 percent. In a genuine learning curve from manufacturing, a progress ratio above one would describe increasing returns to accumulated experience; here it describes attention accreting slowly with time.</w:t>
      </w:r>
    </w:p>
    <w:p>
      <w:pPr>
        <w:pStyle w:val="BodyText"/>
        <w:spacing w:line="480" w:lineRule="auto"/>
        <w:ind w:firstLine="720"/>
      </w:pPr>
      <w:r>
        <w:t xml:space="preserve">Both numbers point in the direction the accumulation hypothesis predicted, older records carrying more attention, and both are useless as evidence because the slope that generates them, at a p-value of 0.5053, cannot be distinguished from zero. The elasticity and progress ratio are therefore reported for completeness and interpreted for their meaning, but they are not treated as findings. A progress ratio computed from an insignificant slope is a description of noise dressed in an intuitive unit, and calling it a result would be exactly the overinterpretation the design was built to avoid. The honest statement is that the corpus shows a faint, imprecise tendency for older records to carry more recorded citations, entirely consistent with the mechanical passage of time and too weak to indicate any field-level accumulation of attention.</w:t>
      </w:r>
    </w:p>
    <w:bookmarkEnd w:id="126"/>
    <w:bookmarkStart w:id="127" w:name="X6b91b2c2dd4ca6f39322aaaeaebced3648511da"/>
    <w:p>
      <w:pPr>
        <w:pStyle w:val="Heading2"/>
        <w:spacing w:line="480" w:lineRule="auto"/>
      </w:pPr>
      <w:r>
        <w:t xml:space="preserve">6.8 Why the results are worth reporting despite rejecting nothing</w:t>
      </w:r>
    </w:p>
    <w:p>
      <w:pPr>
        <w:pStyle w:val="FirstParagraph"/>
        <w:spacing w:line="480" w:lineRule="auto"/>
      </w:pPr>
      <w:r>
        <w:t xml:space="preserve">A results chapter that rejects no null might seem to have little to report, but that reading mistakes the purpose of a design-stage screen. The results are worth reporting for three concrete reasons. They establish that the metadata layer has been tested and found insufficient, which no future study now needs to repeat, sparing that effort. They locate the specific reason for the insufficiency in the structural opposition between high-signal uncited economy sources and lower-signal cited journal work, which tells the next study exactly which measurement to rebuild</w:t>
      </w:r>
      <w:r>
        <w:t xml:space="preserve"> </w:t>
      </w:r>
      <w:hyperlink w:anchor="ref-5">
        <w:r>
          <w:rPr>
            <w:rStyle w:val="Hyperlink"/>
          </w:rPr>
          <w:t xml:space="preserve">[5]</w:t>
        </w:r>
      </w:hyperlink>
      <w:r>
        <w:t xml:space="preserve"> </w:t>
      </w:r>
      <w:hyperlink w:anchor="ref-6">
        <w:r>
          <w:rPr>
            <w:rStyle w:val="Hyperlink"/>
          </w:rPr>
          <w:t xml:space="preserve">[6]</w:t>
        </w:r>
      </w:hyperlink>
      <w:r>
        <w:t xml:space="preserve">. And they demonstrate, on real data, that the design can report a null cleanly and interpret it against its own uncertainty, which is the methodological proof the design-stage dissertation set out to deliver. A screen that only ever confirmed itself would prove nothing about its own discipline. This one came back flat and was reported flat, which is the stronger demonstration.</w:t>
      </w:r>
    </w:p>
    <w:p>
      <w:pPr>
        <w:pStyle w:val="BodyText"/>
        <w:spacing w:line="480" w:lineRule="auto"/>
        <w:ind w:firstLine="720"/>
      </w:pPr>
      <w:r>
        <w:t xml:space="preserve">The results also carry a quiet positive amid the nulls. The economic-limit vocabulary is present across the full breadth of the retained corpus, from capacity modeling through resilience, valuation, governance, and adjacent resource economics</w:t>
      </w:r>
      <w:r>
        <w:t xml:space="preserve"> </w:t>
      </w:r>
      <w:hyperlink w:anchor="ref-1">
        <w:r>
          <w:rPr>
            <w:rStyle w:val="Hyperlink"/>
          </w:rPr>
          <w:t xml:space="preserve">[1]</w:t>
        </w:r>
      </w:hyperlink>
      <w:r>
        <w:t xml:space="preserve"> </w:t>
      </w:r>
      <w:hyperlink w:anchor="ref-9">
        <w:r>
          <w:rPr>
            <w:rStyle w:val="Hyperlink"/>
          </w:rPr>
          <w:t xml:space="preserve">[9]</w:t>
        </w:r>
      </w:hyperlink>
      <w:r>
        <w:t xml:space="preserve"> </w:t>
      </w:r>
      <w:hyperlink w:anchor="ref-12">
        <w:r>
          <w:rPr>
            <w:rStyle w:val="Hyperlink"/>
          </w:rPr>
          <w:t xml:space="preserve">[12]</w:t>
        </w:r>
      </w:hyperlink>
      <w:r>
        <w:t xml:space="preserve">. The framing is not absent from the field; it is diffuse within it. That distinction, between an idea missing and an idea present but unconsolidated, is itself an empirical result, and it is the one that most directly informs how much weight an institution should place on the framing today. Chapter 7 develops that reading into the threats to validity and the boundary of what these data can support, and Chapter 8 specifies the stronger design that the negative screens point toward.</w:t>
      </w:r>
    </w:p>
    <w:bookmarkEnd w:id="127"/>
    <w:bookmarkEnd w:id="128"/>
    <w:bookmarkStart w:id="140" w:name="chapter-7.-discussion-and-limitations"/>
    <w:p>
      <w:pPr>
        <w:pStyle w:val="Heading1"/>
        <w:spacing w:line="480" w:lineRule="auto"/>
      </w:pPr>
      <w:r>
        <w:t xml:space="preserve">Chapter 7. Discussion and Limitations</w:t>
      </w:r>
    </w:p>
    <w:p>
      <w:pPr>
        <w:pStyle w:val="FirstParagraph"/>
        <w:spacing w:line="480" w:lineRule="auto"/>
      </w:pPr>
      <w:r>
        <w:t xml:space="preserve">The results are quiet. A quiet result deserves careful handling. This chapter interprets what two null screens actually mean for the economic-limit framing, names the threats to validity in order of seriousness, and draws the line between what the data show and what they cannot. The temptation with a negative finding is either to bury it or to inflate a single near-significant coefficient into a headline. I do neither. The honest account is that the corpus does not yet carry the structure the theory predicted, and that account is itself worth something.</w:t>
      </w:r>
    </w:p>
    <w:bookmarkStart w:id="129" w:name="what-the-findings-mean"/>
    <w:p>
      <w:pPr>
        <w:pStyle w:val="Heading2"/>
        <w:spacing w:line="480" w:lineRule="auto"/>
      </w:pPr>
      <w:r>
        <w:t xml:space="preserve">7.1 What the findings mean</w:t>
      </w:r>
    </w:p>
    <w:p>
      <w:pPr>
        <w:pStyle w:val="FirstParagraph"/>
        <w:spacing w:line="480" w:lineRule="auto"/>
      </w:pPr>
      <w:r>
        <w:t xml:space="preserve">The central substantive reading is that the economic-limit framing of orbital carrying capacity is present in the literature but not yet structured at a level observable metadata can detect. The framing appears across the retained records, sometimes densely, as in the circular-economy simulation that models carrying-capacity collapse under a commons dynamic</w:t>
      </w:r>
      <w:r>
        <w:t xml:space="preserve"> </w:t>
      </w:r>
      <w:hyperlink w:anchor="ref-5">
        <w:r>
          <w:rPr>
            <w:rStyle w:val="Hyperlink"/>
          </w:rPr>
          <w:t xml:space="preserve">[5]</w:t>
        </w:r>
      </w:hyperlink>
      <w:r>
        <w:t xml:space="preserve">. What it does not do is arrange itself predictably by recency, citation attention, or venue family. A field in the middle of a genuine conceptual convergence would be expected to show newer work carrying more signal and consequential work drawing more citations. This corpus shows neither at a detectable level, which is consistent with a framing that is real but still diffuse, circulating across venues without having consolidated into a recognized, heavily cited core.</w:t>
      </w:r>
    </w:p>
    <w:p>
      <w:pPr>
        <w:pStyle w:val="BodyText"/>
        <w:spacing w:line="480" w:lineRule="auto"/>
        <w:ind w:firstLine="720"/>
      </w:pPr>
      <w:r>
        <w:t xml:space="preserve">That reading aligns with what the domain literature would predict about timing. Capacity management as a named governance function is itself recent, described as a distinct activity only in the most current work</w:t>
      </w:r>
      <w:r>
        <w:t xml:space="preserve"> </w:t>
      </w:r>
      <w:hyperlink w:anchor="ref-9">
        <w:r>
          <w:rPr>
            <w:rStyle w:val="Hyperlink"/>
          </w:rPr>
          <w:t xml:space="preserve">[9]</w:t>
        </w:r>
      </w:hyperlink>
      <w:r>
        <w:t xml:space="preserve">, and slot-valuation arguments that price congestion risk are similarly young</w:t>
      </w:r>
      <w:r>
        <w:t xml:space="preserve"> </w:t>
      </w:r>
      <w:hyperlink w:anchor="ref-6">
        <w:r>
          <w:rPr>
            <w:rStyle w:val="Hyperlink"/>
          </w:rPr>
          <w:t xml:space="preserve">[6]</w:t>
        </w:r>
      </w:hyperlink>
      <w:r>
        <w:t xml:space="preserve">. A framing that new should not yet have a mature citation structure, because citation accumulation lags publication by years. The null results are therefore not evidence that the economic-limit idea is unimportant. They are evidence that it is early. The distinction matters for anyone tempted to read the flat coefficients as a verdict on the idea’s merit; they are a verdict on its age and diffusion, nothing more.</w:t>
      </w:r>
    </w:p>
    <w:p>
      <w:pPr>
        <w:pStyle w:val="BodyText"/>
        <w:spacing w:line="480" w:lineRule="auto"/>
        <w:ind w:firstLine="720"/>
      </w:pPr>
      <w:r>
        <w:t xml:space="preserve">There is a second, more uncomfortable reading that I do not dismiss. It is possible that the term-hit signal score and the local citation field are simply too coarse to detect structure that genuinely exists. A record can engage the economic-limit framing profoundly while using vocabulary the term-hit rule misses, and a record can be influential in the field while carrying a reported count of zero because conference proceedings are indexed thinly. Under this reading the null is a measurement artifact rather than a fact about the field. I cannot rule it out with these data, and Chapter 8 treats it as the primary motivation for a stronger design.</w:t>
      </w:r>
    </w:p>
    <w:bookmarkEnd w:id="129"/>
    <w:bookmarkStart w:id="130" w:name="threats-to-validity-in-order"/>
    <w:p>
      <w:pPr>
        <w:pStyle w:val="Heading2"/>
        <w:spacing w:line="480" w:lineRule="auto"/>
      </w:pPr>
      <w:r>
        <w:t xml:space="preserve">7.2 Threats to validity, in order</w:t>
      </w:r>
    </w:p>
    <w:p>
      <w:pPr>
        <w:pStyle w:val="FirstParagraph"/>
        <w:spacing w:line="480" w:lineRule="auto"/>
      </w:pPr>
      <w:r>
        <w:t xml:space="preserve">The most serious threat is measurement coarseness. The results make it concrete. The topic-signal score counts theme terms across four metadata fields, which rewards vocabulary density over conceptual depth. A sophisticated economic treatment that avoids the exact term list scores low; a shallow mention that repeats the terms scores high. The venue-family score is ordinal over three families, collapsing all of the heterogeneity within Acta Astronautica or within the conference corpus into a single integer. And the citation field is a local index measure whose zeros conflate genuine obscurity with thin indexing coverage. Each of these is a plausible reason a real structure could hide from the estimators, and together they are the leading explanation for the flat coefficients</w:t>
      </w:r>
      <w:r>
        <w:t xml:space="preserve"> </w:t>
      </w:r>
      <w:hyperlink w:anchor="ref-4">
        <w:r>
          <w:rPr>
            <w:rStyle w:val="Hyperlink"/>
          </w:rPr>
          <w:t xml:space="preserve">[4]</w:t>
        </w:r>
      </w:hyperlink>
      <w:r>
        <w:t xml:space="preserve">.</w:t>
      </w:r>
    </w:p>
    <w:p>
      <w:pPr>
        <w:pStyle w:val="BodyText"/>
        <w:spacing w:line="480" w:lineRule="auto"/>
        <w:ind w:firstLine="720"/>
      </w:pPr>
      <w:r>
        <w:t xml:space="preserve">The second threat is sample size and the power it denies. Thirty records cannot support precise estimation of even three slopes, and the negative adjusted R-squared in the cross-sectional screen is the direct signature of a model asked to estimate more than the data can inform. A null result at N equal to thirty is genuinely ambiguous between a true absence of structure and a true structure the sample is too small to resolve. I flagged this in the methodology chapter and it binds here: the screens are honest about their own uncertainty precisely because they are underpowered, but underpowered nulls cannot close the question.</w:t>
      </w:r>
    </w:p>
    <w:p>
      <w:pPr>
        <w:pStyle w:val="BodyText"/>
        <w:spacing w:line="480" w:lineRule="auto"/>
        <w:ind w:firstLine="720"/>
      </w:pPr>
      <w:r>
        <w:t xml:space="preserve">The third threat is corpus selection. The retained records were scoped to those engaging the economic-limit framing, and that scoping choice determines what structure could possibly appear. If the scoping excluded venues where the framing is consolidating, the corpus would look diffuse even if the field is not. The design cannot see the records it did not retain, and a topic distributed across outlets that the local index covers unevenly would produce exactly the flat, venue-entangled pattern observed</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fourth threat is the confounding of age and citations in the learning-curve screen. The positive but imprecise elasticity is consistent with real attention accumulation and with the trivial fact that older records have had more calendar time to be cited. The model cannot separate the two, so even had the slope been precise, it would not have identified field-level learning cleanly. That is a limitation of the design, not of the estimation, and I name it plainly.</w:t>
      </w:r>
    </w:p>
    <w:bookmarkEnd w:id="130"/>
    <w:bookmarkStart w:id="131" w:name="what-the-data-cannot-show"/>
    <w:p>
      <w:pPr>
        <w:pStyle w:val="Heading2"/>
        <w:spacing w:line="480" w:lineRule="auto"/>
      </w:pPr>
      <w:r>
        <w:t xml:space="preserve">7.3 What the data cannot show</w:t>
      </w:r>
    </w:p>
    <w:p>
      <w:pPr>
        <w:pStyle w:val="FirstParagraph"/>
        <w:spacing w:line="480" w:lineRule="auto"/>
      </w:pPr>
      <w:r>
        <w:t xml:space="preserve">The data cannot estimate the rent-maximizing satellite. That quantity requires operator-level cost data, mission-level value estimates, and a calibrated externality function, none of which lives in a metadata screen. Nothing in this dissertation delivers a number a regulator could set an entry limit to, and I make no such claim</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data cannot establish causation of any kind. Even the suggestive venue coefficient, had it been precise, would describe an association within a retrieved corpus, not a mechanism operating in the world. And the data cannot generalize beyond the retained records, because the corpus is a scoped local sample, not a representative draw from the field’s full literature.</w:t>
      </w:r>
    </w:p>
    <w:p>
      <w:pPr>
        <w:pStyle w:val="BodyText"/>
        <w:spacing w:line="480" w:lineRule="auto"/>
        <w:ind w:firstLine="720"/>
      </w:pPr>
      <w:r>
        <w:t xml:space="preserve">What the data can show is bounded and real. They show that the economic-limit framing is present across a recognizable set of capacity, resilience, valuation, and governance sources. They show that its intensity is not organized by simple metadata at a detectable level. And they show, through the pattern of uncited high-signal records, a specific structural reason why: the densest economic-limit work sits in venues the local index reports as uncited, so signal and attention pull apart. That last observation is the most useful thing the null screens produce, because it points precisely at what a stronger design must fix.</w:t>
      </w:r>
    </w:p>
    <w:bookmarkEnd w:id="131"/>
    <w:bookmarkStart w:id="132" w:name="governance-relevance-of-a-null"/>
    <w:p>
      <w:pPr>
        <w:pStyle w:val="Heading2"/>
        <w:spacing w:line="480" w:lineRule="auto"/>
      </w:pPr>
      <w:r>
        <w:t xml:space="preserve">7.4 Governance relevance of a null</w:t>
      </w:r>
    </w:p>
    <w:p>
      <w:pPr>
        <w:pStyle w:val="FirstParagraph"/>
        <w:spacing w:line="480" w:lineRule="auto"/>
      </w:pPr>
      <w:r>
        <w:t xml:space="preserve">A null result has governance relevance, though of a chastening kind. It cautions against treating the economic-limit framing as an established consensus ready to be operationalized into entry rules. The framing is promising and it is spreading, but the evidence that it has cohered into a mature, structured body of work is not yet in the metadata, and premature operationalization of an idea still in diffusion risks encoding a framing before the field has tested it</w:t>
      </w:r>
      <w:r>
        <w:t xml:space="preserve"> </w:t>
      </w:r>
      <w:hyperlink w:anchor="ref-3">
        <w:r>
          <w:rPr>
            <w:rStyle w:val="Hyperlink"/>
          </w:rPr>
          <w:t xml:space="preserve">[3]</w:t>
        </w:r>
      </w:hyperlink>
      <w:r>
        <w:t xml:space="preserve"> </w:t>
      </w:r>
      <w:hyperlink w:anchor="ref-9">
        <w:r>
          <w:rPr>
            <w:rStyle w:val="Hyperlink"/>
          </w:rPr>
          <w:t xml:space="preserve">[9]</w:t>
        </w:r>
      </w:hyperlink>
      <w:r>
        <w:t xml:space="preserve">. The information-sharing literature’s insistence on an inspectable evidence chain is the right posture here: an institution should be able to see that the concept it is about to regulate rests on a consolidated evidence base, and this screen shows that base is still forming</w:t>
      </w:r>
      <w:r>
        <w:t xml:space="preserve"> </w:t>
      </w:r>
      <w:hyperlink w:anchor="ref-5">
        <w:r>
          <w:rPr>
            <w:rStyle w:val="Hyperlink"/>
          </w:rPr>
          <w:t xml:space="preserve">[5]</w:t>
        </w:r>
      </w:hyperlink>
      <w:r>
        <w:t xml:space="preserve">.</w:t>
      </w:r>
    </w:p>
    <w:p>
      <w:pPr>
        <w:pStyle w:val="BodyText"/>
        <w:spacing w:line="480" w:lineRule="auto"/>
        <w:ind w:firstLine="720"/>
      </w:pPr>
      <w:r>
        <w:t xml:space="preserve">The constructive implication is a sequencing one. The value of a corpus screen is that it can tell a research program where its evidence is thin before that program commits to a heavier design. Here the screen says the metadata layer is exhausted, and the next investment should go to reading and coding what the documents argue rather than to counting their terms and citations. That is a redirection, not a dead end, and Chapter 8 makes the redirection concrete.</w:t>
      </w:r>
    </w:p>
    <w:bookmarkEnd w:id="132"/>
    <w:bookmarkStart w:id="133" w:name="comparing-the-two-nulls"/>
    <w:p>
      <w:pPr>
        <w:pStyle w:val="Heading2"/>
        <w:spacing w:line="480" w:lineRule="auto"/>
      </w:pPr>
      <w:r>
        <w:t xml:space="preserve">7.5 Comparing the two nulls</w:t>
      </w:r>
    </w:p>
    <w:p>
      <w:pPr>
        <w:pStyle w:val="FirstParagraph"/>
        <w:spacing w:line="480" w:lineRule="auto"/>
      </w:pPr>
      <w:r>
        <w:t xml:space="preserve">The two screens fail their nulls in slightly different ways, and the difference is diagnostic. The cross-sectional screen produced a joint fit that is negligible but not literally zero, with an R-squared near nine percent and a venue coefficient that flirts with significance. That pattern says the metadata contains a faint arrangement, mostly venue-linked, that is too weak and too confounded to trust. The learning-curve screen produced an even thinner fit, with an R-squared near one percent and an elasticity nowhere near significance. That pattern says the temporal dimension contains essentially no detectable structure at all. Read together, the two nulls suggest that whatever faint organization exists in the corpus lives in the cross-section rather than in accumulation over time, which is consistent with a young framing that has begun to cluster by venue but has not yet had time to build an age-structured citing community</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That diagnostic distinction is more useful than either null alone. It tells the next study that a larger cross-sectional design has a better chance of detecting real structure than a longitudinal one, at least until the framing ages enough for accumulation to become visible. Sequencing the follow-on work by this diagnostic is exactly the kind of guidance a corpus screen exists to provide, and it is guidance that only becomes available because both nulls were reported honestly rather than one being buried.</w:t>
      </w:r>
    </w:p>
    <w:bookmarkEnd w:id="133"/>
    <w:bookmarkStart w:id="134" w:name="threats-the-design-handled-well"/>
    <w:p>
      <w:pPr>
        <w:pStyle w:val="Heading2"/>
        <w:spacing w:line="480" w:lineRule="auto"/>
      </w:pPr>
      <w:r>
        <w:t xml:space="preserve">7.6 Threats the design handled well</w:t>
      </w:r>
    </w:p>
    <w:p>
      <w:pPr>
        <w:pStyle w:val="FirstParagraph"/>
        <w:spacing w:line="480" w:lineRule="auto"/>
      </w:pPr>
      <w:r>
        <w:t xml:space="preserve">A limitations chapter should also credit the threats the design did contain, so the reader can weigh the null fairly. Reproducibility was handled well: every variable has a deterministic rule and every row a source, so none of the flat coefficients can be attributed to hidden analyst discretion. Heteroskedasticity was handled with the HC1 correction, so the standard errors are not artificially narrow for the high-leverage journal records. Uncited records were handled with the plus-one transformation, so the accumulation screen did not silently drop the majority of the corpus and bias itself toward old, cited work</w:t>
      </w:r>
      <w:r>
        <w:t xml:space="preserve"> </w:t>
      </w:r>
      <w:hyperlink w:anchor="ref-4">
        <w:r>
          <w:rPr>
            <w:rStyle w:val="Hyperlink"/>
          </w:rPr>
          <w:t xml:space="preserve">[4]</w:t>
        </w:r>
      </w:hyperlink>
      <w:r>
        <w:t xml:space="preserve">. And overinterpretation was handled by reading significance before sign, so the imprecise negative slopes were not spun into a false story. These are the threats a small bibliometric screen most often mishandles, and containing them is what gives the null its credibility. The null is not the residue of a sloppy analysis; it is the output of a careful one that happened to find little.</w:t>
      </w:r>
    </w:p>
    <w:bookmarkEnd w:id="134"/>
    <w:bookmarkStart w:id="135" w:name="the-boundary-drawn-precisely"/>
    <w:p>
      <w:pPr>
        <w:pStyle w:val="Heading2"/>
        <w:spacing w:line="480" w:lineRule="auto"/>
      </w:pPr>
      <w:r>
        <w:t xml:space="preserve">7.7 The boundary drawn precisely</w:t>
      </w:r>
    </w:p>
    <w:p>
      <w:pPr>
        <w:pStyle w:val="FirstParagraph"/>
        <w:spacing w:line="480" w:lineRule="auto"/>
      </w:pPr>
      <w:r>
        <w:t xml:space="preserve">Drawing the boundary of the claim precisely is the chapter’s final duty. Inside the boundary: the economic-limit framing is present across a recognizable corpus of capacity, resilience, valuation, and governance sources; its intensity is not organized by recency, local citation counts, or coarse venue codes at a level a thirty-record screen can detect; and the densest economic-limit work sits in venues the local index reports as uncited, so signal and attention pull apart. Outside the boundary: any estimate of the rent-maximizing satellite, any causal claim, any generalization beyond the retained records, and any verdict on whether the framing is ultimately correct. The line between inside and outside is not blurred by hopeful prose. It is stated so a reader knows exactly how far the evidence reaches and exactly where the next study must begin</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35"/>
    <w:bookmarkStart w:id="136" w:name="X43222e9a7e12e80fb97053bcc0e2250baa26349"/>
    <w:p>
      <w:pPr>
        <w:pStyle w:val="Heading2"/>
        <w:spacing w:line="480" w:lineRule="auto"/>
      </w:pPr>
      <w:r>
        <w:t xml:space="preserve">7.8 What a policymaker should and should not take from this</w:t>
      </w:r>
    </w:p>
    <w:p>
      <w:pPr>
        <w:pStyle w:val="FirstParagraph"/>
        <w:spacing w:line="480" w:lineRule="auto"/>
      </w:pPr>
      <w:r>
        <w:t xml:space="preserve">Translating the findings for a policymaker requires the same discipline as reporting them. A policymaker should take three things from this dissertation. The economic-limit framing of orbital capacity is real, present across the field’s literature, and worth engaging seriously as a candidate basis for future entry rules</w:t>
      </w:r>
      <w:r>
        <w:t xml:space="preserve"> </w:t>
      </w:r>
      <w:hyperlink w:anchor="ref-6">
        <w:r>
          <w:rPr>
            <w:rStyle w:val="Hyperlink"/>
          </w:rPr>
          <w:t xml:space="preserve">[6]</w:t>
        </w:r>
      </w:hyperlink>
      <w:r>
        <w:t xml:space="preserve"> </w:t>
      </w:r>
      <w:hyperlink w:anchor="ref-9">
        <w:r>
          <w:rPr>
            <w:rStyle w:val="Hyperlink"/>
          </w:rPr>
          <w:t xml:space="preserve">[9]</w:t>
        </w:r>
      </w:hyperlink>
      <w:r>
        <w:t xml:space="preserve">. The intellectual work has not yet visibly consolidated into a mature, structured body, so the framing should be treated as promising rather than settled. And any rule that would set an orbital entry limit needs an actual estimate of the rent-maximizing occupancy, which this dissertation does not provide and which no metadata screen could provide. A policymaker who took the framing as settled and operationalized it now would be encoding an idea still in formation, which is precisely the premature move the design cautions against.</w:t>
      </w:r>
    </w:p>
    <w:p>
      <w:pPr>
        <w:pStyle w:val="BodyText"/>
        <w:spacing w:line="480" w:lineRule="auto"/>
        <w:ind w:firstLine="720"/>
      </w:pPr>
      <w:r>
        <w:t xml:space="preserve">Equally, a policymaker should not take the null as a reason to dismiss the framing. The null is about the structure of the literature at a single, underpowered snapshot, not about the merit of pricing capacity. Congestion in low Earth orbit is accelerating regardless of whether its literature has consolidated, and the economic logic that a shell has a rent-maximizing occupancy does not depend on bibliometric confirmation to be true</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correct posture is patience with precision: keep developing the framing, keep the evidence chain inspectable, and invest in the operator-level and mission-level data that a real estimate would require. The dissertation’s contribution to that posture is to mark honestly where the intellectual work currently stands, which is further along than absence and less far along than consensus.</w:t>
      </w:r>
    </w:p>
    <w:bookmarkEnd w:id="136"/>
    <w:bookmarkStart w:id="137" w:name="X384c09456d023bfc1e24bfbf41730cd0bab567a"/>
    <w:p>
      <w:pPr>
        <w:pStyle w:val="Heading2"/>
        <w:spacing w:line="480" w:lineRule="auto"/>
      </w:pPr>
      <w:r>
        <w:t xml:space="preserve">7.9 Reflexive limitations of the screen itself</w:t>
      </w:r>
    </w:p>
    <w:p>
      <w:pPr>
        <w:pStyle w:val="FirstParagraph"/>
        <w:spacing w:line="480" w:lineRule="auto"/>
      </w:pPr>
      <w:r>
        <w:t xml:space="preserve">A thorough limitations chapter turns its scrutiny on its own instrument. The corpus screen is a blunt tool by design, and its bluntness has costs beyond the ones already named. It cannot see quality of argument, only vocabulary and citation counts, so a field consolidating through a few deep works rather than many shallow mentions would look diffuse to it. It cannot see influence that flows through channels citation indices miss, such as adoption in standards documents or agency guidance, so a framing shaping practice without shaping citations would be invisible to it</w:t>
      </w:r>
      <w:r>
        <w:t xml:space="preserve"> </w:t>
      </w:r>
      <w:hyperlink w:anchor="ref-5">
        <w:r>
          <w:rPr>
            <w:rStyle w:val="Hyperlink"/>
          </w:rPr>
          <w:t xml:space="preserve">[5]</w:t>
        </w:r>
      </w:hyperlink>
      <w:r>
        <w:t xml:space="preserve"> </w:t>
      </w:r>
      <w:hyperlink w:anchor="ref-9">
        <w:r>
          <w:rPr>
            <w:rStyle w:val="Hyperlink"/>
          </w:rPr>
          <w:t xml:space="preserve">[9]</w:t>
        </w:r>
      </w:hyperlink>
      <w:r>
        <w:t xml:space="preserve">. And it inherits whatever selection the corpus scoping imposed, so its picture is only as representative as the retained records. These are not reasons to distrust the specific numbers, which are reproducible, but reasons to hold the interpretation loosely, as a reading of one instrument’s view rather than a verdict on the field.</w:t>
      </w:r>
    </w:p>
    <w:p>
      <w:pPr>
        <w:pStyle w:val="BodyText"/>
        <w:spacing w:line="480" w:lineRule="auto"/>
        <w:ind w:firstLine="720"/>
      </w:pPr>
      <w:r>
        <w:t xml:space="preserve">Naming the instrument’s own limits is what keeps the dissertation honest at the deepest level. It would be easy to present the two nulls as a confident statement about the field’s maturity. The truthful presentation is more modest: given a blunt instrument applied to a small, scoped corpus, the detectable structure is faint and imprecise, and a sharper instrument on a larger corpus might see more. That modesty is not weakness. It is the appropriate confidence for the evidence at hand, and it is the posture that lets the next study improve on this one rather than merely repeat it.</w:t>
      </w:r>
    </w:p>
    <w:bookmarkEnd w:id="137"/>
    <w:bookmarkStart w:id="138" w:name="X4e7032dafbcbc3dfe4d7825b46ce048a6da9edd"/>
    <w:p>
      <w:pPr>
        <w:pStyle w:val="Heading2"/>
        <w:spacing w:line="480" w:lineRule="auto"/>
      </w:pPr>
      <w:r>
        <w:t xml:space="preserve">7.10 The value of a well-specified negative to the field</w:t>
      </w:r>
    </w:p>
    <w:p>
      <w:pPr>
        <w:pStyle w:val="FirstParagraph"/>
        <w:spacing w:line="480" w:lineRule="auto"/>
      </w:pPr>
      <w:r>
        <w:t xml:space="preserve">There is a broader disciplinary point worth making before closing. Fields that publish only positive findings develop a distorted picture of themselves, because the nulls that would temper their confidence never surface. Space sustainability is a field under pressure to produce actionable answers quickly, which makes it especially vulnerable to that distortion</w:t>
      </w:r>
      <w:r>
        <w:t xml:space="preserve"> </w:t>
      </w:r>
      <w:hyperlink w:anchor="ref-5">
        <w:r>
          <w:rPr>
            <w:rStyle w:val="Hyperlink"/>
          </w:rPr>
          <w:t xml:space="preserve">[5]</w:t>
        </w:r>
      </w:hyperlink>
      <w:r>
        <w:t xml:space="preserve">. A well-specified negative, reported with its uncertainty and its cause, is a small corrective. It tells the field that the economic-limit framing, however promising, has not yet left the structured trace a consolidated body of work would leave, and it does so without dismissing the framing. That is exactly the kind of finding a field needs to calibrate its own confidence, and it is exactly the kind that a results-driven publication culture tends to suppress. Contributing one such finding, cleanly, is part of what this dissertation offers beyond its narrow topic.</w:t>
      </w:r>
    </w:p>
    <w:bookmarkEnd w:id="138"/>
    <w:bookmarkStart w:id="139" w:name="weighing-the-two-readings-of-the-null"/>
    <w:p>
      <w:pPr>
        <w:pStyle w:val="Heading2"/>
        <w:spacing w:line="480" w:lineRule="auto"/>
      </w:pPr>
      <w:r>
        <w:t xml:space="preserve">7.11 Weighing the two readings of the null</w:t>
      </w:r>
    </w:p>
    <w:p>
      <w:pPr>
        <w:pStyle w:val="FirstParagraph"/>
        <w:spacing w:line="480" w:lineRule="auto"/>
      </w:pPr>
      <w:r>
        <w:t xml:space="preserve">The chapter has offered two readings of the null, and honesty requires weighing them against each other rather than leaving both floating. The first reading is that the framing is genuinely still diffuse, present but not yet consolidated, which the youth of capacity management as a named function makes plausible</w:t>
      </w:r>
      <w:r>
        <w:t xml:space="preserve"> </w:t>
      </w:r>
      <w:hyperlink w:anchor="ref-9">
        <w:r>
          <w:rPr>
            <w:rStyle w:val="Hyperlink"/>
          </w:rPr>
          <w:t xml:space="preserve">[9]</w:t>
        </w:r>
      </w:hyperlink>
      <w:r>
        <w:t xml:space="preserve">. The second reading is that the null is a measurement artifact, produced by variables too coarse to see structure that exists. Both are live, and the data cannot decisively separate them at this sample size. On balance, the weight of the evidence leans slightly toward a combination: the framing is young enough that some genuine diffuseness is likely, while the coarse variables and thin indexing amplify that diffuseness into a flatter result than richer measurement would show. That combined reading is why the next study must both enlarge the corpus, to address diffuseness and power, and rebuild the variables, to address measurement. Naming which reading carries more weight, while conceding the data cannot settle it, is the honest close to a limitations chapter that has taken its own uncertainty seriously throughout. A disciplined negative, reported against its own uncertainty, is a more trustworthy foundation for the next study than an inflated positive would have been.</w:t>
      </w:r>
    </w:p>
    <w:bookmarkEnd w:id="139"/>
    <w:bookmarkEnd w:id="140"/>
    <w:bookmarkStart w:id="182"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do one thing well rather than many things loosely. It took a compelling but slippery idea, that orbital carrying capacity has an economic limit and that some rent-maximizing satellite sits at that limit, and it converted the idea into a test that could fail. The test came back null. That outcome, reported honestly against its own uncertainty, is the contribution. A field advances as much by knowing where its evidence runs out as by adding another confident claim to the pile.</w:t>
      </w:r>
    </w:p>
    <w:bookmarkStart w:id="141" w:name="the-contribution-restated"/>
    <w:p>
      <w:pPr>
        <w:pStyle w:val="Heading2"/>
        <w:spacing w:line="480" w:lineRule="auto"/>
      </w:pPr>
      <w:r>
        <w:t xml:space="preserve">8.1 The contribution restated</w:t>
      </w:r>
    </w:p>
    <w:p>
      <w:pPr>
        <w:pStyle w:val="FirstParagraph"/>
        <w:spacing w:line="480" w:lineRule="auto"/>
      </w:pPr>
      <w:r>
        <w:t xml:space="preserve">The contribution is a falsifiable, auditable screen for whether an emerging economic framing leaves a detectable trace in the structure of its own literature. I posed a single pair of hypotheses about the retained corpus and tested them with two estimators whose every number traces to a workbook row. The cross-sectional screen found that topic-signal intensity is not structured by recency, citation attention, or venue family at a detectable level, with a joint F-test p-value of 0.4073 and an adjusted R-squared of -0.0108. The accumulation screen found that citation attention does not accumulate with article age precisely enough to distinguish from noise, with an age elasticity of 0.2076 at a p-value of 0.5053. Neither null was rejected. The economic-limit framing is present across the corpus but has not yet crystallized into metadata-level structure, and the likely reason is legible in the data: the densest economic-limit records are the ones the local index reports as uncited</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That is a real result, and it is the kind a doctoral design should be able to produce. The value is not a coefficient but a method: a reproducible way to ask whether a space-governance idea has matured enough to register in the structure of its literature, with a clear reading for both a positive and a negative answer. Many space-policy and program questions begin exactly here, with a promising framing and a thin, unevenly indexed record, and the screen gives such questions a disciplined first step</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141"/>
    <w:bookmarkStart w:id="142" w:name="what-the-negative-screens-teach"/>
    <w:p>
      <w:pPr>
        <w:pStyle w:val="Heading2"/>
        <w:spacing w:line="480" w:lineRule="auto"/>
      </w:pPr>
      <w:r>
        <w:t xml:space="preserve">8.2 What the negative screens teach</w:t>
      </w:r>
    </w:p>
    <w:p>
      <w:pPr>
        <w:pStyle w:val="FirstParagraph"/>
        <w:spacing w:line="480" w:lineRule="auto"/>
      </w:pPr>
      <w:r>
        <w:t xml:space="preserve">A well-designed negative teaches more than a lucky positive. Three lessons follow directly. First, the metadata layer is exhausted for this question: recency, local citation counts, and coarse venue codes are too weak to carry the emergence question, so no amount of refitting them will help. Second, signal and attention pull apart in this corpus, because the records that most densely engage the economic-limit framing sit in venues that the local index reports as uncited, which means any future attention measure must reach beyond a single local citation field</w:t>
      </w:r>
      <w:r>
        <w:t xml:space="preserve"> </w:t>
      </w:r>
      <w:hyperlink w:anchor="ref-6">
        <w:r>
          <w:rPr>
            <w:rStyle w:val="Hyperlink"/>
          </w:rPr>
          <w:t xml:space="preserve">[6]</w:t>
        </w:r>
      </w:hyperlink>
      <w:r>
        <w:t xml:space="preserve">. Third, the sample is too small to close the question either way, so a stronger design needs both a larger corpus and richer variables, not merely one or the other. Each lesson is actionable, and together they specify the next study rather than lamenting this one.</w:t>
      </w:r>
    </w:p>
    <w:bookmarkEnd w:id="142"/>
    <w:bookmarkStart w:id="143" w:name="governance-and-program-relevance"/>
    <w:p>
      <w:pPr>
        <w:pStyle w:val="Heading2"/>
        <w:spacing w:line="480" w:lineRule="auto"/>
      </w:pPr>
      <w:r>
        <w:t xml:space="preserve">8.3 Governance and program relevance</w:t>
      </w:r>
    </w:p>
    <w:p>
      <w:pPr>
        <w:pStyle w:val="FirstParagraph"/>
        <w:spacing w:line="480" w:lineRule="auto"/>
      </w:pPr>
      <w:r>
        <w:t xml:space="preserve">For governance, the finding counsels patience with precision. The economic-limit framing is promising and spreading, and slot-valuation and capacity-management work show that operators and regulators are already reasoning in its terms</w:t>
      </w:r>
      <w:r>
        <w:t xml:space="preserve"> </w:t>
      </w:r>
      <w:hyperlink w:anchor="ref-6">
        <w:r>
          <w:rPr>
            <w:rStyle w:val="Hyperlink"/>
          </w:rPr>
          <w:t xml:space="preserve">[6]</w:t>
        </w:r>
      </w:hyperlink>
      <w:r>
        <w:t xml:space="preserve"> </w:t>
      </w:r>
      <w:hyperlink w:anchor="ref-9">
        <w:r>
          <w:rPr>
            <w:rStyle w:val="Hyperlink"/>
          </w:rPr>
          <w:t xml:space="preserve">[9]</w:t>
        </w:r>
      </w:hyperlink>
      <w:r>
        <w:t xml:space="preserve">. But the evidence that the framing has consolidated into a mature body of work is not yet visible in the structure of the literature, and an institution should be able to see that consolidation before it encodes the framing into binding entry rules. The prudent path is to treat the economic-limit concept as a serious hypothesis under active development, to keep the evidence chain inspectable as the information-sharing literature urges</w:t>
      </w:r>
      <w:r>
        <w:t xml:space="preserve"> </w:t>
      </w:r>
      <w:hyperlink w:anchor="ref-5">
        <w:r>
          <w:rPr>
            <w:rStyle w:val="Hyperlink"/>
          </w:rPr>
          <w:t xml:space="preserve">[5]</w:t>
        </w:r>
      </w:hyperlink>
      <w:r>
        <w:t xml:space="preserve">, and to resist operationalizing a rent-maximizing entry limit until a design with real operator and mission data can estimate one.</w:t>
      </w:r>
    </w:p>
    <w:p>
      <w:pPr>
        <w:pStyle w:val="BodyText"/>
        <w:spacing w:line="480" w:lineRule="auto"/>
        <w:ind w:firstLine="720"/>
      </w:pPr>
      <w:r>
        <w:t xml:space="preserve">For program evidence, the dissertation offers a transferable template. A research program facing a partial record can run a cheap corpus screen first, learn where its evidence is thin, and direct its heavier investment accordingly. That sequencing is itself a program-management contribution, because it prevents a team from committing to a large document-coding effort before knowing whether the metadata already answers the question. Here the screen answered clearly that it does not, which licenses and directs the larger effort with confidence</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43"/>
    <w:bookmarkStart w:id="144" w:name="future-work"/>
    <w:p>
      <w:pPr>
        <w:pStyle w:val="Heading2"/>
        <w:spacing w:line="480" w:lineRule="auto"/>
      </w:pPr>
      <w:r>
        <w:t xml:space="preserve">8.4 Future work</w:t>
      </w:r>
    </w:p>
    <w:p>
      <w:pPr>
        <w:pStyle w:val="FirstParagraph"/>
        <w:spacing w:line="480" w:lineRule="auto"/>
      </w:pPr>
      <w:r>
        <w:t xml:space="preserve">The path forward is specific because the null screens made it so. The first step is to replace the term-hit signal score with direct coding of what each document argues about capacity, rent, and the economic limit, so that conceptual depth rather than vocabulary density drives the outcome. The second step is to replace the single local citation field with a triangulated attention measure that draws on more than one index, so that the thin coverage of conference proceedings no longer masquerades as obscurity. The third step is to enlarge the corpus well beyond thirty records, both to gain statistical power and to test whether the scoping choice, rather than the field itself, produced the diffuse pattern observed here</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Beyond the bibliometric layer lies the harder and more valuable study the framing ultimately demands. Estimating the rent-maximizing satellite as a live quantity would require operator-level cost data, mission-level value estimates, and a calibrated congestion-externality function, joined in a model that solves for the occupancy where marginal private value equals marginal social cost</w:t>
      </w:r>
      <w:r>
        <w:t xml:space="preserve"> </w:t>
      </w:r>
      <w:hyperlink w:anchor="ref-1">
        <w:r>
          <w:rPr>
            <w:rStyle w:val="Hyperlink"/>
          </w:rPr>
          <w:t xml:space="preserve">[1]</w:t>
        </w:r>
      </w:hyperlink>
      <w:r>
        <w:t xml:space="preserve"> </w:t>
      </w:r>
      <w:hyperlink w:anchor="ref-3">
        <w:r>
          <w:rPr>
            <w:rStyle w:val="Hyperlink"/>
          </w:rPr>
          <w:t xml:space="preserve">[3]</w:t>
        </w:r>
      </w:hyperlink>
      <w:r>
        <w:t xml:space="preserve">. That study is where the economic-limit idea would finally deliver a number a regulator could use. This dissertation does not reach it, and it never claimed to. What it delivers is the disciplined foundation from which that study can proceed: a clear question, an auditable method, and an honest map of where the current evidence is strong, where it is only suggestive, and where it must be rebuilt before the next claim is made.</w:t>
      </w:r>
    </w:p>
    <w:bookmarkEnd w:id="144"/>
    <w:bookmarkStart w:id="145" w:name="closing"/>
    <w:p>
      <w:pPr>
        <w:pStyle w:val="Heading2"/>
        <w:spacing w:line="480" w:lineRule="auto"/>
      </w:pPr>
      <w:r>
        <w:t xml:space="preserve">8.5 Closing</w:t>
      </w:r>
    </w:p>
    <w:p>
      <w:pPr>
        <w:pStyle w:val="FirstParagraph"/>
        <w:spacing w:line="480" w:lineRule="auto"/>
      </w:pPr>
      <w:r>
        <w:t xml:space="preserve">The economic-limit framing of orbital carrying capacity may well become the organizing idea that lets institutions price scarce orbits before the tragedy of the commons prices them the hard way. This dissertation does not prove that it will. It shows that the framing is present, that its emergence is not yet legible in the structure of its literature, and that the reason is a measurable mismatch between where the densest economic-limit work is written and where the field’s attention is indexed. That is a modest finding, carried by an inspectable method, and it replaces an intuition with an auditable pathway.</w:t>
      </w:r>
    </w:p>
    <w:bookmarkEnd w:id="145"/>
    <w:bookmarkStart w:id="146" w:name="X34ed8f50d7f32daebbeecf8adc22f35764dbf1e"/>
    <w:p>
      <w:pPr>
        <w:pStyle w:val="Heading2"/>
        <w:spacing w:line="480" w:lineRule="auto"/>
      </w:pPr>
      <w:r>
        <w:t xml:space="preserve">8.6 How the null constrains the next hypotheses</w:t>
      </w:r>
    </w:p>
    <w:p>
      <w:pPr>
        <w:pStyle w:val="FirstParagraph"/>
        <w:spacing w:line="480" w:lineRule="auto"/>
      </w:pPr>
      <w:r>
        <w:t xml:space="preserve">A negative screen does more than motivate a bigger study; it constrains which hypotheses the bigger study should carry. Because the cross-sectional screen retained a faint, venue-linked arrangement while the learning-curve screen retained essentially nothing, the next design should prioritize cross-sectional structure over temporal accumulation until the framing ages further. Because the negative citation coefficient traced to the structural opposition between high-signal uncited economy sources and lower-signal cited journal articles, the next design should not use a single local citation field as its attention measure at all, since that field is guaranteed to fight the signal. And because the venue coefficient was the only near-significant slope yet was hopelessly confounded, the next design should either widen the venue coding into something cardinal and defensible or drop venue as a predictor and treat it as a stratifying variable instead</w:t>
      </w:r>
      <w:r>
        <w:t xml:space="preserve"> </w:t>
      </w:r>
      <w:hyperlink w:anchor="ref-6">
        <w:r>
          <w:rPr>
            <w:rStyle w:val="Hyperlink"/>
          </w:rPr>
          <w:t xml:space="preserve">[6]</w:t>
        </w:r>
      </w:hyperlink>
      <w:r>
        <w:t xml:space="preserve"> </w:t>
      </w:r>
      <w:hyperlink w:anchor="ref-9">
        <w:r>
          <w:rPr>
            <w:rStyle w:val="Hyperlink"/>
          </w:rPr>
          <w:t xml:space="preserve">[9]</w:t>
        </w:r>
      </w:hyperlink>
      <w:r>
        <w:t xml:space="preserve">. Each of these is a concrete constraint that the null earned, and together they turn a flat result into a sharpened research plan.</w:t>
      </w:r>
    </w:p>
    <w:p>
      <w:pPr>
        <w:pStyle w:val="BodyText"/>
        <w:spacing w:line="480" w:lineRule="auto"/>
        <w:ind w:firstLine="720"/>
      </w:pPr>
      <w:r>
        <w:t xml:space="preserve">This is the sense in which a design-stage dissertation compounds. The first screen was cheap and it failed to reject, but its failure was informative enough to redesign the second screen before it is run. A research program that treated the null as a defeat would learn none of this. A program that treats it as evidence about where the metadata layer runs out inherits a map of exactly which variables to rebuild and which questions to postpone. That inheritance is the practical payoff of reporting the null honestly rather than mining the output for a comfortable coefficient</w:t>
      </w:r>
      <w:r>
        <w:t xml:space="preserve"> </w:t>
      </w:r>
      <w:hyperlink w:anchor="ref-4">
        <w:r>
          <w:rPr>
            <w:rStyle w:val="Hyperlink"/>
          </w:rPr>
          <w:t xml:space="preserve">[4]</w:t>
        </w:r>
      </w:hyperlink>
      <w:r>
        <w:t xml:space="preserve">.</w:t>
      </w:r>
    </w:p>
    <w:bookmarkEnd w:id="146"/>
    <w:bookmarkStart w:id="147" w:name="X6fbcb7ae43690cc7fedbc09c27b17c8d11ee6ad"/>
    <w:p>
      <w:pPr>
        <w:pStyle w:val="Heading2"/>
        <w:spacing w:line="480" w:lineRule="auto"/>
      </w:pPr>
      <w:r>
        <w:t xml:space="preserve">8.7 Relevance to the broader space-economy research agenda</w:t>
      </w:r>
    </w:p>
    <w:p>
      <w:pPr>
        <w:pStyle w:val="FirstParagraph"/>
        <w:spacing w:line="480" w:lineRule="auto"/>
      </w:pPr>
      <w:r>
        <w:t xml:space="preserve">The method generalizes beyond this one topic, which is part of why it is worth documenting carefully. Many questions in the space-economy agenda share the same starting condition: a promising economic framing, a partial and unevenly indexed literature, and a temptation to operationalize before the evidence has consolidated. Asteroid-mining economics, lunar resource valuation, and constellation demand under uncertainty all sit at that starting line</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4">
        <w:r>
          <w:rPr>
            <w:rStyle w:val="Hyperlink"/>
          </w:rPr>
          <w:t xml:space="preserve">[14]</w:t>
        </w:r>
      </w:hyperlink>
      <w:r>
        <w:t xml:space="preserve">. A cheap, auditable corpus screen is a reasonable first move for any of them, precisely because it can tell a research team whether the metadata already answers the maturity question before the team commits to a heavy coding effort. The value of the present dissertation to that broader agenda is less its particular null than its demonstration that a null, reported against its own uncertainty, is a legitimate and useful doctoral output in this domain.</w:t>
      </w:r>
    </w:p>
    <w:p>
      <w:pPr>
        <w:pStyle w:val="BodyText"/>
        <w:spacing w:line="480" w:lineRule="auto"/>
        <w:ind w:firstLine="720"/>
      </w:pPr>
      <w:r>
        <w:t xml:space="preserve">There is also a cautionary contribution. The space-sustainability conversation has a documented tendency to move from intuition to policy recommendation without an inspectable evidence chain in between</w:t>
      </w:r>
      <w:r>
        <w:t xml:space="preserve"> </w:t>
      </w:r>
      <w:hyperlink w:anchor="ref-5">
        <w:r>
          <w:rPr>
            <w:rStyle w:val="Hyperlink"/>
          </w:rPr>
          <w:t xml:space="preserve">[5]</w:t>
        </w:r>
      </w:hyperlink>
      <w:r>
        <w:t xml:space="preserve">. A method that forces every claim through a reproducible variable, and that reports honestly when the variable finds nothing, is a small corrective to that tendency. If the economic-limit framing is going to become the basis for orbital entry rules, it should arrive at that role having survived tests it could have failed, and this dissertation is one such test. That it did not confirm the framing’s maturity is not a mark against the framing; it is a mark of a test that was real.</w:t>
      </w:r>
    </w:p>
    <w:bookmarkEnd w:id="147"/>
    <w:bookmarkStart w:id="148" w:name="Xa7c945d48e8fb1e04efd1de3f5f1aa20b40a590"/>
    <w:p>
      <w:pPr>
        <w:pStyle w:val="Heading2"/>
        <w:spacing w:line="480" w:lineRule="auto"/>
      </w:pPr>
      <w:r>
        <w:t xml:space="preserve">8.8 A concluding statement of the contribution</w:t>
      </w:r>
    </w:p>
    <w:p>
      <w:pPr>
        <w:pStyle w:val="FirstParagraph"/>
        <w:spacing w:line="480" w:lineRule="auto"/>
      </w:pPr>
      <w:r>
        <w:t xml:space="preserve">The contribution of this dissertation can be stated in three sentences. It converts a slippery economic intuition about orbital carrying capacity into a single falsifiable question about the structure of the topic’s literature, and it answers that question with two reproducible estimators whose every number traces to a source. The answer is a disciplined null: the economic-limit framing is present but not yet structured in the metadata, for a reason the data make legible. And the null, far from ending the inquiry, specifies the larger and richer design that would move the field from corpus structure toward the rent-maximizing satellite itself.</w:t>
      </w:r>
    </w:p>
    <w:p>
      <w:pPr>
        <w:pStyle w:val="BodyText"/>
        <w:spacing w:line="480" w:lineRule="auto"/>
        <w:ind w:firstLine="720"/>
      </w:pPr>
      <w:r>
        <w:t xml:space="preserve">For a design-stage dissertation, that is the honest measure of success. It does not overclaim; it does not hide a weak result; it leaves a reader able to walk the full path from a source record to a variable, from a variable to an estimate, and from an estimate to a bounded conclusion, and to check every step against the retained artifacts.</w:t>
      </w:r>
    </w:p>
    <w:bookmarkEnd w:id="148"/>
    <w:bookmarkStart w:id="149" w:name="X012f47a7cee9e991338890419390dd00fe1c4e0"/>
    <w:p>
      <w:pPr>
        <w:pStyle w:val="Heading2"/>
        <w:spacing w:line="480" w:lineRule="auto"/>
      </w:pPr>
      <w:r>
        <w:t xml:space="preserve">8.9 The two-study program this dissertation opens</w:t>
      </w:r>
    </w:p>
    <w:p>
      <w:pPr>
        <w:pStyle w:val="FirstParagraph"/>
        <w:spacing w:line="480" w:lineRule="auto"/>
      </w:pPr>
      <w:r>
        <w:t xml:space="preserve">The clearest way to state what comes next is to describe the two-study program this dissertation opens. The first follow-on study replaces the metadata screen with direct document coding on a substantially enlarged corpus. It reads each document and codes what it actually argues about capacity, rent, externality, and entry rules, rather than counting theme terms, and it measures attention through triangulated indices rather than a single local field. That study would resolve the ambiguity this dissertation could not, distinguishing a genuinely diffuse framing from a real structure that the blunt metadata missed. Its outcome is a defensible verdict on whether the economic-limit framing has consolidated, grounded in what the documents say rather than in their vocabulary and citation counts</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second follow-on study is the substantive one the whole framing points toward: an estimation of the rent-maximizing occupancy for a defined orbital shell. It assembles operator-level cost data, mission-level value estimates, and a calibrated cascade-risk model, and it solves for the occupancy where marginal private value equals marginal social cost, producing a number a regulator could set an entry limit to</w:t>
      </w:r>
      <w:r>
        <w:t xml:space="preserve"> </w:t>
      </w:r>
      <w:hyperlink w:anchor="ref-1">
        <w:r>
          <w:rPr>
            <w:rStyle w:val="Hyperlink"/>
          </w:rPr>
          <w:t xml:space="preserve">[1]</w:t>
        </w:r>
      </w:hyperlink>
      <w:r>
        <w:t xml:space="preserve"> </w:t>
      </w:r>
      <w:hyperlink w:anchor="ref-3">
        <w:r>
          <w:rPr>
            <w:rStyle w:val="Hyperlink"/>
          </w:rPr>
          <w:t xml:space="preserve">[3]</w:t>
        </w:r>
      </w:hyperlink>
      <w:r>
        <w:t xml:space="preserve">. That study is far heavier than either screen here, and it should be attempted only once the first follow-on study confirms that the framing is coherent enough to bear it. Sequencing the two, structure first and estimate second, is the disciplined path from where this dissertation ends to where the field needs to arrive, and specifying that sequence is itself part of the contribution.</w:t>
      </w:r>
    </w:p>
    <w:bookmarkEnd w:id="149"/>
    <w:bookmarkStart w:id="150" w:name="final-word"/>
    <w:p>
      <w:pPr>
        <w:pStyle w:val="Heading2"/>
        <w:spacing w:line="480" w:lineRule="auto"/>
      </w:pPr>
      <w:r>
        <w:t xml:space="preserve">8.10 Final word</w:t>
      </w:r>
    </w:p>
    <w:p>
      <w:pPr>
        <w:pStyle w:val="FirstParagraph"/>
        <w:spacing w:line="480" w:lineRule="auto"/>
      </w:pPr>
      <w:r>
        <w:t xml:space="preserve">The value of a design-stage dissertation is measured not by the size of its finding but by the clarity of the path it leaves behind. This work took a real and pressing question, whether orbital carrying capacity has an economic limit that a rent-maximizing satellite defines, and it built the first rung of an evidentiary ladder toward answering it. The rung it built is modest: a reproducible screen that asks whether the framing’s emergence is visible in the structure of its literature. The rung held weight honestly, returning a disciplined null with a legible cause, and it pointed unambiguously to the two heavier rungs that must follow. Congestion in low Earth orbit will not wait for the literature to catch up, which is exactly why the field needs studies that state clearly where its evidence is strong, where it is only suggestive, and where the next investment must go. Replacing an intuition with a pathway a skeptic can walk, and being honest about where that pathway currently ends, is the contribution this work offers to the study of orbital carrying capacity as an economic limit</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150"/>
    <w:bookmarkStart w:id="151" w:name="what-success-looks-like-from-here"/>
    <w:p>
      <w:pPr>
        <w:pStyle w:val="Heading2"/>
        <w:spacing w:line="480" w:lineRule="auto"/>
      </w:pPr>
      <w:r>
        <w:t xml:space="preserve">8.11 What success looks like from here</w:t>
      </w:r>
    </w:p>
    <w:p>
      <w:pPr>
        <w:pStyle w:val="FirstParagraph"/>
        <w:spacing w:line="480" w:lineRule="auto"/>
      </w:pPr>
      <w:r>
        <w:t xml:space="preserve">If this research program succeeds, the sign of that success will be concrete. The document-coding study will report whether the economic-limit framing has cohered, grounded in what the field’s documents argue rather than in their vocabulary counts. The estimation study will report a rent-maximizing occupancy for at least one defined shell, with sensitivity analysis over its uncertain cost and value parameters, and a governance body will be able to cite that occupancy when it sets an entry rule</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loop from estimate to institution, which the literature review found still open, will begin to close. None of that is delivered here, and pretending otherwise would betray the discipline the whole dissertation rests on. What is delivered is the first, cheapest, most reproducible step, taken honestly, with its result reported against its uncertainty and its successor studies specified. For a design-stage dissertation on a problem this consequential and this young, taking that step cleanly and pointing accurately at the next two is the fullest measure of what the work could responsibly achieve</w:t>
      </w:r>
      <w:r>
        <w:t xml:space="preserve"> </w:t>
      </w:r>
      <w:hyperlink w:anchor="ref-9">
        <w:r>
          <w:rPr>
            <w:rStyle w:val="Hyperlink"/>
          </w:rPr>
          <w:t xml:space="preserve">[9]</w:t>
        </w:r>
      </w:hyperlink>
      <w:r>
        <w:t xml:space="preserve">.</w:t>
      </w:r>
    </w:p>
    <w:bookmarkEnd w:id="151"/>
    <w:bookmarkStart w:id="152" w:name="a-closing-on-discipline-over-ambition"/>
    <w:p>
      <w:pPr>
        <w:pStyle w:val="Heading2"/>
        <w:spacing w:line="480" w:lineRule="auto"/>
      </w:pPr>
      <w:r>
        <w:t xml:space="preserve">8.12 A closing on discipline over ambition</w:t>
      </w:r>
    </w:p>
    <w:p>
      <w:pPr>
        <w:pStyle w:val="FirstParagraph"/>
        <w:spacing w:line="480" w:lineRule="auto"/>
      </w:pPr>
      <w:r>
        <w:t xml:space="preserve">It would have been easy to write a more ambitious dissertation, one that reported a headline capacity number pulled from a single source, narrated a causal story the metadata could not support, and presented the venue coefficient as a finding rather than a confound. That dissertation would have read more confidently and meant less. The choice made here was the opposite: to bound the claim to what the retained records can support, to report the nulls as cleanly as a rejection would have been reported, and to let the honest limits of a thirty-record screen show rather than hiding them behind assured prose</w:t>
      </w:r>
      <w:r>
        <w:t xml:space="preserve"> </w:t>
      </w:r>
      <w:hyperlink w:anchor="ref-4">
        <w:r>
          <w:rPr>
            <w:rStyle w:val="Hyperlink"/>
          </w:rPr>
          <w:t xml:space="preserve">[4]</w:t>
        </w:r>
      </w:hyperlink>
      <w:r>
        <w:t xml:space="preserve"> </w:t>
      </w:r>
      <w:hyperlink w:anchor="ref-5">
        <w:r>
          <w:rPr>
            <w:rStyle w:val="Hyperlink"/>
          </w:rPr>
          <w:t xml:space="preserve">[5]</w:t>
        </w:r>
      </w:hyperlink>
      <w:r>
        <w:t xml:space="preserve">. Discipline of that kind is not the absence of contribution; it is the form the contribution takes when the evidence is thin and the temptation to overreach is strong. The study of orbital carrying capacity as an economic limit is going to matter more each year that low Earth orbit fills, and it will be served better by studies that state their evidence honestly than by studies that inflate it. This dissertation aimed to be one of the former, and its final claim is only as large as its artifacts allow, which is exactly as large as a doctoral contribution should be.</w:t>
      </w:r>
    </w:p>
    <w:bookmarkEnd w:id="152"/>
    <w:bookmarkStart w:id="181" w:name="references"/>
    <w:p>
      <w:pPr>
        <w:pStyle w:val="Heading2"/>
        <w:spacing w:line="480" w:lineRule="auto"/>
      </w:pPr>
      <w:r>
        <w:t xml:space="preserve">References</w:t>
      </w:r>
    </w:p>
    <w:p>
      <w:pPr>
        <w:pStyle w:val="FirstParagraph"/>
        <w:spacing w:line="480" w:lineRule="auto"/>
      </w:pPr>
      <w:bookmarkStart w:id="153" w:name="ref-1"/>
      <w:bookmarkEnd w:id="153"/>
      <w:r>
        <w:t xml:space="preserve">1. Mark A. Sturza, Viasat, Inc.; Mark D. Dankberg, Viasat, Inc.; William N. Blount, Viasat, Inc.. LEO Capacity Modeling for Sustainable Design (2022). [AMOS]</w:t>
      </w:r>
    </w:p>
    <w:p>
      <w:pPr>
        <w:pStyle w:val="BodyText"/>
        <w:spacing w:line="480" w:lineRule="auto"/>
        <w:ind w:firstLine="720"/>
      </w:pPr>
      <w:bookmarkStart w:id="154" w:name="ref-2"/>
      <w:bookmarkEnd w:id="154"/>
      <w:r>
        <w:t xml:space="preserve">2. Andrea D’Ambrosio, Massachusetts Institute of Technology; Miles Lifson, Massachusetts Institute of Technology; Daniel Jang, Massachusetts Institute of Technology; Celina Pasiecznik, Massachusetts Institute of Technology; Richard Linares, Massachusetts Institute of Technology. Projected Orbital Demand and LEO Environmental Capacity (2022). [AMOS]</w:t>
      </w:r>
    </w:p>
    <w:p>
      <w:pPr>
        <w:pStyle w:val="BodyText"/>
        <w:spacing w:line="480" w:lineRule="auto"/>
        <w:ind w:firstLine="720"/>
      </w:pPr>
      <w:bookmarkStart w:id="155" w:name="ref-3"/>
      <w:bookmarkEnd w:id="155"/>
      <w:r>
        <w:t xml:space="preserve">3. Mark Sturza, Viasat; Mark Dankberg, Viasat; William Blount, Viasat. Resilience of LEO Constellations to Accidental and Intentional Fragmentation Events (2024). doi:</w:t>
      </w:r>
      <w:r>
        <w:t xml:space="preserve"> </w:t>
      </w:r>
      <w:hyperlink r:id="rId156">
        <w:r>
          <w:rPr>
            <w:rStyle w:val="Hyperlink"/>
          </w:rPr>
          <w:t xml:space="preserve">10.64861/ZFDQ4641</w:t>
        </w:r>
      </w:hyperlink>
    </w:p>
    <w:p>
      <w:pPr>
        <w:pStyle w:val="BodyText"/>
        <w:spacing w:line="480" w:lineRule="auto"/>
        <w:ind w:firstLine="720"/>
      </w:pPr>
      <w:bookmarkStart w:id="157" w:name="ref-4"/>
      <w:bookmarkEnd w:id="157"/>
      <w:r>
        <w:t xml:space="preserve">4. Indigo Brownhall, University College London; Miles Lifson, The Aerospace Corporation; Giovanni Lavezzi, Massachusetts Institute of Technology; Enrico Zucchelli, Massachusetts Institute of Technology; Mark Moretto, North Carolina State University; Santosh Bhattarai, University College London; Richard Linares, Massachusetts Institute of Technology. Verification and Validation of Orbital Capacity Assessment Tools of Varying Fidelities (2025). doi:</w:t>
      </w:r>
      <w:r>
        <w:t xml:space="preserve"> </w:t>
      </w:r>
      <w:hyperlink r:id="rId158">
        <w:r>
          <w:rPr>
            <w:rStyle w:val="Hyperlink"/>
          </w:rPr>
          <w:t xml:space="preserve">10.64861/UHIX1013</w:t>
        </w:r>
      </w:hyperlink>
    </w:p>
    <w:p>
      <w:pPr>
        <w:pStyle w:val="BodyText"/>
        <w:spacing w:line="480" w:lineRule="auto"/>
        <w:ind w:firstLine="720"/>
      </w:pPr>
      <w:bookmarkStart w:id="159" w:name="ref-5"/>
      <w:bookmarkEnd w:id="159"/>
      <w:r>
        <w:t xml:space="preserve">5. Harvey Reed, MITRE; Nathaniel Dailey, MITRE; Ruth Stilwell, Aerospace Policy Solutions, LLC; Brian Weeden, Secure World Foundation. Decentralized Space Information Sharing as a Key Enabler of Trust and the Preservation of Space (2021). [AMOS]</w:t>
      </w:r>
    </w:p>
    <w:p>
      <w:pPr>
        <w:pStyle w:val="BodyText"/>
        <w:spacing w:line="480" w:lineRule="auto"/>
        <w:ind w:firstLine="720"/>
      </w:pPr>
      <w:bookmarkStart w:id="160" w:name="ref-6"/>
      <w:bookmarkEnd w:id="160"/>
      <w:r>
        <w:t xml:space="preserve">6. Kristin Shahady, University of North Dakota. The Future Risk of Space Debris and Contested Environments Increases the Intrinsic and Actual Cost of GEO Slots (2023). doi:</w:t>
      </w:r>
      <w:r>
        <w:t xml:space="preserve"> </w:t>
      </w:r>
      <w:hyperlink r:id="rId161">
        <w:r>
          <w:rPr>
            <w:rStyle w:val="Hyperlink"/>
          </w:rPr>
          <w:t xml:space="preserve">10.64861/DYBG6563</w:t>
        </w:r>
      </w:hyperlink>
    </w:p>
    <w:p>
      <w:pPr>
        <w:pStyle w:val="BodyText"/>
        <w:spacing w:line="480" w:lineRule="auto"/>
        <w:ind w:firstLine="720"/>
      </w:pPr>
      <w:bookmarkStart w:id="162" w:name="ref-7"/>
      <w:bookmarkEnd w:id="162"/>
      <w:r>
        <w:t xml:space="preserve">7. Krzysztof Arminski, Polish Space Agency; Tomasz Zubowicz, Polish Space Agency; Stefania Wolf, Polish Space Agency; Mikolaj Kruzynski, Polish Space Agency; Zygmunt Anio?, Polish Space Agency; Tymoteusz Trocki, POLSA; Edwin Wnuk, Polish Space Agency. A multi-objective approach to the optimal selection of assets for the design of an optical sensor network (2023). doi:</w:t>
      </w:r>
      <w:r>
        <w:t xml:space="preserve"> </w:t>
      </w:r>
      <w:hyperlink r:id="rId163">
        <w:r>
          <w:rPr>
            <w:rStyle w:val="Hyperlink"/>
          </w:rPr>
          <w:t xml:space="preserve">10.64861/EZRE5509</w:t>
        </w:r>
      </w:hyperlink>
    </w:p>
    <w:p>
      <w:pPr>
        <w:pStyle w:val="BodyText"/>
        <w:spacing w:line="480" w:lineRule="auto"/>
        <w:ind w:firstLine="720"/>
      </w:pPr>
      <w:bookmarkStart w:id="164" w:name="ref-8"/>
      <w:bookmarkEnd w:id="164"/>
      <w:r>
        <w:t xml:space="preserve">8. Ryan D. Coder, (Georgia Institute of Technology), Marcus J. Holzinger, (Georgia Institute of Technology). Sizing of a Raven-class Telescope Using Performance Sensitivities (2013). [AMOS]</w:t>
      </w:r>
    </w:p>
    <w:p>
      <w:pPr>
        <w:pStyle w:val="BodyText"/>
        <w:spacing w:line="480" w:lineRule="auto"/>
        <w:ind w:firstLine="720"/>
      </w:pPr>
      <w:bookmarkStart w:id="165" w:name="ref-9"/>
      <w:bookmarkEnd w:id="165"/>
      <w:r>
        <w:t xml:space="preserve">9. Camilla Colombo; Peter Martinez; Francesca Letizia; Benedetta M. Cattani; Emmanuelle David; Diego A. Escobar; Satomi Kawamoto; Robert J. Rovetto; Ivan Sumelzo. Space capacity management and its interaction with space traffic management (2025). doi:</w:t>
      </w:r>
      <w:r>
        <w:t xml:space="preserve"> </w:t>
      </w:r>
      <w:hyperlink r:id="rId166">
        <w:r>
          <w:rPr>
            <w:rStyle w:val="Hyperlink"/>
          </w:rPr>
          <w:t xml:space="preserve">10.1016/j.actaastro.2025.01.069</w:t>
        </w:r>
      </w:hyperlink>
    </w:p>
    <w:p>
      <w:pPr>
        <w:pStyle w:val="BodyText"/>
        <w:spacing w:line="480" w:lineRule="auto"/>
        <w:ind w:firstLine="720"/>
      </w:pPr>
      <w:bookmarkStart w:id="167" w:name="ref-10"/>
      <w:bookmarkEnd w:id="167"/>
      <w:r>
        <w:t xml:space="preserve">10. Ksenia Osipova; Adriano Camps; Alessandro Golkar; Joan A. Ruiz-de-Azua; Lara Fernandez; Nicola Garzaniti. Architecting CubeSat constellations for messaging service, Part I (2024). doi:</w:t>
      </w:r>
      <w:r>
        <w:t xml:space="preserve"> </w:t>
      </w:r>
      <w:hyperlink r:id="rId168">
        <w:r>
          <w:rPr>
            <w:rStyle w:val="Hyperlink"/>
          </w:rPr>
          <w:t xml:space="preserve">10.1016/j.actaastro.2024.07.022</w:t>
        </w:r>
      </w:hyperlink>
    </w:p>
    <w:p>
      <w:pPr>
        <w:pStyle w:val="BodyText"/>
        <w:spacing w:line="480" w:lineRule="auto"/>
        <w:ind w:firstLine="720"/>
      </w:pPr>
      <w:bookmarkStart w:id="169" w:name="ref-11"/>
      <w:bookmarkEnd w:id="169"/>
      <w:r>
        <w:t xml:space="preserve">11. Luka Malone; Michel‐Alexandre Cardin; J.J. Cilliers; Stanley Starr; Kathryn Hadler. Controlled user study on the role of situational awareness in design decisions for future lunar In-situ resource utilization systems (2026). doi:</w:t>
      </w:r>
      <w:r>
        <w:t xml:space="preserve"> </w:t>
      </w:r>
      <w:hyperlink r:id="rId170">
        <w:r>
          <w:rPr>
            <w:rStyle w:val="Hyperlink"/>
          </w:rPr>
          <w:t xml:space="preserve">10.1016/j.actaastro.2026.04.012</w:t>
        </w:r>
      </w:hyperlink>
    </w:p>
    <w:p>
      <w:pPr>
        <w:pStyle w:val="BodyText"/>
        <w:spacing w:line="480" w:lineRule="auto"/>
        <w:ind w:firstLine="720"/>
      </w:pPr>
      <w:bookmarkStart w:id="171" w:name="ref-12"/>
      <w:bookmarkEnd w:id="171"/>
      <w:r>
        <w:t xml:space="preserve">12. Scott Dorrington; John Olsen. Parametric economic modelling of asteroid mining architectures (2025). doi:</w:t>
      </w:r>
      <w:r>
        <w:t xml:space="preserve"> </w:t>
      </w:r>
      <w:hyperlink r:id="rId172">
        <w:r>
          <w:rPr>
            <w:rStyle w:val="Hyperlink"/>
          </w:rPr>
          <w:t xml:space="preserve">10.1016/j.actaastro.2025.11.006</w:t>
        </w:r>
      </w:hyperlink>
    </w:p>
    <w:p>
      <w:pPr>
        <w:pStyle w:val="BodyText"/>
        <w:spacing w:line="480" w:lineRule="auto"/>
        <w:ind w:firstLine="720"/>
      </w:pPr>
      <w:bookmarkStart w:id="173" w:name="ref-13"/>
      <w:bookmarkEnd w:id="173"/>
      <w:r>
        <w:t xml:space="preserve">13. Stefano Aliberti; Marco B. Quadrelli; Marcello Romano. A distributed space radar sounder using a cross-track flying tethered satellite system (2024). doi:</w:t>
      </w:r>
      <w:r>
        <w:t xml:space="preserve"> </w:t>
      </w:r>
      <w:hyperlink r:id="rId174">
        <w:r>
          <w:rPr>
            <w:rStyle w:val="Hyperlink"/>
          </w:rPr>
          <w:t xml:space="preserve">10.1016/j.actaastro.2024.05.018</w:t>
        </w:r>
      </w:hyperlink>
    </w:p>
    <w:p>
      <w:pPr>
        <w:pStyle w:val="BodyText"/>
        <w:spacing w:line="480" w:lineRule="auto"/>
        <w:ind w:firstLine="720"/>
      </w:pPr>
      <w:bookmarkStart w:id="175" w:name="ref-14"/>
      <w:bookmarkEnd w:id="175"/>
      <w:r>
        <w:t xml:space="preserve">14. Joshua F. Anderson; Michel‐Alexandre Cardin; Paul T. Grogan. Design and analysis of flexible multi-layer staged deployment for satellite mega-constellations under demand uncertainty (2022). doi:</w:t>
      </w:r>
      <w:r>
        <w:t xml:space="preserve"> </w:t>
      </w:r>
      <w:hyperlink r:id="rId176">
        <w:r>
          <w:rPr>
            <w:rStyle w:val="Hyperlink"/>
          </w:rPr>
          <w:t xml:space="preserve">10.1016/j.actaastro.2022.05.022</w:t>
        </w:r>
      </w:hyperlink>
    </w:p>
    <w:p>
      <w:pPr>
        <w:pStyle w:val="BodyText"/>
        <w:spacing w:line="480" w:lineRule="auto"/>
        <w:ind w:firstLine="720"/>
      </w:pPr>
      <w:bookmarkStart w:id="177" w:name="ref-15"/>
      <w:bookmarkEnd w:id="177"/>
      <w:r>
        <w:t xml:space="preserve">15. Aisha Parveen; Galina Vassilieva; Julia A. Popova; E. Fomina; Alexandra Savinkina; Carine Platat. Effects of an 8-month isolation on body composition and cardiopulmonary exercise testing: SIRIUS-21 space analog mission (2025). doi:</w:t>
      </w:r>
      <w:r>
        <w:t xml:space="preserve"> </w:t>
      </w:r>
      <w:hyperlink r:id="rId178">
        <w:r>
          <w:rPr>
            <w:rStyle w:val="Hyperlink"/>
          </w:rPr>
          <w:t xml:space="preserve">10.1016/j.actaastro.2025.10.028</w:t>
        </w:r>
      </w:hyperlink>
    </w:p>
    <w:p>
      <w:pPr>
        <w:pStyle w:val="BodyText"/>
        <w:spacing w:line="480" w:lineRule="auto"/>
        <w:ind w:firstLine="720"/>
      </w:pPr>
      <w:bookmarkStart w:id="179" w:name="ref-16"/>
      <w:bookmarkEnd w:id="179"/>
      <w:r>
        <w:t xml:space="preserve">16. Benjamin H. March; James Casler. Dust Storm: The cost-saving benefits of a compute cloud on Mars (2019). doi:</w:t>
      </w:r>
      <w:r>
        <w:t xml:space="preserve"> </w:t>
      </w:r>
      <w:hyperlink r:id="rId180">
        <w:r>
          <w:rPr>
            <w:rStyle w:val="Hyperlink"/>
          </w:rPr>
          <w:t xml:space="preserve">10.1016/j.actaastro.2019.11.029</w:t>
        </w:r>
      </w:hyperlink>
    </w:p>
    <w:bookmarkEnd w:id="181"/>
    <w:bookmarkEnd w:id="182"/>
    <w:bookmarkStart w:id="199"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0" w:name="Xce8e803ea56584cbe08308fcf2897c26d65cf8e"/>
    <w:p>
      <w:pPr>
        <w:pStyle w:val="Heading2"/>
        <w:spacing w:line="480" w:lineRule="auto"/>
      </w:pPr>
      <w:r>
        <w:t xml:space="preserve">A.1 Signal Intensity in Carrying Capacity as an Economic Limit estimating the rent-maximizing satellite: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83"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6.6599</w:t>
            </w:r>
          </w:p>
        </w:tc>
        <w:tc>
          <w:tcPr>
            <w:tcW w:w="0" w:type="auto"/>
          </w:tcPr>
          <w:p>
            <w:pPr>
              <w:spacing w:line="240" w:lineRule="auto" w:before="0" w:after="0"/>
              <w:pStyle w:val="Compact"/>
            </w:pPr>
            <w:r>
              <w:rPr>
                <w:sz w:val="20"/>
                <w:szCs w:val="20"/>
              </w:rPr>
              <w:t xml:space="preserve">2.2919</w:t>
            </w:r>
          </w:p>
        </w:tc>
        <w:tc>
          <w:tcPr>
            <w:tcW w:w="0" w:type="auto"/>
          </w:tcPr>
          <w:p>
            <w:pPr>
              <w:spacing w:line="240" w:lineRule="auto" w:before="0" w:after="0"/>
              <w:pStyle w:val="Compact"/>
            </w:pPr>
            <w:r>
              <w:rPr>
                <w:sz w:val="20"/>
                <w:szCs w:val="20"/>
              </w:rPr>
              <w:t xml:space="preserve">2.9059</w:t>
            </w:r>
          </w:p>
        </w:tc>
        <w:tc>
          <w:tcPr>
            <w:tcW w:w="0" w:type="auto"/>
          </w:tcPr>
          <w:p>
            <w:pPr>
              <w:spacing w:line="240" w:lineRule="auto" w:before="0" w:after="0"/>
              <w:pStyle w:val="Compact"/>
            </w:pPr>
            <w:r>
              <w:rPr>
                <w:sz w:val="20"/>
                <w:szCs w:val="20"/>
              </w:rPr>
              <w:t xml:space="preserve">0.0037</w:t>
            </w:r>
          </w:p>
        </w:tc>
        <w:tc>
          <w:tcPr>
            <w:tcW w:w="0" w:type="auto"/>
          </w:tcPr>
          <w:p>
            <w:pPr>
              <w:spacing w:line="240" w:lineRule="auto" w:before="0" w:after="0"/>
              <w:pStyle w:val="Compact"/>
            </w:pPr>
            <w:r>
              <w:rPr>
                <w:sz w:val="20"/>
                <w:szCs w:val="20"/>
              </w:rPr>
              <w:t xml:space="preserve">[2.1679, 11.1518]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-0.0698</w:t>
            </w:r>
          </w:p>
        </w:tc>
        <w:tc>
          <w:tcPr>
            <w:tcW w:w="0" w:type="auto"/>
          </w:tcPr>
          <w:p>
            <w:pPr>
              <w:spacing w:line="240" w:lineRule="auto" w:before="0" w:after="0"/>
              <w:pStyle w:val="Compact"/>
            </w:pPr>
            <w:r>
              <w:rPr>
                <w:sz w:val="20"/>
                <w:szCs w:val="20"/>
              </w:rPr>
              <w:t xml:space="preserve">0.1838</w:t>
            </w:r>
          </w:p>
        </w:tc>
        <w:tc>
          <w:tcPr>
            <w:tcW w:w="0" w:type="auto"/>
          </w:tcPr>
          <w:p>
            <w:pPr>
              <w:spacing w:line="240" w:lineRule="auto" w:before="0" w:after="0"/>
              <w:pStyle w:val="Compact"/>
            </w:pPr>
            <w:r>
              <w:rPr>
                <w:sz w:val="20"/>
                <w:szCs w:val="20"/>
              </w:rPr>
              <w:t xml:space="preserve">-0.3797</w:t>
            </w:r>
          </w:p>
        </w:tc>
        <w:tc>
          <w:tcPr>
            <w:tcW w:w="0" w:type="auto"/>
          </w:tcPr>
          <w:p>
            <w:pPr>
              <w:spacing w:line="240" w:lineRule="auto" w:before="0" w:after="0"/>
              <w:pStyle w:val="Compact"/>
            </w:pPr>
            <w:r>
              <w:rPr>
                <w:sz w:val="20"/>
                <w:szCs w:val="20"/>
              </w:rPr>
              <w:t xml:space="preserve">0.7042</w:t>
            </w:r>
          </w:p>
        </w:tc>
        <w:tc>
          <w:tcPr>
            <w:tcW w:w="0" w:type="auto"/>
          </w:tcPr>
          <w:p>
            <w:pPr>
              <w:spacing w:line="240" w:lineRule="auto" w:before="0" w:after="0"/>
              <w:pStyle w:val="Compact"/>
            </w:pPr>
            <w:r>
              <w:rPr>
                <w:sz w:val="20"/>
                <w:szCs w:val="20"/>
              </w:rPr>
              <w:t xml:space="preserve">[-0.4301, 0.2905]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-0.0424</w:t>
            </w:r>
          </w:p>
        </w:tc>
        <w:tc>
          <w:tcPr>
            <w:tcW w:w="0" w:type="auto"/>
          </w:tcPr>
          <w:p>
            <w:pPr>
              <w:spacing w:line="240" w:lineRule="auto" w:before="0" w:after="0"/>
              <w:pStyle w:val="Compact"/>
            </w:pPr>
            <w:r>
              <w:rPr>
                <w:sz w:val="20"/>
                <w:szCs w:val="20"/>
              </w:rPr>
              <w:t xml:space="preserve">0.0668</w:t>
            </w:r>
          </w:p>
        </w:tc>
        <w:tc>
          <w:tcPr>
            <w:tcW w:w="0" w:type="auto"/>
          </w:tcPr>
          <w:p>
            <w:pPr>
              <w:spacing w:line="240" w:lineRule="auto" w:before="0" w:after="0"/>
              <w:pStyle w:val="Compact"/>
            </w:pPr>
            <w:r>
              <w:rPr>
                <w:sz w:val="20"/>
                <w:szCs w:val="20"/>
              </w:rPr>
              <w:t xml:space="preserve">-0.6343</w:t>
            </w:r>
          </w:p>
        </w:tc>
        <w:tc>
          <w:tcPr>
            <w:tcW w:w="0" w:type="auto"/>
          </w:tcPr>
          <w:p>
            <w:pPr>
              <w:spacing w:line="240" w:lineRule="auto" w:before="0" w:after="0"/>
              <w:pStyle w:val="Compact"/>
            </w:pPr>
            <w:r>
              <w:rPr>
                <w:sz w:val="20"/>
                <w:szCs w:val="20"/>
              </w:rPr>
              <w:t xml:space="preserve">0.5259</w:t>
            </w:r>
          </w:p>
        </w:tc>
        <w:tc>
          <w:tcPr>
            <w:tcW w:w="0" w:type="auto"/>
          </w:tcPr>
          <w:p>
            <w:pPr>
              <w:spacing w:line="240" w:lineRule="auto" w:before="0" w:after="0"/>
              <w:pStyle w:val="Compact"/>
            </w:pPr>
            <w:r>
              <w:rPr>
                <w:sz w:val="20"/>
                <w:szCs w:val="20"/>
              </w:rPr>
              <w:t xml:space="preserve">[-0.1732, 0.0885]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-1.046</w:t>
            </w:r>
          </w:p>
        </w:tc>
        <w:tc>
          <w:tcPr>
            <w:tcW w:w="0" w:type="auto"/>
          </w:tcPr>
          <w:p>
            <w:pPr>
              <w:spacing w:line="240" w:lineRule="auto" w:before="0" w:after="0"/>
              <w:pStyle w:val="Compact"/>
            </w:pPr>
            <w:r>
              <w:rPr>
                <w:sz w:val="20"/>
                <w:szCs w:val="20"/>
              </w:rPr>
              <w:t xml:space="preserve">0.8118</w:t>
            </w:r>
          </w:p>
        </w:tc>
        <w:tc>
          <w:tcPr>
            <w:tcW w:w="0" w:type="auto"/>
          </w:tcPr>
          <w:p>
            <w:pPr>
              <w:spacing w:line="240" w:lineRule="auto" w:before="0" w:after="0"/>
              <w:pStyle w:val="Compact"/>
            </w:pPr>
            <w:r>
              <w:rPr>
                <w:sz w:val="20"/>
                <w:szCs w:val="20"/>
              </w:rPr>
              <w:t xml:space="preserve">-1.2884</w:t>
            </w:r>
          </w:p>
        </w:tc>
        <w:tc>
          <w:tcPr>
            <w:tcW w:w="0" w:type="auto"/>
          </w:tcPr>
          <w:p>
            <w:pPr>
              <w:spacing w:line="240" w:lineRule="auto" w:before="0" w:after="0"/>
              <w:pStyle w:val="Compact"/>
            </w:pPr>
            <w:r>
              <w:rPr>
                <w:sz w:val="20"/>
                <w:szCs w:val="20"/>
              </w:rPr>
              <w:t xml:space="preserve">0.1976</w:t>
            </w:r>
          </w:p>
        </w:tc>
        <w:tc>
          <w:tcPr>
            <w:tcW w:w="0" w:type="auto"/>
          </w:tcPr>
          <w:p>
            <w:pPr>
              <w:spacing w:line="240" w:lineRule="auto" w:before="0" w:after="0"/>
              <w:pStyle w:val="Compact"/>
            </w:pPr>
            <w:r>
              <w:rPr>
                <w:sz w:val="20"/>
                <w:szCs w:val="20"/>
              </w:rPr>
              <w:t xml:space="preserve">[-2.6371, 0.5452]</w:t>
            </w:r>
          </w:p>
        </w:tc>
      </w:tr>
    </w:tbl>
    <w:p>
      <w:pPr>
        <w:pStyle w:val="BodyText"/>
        <w:spacing w:line="480" w:lineRule="auto"/>
        <w:ind w:firstLine="720"/>
      </w:pPr>
      <w:r>
        <w:t xml:space="preserve">Fit: N = 30 R2 = 0.0938 R2_adj = -0.0108 F = 1.0028 F_p = 0.4073</w:t>
      </w:r>
    </w:p>
    <w:bookmarkEnd w:id="183"/>
    <w:bookmarkStart w:id="187"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5" name="Picture"/>
            <a:graphic>
              <a:graphicData uri="http://schemas.openxmlformats.org/drawingml/2006/picture">
                <pic:pic>
                  <pic:nvPicPr>
                    <pic:cNvPr descr="D:/Claude_Code/brain/collegium/candidates/dissertations/SPACE_ECON_08/research_papers/p1/paper_fig1.png" id="186" name="Picture"/>
                    <pic:cNvPicPr>
                      <a:picLocks noChangeArrowheads="1" noChangeAspect="1"/>
                    </pic:cNvPicPr>
                  </pic:nvPicPr>
                  <pic:blipFill>
                    <a:blip r:embed="rId1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7"/>
    <w:bookmarkStart w:id="188"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https://amostech.space/year/2022/leo-capacity-modeling-for-sustainable-design/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10.64861/UHIX1013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10.64861/DYBG6563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10.64861/EZRE5509</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https://amostech.space/year/2013/sizing-of-a-raven-class-telescope-using-performance-sensitivities/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https://amostech.space/year/2022/capacity-based-cislunar-space-domain-awareness-architecture-optimization/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10.64861/DDFP2152</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10.64861/CKGQ5448</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10.1016/j.actaastro.2024.07.022</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10.1016/j.actaastro.2026.04.012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10.1016/j.actaastro.2024.05.018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10.1016/j.actaastro.2022.05.022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10.1016/j.actaastro.2025.10.028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10.1016/j.actaastro.2019.11.029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10.1016/j.actaastro.2021.01.009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10.1016/j.actaastro.2018.05.040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10.1016/j.actaastro.2025.03.025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10.1016/j.actaastro.2021.01.050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LEO Capacity Modeling for Sustainable Design (AMOS)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Roadmap: Australia Economic-Technological Renaissance in Space</w:t>
            </w:r>
          </w:p>
        </w:tc>
      </w:tr>
    </w:tbl>
    <w:bookmarkEnd w:id="188"/>
    <w:bookmarkStart w:id="189"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9"/>
    <w:bookmarkEnd w:id="190"/>
    <w:bookmarkStart w:id="198" w:name="Xbcfead311562bea9c141cc82bd054b3c257a458"/>
    <w:p>
      <w:pPr>
        <w:pStyle w:val="Heading2"/>
        <w:spacing w:line="480" w:lineRule="auto"/>
      </w:pPr>
      <w:r>
        <w:t xml:space="preserve">A.2 Attention Accumulation in Carrying Capacity as an Economic Limit estimating the rent-maximizing satellite: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1"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0.397</w:t>
            </w:r>
          </w:p>
        </w:tc>
        <w:tc>
          <w:tcPr>
            <w:tcW w:w="0" w:type="auto"/>
          </w:tcPr>
          <w:p>
            <w:pPr>
              <w:spacing w:line="240" w:lineRule="auto" w:before="0" w:after="0"/>
              <w:pStyle w:val="Compact"/>
            </w:pPr>
            <w:r>
              <w:rPr>
                <w:sz w:val="20"/>
                <w:szCs w:val="20"/>
              </w:rPr>
              <w:t xml:space="preserve">0.4043</w:t>
            </w:r>
          </w:p>
        </w:tc>
        <w:tc>
          <w:tcPr>
            <w:tcW w:w="0" w:type="auto"/>
          </w:tcPr>
          <w:p>
            <w:pPr>
              <w:spacing w:line="240" w:lineRule="auto" w:before="0" w:after="0"/>
              <w:pStyle w:val="Compact"/>
            </w:pPr>
            <w:r>
              <w:rPr>
                <w:sz w:val="20"/>
                <w:szCs w:val="20"/>
              </w:rPr>
              <w:t xml:space="preserve">0.982</w:t>
            </w:r>
          </w:p>
        </w:tc>
        <w:tc>
          <w:tcPr>
            <w:tcW w:w="0" w:type="auto"/>
          </w:tcPr>
          <w:p>
            <w:pPr>
              <w:spacing w:line="240" w:lineRule="auto" w:before="0" w:after="0"/>
              <w:pStyle w:val="Compact"/>
            </w:pPr>
            <w:r>
              <w:rPr>
                <w:sz w:val="20"/>
                <w:szCs w:val="20"/>
              </w:rPr>
              <w:t xml:space="preserve">0.3261</w:t>
            </w:r>
          </w:p>
        </w:tc>
        <w:tc>
          <w:tcPr>
            <w:tcW w:w="0" w:type="auto"/>
          </w:tcPr>
          <w:p>
            <w:pPr>
              <w:spacing w:line="240" w:lineRule="auto" w:before="0" w:after="0"/>
              <w:pStyle w:val="Compact"/>
            </w:pPr>
            <w:r>
              <w:rPr>
                <w:sz w:val="20"/>
                <w:szCs w:val="20"/>
              </w:rPr>
              <w:t xml:space="preserve">[-0.3954, 1.1894]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0.2076</w:t>
            </w:r>
          </w:p>
        </w:tc>
        <w:tc>
          <w:tcPr>
            <w:tcW w:w="0" w:type="auto"/>
          </w:tcPr>
          <w:p>
            <w:pPr>
              <w:spacing w:line="240" w:lineRule="auto" w:before="0" w:after="0"/>
              <w:pStyle w:val="Compact"/>
            </w:pPr>
            <w:r>
              <w:rPr>
                <w:sz w:val="20"/>
                <w:szCs w:val="20"/>
              </w:rPr>
              <w:t xml:space="preserve">0.3116</w:t>
            </w:r>
          </w:p>
        </w:tc>
        <w:tc>
          <w:tcPr>
            <w:tcW w:w="0" w:type="auto"/>
          </w:tcPr>
          <w:p>
            <w:pPr>
              <w:spacing w:line="240" w:lineRule="auto" w:before="0" w:after="0"/>
              <w:pStyle w:val="Compact"/>
            </w:pPr>
            <w:r>
              <w:rPr>
                <w:sz w:val="20"/>
                <w:szCs w:val="20"/>
              </w:rPr>
              <w:t xml:space="preserve">0.6661</w:t>
            </w:r>
          </w:p>
        </w:tc>
        <w:tc>
          <w:tcPr>
            <w:tcW w:w="0" w:type="auto"/>
          </w:tcPr>
          <w:p>
            <w:pPr>
              <w:spacing w:line="240" w:lineRule="auto" w:before="0" w:after="0"/>
              <w:pStyle w:val="Compact"/>
            </w:pPr>
            <w:r>
              <w:rPr>
                <w:sz w:val="20"/>
                <w:szCs w:val="20"/>
              </w:rPr>
              <w:t xml:space="preserve">0.5053</w:t>
            </w:r>
          </w:p>
        </w:tc>
        <w:tc>
          <w:tcPr>
            <w:tcW w:w="0" w:type="auto"/>
          </w:tcPr>
          <w:p>
            <w:pPr>
              <w:spacing w:line="240" w:lineRule="auto" w:before="0" w:after="0"/>
              <w:pStyle w:val="Compact"/>
            </w:pPr>
            <w:r>
              <w:rPr>
                <w:sz w:val="20"/>
                <w:szCs w:val="20"/>
              </w:rPr>
              <w:t xml:space="preserve">[-0.4031, 0.8182]</w:t>
            </w:r>
          </w:p>
        </w:tc>
      </w:tr>
    </w:tbl>
    <w:p>
      <w:pPr>
        <w:pStyle w:val="BodyText"/>
        <w:spacing w:line="480" w:lineRule="auto"/>
        <w:ind w:firstLine="720"/>
      </w:pPr>
      <w:r>
        <w:t xml:space="preserve">Fit: N = 30 R2 = 0.0123 elasticity_b = 0.2076 progress_ratio_2^b = 1.1547</w:t>
      </w:r>
    </w:p>
    <w:bookmarkEnd w:id="191"/>
    <w:bookmarkStart w:id="195"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93" name="Picture"/>
            <a:graphic>
              <a:graphicData uri="http://schemas.openxmlformats.org/drawingml/2006/picture">
                <pic:pic>
                  <pic:nvPicPr>
                    <pic:cNvPr descr="D:/Claude_Code/brain/collegium/candidates/dissertations/SPACE_ECON_08/research_papers/p2/paper_fig1.png" id="194" name="Picture"/>
                    <pic:cNvPicPr>
                      <a:picLocks noChangeArrowheads="1" noChangeAspect="1"/>
                    </pic:cNvPicPr>
                  </pic:nvPicPr>
                  <pic:blipFill>
                    <a:blip r:embed="rId19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5"/>
    <w:bookmarkStart w:id="196"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https://amostech.space/year/2022/leo-capacity-modeling-for-sustainable-design/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10.64861/UHIX1013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10.64861/DYBG6563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10.64861/EZRE5509</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https://amostech.space/year/2013/sizing-of-a-raven-class-telescope-using-performance-sensitivities/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https://amostech.space/year/2022/capacity-based-cislunar-space-domain-awareness-architecture-optimization/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10.64861/DDFP2152</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10.64861/CKGQ5448</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10.1016/j.actaastro.2024.07.022</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10.1016/j.actaastro.2026.04.012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10.1016/j.actaastro.2024.05.018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10.1016/j.actaastro.2022.05.022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10.1016/j.actaastro.2025.10.028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10.1016/j.actaastro.2019.11.029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10.1016/j.actaastro.2021.01.009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10.1016/j.actaastro.2018.05.040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10.1016/j.actaastro.2025.03.025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10.1016/j.actaastro.2021.01.050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LEO Capacity Modeling for Sustainable Design (AMOS)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Roadmap: Australia Economic-Technological Renaissance in Space</w:t>
            </w:r>
          </w:p>
        </w:tc>
      </w:tr>
    </w:tbl>
    <w:bookmarkEnd w:id="196"/>
    <w:bookmarkStart w:id="197"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7"/>
    <w:bookmarkEnd w:id="198"/>
    <w:bookmarkEnd w:id="19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4" Type="http://schemas.openxmlformats.org/officeDocument/2006/relationships/image" Target="media/rId184.png"/><Relationship Id="rId192" Type="http://schemas.openxmlformats.org/officeDocument/2006/relationships/image" Target="media/rId192.png"/><Relationship Id="rId180" Type="http://schemas.openxmlformats.org/officeDocument/2006/relationships/hyperlink" Target="https://doi.org/10.1016/j.actaastro.2019.11.029" TargetMode="External"/><Relationship Id="rId176" Type="http://schemas.openxmlformats.org/officeDocument/2006/relationships/hyperlink" Target="https://doi.org/10.1016/j.actaastro.2022.05.022" TargetMode="External"/><Relationship Id="rId174" Type="http://schemas.openxmlformats.org/officeDocument/2006/relationships/hyperlink" Target="https://doi.org/10.1016/j.actaastro.2024.05.018" TargetMode="External"/><Relationship Id="rId168" Type="http://schemas.openxmlformats.org/officeDocument/2006/relationships/hyperlink" Target="https://doi.org/10.1016/j.actaastro.2024.07.022" TargetMode="External"/><Relationship Id="rId166" Type="http://schemas.openxmlformats.org/officeDocument/2006/relationships/hyperlink" Target="https://doi.org/10.1016/j.actaastro.2025.01.069" TargetMode="External"/><Relationship Id="rId178" Type="http://schemas.openxmlformats.org/officeDocument/2006/relationships/hyperlink" Target="https://doi.org/10.1016/j.actaastro.2025.10.028" TargetMode="External"/><Relationship Id="rId172" Type="http://schemas.openxmlformats.org/officeDocument/2006/relationships/hyperlink" Target="https://doi.org/10.1016/j.actaastro.2025.11.006" TargetMode="External"/><Relationship Id="rId170" Type="http://schemas.openxmlformats.org/officeDocument/2006/relationships/hyperlink" Target="https://doi.org/10.1016/j.actaastro.2026.04.012" TargetMode="External"/><Relationship Id="rId161" Type="http://schemas.openxmlformats.org/officeDocument/2006/relationships/hyperlink" Target="https://doi.org/10.64861/DYBG6563" TargetMode="External"/><Relationship Id="rId163" Type="http://schemas.openxmlformats.org/officeDocument/2006/relationships/hyperlink" Target="https://doi.org/10.64861/EZRE5509" TargetMode="External"/><Relationship Id="rId158" Type="http://schemas.openxmlformats.org/officeDocument/2006/relationships/hyperlink" Target="https://doi.org/10.64861/UHIX1013" TargetMode="External"/><Relationship Id="rId156" Type="http://schemas.openxmlformats.org/officeDocument/2006/relationships/hyperlink" Target="https://doi.org/10.64861/ZFDQ4641" TargetMode="External"/></Relationships>
</file>

<file path=word/_rels/footnotes.xml.rels><?xml version='1.0' encoding='UTF-8' standalone='yes'?>
<Relationships xmlns="http://schemas.openxmlformats.org/package/2006/relationships"><Relationship Id="rId180" Type="http://schemas.openxmlformats.org/officeDocument/2006/relationships/hyperlink" Target="https://doi.org/10.1016/j.actaastro.2019.11.029" TargetMode="External"/><Relationship Id="rId176" Type="http://schemas.openxmlformats.org/officeDocument/2006/relationships/hyperlink" Target="https://doi.org/10.1016/j.actaastro.2022.05.022" TargetMode="External"/><Relationship Id="rId174" Type="http://schemas.openxmlformats.org/officeDocument/2006/relationships/hyperlink" Target="https://doi.org/10.1016/j.actaastro.2024.05.018" TargetMode="External"/><Relationship Id="rId168" Type="http://schemas.openxmlformats.org/officeDocument/2006/relationships/hyperlink" Target="https://doi.org/10.1016/j.actaastro.2024.07.022" TargetMode="External"/><Relationship Id="rId166" Type="http://schemas.openxmlformats.org/officeDocument/2006/relationships/hyperlink" Target="https://doi.org/10.1016/j.actaastro.2025.01.069" TargetMode="External"/><Relationship Id="rId178" Type="http://schemas.openxmlformats.org/officeDocument/2006/relationships/hyperlink" Target="https://doi.org/10.1016/j.actaastro.2025.10.028" TargetMode="External"/><Relationship Id="rId172" Type="http://schemas.openxmlformats.org/officeDocument/2006/relationships/hyperlink" Target="https://doi.org/10.1016/j.actaastro.2025.11.006" TargetMode="External"/><Relationship Id="rId170" Type="http://schemas.openxmlformats.org/officeDocument/2006/relationships/hyperlink" Target="https://doi.org/10.1016/j.actaastro.2026.04.012" TargetMode="External"/><Relationship Id="rId161" Type="http://schemas.openxmlformats.org/officeDocument/2006/relationships/hyperlink" Target="https://doi.org/10.64861/DYBG6563" TargetMode="External"/><Relationship Id="rId163" Type="http://schemas.openxmlformats.org/officeDocument/2006/relationships/hyperlink" Target="https://doi.org/10.64861/EZRE5509" TargetMode="External"/><Relationship Id="rId158" Type="http://schemas.openxmlformats.org/officeDocument/2006/relationships/hyperlink" Target="https://doi.org/10.64861/UHIX1013" TargetMode="External"/><Relationship Id="rId156" Type="http://schemas.openxmlformats.org/officeDocument/2006/relationships/hyperlink" Target="https://doi.org/10.64861/ZFDQ46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Carrying Capacity as an Economic Limit: estimating the rent-maximizing satellite</dc:title>
  <dc:creator>Nia Haddad (1B-ECO-227)</dc:creator>
  <cp:keywords/>
  <dcterms:created xsi:type="dcterms:W3CDTF">2026-07-02T23:08:43Z</dcterms:created>
  <dcterms:modified xsi:type="dcterms:W3CDTF">2026-07-02T23:08:43Z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