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7ef7f72d02cc5b75b522b807ee5ee58160de356"/>
    <w:p>
      <w:pPr>
        <w:pStyle w:val="Heading1"/>
      </w:pPr>
      <w:r>
        <w:t xml:space="preserve">Attention Accumulation in The Insurance Mirror do space-insurance premiums price orbital-debris risk befo: A Learning-Curve Analysis of Citation Growth by Article Age</w:t>
      </w:r>
    </w:p>
    <w:bookmarkStart w:id="61" w:name="introduction"/>
    <w:p>
      <w:pPr>
        <w:pStyle w:val="Heading2"/>
      </w:pPr>
      <w:r>
        <w:t xml:space="preserve">1. Introduction</w:t>
      </w:r>
    </w:p>
    <w:p>
      <w:pPr>
        <w:pStyle w:val="FirstParagraph"/>
      </w:pPr>
      <w:r>
        <w:t xml:space="preserve">This empirical paper supports Nikolai Yates (1B-ECO-204) and the dissertation project</w:t>
      </w:r>
      <w:r>
        <w:t xml:space="preserve"> </w:t>
      </w:r>
      <w:r>
        <w:rPr>
          <w:i/>
          <w:iCs/>
        </w:rPr>
        <w:t xml:space="preserve">The Insurance Mirror: do space-insurance premiums price orbital-debris risk befo</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R2=0.020004824610425853, elasticity_b=-0.20652419038636552, progress_ratio_2^b=0.8666226266950048. The exact term summary is: const coef=1.064019627806907 p=0.004354493651082429; _ln_x coef=-0.20652419038636552 p=0.3142265986862943.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Todd Harrison, Center for Strategic and International Studies. International Perspectives on Space Weapons (2020). [AMOS]</w:t>
      </w:r>
      <w:r>
        <w:t xml:space="preserve"> </w:t>
      </w:r>
      <w:bookmarkStart w:id="68" w:name="ref-2"/>
      <w:bookmarkEnd w:id="68"/>
      <w:r>
        <w:t xml:space="preserve">2. Dr. Darren McKnight (Integrity Applications Inc.). Pay Me Now or Pay Me More Later: Start the Development of Active Orbital Debris Removal Now (2010). [AMOS]</w:t>
      </w:r>
      <w:r>
        <w:t xml:space="preserve"> </w:t>
      </w:r>
      <w:bookmarkStart w:id="69" w:name="ref-3"/>
      <w:bookmarkEnd w:id="69"/>
      <w:r>
        <w:t xml:space="preserve">3. Kristin Shahady, University of North Dakota. The Future Risk of Space Debris and Contested Environments Increases the Intrinsic and Actual Cost of GEO Slots (2023). doi:</w:t>
      </w:r>
      <w:r>
        <w:t xml:space="preserve"> </w:t>
      </w:r>
      <w:hyperlink r:id="rId70">
        <w:r>
          <w:rPr>
            <w:rStyle w:val="Hyperlink"/>
          </w:rPr>
          <w:t xml:space="preserve">10.64861/DYBG6563</w:t>
        </w:r>
      </w:hyperlink>
      <w:r>
        <w:t xml:space="preserve"> </w:t>
      </w:r>
      <w:bookmarkStart w:id="71" w:name="ref-4"/>
      <w:bookmarkEnd w:id="71"/>
      <w:r>
        <w:t xml:space="preserve">4. Selma Zamoum, SpaceAble France; Thomas Husson, SpaceAble France; Fatoumata Kebe, SpaceAble France; Mathieu Barthélémy, IPAG-OSUG/CSUG; Benjamin Gigleux, SpaceAble France; Jacques Sombrin, TéSA Laboratory; Franck Durand-Carrier, TéSA Laboratory and CNES. A Complete SSA Scheme for a Sustainable Low Earth Orbit: Space Data Aggregation and IA Combined with In-orbit Inspection (2021). [AMOS]</w:t>
      </w:r>
      <w:r>
        <w:t xml:space="preserve"> </w:t>
      </w:r>
      <w:bookmarkStart w:id="72" w:name="ref-5"/>
      <w:bookmarkEnd w:id="72"/>
      <w:r>
        <w:t xml:space="preserve">5.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73">
        <w:r>
          <w:rPr>
            <w:rStyle w:val="Hyperlink"/>
          </w:rPr>
          <w:t xml:space="preserve">10.64861/CEPU7718</w:t>
        </w:r>
      </w:hyperlink>
      <w:r>
        <w:t xml:space="preserve"> </w:t>
      </w:r>
      <w:bookmarkStart w:id="74" w:name="ref-6"/>
      <w:bookmarkEnd w:id="74"/>
      <w:r>
        <w:t xml:space="preserve">6. Yasir Latif, Space Protocol; Anirban Chowdhury, Space Protocol; Samya Bagchi, Space Protocol. On-chain Validation of Tracking Data Messages (TDM) Using Distributed Deep Learning on a Proof of Stake (PoS) Blockchain (2024). doi:</w:t>
      </w:r>
      <w:r>
        <w:t xml:space="preserve"> </w:t>
      </w:r>
      <w:hyperlink r:id="rId75">
        <w:r>
          <w:rPr>
            <w:rStyle w:val="Hyperlink"/>
          </w:rPr>
          <w:t xml:space="preserve">10.64861/OHUO6863</w:t>
        </w:r>
      </w:hyperlink>
      <w:r>
        <w:t xml:space="preserve"> </w:t>
      </w:r>
      <w:bookmarkStart w:id="76" w:name="ref-7"/>
      <w:bookmarkEnd w:id="76"/>
      <w:r>
        <w:t xml:space="preserve">7. Mark Ackermann, Sandia National Laboratories, David Cox, Sandia National Laboratories, John McGraw, J.T. McGraw &amp; Associates, Peter Zimmer, J.T. McGraw &amp; Associates. Lens and Camera Arrays for Sky Surveys and Space Surveillance (2016). [AMOS]</w:t>
      </w:r>
      <w:r>
        <w:t xml:space="preserve"> </w:t>
      </w:r>
      <w:bookmarkStart w:id="77" w:name="ref-8"/>
      <w:bookmarkEnd w:id="77"/>
      <w:r>
        <w:t xml:space="preserve">8. David Wick (Sandia National Laboratories), Brett E. Bagwell (Sandia National Laboratories), William C. Sweatt (Sandia National Laboratories), William D. Cowan (Sandia National Laboratories), Olga B. Spahn (Sandia National Laboratories), Gary L. Peterson (Breault Research Organization), Ty Martinez (Naval Research Laboratory, c/oAFRL/DES), Sergio R. Restaino (Naval Research Laboratory, c/oAFRL/DES), Jonathan R. Andrews (Naval Research Laboratory, c/oAFRL/DES), Christopher C. Wilcox (Naval Research Laboratory, c/oAFRL/DES), Don M. Payne (Narrascape), Robert Romeo (Composite Mirror Applications, Inc.). Lightweight, Active Optics for Space and Near Space (2006). [AMOS]</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0.3732</w:t>
            </w:r>
          </w:p>
        </w:tc>
        <w:tc>
          <w:tcPr>
            <w:tcW w:w="0" w:type="auto"/>
          </w:tcPr>
          <w:p>
            <w:pPr>
              <w:spacing w:line="240" w:lineRule="auto" w:before="0" w:after="0"/>
              <w:pStyle w:val="Compact"/>
            </w:pPr>
            <w:r>
              <w:rPr>
                <w:sz w:val="20"/>
                <w:szCs w:val="20"/>
              </w:rPr>
              <w:t xml:space="preserve">2.8513</w:t>
            </w:r>
          </w:p>
        </w:tc>
        <w:tc>
          <w:tcPr>
            <w:tcW w:w="0" w:type="auto"/>
          </w:tcPr>
          <w:p>
            <w:pPr>
              <w:spacing w:line="240" w:lineRule="auto" w:before="0" w:after="0"/>
              <w:pStyle w:val="Compact"/>
            </w:pPr>
            <w:r>
              <w:rPr>
                <w:sz w:val="20"/>
                <w:szCs w:val="20"/>
              </w:rPr>
              <w:t xml:space="preserve">0.0044</w:t>
            </w:r>
          </w:p>
        </w:tc>
        <w:tc>
          <w:tcPr>
            <w:tcW w:w="0" w:type="auto"/>
          </w:tcPr>
          <w:p>
            <w:pPr>
              <w:spacing w:line="240" w:lineRule="auto" w:before="0" w:after="0"/>
              <w:pStyle w:val="Compact"/>
            </w:pPr>
            <w:r>
              <w:rPr>
                <w:sz w:val="20"/>
                <w:szCs w:val="20"/>
              </w:rPr>
              <w:t xml:space="preserve">[0.3326, 1.7954]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-0.2065</w:t>
            </w:r>
          </w:p>
        </w:tc>
        <w:tc>
          <w:tcPr>
            <w:tcW w:w="0" w:type="auto"/>
          </w:tcPr>
          <w:p>
            <w:pPr>
              <w:spacing w:line="240" w:lineRule="auto" w:before="0" w:after="0"/>
              <w:pStyle w:val="Compact"/>
            </w:pPr>
            <w:r>
              <w:rPr>
                <w:sz w:val="20"/>
                <w:szCs w:val="20"/>
              </w:rPr>
              <w:t xml:space="preserve">0.2052</w:t>
            </w:r>
          </w:p>
        </w:tc>
        <w:tc>
          <w:tcPr>
            <w:tcW w:w="0" w:type="auto"/>
          </w:tcPr>
          <w:p>
            <w:pPr>
              <w:spacing w:line="240" w:lineRule="auto" w:before="0" w:after="0"/>
              <w:pStyle w:val="Compact"/>
            </w:pPr>
            <w:r>
              <w:rPr>
                <w:sz w:val="20"/>
                <w:szCs w:val="20"/>
              </w:rPr>
              <w:t xml:space="preserve">-1.0064</w:t>
            </w:r>
          </w:p>
        </w:tc>
        <w:tc>
          <w:tcPr>
            <w:tcW w:w="0" w:type="auto"/>
          </w:tcPr>
          <w:p>
            <w:pPr>
              <w:spacing w:line="240" w:lineRule="auto" w:before="0" w:after="0"/>
              <w:pStyle w:val="Compact"/>
            </w:pPr>
            <w:r>
              <w:rPr>
                <w:sz w:val="20"/>
                <w:szCs w:val="20"/>
              </w:rPr>
              <w:t xml:space="preserve">0.3142</w:t>
            </w:r>
          </w:p>
        </w:tc>
        <w:tc>
          <w:tcPr>
            <w:tcW w:w="0" w:type="auto"/>
          </w:tcPr>
          <w:p>
            <w:pPr>
              <w:spacing w:line="240" w:lineRule="auto" w:before="0" w:after="0"/>
              <w:pStyle w:val="Compact"/>
            </w:pPr>
            <w:r>
              <w:rPr>
                <w:sz w:val="20"/>
                <w:szCs w:val="20"/>
              </w:rPr>
              <w:t xml:space="preserve">[-0.6087, 0.1957]</w:t>
            </w:r>
          </w:p>
        </w:tc>
      </w:tr>
    </w:tbl>
    <w:p>
      <w:pPr>
        <w:pStyle w:val="BodyText"/>
      </w:pPr>
      <w:r>
        <w:t xml:space="preserve">Fit: N = 30 R2 = 0.02 elasticity_b = -0.2065 progress_ratio_2^b = 0.8666</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SPACE_ECON_07\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https://amostech.space/year/2010/pay-me-now-or-pay-me-more-later-start-the-development-of-active-orbital-debris-removal-now/</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https://amostech.space/year/2016/lens-and-camera-arrays-for-sky-surveys-and-space-surveillance/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https://amostech.space/year/2006/lightweight-active-optics-for-space-and-near-space/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https://amostech.space/year/2011/commercially-hosted-payloads-for-debris-monitoringand-mission-assurance-in-geo/</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https://amostech.space/year/2013/lightforce-photon-pressure-collision-avoidance-efficiency-assessment-on-an-entire-catalogue-of-space-debris/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10.64861/LBPZ7861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10.1016/j.actaastro.2020.11.040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 Me Now or Pay Me More Later: Start ADR Now (AMOS)</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0.3732</w:t>
            </w:r>
          </w:p>
        </w:tc>
        <w:tc>
          <w:tcPr>
            <w:tcW w:w="0" w:type="auto"/>
          </w:tcPr>
          <w:p>
            <w:pPr>
              <w:spacing w:line="240" w:lineRule="auto" w:before="0" w:after="0"/>
              <w:pStyle w:val="Compact"/>
            </w:pPr>
            <w:r>
              <w:rPr>
                <w:sz w:val="20"/>
                <w:szCs w:val="20"/>
              </w:rPr>
              <w:t xml:space="preserve">2.8513</w:t>
            </w:r>
          </w:p>
        </w:tc>
        <w:tc>
          <w:tcPr>
            <w:tcW w:w="0" w:type="auto"/>
          </w:tcPr>
          <w:p>
            <w:pPr>
              <w:spacing w:line="240" w:lineRule="auto" w:before="0" w:after="0"/>
              <w:pStyle w:val="Compact"/>
            </w:pPr>
            <w:r>
              <w:rPr>
                <w:sz w:val="20"/>
                <w:szCs w:val="20"/>
              </w:rPr>
              <w:t xml:space="preserve">0.0044</w:t>
            </w:r>
          </w:p>
        </w:tc>
        <w:tc>
          <w:tcPr>
            <w:tcW w:w="0" w:type="auto"/>
          </w:tcPr>
          <w:p>
            <w:pPr>
              <w:spacing w:line="240" w:lineRule="auto" w:before="0" w:after="0"/>
              <w:pStyle w:val="Compact"/>
            </w:pPr>
            <w:r>
              <w:rPr>
                <w:sz w:val="20"/>
                <w:szCs w:val="20"/>
              </w:rPr>
              <w:t xml:space="preserve">[0.3326, 1.7954]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-0.2065</w:t>
            </w:r>
          </w:p>
        </w:tc>
        <w:tc>
          <w:tcPr>
            <w:tcW w:w="0" w:type="auto"/>
          </w:tcPr>
          <w:p>
            <w:pPr>
              <w:spacing w:line="240" w:lineRule="auto" w:before="0" w:after="0"/>
              <w:pStyle w:val="Compact"/>
            </w:pPr>
            <w:r>
              <w:rPr>
                <w:sz w:val="20"/>
                <w:szCs w:val="20"/>
              </w:rPr>
              <w:t xml:space="preserve">0.2052</w:t>
            </w:r>
          </w:p>
        </w:tc>
        <w:tc>
          <w:tcPr>
            <w:tcW w:w="0" w:type="auto"/>
          </w:tcPr>
          <w:p>
            <w:pPr>
              <w:spacing w:line="240" w:lineRule="auto" w:before="0" w:after="0"/>
              <w:pStyle w:val="Compact"/>
            </w:pPr>
            <w:r>
              <w:rPr>
                <w:sz w:val="20"/>
                <w:szCs w:val="20"/>
              </w:rPr>
              <w:t xml:space="preserve">-1.0064</w:t>
            </w:r>
          </w:p>
        </w:tc>
        <w:tc>
          <w:tcPr>
            <w:tcW w:w="0" w:type="auto"/>
          </w:tcPr>
          <w:p>
            <w:pPr>
              <w:spacing w:line="240" w:lineRule="auto" w:before="0" w:after="0"/>
              <w:pStyle w:val="Compact"/>
            </w:pPr>
            <w:r>
              <w:rPr>
                <w:sz w:val="20"/>
                <w:szCs w:val="20"/>
              </w:rPr>
              <w:t xml:space="preserve">0.3142</w:t>
            </w:r>
          </w:p>
        </w:tc>
        <w:tc>
          <w:tcPr>
            <w:tcW w:w="0" w:type="auto"/>
          </w:tcPr>
          <w:p>
            <w:pPr>
              <w:spacing w:line="240" w:lineRule="auto" w:before="0" w:after="0"/>
              <w:pStyle w:val="Compact"/>
            </w:pPr>
            <w:r>
              <w:rPr>
                <w:sz w:val="20"/>
                <w:szCs w:val="20"/>
              </w:rPr>
              <w:t xml:space="preserve">[-0.6087, 0.1957]</w:t>
            </w:r>
          </w:p>
        </w:tc>
      </w:tr>
    </w:tbl>
    <w:p>
      <w:pPr>
        <w:pStyle w:val="BodyText"/>
      </w:pPr>
      <w:r>
        <w:t xml:space="preserve">Fit: N = 30 R2 = 0.02 elasticity_b = -0.2065 progress_ratio_2^b = 0.8666</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3" Target="https://doi.org/10.64861/CEPU7718" TargetMode="External" /><Relationship Type="http://schemas.openxmlformats.org/officeDocument/2006/relationships/hyperlink" Id="rId70" Target="https://doi.org/10.64861/DYBG6563" TargetMode="External" /><Relationship Type="http://schemas.openxmlformats.org/officeDocument/2006/relationships/hyperlink" Id="rId75" Target="https://doi.org/10.64861/OHUO6863"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CEPU7718" TargetMode="External" /><Relationship Type="http://schemas.openxmlformats.org/officeDocument/2006/relationships/hyperlink" Id="rId70" Target="https://doi.org/10.64861/DYBG6563" TargetMode="External" /><Relationship Type="http://schemas.openxmlformats.org/officeDocument/2006/relationships/hyperlink" Id="rId75" Target="https://doi.org/10.64861/OHUO686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2026-06-29T09:37:43Z</dcterms:created>
  <dcterms:modified xsi:type="dcterms:W3CDTF">2026-06-29T09:37:43Z</dcterms:modified>
</cp:coreProperties>
</file>

<file path=docProps/custom.xml><?xml version="1.0" encoding="utf-8"?>
<Properties xmlns="http://schemas.openxmlformats.org/officeDocument/2006/custom-properties" xmlns:vt="http://schemas.openxmlformats.org/officeDocument/2006/docPropsVTypes"/>
</file>