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INSURANCE MIRROR: DO SPACE-INSURANCE PREMIUMS PRICE ORBITAL-DEBRIS RISK BEFO</w:t>
      </w:r>
    </w:p>
    <w:p>
      <w:pPr>
        <w:jc w:val="center"/>
      </w:pPr>
    </w:p>
    <w:p>
      <w:pPr>
        <w:jc w:val="center"/>
      </w:pPr>
      <w:r>
        <w:rPr>
          <w:rFonts w:ascii="Times New Roman" w:hAnsi="Times New Roman"/>
          <w:sz w:val="24"/>
        </w:rPr>
        <w:t>by</w:t>
      </w:r>
    </w:p>
    <w:p>
      <w:pPr>
        <w:jc w:val="center"/>
      </w:pPr>
      <w:r>
        <w:rPr>
          <w:rFonts w:ascii="Times New Roman" w:hAnsi="Times New Roman"/>
          <w:b/>
          <w:sz w:val="28"/>
        </w:rPr>
        <w:t>Nikolai Yates</w:t>
      </w:r>
    </w:p>
    <w:p>
      <w:pPr>
        <w:jc w:val="center"/>
      </w:pPr>
      <w:r>
        <w:rPr>
          <w:rFonts w:ascii="Times New Roman" w:hAnsi="Times New Roman"/>
          <w:sz w:val="24"/>
        </w:rPr>
        <w:t>1B-ECO-204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Orbital debris is a price problem before it is a physics problem.</w:t>
      </w:r>
    </w:p>
    <w:p>
      <w:pPr>
        <w:pStyle w:val="BodyText"/>
        <w:spacing w:line="480" w:lineRule="auto"/>
        <w:ind w:firstLine="720"/>
      </w:pPr>
      <w:r>
        <w:t xml:space="preserve">The point is narrow.</w:t>
      </w:r>
    </w:p>
    <w:p>
      <w:pPr>
        <w:pStyle w:val="BodyText"/>
        <w:spacing w:line="480" w:lineRule="auto"/>
        <w:ind w:firstLine="720"/>
      </w:pPr>
      <w:r>
        <w:t xml:space="preserve">The physics is settled enough for engineers to model a collision cascade, and the governance debate has been rehearsed for two decades, yet the question that decides whether anyone acts early is narrower and more awkward: does the money move before the mandate does? This dissertation takes that awkward question and turns it into something a reader can check. It asks whether the market that is supposed to price orbital risk, the space-insurance market, and the scholarly literature that tracks that risk, register the danger of a crowded orbit before regulators write the rule that would force operators to internalize it. The title frames the inquiry as a mirror. If premiums and citation attention reflect debris risk ahead of institutional response, then the market is doing part of the governance job on its own, quietly, through the cost of capital and the cost of coverage. If they do not, then the case for a public rule is stronger, because the private signal is arriving too late to discipline behavior. Either answer matters. Neither answer is available for free. The contribution of this project is to make one small, falsifiable version of that answer available from evidence that can be inspected line by line.</w:t>
      </w:r>
    </w:p>
    <w:bookmarkStart w:id="61" w:name="the-stakes"/>
    <w:p>
      <w:pPr>
        <w:pStyle w:val="Heading2"/>
        <w:spacing w:line="480" w:lineRule="auto"/>
      </w:pPr>
      <w:r>
        <w:t xml:space="preserve">The stakes</w:t>
      </w:r>
    </w:p>
    <w:p>
      <w:pPr>
        <w:pStyle w:val="FirstParagraph"/>
        <w:spacing w:line="480" w:lineRule="auto"/>
      </w:pPr>
      <w:r>
        <w:t xml:space="preserve">Low Earth orbit and the geostationary belt are shared resources with no working meter. An operator who launches a satellite imposes a collision hazard on every other operator, and under current arrangements that operator pays almost none of the cost of the hazard it creates.</w:t>
      </w:r>
    </w:p>
    <w:p>
      <w:pPr>
        <w:pStyle w:val="BodyText"/>
        <w:spacing w:line="480" w:lineRule="auto"/>
        <w:ind w:firstLine="720"/>
      </w:pPr>
      <w:r>
        <w:t xml:space="preserve">Economists have a familiar name for this shape.</w:t>
      </w:r>
    </w:p>
    <w:p>
      <w:pPr>
        <w:pStyle w:val="BodyText"/>
        <w:spacing w:line="480" w:lineRule="auto"/>
        <w:ind w:firstLine="720"/>
      </w:pPr>
      <w:r>
        <w:t xml:space="preserve">It is a negative externality laid over a common-pool resource, and the space literature has increasingly framed orbital crowding and debris as exactly that, a tragedy-of-the-commons problem that lacks a governance mechanism with real traction</w:t>
      </w:r>
      <w:r>
        <w:t xml:space="preserve"> </w:t>
      </w:r>
      <w:hyperlink w:anchor="ref-3">
        <w:r>
          <w:rPr>
            <w:rStyle w:val="Hyperlink"/>
          </w:rPr>
          <w:t xml:space="preserve">[3]</w:t>
        </w:r>
      </w:hyperlink>
      <w:r>
        <w:t xml:space="preserve">. The economic case for treating debris as a market failure that decentralized markets will not solve on their own has been made repeatedly, and it still holds. The security literature adds a second layer. Debris is not only an accident risk; it is a strategic variable in a contested domain, and the intrinsic cost of an orbital slot rises when the environment becomes both congested and adversarial</w:t>
      </w:r>
      <w:r>
        <w:t xml:space="preserve"> </w:t>
      </w:r>
      <w:hyperlink w:anchor="ref-3">
        <w:r>
          <w:rPr>
            <w:rStyle w:val="Hyperlink"/>
          </w:rPr>
          <w:t xml:space="preserve">[3]</w:t>
        </w:r>
      </w:hyperlink>
      <w:r>
        <w:t xml:space="preserve">. Harrison’s survey of international perspectives on space weapons shows how quickly the accident frame and the conflict frame blur together once multiple states treat orbit as terrain</w:t>
      </w:r>
      <w:r>
        <w:t xml:space="preserve"> </w:t>
      </w:r>
      <w:hyperlink w:anchor="ref-1">
        <w:r>
          <w:rPr>
            <w:rStyle w:val="Hyperlink"/>
          </w:rPr>
          <w:t xml:space="preserve">[1]</w:t>
        </w:r>
      </w:hyperlink>
      <w:r>
        <w:t xml:space="preserve">. When risk has both an accidental and a deliberate source, the pricing question becomes harder, because insurers must reason about hazards that no actuarial table fully covers.</w:t>
      </w:r>
    </w:p>
    <w:p>
      <w:pPr>
        <w:pStyle w:val="BodyText"/>
        <w:spacing w:line="480" w:lineRule="auto"/>
        <w:ind w:firstLine="720"/>
      </w:pPr>
      <w:r>
        <w:t xml:space="preserve">In practice, the stakes follow directly. If a government wants to know whether to intervene, it helps to know whether the private signal is already working. Active debris removal has been argued for on a pay-now-or-pay-more-later logic for fifteen years</w:t>
      </w:r>
      <w:r>
        <w:t xml:space="preserve"> </w:t>
      </w:r>
      <w:hyperlink w:anchor="ref-2">
        <w:r>
          <w:rPr>
            <w:rStyle w:val="Hyperlink"/>
          </w:rPr>
          <w:t xml:space="preserve">[2]</w:t>
        </w:r>
      </w:hyperlink>
      <w:r>
        <w:t xml:space="preserve">, and the fact that the argument has not moved faster suggests that the price signal, whatever it is, has not yet been loud enough to force the spending.</w:t>
      </w:r>
    </w:p>
    <w:p>
      <w:pPr>
        <w:pStyle w:val="BodyText"/>
        <w:spacing w:line="480" w:lineRule="auto"/>
        <w:ind w:firstLine="720"/>
      </w:pPr>
      <w:r>
        <w:t xml:space="preserve">A dissertation cannot settle that policy choice.</w:t>
      </w:r>
    </w:p>
    <w:p>
      <w:pPr>
        <w:pStyle w:val="BodyText"/>
        <w:spacing w:line="480" w:lineRule="auto"/>
        <w:ind w:firstLine="720"/>
      </w:pPr>
      <w:r>
        <w:t xml:space="preserve">It can, however, ask a disciplined preliminary question: is the risk even visible yet in the evidence we can measure?</w:t>
      </w:r>
    </w:p>
    <w:bookmarkEnd w:id="61"/>
    <w:bookmarkStart w:id="62" w:name="the-one-falsifiable-contribution"/>
    <w:p>
      <w:pPr>
        <w:pStyle w:val="Heading2"/>
        <w:spacing w:line="480" w:lineRule="auto"/>
      </w:pPr>
      <w:r>
        <w:t xml:space="preserve">The one falsifiable contribution</w:t>
      </w:r>
    </w:p>
    <w:p>
      <w:pPr>
        <w:pStyle w:val="FirstParagraph"/>
        <w:spacing w:line="480" w:lineRule="auto"/>
      </w:pPr>
      <w:r>
        <w:t xml:space="preserve">This project makes a single testable claim and stakes its credibility on it. The claim is that the attention paid to orbital-debris and space-economy risk is structured, not random, across the retrieved research corpus, and that the structure is visible in three measurable features of each source: how recent it is, how much citation attention it has drawn, and which kind of venue published it. Stated as competing hypotheses, the null and the alternative are simple. The null holds that a topic-signal score built from each source is unrelated to publication recency, citation attention, and venue family. The alternative holds that the signal is systematically related to those three features, rising with recency and attention.</w:t>
      </w:r>
    </w:p>
    <w:p>
      <w:pPr>
        <w:pStyle w:val="BodyText"/>
        <w:spacing w:line="480" w:lineRule="auto"/>
        <w:ind w:firstLine="720"/>
      </w:pPr>
      <w:r>
        <w:t xml:space="preserve">Two estimators test this.</w:t>
      </w:r>
    </w:p>
    <w:p>
      <w:pPr>
        <w:pStyle w:val="BodyText"/>
        <w:spacing w:line="480" w:lineRule="auto"/>
        <w:ind w:firstLine="720"/>
      </w:pPr>
      <w:r>
        <w:t xml:space="preserve">An ordinary least squares model regresses the topic-signal score on recency, citation count, and venue family across thirty retrieved records. A log-log learning-curve model asks whether citation accumulation follows a measurable curve as a function of article age.</w:t>
      </w:r>
    </w:p>
    <w:p>
      <w:pPr>
        <w:pStyle w:val="BodyText"/>
        <w:spacing w:line="480" w:lineRule="auto"/>
        <w:ind w:firstLine="720"/>
      </w:pPr>
      <w:r>
        <w:t xml:space="preserve">The reason to prefer a bounded claim over a grand one is methodological honesty. A grand claim about whether premiums price debris risk would require confidential underwriting data that no doctoral candidate can obtain and no reviewer could audit. A bounded claim about the structure of measurable attention can be tested with evidence that travels with the dissertation, and can be refuted by anyone who re-runs the same rows.</w:t>
      </w:r>
    </w:p>
    <w:p>
      <w:pPr>
        <w:pStyle w:val="BodyText"/>
        <w:spacing w:line="480" w:lineRule="auto"/>
        <w:ind w:firstLine="720"/>
      </w:pPr>
      <w:r>
        <w:t xml:space="preserve">The design deliberately trades reach for auditability.</w:t>
      </w:r>
    </w:p>
    <w:p>
      <w:pPr>
        <w:pStyle w:val="BodyText"/>
        <w:spacing w:line="480" w:lineRule="auto"/>
        <w:ind w:firstLine="720"/>
      </w:pPr>
      <w:r>
        <w:t xml:space="preserve">It is better to answer a small question completely than to gesture at a large one and leave the reader unable to check the gesture</w:t>
      </w:r>
      <w:r>
        <w:t xml:space="preserve"> </w:t>
      </w:r>
      <w:hyperlink w:anchor="ref-4">
        <w:r>
          <w:rPr>
            <w:rStyle w:val="Hyperlink"/>
          </w:rPr>
          <w:t xml:space="preserve">[4]</w:t>
        </w:r>
      </w:hyperlink>
      <w:r>
        <w:t xml:space="preserve">. There is a further reason the bounded version is worth defending. The literature on space sustainability has been rich in frameworks and thin in falsifiable tests. Proposals for stakeholder incentive mechanisms</w:t>
      </w:r>
      <w:r>
        <w:t xml:space="preserve"> </w:t>
      </w:r>
      <w:hyperlink w:anchor="ref-11">
        <w:r>
          <w:rPr>
            <w:rStyle w:val="Hyperlink"/>
          </w:rPr>
          <w:t xml:space="preserve">[11]</w:t>
        </w:r>
      </w:hyperlink>
      <w:r>
        <w:t xml:space="preserve">, for orbital classification schemes drawn from aviation, and for space-resource market evaluation</w:t>
      </w:r>
      <w:r>
        <w:t xml:space="preserve"> </w:t>
      </w:r>
      <w:hyperlink w:anchor="ref-12">
        <w:r>
          <w:rPr>
            <w:rStyle w:val="Hyperlink"/>
          </w:rPr>
          <w:t xml:space="preserve">[12]</w:t>
        </w:r>
      </w:hyperlink>
      <w:r>
        <w:t xml:space="preserve"> </w:t>
      </w:r>
      <w:r>
        <w:t xml:space="preserve">all describe how the domain ought to be governed. Far fewer studies pin a specific, refutable prediction to a specific, inspectable dataset. This project accepts a narrow scope precisely so that it can do the second thing rather than add to the first.</w:t>
      </w:r>
    </w:p>
    <w:bookmarkEnd w:id="62"/>
    <w:bookmarkStart w:id="63" w:name="what-the-evidence-is-in-brief"/>
    <w:p>
      <w:pPr>
        <w:pStyle w:val="Heading2"/>
        <w:spacing w:line="480" w:lineRule="auto"/>
      </w:pPr>
      <w:r>
        <w:t xml:space="preserve">What the evidence is, in brief</w:t>
      </w:r>
    </w:p>
    <w:p>
      <w:pPr>
        <w:pStyle w:val="FirstParagraph"/>
        <w:spacing w:line="480" w:lineRule="auto"/>
      </w:pPr>
      <w:r>
        <w:t xml:space="preserve">The empirical spine is a candidate-specific pack of thirty source records assembled from a local research index.</w:t>
      </w:r>
    </w:p>
    <w:p>
      <w:pPr>
        <w:pStyle w:val="BodyText"/>
        <w:spacing w:line="480" w:lineRule="auto"/>
        <w:ind w:firstLine="720"/>
      </w:pPr>
      <w:r>
        <w:t xml:space="preserve">That distinction matters.</w:t>
      </w:r>
    </w:p>
    <w:p>
      <w:pPr>
        <w:pStyle w:val="BodyText"/>
        <w:spacing w:line="480" w:lineRule="auto"/>
        <w:ind w:firstLine="720"/>
      </w:pPr>
      <w:r>
        <w:t xml:space="preserve">Each record carries its publication year, a venue-family code, a reported citation count, and a set of deterministic term-hit fields from which a composite topic-signal score is built. The venue families are ordered from conference proceedings through journal articles to synthesis and policy sources, so that venue enters the model as an ordinal variable rather than a categorical guess. Every row preserves the source it came from, a document object identifier or a stable link, so the workbook can be audited against its origins. The dataset is small and its provenance is local. Both facts are stated plainly here because they govern how far the results can be pushed. Thirty observations will not support a delicate causal argument. They will support a screen, a first structured look at whether attention has any shape at all, and that is the claim the design is built to carry. Later chapters return to this limit repeatedly, because pretending a screen is a proof would betray the whole point of the exercise.</w:t>
      </w:r>
    </w:p>
    <w:bookmarkEnd w:id="63"/>
    <w:bookmarkStart w:id="64" w:name="why-the-insurance-frame-and-why-now"/>
    <w:p>
      <w:pPr>
        <w:pStyle w:val="Heading2"/>
        <w:spacing w:line="480" w:lineRule="auto"/>
      </w:pPr>
      <w:r>
        <w:t xml:space="preserve">Why the insurance frame, and why now</w:t>
      </w:r>
    </w:p>
    <w:p>
      <w:pPr>
        <w:pStyle w:val="FirstParagraph"/>
        <w:spacing w:line="480" w:lineRule="auto"/>
      </w:pPr>
      <w:r>
        <w:t xml:space="preserve">This choice to frame the whole inquiry around insurance is not incidental, and it is worth defending before the roadmap.</w:t>
      </w:r>
    </w:p>
    <w:p>
      <w:pPr>
        <w:pStyle w:val="BodyText"/>
        <w:spacing w:line="480" w:lineRule="auto"/>
        <w:ind w:firstLine="720"/>
      </w:pPr>
      <w:r>
        <w:t xml:space="preserve">Consider the scale.</w:t>
      </w:r>
    </w:p>
    <w:p>
      <w:pPr>
        <w:pStyle w:val="BodyText"/>
        <w:spacing w:line="480" w:lineRule="auto"/>
        <w:ind w:firstLine="720"/>
      </w:pPr>
      <w:r>
        <w:t xml:space="preserve">Insurance is the one institution in the space economy whose entire business is putting a number on risk that has not happened yet. When an underwriter sets a premium for a satellite in a crowded shell, that premium is a compressed forecast of collision probability, replacement cost, and the operator’s own risk behavior. If any private actor is going to see orbital danger before a regulator names it, the underwriter is the natural candidate, because seeing danger early is what the underwriter is paid to do. That is why the mirror metaphor is apt: a premium is a mirror held up to a risk, and the question is only whether the reflection arrives before or after the rule.</w:t>
      </w:r>
    </w:p>
    <w:p>
      <w:pPr>
        <w:pStyle w:val="BodyText"/>
        <w:spacing w:line="480" w:lineRule="auto"/>
        <w:ind w:firstLine="720"/>
      </w:pPr>
      <w:r>
        <w:t xml:space="preserve">The timing question has sharpened over the past decade for reasons the retrieved literature documents.</w:t>
      </w:r>
    </w:p>
    <w:p>
      <w:pPr>
        <w:pStyle w:val="BodyText"/>
        <w:spacing w:line="480" w:lineRule="auto"/>
        <w:ind w:firstLine="720"/>
      </w:pPr>
      <w:r>
        <w:t xml:space="preserve">The evidence is bounded.</w:t>
      </w:r>
    </w:p>
    <w:p>
      <w:pPr>
        <w:pStyle w:val="BodyText"/>
        <w:spacing w:line="480" w:lineRule="auto"/>
        <w:ind w:firstLine="720"/>
      </w:pPr>
      <w:r>
        <w:t xml:space="preserve">Collision likelihood in the geostationary belt has been assessed comprehensively enough that the hazard is no longer speculative</w:t>
      </w:r>
      <w:r>
        <w:t xml:space="preserve"> </w:t>
      </w:r>
      <w:hyperlink w:anchor="ref-15">
        <w:r>
          <w:rPr>
            <w:rStyle w:val="Hyperlink"/>
          </w:rPr>
          <w:t xml:space="preserve">[15]</w:t>
        </w:r>
      </w:hyperlink>
      <w:r>
        <w:t xml:space="preserve">, and the economic value of keeping assets alive in a scarce belt has been quantified for adjacent services such as on-orbit servicing</w:t>
      </w:r>
      <w:r>
        <w:t xml:space="preserve"> </w:t>
      </w:r>
      <w:hyperlink w:anchor="ref-9">
        <w:r>
          <w:rPr>
            <w:rStyle w:val="Hyperlink"/>
          </w:rPr>
          <w:t xml:space="preserve">[9]</w:t>
        </w:r>
      </w:hyperlink>
      <w:r>
        <w:t xml:space="preserve">. When both the hazard and the value at stake are measurable, the conditions for a functioning risk market are present, and the interesting question becomes whether the market is using those conditions or lagging them. A dissertation cannot audit the market’s books, but it can ask whether the risk the market would need to price is even structured in the surrounding literature, which is the first link in that chain. There is a policy clock running underneath all of this. Governments are actively debating whether to mandate debris mitigation, remediation funding, and orbital-slot discipline, and the pay-now-or-pay-more-later argument has been pressing that clock for fifteen years without decisive movement</w:t>
      </w:r>
      <w:r>
        <w:t xml:space="preserve"> </w:t>
      </w:r>
      <w:hyperlink w:anchor="ref-2">
        <w:r>
          <w:rPr>
            <w:rStyle w:val="Hyperlink"/>
          </w:rPr>
          <w:t xml:space="preserve">[2]</w:t>
        </w:r>
      </w:hyperlink>
      <w:r>
        <w:t xml:space="preserve">. If the private signal were already doing the work, the case for a heavy public rule would weaken; if it were not, the case would strengthen. Knowing which way the evidence leans, even partially, is worth a bounded study, and bounding the study is what keeps it honest.</w:t>
      </w:r>
    </w:p>
    <w:bookmarkEnd w:id="64"/>
    <w:bookmarkStart w:id="65" w:name="the-reader-this-dissertation-is-for"/>
    <w:p>
      <w:pPr>
        <w:pStyle w:val="Heading2"/>
        <w:spacing w:line="480" w:lineRule="auto"/>
      </w:pPr>
      <w:r>
        <w:t xml:space="preserve">The reader this dissertation is for</w:t>
      </w:r>
    </w:p>
    <w:p>
      <w:pPr>
        <w:pStyle w:val="FirstParagraph"/>
        <w:spacing w:line="480" w:lineRule="auto"/>
      </w:pPr>
      <w:r>
        <w:t xml:space="preserve">This work is written for two readers at once, and the design serves both.</w:t>
      </w:r>
    </w:p>
    <w:p>
      <w:pPr>
        <w:pStyle w:val="BodyText"/>
        <w:spacing w:line="480" w:lineRule="auto"/>
        <w:ind w:firstLine="720"/>
      </w:pPr>
      <w:r>
        <w:t xml:space="preserve">Precision here is deliberate.</w:t>
      </w:r>
    </w:p>
    <w:p>
      <w:pPr>
        <w:pStyle w:val="BodyText"/>
        <w:spacing w:line="480" w:lineRule="auto"/>
        <w:ind w:firstLine="720"/>
      </w:pPr>
      <w:r>
        <w:t xml:space="preserve">The first is the methodologist who wants to know whether a documentary screen can produce a falsifiable result rather than a decorated intuition, and who will judge the project on whether every step from source to coefficient is reconstructable. For that reader the value is the auditable chain and the willingness to report a null. The second is the space-economy analyst or program strategist who wants to know whether orbital risk has crossed from anecdote into measurable scholarly attention, and where. For that reader the value is the structured-attention finding and its venue geography</w:t>
      </w:r>
      <w:r>
        <w:t xml:space="preserve"> </w:t>
      </w:r>
      <w:hyperlink w:anchor="ref-4">
        <w:r>
          <w:rPr>
            <w:rStyle w:val="Hyperlink"/>
          </w:rPr>
          <w:t xml:space="preserve">[4]</w:t>
        </w:r>
      </w:hyperlink>
      <w:r>
        <w:t xml:space="preserve"> </w:t>
      </w:r>
      <w:hyperlink w:anchor="ref-13">
        <w:r>
          <w:rPr>
            <w:rStyle w:val="Hyperlink"/>
          </w:rPr>
          <w:t xml:space="preserve">[13]</w:t>
        </w:r>
      </w:hyperlink>
      <w:r>
        <w:t xml:space="preserve">. Serving both readers imposes a discipline that shapes the entire dissertation. Nothing may be claimed that the thirty rows cannot support, because the methodologist will check. Nothing may be so hedged that it says nothing, because the analyst needs a usable takeaway. The result is a document that states a small claim firmly and marks its boundary clearly, which is the posture the following chapters maintain from first estimator to last implication.</w:t>
      </w:r>
    </w:p>
    <w:bookmarkEnd w:id="65"/>
    <w:bookmarkStart w:id="66" w:name="how-to-read-this-dissertation"/>
    <w:p>
      <w:pPr>
        <w:pStyle w:val="Heading2"/>
        <w:spacing w:line="480" w:lineRule="auto"/>
      </w:pPr>
      <w:r>
        <w:t xml:space="preserve">How to read this dissertation</w:t>
      </w:r>
    </w:p>
    <w:p>
      <w:pPr>
        <w:pStyle w:val="FirstParagraph"/>
        <w:spacing w:line="480" w:lineRule="auto"/>
      </w:pPr>
      <w:r>
        <w:t xml:space="preserve">A reader can approach this document at two depths, and both are supported by design.</w:t>
      </w:r>
    </w:p>
    <w:p>
      <w:pPr>
        <w:pStyle w:val="BodyText"/>
        <w:spacing w:line="480" w:lineRule="auto"/>
        <w:ind w:firstLine="720"/>
      </w:pPr>
      <w:r>
        <w:t xml:space="preserve">The reading stays modest.</w:t>
      </w:r>
    </w:p>
    <w:p>
      <w:pPr>
        <w:pStyle w:val="BodyText"/>
        <w:spacing w:line="480" w:lineRule="auto"/>
        <w:ind w:firstLine="720"/>
      </w:pPr>
      <w:r>
        <w:t xml:space="preserve">The shallow read is the claim and its boundary: attention to orbital-debris risk is structured, rises with recency, concentrates in technical venues, and is measured here from thirty auditable rows without any pretense of pricing proof. A reader who takes only that has taken the honest core. The deep read follows the chain from source to coefficient, checking the variable construction in Chapter 5, the estimator logic in Chapter 4, and the exact output in Chapter 6, and it is for the reader who wants to verify rather than trust</w:t>
      </w:r>
      <w:r>
        <w:t xml:space="preserve"> </w:t>
      </w:r>
      <w:hyperlink w:anchor="ref-4">
        <w:r>
          <w:rPr>
            <w:rStyle w:val="Hyperlink"/>
          </w:rPr>
          <w:t xml:space="preserve">[4]</w:t>
        </w:r>
      </w:hyperlink>
      <w:r>
        <w:t xml:space="preserve"> </w:t>
      </w:r>
      <w:hyperlink w:anchor="ref-15">
        <w:r>
          <w:rPr>
            <w:rStyle w:val="Hyperlink"/>
          </w:rPr>
          <w:t xml:space="preserve">[15]</w:t>
        </w:r>
      </w:hyperlink>
      <w:r>
        <w:t xml:space="preserve">. The dissertation is written so that neither reader is misled. The claim is stated firmly enough that the shallow reader gets a usable takeaway, and the machinery is exposed fully enough that the deep reader can find any weakness and name it. That dual accessibility is a deliberate response to a field where framework claims often cannot be checked at all, and it shapes the register of every chapter that follows: confident about the small thing, transparent about the limits, and silent about the large thing the evidence cannot reach</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66"/>
    <w:bookmarkStart w:id="67" w:name="roadmap"/>
    <w:p>
      <w:pPr>
        <w:pStyle w:val="Heading2"/>
        <w:spacing w:line="480" w:lineRule="auto"/>
      </w:pPr>
      <w:r>
        <w:t xml:space="preserve">Roadmap</w:t>
      </w:r>
    </w:p>
    <w:p>
      <w:pPr>
        <w:pStyle w:val="FirstParagraph"/>
        <w:spacing w:line="480" w:lineRule="auto"/>
      </w:pPr>
      <w:r>
        <w:t xml:space="preserve">The dissertation proceeds in eight chapters. This chapter has set the problem, the stakes, and the single falsifiable contribution. Chapter 2 situates the project against prior work on debris economics, orbital risk pricing, space situational awareness, and the governance of a contested domain, drawing on the retrieved literature to show where a measurement-first design fits and where it departs from framework-first scholarship</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Chapter 3 develops the theory and states the hypotheses formally. It explains why, if orbital risk is genuinely becoming more salient, that salience should leave a trace in the recency, attention, and venue structure of the literature, and why the absence of such a trace would be informative rather than merely disappointing.</w:t>
      </w:r>
    </w:p>
    <w:p>
      <w:pPr>
        <w:pStyle w:val="BodyText"/>
        <w:spacing w:line="480" w:lineRule="auto"/>
        <w:ind w:firstLine="720"/>
      </w:pPr>
      <w:r>
        <w:t xml:space="preserve">Chapter 4 sets out the methodology and the identification logic. It describes the ordinary least squares estimator and the log-log learning-curve estimator, explains the robust standard errors, and is candid about what these estimators can and cannot identify from documentary evidence</w:t>
      </w:r>
      <w:r>
        <w:t xml:space="preserve"> </w:t>
      </w:r>
      <w:hyperlink w:anchor="ref-15">
        <w:r>
          <w:rPr>
            <w:rStyle w:val="Hyperlink"/>
          </w:rPr>
          <w:t xml:space="preserve">[15]</w:t>
        </w:r>
      </w:hyperlink>
      <w:r>
        <w:t xml:space="preserve">.</w:t>
      </w:r>
    </w:p>
    <w:p>
      <w:pPr>
        <w:pStyle w:val="BodyText"/>
        <w:spacing w:line="480" w:lineRule="auto"/>
        <w:ind w:firstLine="720"/>
      </w:pPr>
      <w:r>
        <w:t xml:space="preserve">Chapter 5 describes the data and measurement in full. It defines every variable, traces each to its source field, explains the venue-family coding, and reports the sample size and its composition. Chapter 6 reports the results exactly as the workbooks produce them, the coefficients, standard errors, p-values, and fit statistics of both models, and interprets the signs and magnitudes without inflating them.</w:t>
      </w:r>
    </w:p>
    <w:p>
      <w:pPr>
        <w:pStyle w:val="BodyText"/>
        <w:spacing w:line="480" w:lineRule="auto"/>
        <w:ind w:firstLine="720"/>
      </w:pPr>
      <w:r>
        <w:t xml:space="preserve">Chapter 7 turns to discussion and limitations. It reads the findings for what they mean, catalogs the threats to validity, and states clearly what a thirty-row documentary screen cannot show. Chapter 8 draws conclusions, connects the bounded finding to governance and program relevance, and lays out the direct-coding successor study that would convert this screen into a stronger test</w:t>
      </w:r>
      <w:r>
        <w:t xml:space="preserve"> </w:t>
      </w:r>
      <w:hyperlink w:anchor="ref-16">
        <w:r>
          <w:rPr>
            <w:rStyle w:val="Hyperlink"/>
          </w:rPr>
          <w:t xml:space="preserve">[16]</w:t>
        </w:r>
      </w:hyperlink>
      <w:r>
        <w:t xml:space="preserve">.</w:t>
      </w:r>
    </w:p>
    <w:bookmarkEnd w:id="67"/>
    <w:bookmarkStart w:id="68" w:name="the-cost-of-getting-this-wrong"/>
    <w:p>
      <w:pPr>
        <w:pStyle w:val="Heading2"/>
        <w:spacing w:line="480" w:lineRule="auto"/>
      </w:pPr>
      <w:r>
        <w:t xml:space="preserve">The cost of getting this wrong</w:t>
      </w:r>
    </w:p>
    <w:p>
      <w:pPr>
        <w:pStyle w:val="FirstParagraph"/>
        <w:spacing w:line="480" w:lineRule="auto"/>
      </w:pPr>
      <w:r>
        <w:t xml:space="preserve">There is a downside case that motivates the whole exercise, and it is worth stating starkly.</w:t>
      </w:r>
    </w:p>
    <w:p>
      <w:pPr>
        <w:pStyle w:val="BodyText"/>
        <w:spacing w:line="480" w:lineRule="auto"/>
        <w:ind w:firstLine="720"/>
      </w:pPr>
      <w:r>
        <w:t xml:space="preserve">Suppose the private signal does not lead the mandate.</w:t>
      </w:r>
    </w:p>
    <w:p>
      <w:pPr>
        <w:pStyle w:val="BodyText"/>
        <w:spacing w:line="480" w:lineRule="auto"/>
        <w:ind w:firstLine="720"/>
      </w:pPr>
      <w:r>
        <w:t xml:space="preserve">Suppose premiums lag the risk, operators keep launching into shells whose collision probability the models already flag</w:t>
      </w:r>
      <w:r>
        <w:t xml:space="preserve"> </w:t>
      </w:r>
      <w:hyperlink w:anchor="ref-15">
        <w:r>
          <w:rPr>
            <w:rStyle w:val="Hyperlink"/>
          </w:rPr>
          <w:t xml:space="preserve">[15]</w:t>
        </w:r>
      </w:hyperlink>
      <w:r>
        <w:t xml:space="preserve">, and the pay-now argument keeps losing to short discounting</w:t>
      </w:r>
      <w:r>
        <w:t xml:space="preserve"> </w:t>
      </w:r>
      <w:hyperlink w:anchor="ref-2">
        <w:r>
          <w:rPr>
            <w:rStyle w:val="Hyperlink"/>
          </w:rPr>
          <w:t xml:space="preserve">[2]</w:t>
        </w:r>
      </w:hyperlink>
      <w:r>
        <w:t xml:space="preserve">. In that world the orbital commons degrades on a schedule set by the slowest institution rather than the fastest signal, and the cost is measured in lost assets, foregone services, and a belt that becomes progressively less usable. The economic value locked up in on-orbit assets is large enough that even a modest increase in collision rates carries real losses</w:t>
      </w:r>
      <w:r>
        <w:t xml:space="preserve"> </w:t>
      </w:r>
      <w:hyperlink w:anchor="ref-9">
        <w:r>
          <w:rPr>
            <w:rStyle w:val="Hyperlink"/>
          </w:rPr>
          <w:t xml:space="preserve">[9]</w:t>
        </w:r>
      </w:hyperlink>
      <w:r>
        <w:t xml:space="preserve">. A study cannot prevent that outcome, but it can help a decision-maker calibrate how much to trust the private signal before leaning on it. If attention to the risk is structured and rising, there is at least a foundation for a market signal to build on; if it is flat and scattered, the foundation is missing and a public rule has a stronger claim. Knowing which world we are in is worth a bounded, honest measurement, and that is the practical wager behind choosing this question over a grander but unanswerable one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68"/>
    <w:bookmarkStart w:id="69" w:name="X28420c125bc455098f42d438e8b12a0a5c57f32"/>
    <w:p>
      <w:pPr>
        <w:pStyle w:val="Heading2"/>
        <w:spacing w:line="480" w:lineRule="auto"/>
      </w:pPr>
      <w:r>
        <w:t xml:space="preserve">Scope, terms, and what is deliberately excluded</w:t>
      </w:r>
    </w:p>
    <w:p>
      <w:pPr>
        <w:pStyle w:val="FirstParagraph"/>
        <w:spacing w:line="480" w:lineRule="auto"/>
      </w:pPr>
      <w:r>
        <w:t xml:space="preserve">A short glossary keeps the later chapters from drifting. The topic signal is a composite lexical score, not a judgment of a source’s quality or truth; a low-signal source may be excellent and merely phrased in vocabulary the score does not reward. The recency index measures distance in years from the oldest source in the pack, not absolute newness against the calendar. The venue family is an ordinal code for the kind of outlet a source appeared in, ordered from fast technical proceedings toward slow synthesis, and it stands in for the community that produced the work rather than for the work’s rigor. Holding these definitions fixed from the outset is what lets a reader interpret each coefficient without re-deriving what it measures</w:t>
      </w:r>
      <w:r>
        <w:t xml:space="preserve"> </w:t>
      </w:r>
      <w:hyperlink w:anchor="ref-4">
        <w:r>
          <w:rPr>
            <w:rStyle w:val="Hyperlink"/>
          </w:rPr>
          <w:t xml:space="preserve">[4]</w:t>
        </w:r>
      </w:hyperlink>
      <w:r>
        <w:t xml:space="preserve">.</w:t>
      </w:r>
    </w:p>
    <w:p>
      <w:pPr>
        <w:pStyle w:val="BodyText"/>
        <w:spacing w:line="480" w:lineRule="auto"/>
        <w:ind w:firstLine="720"/>
      </w:pPr>
      <w:r>
        <w:t xml:space="preserve">The exclusions are as important as the definitions.</w:t>
      </w:r>
    </w:p>
    <w:p>
      <w:pPr>
        <w:pStyle w:val="BodyText"/>
        <w:spacing w:line="480" w:lineRule="auto"/>
        <w:ind w:firstLine="720"/>
      </w:pPr>
      <w:r>
        <w:t xml:space="preserve">This dissertation does not model premiums, loss ratios, reinsurance terms, or any confidential underwriting quantity, because none is observable to the design. It does not adjudicate the legal-liability questions that autonomous orbital systems raise</w:t>
      </w:r>
      <w:r>
        <w:t xml:space="preserve"> </w:t>
      </w:r>
      <w:hyperlink w:anchor="ref-14">
        <w:r>
          <w:rPr>
            <w:rStyle w:val="Hyperlink"/>
          </w:rPr>
          <w:t xml:space="preserve">[14]</w:t>
        </w:r>
      </w:hyperlink>
      <w:r>
        <w:t xml:space="preserve">, nor the data-integrity questions that tracking-data validation raises</w:t>
      </w:r>
      <w:r>
        <w:t xml:space="preserve"> </w:t>
      </w:r>
      <w:hyperlink w:anchor="ref-6">
        <w:r>
          <w:rPr>
            <w:rStyle w:val="Hyperlink"/>
          </w:rPr>
          <w:t xml:space="preserve">[6]</w:t>
        </w:r>
      </w:hyperlink>
      <w:r>
        <w:t xml:space="preserve">, though both are acknowledged as preconditions for a mature risk market. It does not attempt to date regulatory events against market events, which is the study the title’s mirror metaphor ultimately points toward and which the concluding chapter names as future work. Marking these exclusions early is a promise to the reader that the claim will stay inside the boundary the evidence can defend</w:t>
      </w:r>
      <w:r>
        <w:t xml:space="preserve"> </w:t>
      </w:r>
      <w:hyperlink w:anchor="ref-5">
        <w:r>
          <w:rPr>
            <w:rStyle w:val="Hyperlink"/>
          </w:rPr>
          <w:t xml:space="preserve">[5]</w:t>
        </w:r>
      </w:hyperlink>
      <w:r>
        <w:t xml:space="preserve">.</w:t>
      </w:r>
    </w:p>
    <w:p>
      <w:pPr>
        <w:pStyle w:val="BodyText"/>
        <w:spacing w:line="480" w:lineRule="auto"/>
        <w:ind w:firstLine="720"/>
      </w:pPr>
      <w:r>
        <w:t xml:space="preserve">One further scoping choice shapes everything downstream. The pack is deliberately topical rather than exhaustive, assembled to represent the intersection of debris risk, orbital economics, and situational awareness rather than to sample the entire space-economy literature. That choice trades breadth for coherence: thirty coherent, on-topic, fully traceable rows are more useful for a first falsifiable screen than a larger but noisier draw would be. The tradeoff is stated here so that no later chapter has to apologize for the pack being small; smallness is a design decision with a rationale, not an oversight</w:t>
      </w:r>
      <w:r>
        <w:t xml:space="preserve"> </w:t>
      </w:r>
      <w:hyperlink w:anchor="ref-1">
        <w:r>
          <w:rPr>
            <w:rStyle w:val="Hyperlink"/>
          </w:rPr>
          <w:t xml:space="preserve">[1]</w:t>
        </w:r>
      </w:hyperlink>
      <w:r>
        <w:t xml:space="preserve"> </w:t>
      </w:r>
      <w:hyperlink w:anchor="ref-13">
        <w:r>
          <w:rPr>
            <w:rStyle w:val="Hyperlink"/>
          </w:rPr>
          <w:t xml:space="preserve">[13]</w:t>
        </w:r>
      </w:hyperlink>
      <w:r>
        <w:t xml:space="preserve">. A reader who wants only the claim can take it from here. Attention to orbital-debris and space-economy risk is not evenly spread across the literature; it has structure that recency and venue help explain, and this dissertation measures that structure precisely, reports it exactly, and refuses to ask it to prove more than thirty auditable rows can bear.</w:t>
      </w:r>
    </w:p>
    <w:bookmarkEnd w:id="69"/>
    <w:bookmarkEnd w:id="70"/>
    <w:bookmarkStart w:id="80" w:name="chapter-2-literature-review"/>
    <w:p>
      <w:pPr>
        <w:pStyle w:val="Heading1"/>
        <w:spacing w:line="480" w:lineRule="auto"/>
      </w:pPr>
      <w:r>
        <w:t xml:space="preserve">Chapter 2: Literature Review</w:t>
      </w:r>
    </w:p>
    <w:p>
      <w:pPr>
        <w:pStyle w:val="FirstParagraph"/>
        <w:spacing w:line="480" w:lineRule="auto"/>
      </w:pPr>
      <w:r>
        <w:t xml:space="preserve">The literature this project draws on splits into three currents that rarely meet on the same page.</w:t>
      </w:r>
    </w:p>
    <w:p>
      <w:pPr>
        <w:pStyle w:val="BodyText"/>
        <w:spacing w:line="480" w:lineRule="auto"/>
        <w:ind w:firstLine="720"/>
      </w:pPr>
      <w:r>
        <w:t xml:space="preserve">Nothing here is hidden.</w:t>
      </w:r>
    </w:p>
    <w:p>
      <w:pPr>
        <w:pStyle w:val="BodyText"/>
        <w:spacing w:line="480" w:lineRule="auto"/>
        <w:ind w:firstLine="720"/>
      </w:pPr>
      <w:r>
        <w:t xml:space="preserve">One current is technical: the engineering of sensors, removal systems, and situational awareness that make debris a tractable object of study. A second is economic: the framing of orbit as a common-pool resource whose crowding is a market failure. A third is governance and security: the argument over who should write the rule and how a contested domain changes the calculation. This chapter reads across all three, because the pricing question sits precisely where they overlap, and because a measurement-first design has to know which current each retrieved source belongs to before it can code that source at all.</w:t>
      </w:r>
    </w:p>
    <w:bookmarkStart w:id="71" w:name="debris-as-an-economic-object"/>
    <w:p>
      <w:pPr>
        <w:pStyle w:val="Heading2"/>
        <w:spacing w:line="480" w:lineRule="auto"/>
      </w:pPr>
      <w:r>
        <w:t xml:space="preserve">Debris as an economic object</w:t>
      </w:r>
    </w:p>
    <w:p>
      <w:pPr>
        <w:pStyle w:val="FirstParagraph"/>
        <w:spacing w:line="480" w:lineRule="auto"/>
      </w:pPr>
      <w:r>
        <w:t xml:space="preserve">The cleanest economic statement in the retrieved corpus treats orbital crowding and space debris as a classic tragedy-of-the-commons problem requiring governance mechanisms that currently lack effective traction. That framing, associated with Weinzierl’s three-part account of market establishment, market failure, and social-objective regulation, is the theoretical anchor for reading debris as a negative externality rather than a mere hazard. Its importance for this dissertation is not the policy prescription but the structural claim: if debris is a market failure, then a private price signal will systematically undershoot the social cost, and the gap between them is exactly what a governance rule is meant to close. On economics, the of remediation has its own long thread.</w:t>
      </w:r>
    </w:p>
    <w:p>
      <w:pPr>
        <w:pStyle w:val="BodyText"/>
        <w:spacing w:line="480" w:lineRule="auto"/>
        <w:ind w:firstLine="720"/>
      </w:pPr>
      <w:r>
        <w:t xml:space="preserve">The pack is small.</w:t>
      </w:r>
    </w:p>
    <w:p>
      <w:pPr>
        <w:pStyle w:val="BodyText"/>
        <w:spacing w:line="480" w:lineRule="auto"/>
        <w:ind w:firstLine="720"/>
      </w:pPr>
      <w:r>
        <w:t xml:space="preserve">McKnight’s pay-now-or-pay-more-later argument for active orbital debris removal, first pressed in 2010, is a discounting claim in disguise</w:t>
      </w:r>
      <w:r>
        <w:t xml:space="preserve"> </w:t>
      </w:r>
      <w:hyperlink w:anchor="ref-2">
        <w:r>
          <w:rPr>
            <w:rStyle w:val="Hyperlink"/>
          </w:rPr>
          <w:t xml:space="preserve">[2]</w:t>
        </w:r>
      </w:hyperlink>
      <w:r>
        <w:t xml:space="preserve">. It says the present cost of removal is small relative to the discounted future cost of inaction, and that operators and states are behaving as if their discount rate on orbital risk were implausibly high. The value side of that ledger has been quantified for adjacent activities. Economic value analysis of on-orbit servicing for geosynchronous communication satellites gives a concrete number for what it is worth to keep an asset productive in a scarce belt</w:t>
      </w:r>
      <w:r>
        <w:t xml:space="preserve"> </w:t>
      </w:r>
      <w:hyperlink w:anchor="ref-9">
        <w:r>
          <w:rPr>
            <w:rStyle w:val="Hyperlink"/>
          </w:rPr>
          <w:t xml:space="preserve">[9]</w:t>
        </w:r>
      </w:hyperlink>
      <w:r>
        <w:t xml:space="preserve">, and that number is a lower bound on what the same operators might rationally pay to protect the belt itself. More recent work has widened the economic frame from a single externality to a landscape of risk. Trucco and colleagues frame the dynamics of the risk landscape amid space-economy trends, treating debris as one node in a shifting network of hazards rather than an isolated line item</w:t>
      </w:r>
      <w:r>
        <w:t xml:space="preserve"> </w:t>
      </w:r>
      <w:hyperlink w:anchor="ref-13">
        <w:r>
          <w:rPr>
            <w:rStyle w:val="Hyperlink"/>
          </w:rPr>
          <w:t xml:space="preserve">[13]</w:t>
        </w:r>
      </w:hyperlink>
      <w:r>
        <w:t xml:space="preserve">. That move matters for a pricing study, because insurers do not price a single peril in isolation; they price a correlated bundle, and a study that measures attention to the bundle is closer to how the market actually behaves than one that isolates debris alone.</w:t>
      </w:r>
    </w:p>
    <w:bookmarkEnd w:id="71"/>
    <w:bookmarkStart w:id="72" w:name="X13ed669e9a29a9b06fae2bfa99be681129b5d63"/>
    <w:p>
      <w:pPr>
        <w:pStyle w:val="Heading2"/>
        <w:spacing w:line="480" w:lineRule="auto"/>
      </w:pPr>
      <w:r>
        <w:t xml:space="preserve">Situational awareness and the technical substrate</w:t>
      </w:r>
    </w:p>
    <w:p>
      <w:pPr>
        <w:pStyle w:val="FirstParagraph"/>
        <w:spacing w:line="480" w:lineRule="auto"/>
      </w:pPr>
      <w:r>
        <w:t xml:space="preserve">A price cannot form around a risk the market cannot see.</w:t>
      </w:r>
    </w:p>
    <w:p>
      <w:pPr>
        <w:pStyle w:val="BodyText"/>
        <w:spacing w:line="480" w:lineRule="auto"/>
        <w:ind w:firstLine="720"/>
      </w:pPr>
      <w:r>
        <w:t xml:space="preserve">That limit is real.</w:t>
      </w:r>
    </w:p>
    <w:p>
      <w:pPr>
        <w:pStyle w:val="BodyText"/>
        <w:spacing w:line="480" w:lineRule="auto"/>
        <w:ind w:firstLine="720"/>
      </w:pPr>
      <w:r>
        <w:t xml:space="preserve">The technical literature on space situational awareness is therefore a precondition for any pricing argument, not a digression from it. Proposals for a complete situational-awareness scheme built on space data aggregation, artificial-intelligence methods, and in-orbit inspection describe the machinery that turns an invisible hazard into a measurable one</w:t>
      </w:r>
      <w:r>
        <w:t xml:space="preserve"> </w:t>
      </w:r>
      <w:hyperlink w:anchor="ref-4">
        <w:r>
          <w:rPr>
            <w:rStyle w:val="Hyperlink"/>
          </w:rPr>
          <w:t xml:space="preserve">[4]</w:t>
        </w:r>
      </w:hyperlink>
      <w:r>
        <w:t xml:space="preserve">. The instrument side of that machinery, lens and camera arrays for sky surveys and space surveillance</w:t>
      </w:r>
      <w:r>
        <w:t xml:space="preserve"> </w:t>
      </w:r>
      <w:hyperlink w:anchor="ref-7">
        <w:r>
          <w:rPr>
            <w:rStyle w:val="Hyperlink"/>
          </w:rPr>
          <w:t xml:space="preserve">[7]</w:t>
        </w:r>
      </w:hyperlink>
      <w:r>
        <w:t xml:space="preserve">, and lightweight active optics for space and near-space</w:t>
      </w:r>
      <w:r>
        <w:t xml:space="preserve"> </w:t>
      </w:r>
      <w:hyperlink w:anchor="ref-8">
        <w:r>
          <w:rPr>
            <w:rStyle w:val="Hyperlink"/>
          </w:rPr>
          <w:t xml:space="preserve">[8]</w:t>
        </w:r>
      </w:hyperlink>
      <w:r>
        <w:t xml:space="preserve">, represents the sensing base without which no catalog of resident objects exists, and without a catalog there is no actuarial ground to stand on. A newer strand attaches trust and verification to the data itself. The number speaks plainly. On-chain validation of tracking data messages using distributed deep learning on a proof-of-stake blockchain addresses a problem that becomes acute once tracking data has commercial value: how to know the data has not been tampered with</w:t>
      </w:r>
      <w:r>
        <w:t xml:space="preserve"> </w:t>
      </w:r>
      <w:hyperlink w:anchor="ref-6">
        <w:r>
          <w:rPr>
            <w:rStyle w:val="Hyperlink"/>
          </w:rPr>
          <w:t xml:space="preserve">[6]</w:t>
        </w:r>
      </w:hyperlink>
      <w:r>
        <w:t xml:space="preserve">. The proposal for an artificial-intelligence-enabled space battle management system on a quantum-resilient blockchain pushes the same logic into the security domain, where the integrity of tracking data is a strategic asset rather than a convenience</w:t>
      </w:r>
      <w:r>
        <w:t xml:space="preserve"> </w:t>
      </w:r>
      <w:hyperlink w:anchor="ref-5">
        <w:r>
          <w:rPr>
            <w:rStyle w:val="Hyperlink"/>
          </w:rPr>
          <w:t xml:space="preserve">[5]</w:t>
        </w:r>
      </w:hyperlink>
      <w:r>
        <w:t xml:space="preserve">. For a study of whether risk is priced, this strand is important because a market prices what it trusts, and the trustworthiness of the underlying data is itself a variable.</w:t>
      </w:r>
    </w:p>
    <w:p>
      <w:pPr>
        <w:pStyle w:val="BodyText"/>
        <w:spacing w:line="480" w:lineRule="auto"/>
        <w:ind w:firstLine="720"/>
      </w:pPr>
      <w:r>
        <w:t xml:space="preserve">The relevance to this dissertation is direct. The venue-family coding used in the empirical chapters places these situational-awareness and instrument sources in the conference-proceedings family, which is where the technical community publishes first and fastest. If technical attention leads and economic synthesis lags, that pattern should show up as a relationship between venue family and topic signal, which is one of the three relationships the ordinary least squares model is built to detect.</w:t>
      </w:r>
    </w:p>
    <w:bookmarkEnd w:id="72"/>
    <w:bookmarkStart w:id="73" w:name="Xba2342118b100cf20fb70133e04ba2663938059"/>
    <w:p>
      <w:pPr>
        <w:pStyle w:val="Heading2"/>
        <w:spacing w:line="480" w:lineRule="auto"/>
      </w:pPr>
      <w:r>
        <w:t xml:space="preserve">Governance, contestation, and the price of a slot</w:t>
      </w:r>
    </w:p>
    <w:p>
      <w:pPr>
        <w:pStyle w:val="FirstParagraph"/>
        <w:spacing w:line="480" w:lineRule="auto"/>
      </w:pPr>
      <w:r>
        <w:t xml:space="preserve">The governance literature supplies the reason the pricing question is urgent rather than academic.</w:t>
      </w:r>
    </w:p>
    <w:p>
      <w:pPr>
        <w:pStyle w:val="BodyText"/>
        <w:spacing w:line="480" w:lineRule="auto"/>
        <w:ind w:firstLine="720"/>
      </w:pPr>
      <w:r>
        <w:t xml:space="preserve">This is a screen.</w:t>
      </w:r>
    </w:p>
    <w:p>
      <w:pPr>
        <w:pStyle w:val="BodyText"/>
        <w:spacing w:line="480" w:lineRule="auto"/>
        <w:ind w:firstLine="720"/>
      </w:pPr>
      <w:r>
        <w:t xml:space="preserve">Shahady’s argument that the future risk of space debris and contested environments increases the intrinsic and actual cost of a geostationary slot is the hinge between the physical hazard and the financial one</w:t>
      </w:r>
      <w:r>
        <w:t xml:space="preserve"> </w:t>
      </w:r>
      <w:hyperlink w:anchor="ref-3">
        <w:r>
          <w:rPr>
            <w:rStyle w:val="Hyperlink"/>
          </w:rPr>
          <w:t xml:space="preserve">[3]</w:t>
        </w:r>
      </w:hyperlink>
      <w:r>
        <w:t xml:space="preserve">. It states plainly that congestion and contestation raise the cost of a slot, which is another way of saying that risk ought to be priced into the value of orbital real estate. If the market is efficient, that pricing happens automatically; if it is not, the gap is a governance opportunity. Contestation is not a side issue in this domain. Harrison’s international-perspectives survey documents how differently states read the same orbital picture depending on whether they see an accident risk or a weapon</w:t>
      </w:r>
      <w:r>
        <w:t xml:space="preserve"> </w:t>
      </w:r>
      <w:hyperlink w:anchor="ref-1">
        <w:r>
          <w:rPr>
            <w:rStyle w:val="Hyperlink"/>
          </w:rPr>
          <w:t xml:space="preserve">[1]</w:t>
        </w:r>
      </w:hyperlink>
      <w:r>
        <w:t xml:space="preserve">. The legal literature has begun to catch up: work on the legal liability of artificial intelligence in outer space maps the liability gaps that open when autonomous systems act in a domain whose treaties predate them</w:t>
      </w:r>
      <w:r>
        <w:t xml:space="preserve"> </w:t>
      </w:r>
      <w:hyperlink w:anchor="ref-14">
        <w:r>
          <w:rPr>
            <w:rStyle w:val="Hyperlink"/>
          </w:rPr>
          <w:t xml:space="preserve">[14]</w:t>
        </w:r>
      </w:hyperlink>
      <w:r>
        <w:t xml:space="preserve">, and work on protecting artificial-intelligence-based space systems from a data-driven governance perspective treats the governance of the data layer as inseparable from the governance of the physical layer</w:t>
      </w:r>
      <w:r>
        <w:t xml:space="preserve"> </w:t>
      </w:r>
      <w:hyperlink w:anchor="ref-16">
        <w:r>
          <w:rPr>
            <w:rStyle w:val="Hyperlink"/>
          </w:rPr>
          <w:t xml:space="preserve">[16]</w:t>
        </w:r>
      </w:hyperlink>
      <w:r>
        <w:t xml:space="preserve">. These are framework contributions, and they are valuable, but they illustrate the gap this dissertation is trying to narrow: the field is long on how the domain should be governed and short on refutable measurement of how attention to its risks is actually distributed.</w:t>
      </w:r>
    </w:p>
    <w:p>
      <w:pPr>
        <w:pStyle w:val="BodyText"/>
        <w:spacing w:line="480" w:lineRule="auto"/>
        <w:ind w:firstLine="720"/>
      </w:pPr>
      <w:r>
        <w:t xml:space="preserve">A parallel governance strand has turned toward incentives and outreach.</w:t>
      </w:r>
    </w:p>
    <w:p>
      <w:pPr>
        <w:pStyle w:val="BodyText"/>
        <w:spacing w:line="480" w:lineRule="auto"/>
        <w:ind w:firstLine="720"/>
      </w:pPr>
      <w:r>
        <w:t xml:space="preserve">The claim holds.</w:t>
      </w:r>
    </w:p>
    <w:p>
      <w:pPr>
        <w:pStyle w:val="BodyText"/>
        <w:spacing w:line="480" w:lineRule="auto"/>
        <w:ind w:firstLine="720"/>
      </w:pPr>
      <w:r>
        <w:t xml:space="preserve">Work on fostering multi-stakeholder collaboration for space sustainability through an incentive-based mechanism proposes to change behavior by changing payoffs</w:t>
      </w:r>
      <w:r>
        <w:t xml:space="preserve"> </w:t>
      </w:r>
      <w:hyperlink w:anchor="ref-11">
        <w:r>
          <w:rPr>
            <w:rStyle w:val="Hyperlink"/>
          </w:rPr>
          <w:t xml:space="preserve">[11]</w:t>
        </w:r>
      </w:hyperlink>
      <w:r>
        <w:t xml:space="preserve">, and outreach studies on space traffic management treat the diffusion of the problem into public and institutional awareness as a governable process in its own right</w:t>
      </w:r>
      <w:r>
        <w:t xml:space="preserve"> </w:t>
      </w:r>
      <w:hyperlink w:anchor="ref-10">
        <w:r>
          <w:rPr>
            <w:rStyle w:val="Hyperlink"/>
          </w:rPr>
          <w:t xml:space="preserve">[10]</w:t>
        </w:r>
      </w:hyperlink>
      <w:r>
        <w:t xml:space="preserve">. Proposals for evaluating potential space-resource markets extend the same instinct to the question of how a market for orbital goods should even be assessed</w:t>
      </w:r>
      <w:r>
        <w:t xml:space="preserve"> </w:t>
      </w:r>
      <w:hyperlink w:anchor="ref-12">
        <w:r>
          <w:rPr>
            <w:rStyle w:val="Hyperlink"/>
          </w:rPr>
          <w:t xml:space="preserve">[12]</w:t>
        </w:r>
      </w:hyperlink>
      <w:r>
        <w:t xml:space="preserve">. Each of these is, at bottom, a hypothesis about how salience spreads, and this dissertation tests a measurable corollary of that hypothesis: that salience, once it spreads, leaves a trace in the recency and venue structure of the literature.</w:t>
      </w:r>
    </w:p>
    <w:bookmarkEnd w:id="73"/>
    <w:bookmarkStart w:id="74" w:name="X0765b8687768610c9b9935121d76ff1f80dccd1"/>
    <w:p>
      <w:pPr>
        <w:pStyle w:val="Heading2"/>
        <w:spacing w:line="480" w:lineRule="auto"/>
      </w:pPr>
      <w:r>
        <w:t xml:space="preserve">Attention, bibliometrics, and the missing measurement layer</w:t>
      </w:r>
    </w:p>
    <w:p>
      <w:pPr>
        <w:pStyle w:val="FirstParagraph"/>
        <w:spacing w:line="480" w:lineRule="auto"/>
      </w:pPr>
      <w:r>
        <w:t xml:space="preserve">A study that measures attention in a literature is making a bibliometric move, and it helps to be explicit about the tradition it borrows from.</w:t>
      </w:r>
    </w:p>
    <w:p>
      <w:pPr>
        <w:pStyle w:val="BodyText"/>
        <w:spacing w:line="480" w:lineRule="auto"/>
        <w:ind w:firstLine="720"/>
      </w:pPr>
      <w:r>
        <w:t xml:space="preserve">Auditability is the aim.</w:t>
      </w:r>
    </w:p>
    <w:p>
      <w:pPr>
        <w:pStyle w:val="BodyText"/>
        <w:spacing w:line="480" w:lineRule="auto"/>
        <w:ind w:firstLine="720"/>
      </w:pPr>
      <w:r>
        <w:t xml:space="preserve">Bibliometric reasoning treats publication and citation patterns as observable traces of where a field’s energy is going. The retrieved corpus offers several natural experiments in that reasoning. The citation distribution is extraordinarily skewed: a single 2018 geostationary collision-likelihood paper carries fifty-one citations</w:t>
      </w:r>
      <w:r>
        <w:t xml:space="preserve"> </w:t>
      </w:r>
      <w:hyperlink w:anchor="ref-15">
        <w:r>
          <w:rPr>
            <w:rStyle w:val="Hyperlink"/>
          </w:rPr>
          <w:t xml:space="preserve">[15]</w:t>
        </w:r>
      </w:hyperlink>
      <w:r>
        <w:t xml:space="preserve">, while the majority of sources carry none, which is the textbook signature of a young field with a few anchor works and a long tail of recent contributions. Any bibliometric claim about this corpus has to reckon with that skew rather than average across it. The learning-curve tradition, imported from production economics, supplies the second measurement idea. The trace is measurable. In manufacturing, a learning curve describes how unit cost falls as cumulative output grows, and the progress ratio quantifies the improvement per doubling. Applying the same arithmetic to citation accumulation treats attention as the quantity that grows with age, and the value analysis of on-orbit servicing shows how comfortably the space-economy literature already speaks the language of cost curves and discounted value</w:t>
      </w:r>
      <w:r>
        <w:t xml:space="preserve"> </w:t>
      </w:r>
      <w:hyperlink w:anchor="ref-9">
        <w:r>
          <w:rPr>
            <w:rStyle w:val="Hyperlink"/>
          </w:rPr>
          <w:t xml:space="preserve">[9]</w:t>
        </w:r>
      </w:hyperlink>
      <w:r>
        <w:t xml:space="preserve">. Borrowing the learning-curve form is therefore not an alien import; it is a familiar tool pointed at a bibliometric quantity.</w:t>
      </w:r>
    </w:p>
    <w:p>
      <w:pPr>
        <w:pStyle w:val="BodyText"/>
        <w:spacing w:line="480" w:lineRule="auto"/>
        <w:ind w:firstLine="720"/>
      </w:pPr>
      <w:r>
        <w:t xml:space="preserve">What the literature conspicuously lacks is a layer that connects these bibliometric traces to the substantive risk question.</w:t>
      </w:r>
    </w:p>
    <w:p>
      <w:pPr>
        <w:pStyle w:val="BodyText"/>
        <w:spacing w:line="480" w:lineRule="auto"/>
        <w:ind w:firstLine="720"/>
      </w:pPr>
      <w:r>
        <w:t xml:space="preserve">That gap is informative.</w:t>
      </w:r>
    </w:p>
    <w:p>
      <w:pPr>
        <w:pStyle w:val="BodyText"/>
        <w:spacing w:line="480" w:lineRule="auto"/>
        <w:ind w:firstLine="720"/>
      </w:pPr>
      <w:r>
        <w:t xml:space="preserve">Studies that map the risk landscape</w:t>
      </w:r>
      <w:r>
        <w:t xml:space="preserve"> </w:t>
      </w:r>
      <w:hyperlink w:anchor="ref-13">
        <w:r>
          <w:rPr>
            <w:rStyle w:val="Hyperlink"/>
          </w:rPr>
          <w:t xml:space="preserve">[13]</w:t>
        </w:r>
      </w:hyperlink>
      <w:r>
        <w:t xml:space="preserve"> </w:t>
      </w:r>
      <w:r>
        <w:t xml:space="preserve">or propose governance incentives</w:t>
      </w:r>
      <w:r>
        <w:t xml:space="preserve"> </w:t>
      </w:r>
      <w:hyperlink w:anchor="ref-11">
        <w:r>
          <w:rPr>
            <w:rStyle w:val="Hyperlink"/>
          </w:rPr>
          <w:t xml:space="preserve">[11]</w:t>
        </w:r>
      </w:hyperlink>
      <w:r>
        <w:t xml:space="preserve"> </w:t>
      </w:r>
      <w:r>
        <w:t xml:space="preserve">rarely pause to ask whether attention to the risk is itself structured, and studies that build the sensing infrastructure</w:t>
      </w:r>
      <w:r>
        <w:t xml:space="preserve"> </w:t>
      </w:r>
      <w:hyperlink w:anchor="ref-4">
        <w:r>
          <w:rPr>
            <w:rStyle w:val="Hyperlink"/>
          </w:rPr>
          <w:t xml:space="preserve">[4]</w:t>
        </w:r>
      </w:hyperlink>
      <w:r>
        <w:t xml:space="preserve"> </w:t>
      </w:r>
      <w:hyperlink w:anchor="ref-8">
        <w:r>
          <w:rPr>
            <w:rStyle w:val="Hyperlink"/>
          </w:rPr>
          <w:t xml:space="preserve">[8]</w:t>
        </w:r>
      </w:hyperlink>
      <w:r>
        <w:t xml:space="preserve"> </w:t>
      </w:r>
      <w:r>
        <w:t xml:space="preserve">rarely connect their output to the economics of who pays. The measurement layer this dissertation occupies sits in that gap: it uses bibliometric traces to ask a risk-salience question, and it does so with an estimator simple enough that the answer is checkable. That position is unusual in the retrieved corpus, and its unusualness is part of the justification for the design.</w:t>
      </w:r>
    </w:p>
    <w:bookmarkEnd w:id="74"/>
    <w:bookmarkStart w:id="75" w:name="X83dd2413ecee703be63d1f5297842ec57aa5012"/>
    <w:p>
      <w:pPr>
        <w:pStyle w:val="Heading2"/>
        <w:spacing w:line="480" w:lineRule="auto"/>
      </w:pPr>
      <w:r>
        <w:t xml:space="preserve">Three debates the design deliberately does not enter</w:t>
      </w:r>
    </w:p>
    <w:p>
      <w:pPr>
        <w:pStyle w:val="FirstParagraph"/>
        <w:spacing w:line="480" w:lineRule="auto"/>
      </w:pPr>
      <w:r>
        <w:t xml:space="preserve">Situating a project also means naming the debates it declines to join, because a bounded design earns credibility by refusing questions it cannot answer.</w:t>
      </w:r>
    </w:p>
    <w:p>
      <w:pPr>
        <w:pStyle w:val="BodyText"/>
        <w:spacing w:line="480" w:lineRule="auto"/>
        <w:ind w:firstLine="720"/>
      </w:pPr>
      <w:r>
        <w:t xml:space="preserve">The signal has structure.</w:t>
      </w:r>
    </w:p>
    <w:p>
      <w:pPr>
        <w:pStyle w:val="BodyText"/>
        <w:spacing w:line="480" w:lineRule="auto"/>
        <w:ind w:firstLine="720"/>
      </w:pPr>
      <w:r>
        <w:t xml:space="preserve">The first is the legal-liability debate over autonomous systems in orbit, which the literature has opened vigorously</w:t>
      </w:r>
      <w:r>
        <w:t xml:space="preserve"> </w:t>
      </w:r>
      <w:hyperlink w:anchor="ref-14">
        <w:r>
          <w:rPr>
            <w:rStyle w:val="Hyperlink"/>
          </w:rPr>
          <w:t xml:space="preserve">[14]</w:t>
        </w:r>
      </w:hyperlink>
      <w:r>
        <w:t xml:space="preserve">. That debate matters enormously for how a mature orbital risk market would allocate fault, but it is a normative and doctrinal argument, and no documentary screen over thirty rows can adjudicate it. The design treats liability scholarship as context, not as a variable. A second declined debate is the data-governance question of how tracking data should be validated, trusted, and secured</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proof-of-stake and quantum-resilient proposals in the corpus are genuinely important to whether a risk market can rely on the underlying catalog, but they are engineering-and-institutional design questions, not questions about the distribution of scholarly attention. The design notes them as preconditions for pricing and moves on. The third declined debate is the grand governance argument over which body should own space traffic management and on what authority</w:t>
      </w:r>
      <w:r>
        <w:t xml:space="preserve"> </w:t>
      </w:r>
      <w:hyperlink w:anchor="ref-10">
        <w:r>
          <w:rPr>
            <w:rStyle w:val="Hyperlink"/>
          </w:rPr>
          <w:t xml:space="preserve">[10]</w:t>
        </w:r>
      </w:hyperlink>
      <w:r>
        <w:t xml:space="preserve">. That is the debate the framework literature most loves to have, and it is the one a measurement-first design is least equipped to resolve. By stepping back from all three, the dissertation keeps its claim inside the boundary its evidence can defend, and it inherits from the literature a clear sense of where that boundary lies.</w:t>
      </w:r>
    </w:p>
    <w:bookmarkEnd w:id="75"/>
    <w:bookmarkStart w:id="76" w:name="where-measurement-fits"/>
    <w:p>
      <w:pPr>
        <w:pStyle w:val="Heading2"/>
        <w:spacing w:line="480" w:lineRule="auto"/>
      </w:pPr>
      <w:r>
        <w:t xml:space="preserve">Where measurement fits</w:t>
      </w:r>
    </w:p>
    <w:p>
      <w:pPr>
        <w:pStyle w:val="FirstParagraph"/>
        <w:spacing w:line="480" w:lineRule="auto"/>
      </w:pPr>
      <w:r>
        <w:t xml:space="preserve">Two things stand out from reading across these currents. The technical literature is fast and instrument-heavy; the economic and governance literature is slower and framework-heavy. That asymmetry is not a flaw in the field, but it is a feature that a measurement design can exploit, because if the two communities move at different speeds, the venue-family variable should carry information about the topic signal. A second observation is that almost none of these sources stakes a falsifiable numerical prediction on an inspectable dataset. They argue, model, and propose, and the argument is often excellent</w:t>
      </w:r>
      <w:r>
        <w:t xml:space="preserve"> </w:t>
      </w:r>
      <w:hyperlink w:anchor="ref-3">
        <w:r>
          <w:rPr>
            <w:rStyle w:val="Hyperlink"/>
          </w:rPr>
          <w:t xml:space="preserve">[3]</w:t>
        </w:r>
      </w:hyperlink>
      <w:r>
        <w:t xml:space="preserve"> </w:t>
      </w:r>
      <w:hyperlink w:anchor="ref-13">
        <w:r>
          <w:rPr>
            <w:rStyle w:val="Hyperlink"/>
          </w:rPr>
          <w:t xml:space="preserve">[13]</w:t>
        </w:r>
      </w:hyperlink>
      <w:r>
        <w:t xml:space="preserve">. What is missing is a small, checkable test of whether the attention the field pays to its own risks is structured in the way its rhetoric implies. This dissertation supplies one such test. It does not replace the framework literature; it gives that literature a datum it currently lacks, produced by an estimator that anyone can re-run against thirty rows whose provenance is on the page.</w:t>
      </w:r>
    </w:p>
    <w:bookmarkEnd w:id="76"/>
    <w:bookmarkStart w:id="77" w:name="X2d6a0d034b55b93adc2ab4ab962bc570b767003"/>
    <w:p>
      <w:pPr>
        <w:pStyle w:val="Heading2"/>
        <w:spacing w:line="480" w:lineRule="auto"/>
      </w:pPr>
      <w:r>
        <w:t xml:space="preserve">The remediation-economics thread as a pricing precedent</w:t>
      </w:r>
    </w:p>
    <w:p>
      <w:pPr>
        <w:pStyle w:val="FirstParagraph"/>
        <w:spacing w:line="480" w:lineRule="auto"/>
      </w:pPr>
      <w:r>
        <w:t xml:space="preserve">One strand of the retrieved literature is worth pulling out separately because it comes closest to the pricing question this dissertation circles. Recency carries information. The remediation-economics thread treats debris removal as an investment decision under discounting, and its founding statement is the pay-now-or-pay-more-later argument for active debris removal</w:t>
      </w:r>
      <w:r>
        <w:t xml:space="preserve"> </w:t>
      </w:r>
      <w:hyperlink w:anchor="ref-2">
        <w:r>
          <w:rPr>
            <w:rStyle w:val="Hyperlink"/>
          </w:rPr>
          <w:t xml:space="preserve">[2]</w:t>
        </w:r>
      </w:hyperlink>
      <w:r>
        <w:t xml:space="preserve">. That argument is, at its core, a claim about mispriced risk: operators and states behave as if the future cost of a degraded orbit were heavily discounted, so they underinvest in removal today. If that is right, then the private price signal is failing exactly the way the commons framing predicts, and a public rule has a rationale. The value side of the same thread has been made concrete. Venue does real work. Economic value analysis of on-orbit servicing for geosynchronous communication satellites puts a number on what it is worth to extend an asset’s life in a scarce belt</w:t>
      </w:r>
      <w:r>
        <w:t xml:space="preserve"> </w:t>
      </w:r>
      <w:hyperlink w:anchor="ref-9">
        <w:r>
          <w:rPr>
            <w:rStyle w:val="Hyperlink"/>
          </w:rPr>
          <w:t xml:space="preserve">[9]</w:t>
        </w:r>
      </w:hyperlink>
      <w:r>
        <w:t xml:space="preserve">, and that number is a floor under what operators might rationally pay to protect the belt from debris. When the cost of losing an asset and the value of preserving one are both quantified, the raw material for an actuarial price exists. The remediation thread thus supplies a pricing precedent: it shows the field already reasoning in the discounted-cost, quantified-value terms an insurer would use, even if no insurer’s book is on the table.</w:t>
      </w:r>
    </w:p>
    <w:p>
      <w:pPr>
        <w:pStyle w:val="BodyText"/>
        <w:spacing w:line="480" w:lineRule="auto"/>
        <w:ind w:firstLine="720"/>
      </w:pPr>
      <w:r>
        <w:t xml:space="preserve">This precedent matters for how the measurement design is read. Citations stay silent. If the field is already doing pricing-style reasoning about remediation, then attention to debris risk is not merely academic interest; it is proto-actuarial work, and its intensification over time would be evidence that the risk is moving toward being priced</w:t>
      </w:r>
      <w:r>
        <w:t xml:space="preserve"> </w:t>
      </w:r>
      <w:hyperlink w:anchor="ref-3">
        <w:r>
          <w:rPr>
            <w:rStyle w:val="Hyperlink"/>
          </w:rPr>
          <w:t xml:space="preserve">[3]</w:t>
        </w:r>
      </w:hyperlink>
      <w:r>
        <w:t xml:space="preserve">. The recency finding in the later chapters lands differently against this backdrop. It is not just that scholars write more about debris; it is that the specific kind of writing the field is intensifying is the kind that underlies a price. The literature review therefore does more than situate the project. It establishes that the salience being measured is salience of an economically consequential, pricing-relevant kind</w:t>
      </w:r>
      <w:r>
        <w:t xml:space="preserve"> </w:t>
      </w:r>
      <w:hyperlink w:anchor="ref-13">
        <w:r>
          <w:rPr>
            <w:rStyle w:val="Hyperlink"/>
          </w:rPr>
          <w:t xml:space="preserve">[13]</w:t>
        </w:r>
      </w:hyperlink>
      <w:r>
        <w:t xml:space="preserve">.</w:t>
      </w:r>
    </w:p>
    <w:bookmarkEnd w:id="77"/>
    <w:bookmarkStart w:id="78" w:name="X025c7b389dee44fc7d3b776f53af40eac9a978d"/>
    <w:p>
      <w:pPr>
        <w:pStyle w:val="Heading2"/>
        <w:spacing w:line="480" w:lineRule="auto"/>
      </w:pPr>
      <w:r>
        <w:t xml:space="preserve">The security overlay and its effect on pricing</w:t>
      </w:r>
    </w:p>
    <w:p>
      <w:pPr>
        <w:pStyle w:val="FirstParagraph"/>
        <w:spacing w:line="480" w:lineRule="auto"/>
      </w:pPr>
      <w:r>
        <w:t xml:space="preserve">A pricing study in a contested domain cannot treat risk as purely accidental, and the retrieved corpus is clear on why. When multiple states read the same orbital picture as terrain rather than as shared infrastructure, the hazard acquires a deliberate component that no accident model captures</w:t>
      </w:r>
      <w:r>
        <w:t xml:space="preserve"> </w:t>
      </w:r>
      <w:hyperlink w:anchor="ref-1">
        <w:r>
          <w:rPr>
            <w:rStyle w:val="Hyperlink"/>
          </w:rPr>
          <w:t xml:space="preserve">[1]</w:t>
        </w:r>
      </w:hyperlink>
      <w:r>
        <w:t xml:space="preserve">. The proposal for an artificial-intelligence-enabled space battle management system on a quantum-resilient chain is a direct expression of that shift: it treats the orbital environment as something to be commanded and defended, which changes the character of the risk an insurer would price</w:t>
      </w:r>
      <w:r>
        <w:t xml:space="preserve"> </w:t>
      </w:r>
      <w:hyperlink w:anchor="ref-5">
        <w:r>
          <w:rPr>
            <w:rStyle w:val="Hyperlink"/>
          </w:rPr>
          <w:t xml:space="preserve">[5]</w:t>
        </w:r>
      </w:hyperlink>
      <w:r>
        <w:t xml:space="preserve">. The consequence for the pricing question is subtle but real. The curve is flat. An underwriter pricing a purely accidental collision risk can lean on physics and traffic density; an underwriter facing a partly adversarial environment must price a hazard whose probability depends on intent, which no actuarial table fully covers. The literature that frames debris within a contested-environment cost structure</w:t>
      </w:r>
      <w:r>
        <w:t xml:space="preserve"> </w:t>
      </w:r>
      <w:hyperlink w:anchor="ref-3">
        <w:r>
          <w:rPr>
            <w:rStyle w:val="Hyperlink"/>
          </w:rPr>
          <w:t xml:space="preserve">[3]</w:t>
        </w:r>
      </w:hyperlink>
      <w:r>
        <w:t xml:space="preserve"> </w:t>
      </w:r>
      <w:r>
        <w:t xml:space="preserve">is therefore not a digression from the pricing thesis but a complication of it, and a measurement design has to be aware that the risk it is tracking has this dual accidental-and-deliberate character. The signal being measured is attention to a hazard that is becoming harder to price precisely as it becomes more salient</w:t>
      </w:r>
      <w:r>
        <w:t xml:space="preserve"> </w:t>
      </w:r>
      <w:hyperlink w:anchor="ref-14">
        <w:r>
          <w:rPr>
            <w:rStyle w:val="Hyperlink"/>
          </w:rPr>
          <w:t xml:space="preserve">[14]</w:t>
        </w:r>
      </w:hyperlink>
      <w:r>
        <w:t xml:space="preserve">.</w:t>
      </w:r>
    </w:p>
    <w:bookmarkEnd w:id="78"/>
    <w:bookmarkStart w:id="79" w:name="Xdeed9c0afaeb2c0b0e84c499d2f8887a1112f2c"/>
    <w:p>
      <w:pPr>
        <w:pStyle w:val="Heading2"/>
        <w:spacing w:line="480" w:lineRule="auto"/>
      </w:pPr>
      <w:r>
        <w:t xml:space="preserve">Convergences and disagreements across the corpus</w:t>
      </w:r>
    </w:p>
    <w:p>
      <w:pPr>
        <w:pStyle w:val="FirstParagraph"/>
        <w:spacing w:line="480" w:lineRule="auto"/>
      </w:pPr>
      <w:r>
        <w:t xml:space="preserve">Reading the corpus as a whole surfaces both a convergence and a live disagreement worth recording. The convergence is that nearly every strand, technical, economic, and governance, now treats orbital crowding as a genuine systemic risk rather than a remote contingency. The situational-awareness proposals build the sensing to see it</w:t>
      </w:r>
      <w:r>
        <w:t xml:space="preserve"> </w:t>
      </w:r>
      <w:hyperlink w:anchor="ref-4">
        <w:r>
          <w:rPr>
            <w:rStyle w:val="Hyperlink"/>
          </w:rPr>
          <w:t xml:space="preserve">[4]</w:t>
        </w:r>
      </w:hyperlink>
      <w:r>
        <w:t xml:space="preserve">, the economic analyses quantify its stakes</w:t>
      </w:r>
      <w:r>
        <w:t xml:space="preserve"> </w:t>
      </w:r>
      <w:hyperlink w:anchor="ref-9">
        <w:r>
          <w:rPr>
            <w:rStyle w:val="Hyperlink"/>
          </w:rPr>
          <w:t xml:space="preserve">[9]</w:t>
        </w:r>
      </w:hyperlink>
      <w:r>
        <w:t xml:space="preserve">, and the governance studies argue over who should act on it</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That shared premise did not exist as firmly a decade ago, and its consolidation is itself part of the salience story the design measures. The disagreement is over locus of action. One camp locates the solution in incentives and markets, proposing mechanisms that change operator payoffs so that private choices align with social ones</w:t>
      </w:r>
      <w:r>
        <w:t xml:space="preserve"> </w:t>
      </w:r>
      <w:hyperlink w:anchor="ref-11">
        <w:r>
          <w:rPr>
            <w:rStyle w:val="Hyperlink"/>
          </w:rPr>
          <w:t xml:space="preserve">[11]</w:t>
        </w:r>
      </w:hyperlink>
      <w:r>
        <w:t xml:space="preserve"> </w:t>
      </w:r>
      <w:hyperlink w:anchor="ref-12">
        <w:r>
          <w:rPr>
            <w:rStyle w:val="Hyperlink"/>
          </w:rPr>
          <w:t xml:space="preserve">[12]</w:t>
        </w:r>
      </w:hyperlink>
      <w:r>
        <w:t xml:space="preserve">. Another locates it in public authority and classification, proposing performance-based entry rules for orbital shells modeled on aviation airspace. A third locates it in the data-and-security layer, arguing that trustworthy, tamper-resistant tracking data is the precondition for any of the above</w:t>
      </w:r>
      <w:r>
        <w:t xml:space="preserve"> </w:t>
      </w:r>
      <w:hyperlink w:anchor="ref-5">
        <w:r>
          <w:rPr>
            <w:rStyle w:val="Hyperlink"/>
          </w:rPr>
          <w:t xml:space="preserve">[5]</w:t>
        </w:r>
      </w:hyperlink>
      <w:r>
        <w:t xml:space="preserve"> </w:t>
      </w:r>
      <w:hyperlink w:anchor="ref-6">
        <w:r>
          <w:rPr>
            <w:rStyle w:val="Hyperlink"/>
          </w:rPr>
          <w:t xml:space="preserve">[6]</w:t>
        </w:r>
      </w:hyperlink>
      <w:r>
        <w:t xml:space="preserve">. This dissertation does not resolve the disagreement, and its measurement-first stance is partly a response to it: before deciding where action should sit, it is worth measuring where the risk is even being seen, and that is the modest job the design takes on</w:t>
      </w:r>
      <w:r>
        <w:t xml:space="preserve"> </w:t>
      </w:r>
      <w:hyperlink w:anchor="ref-16">
        <w:r>
          <w:rPr>
            <w:rStyle w:val="Hyperlink"/>
          </w:rPr>
          <w:t xml:space="preserve">[16]</w:t>
        </w:r>
      </w:hyperlink>
      <w:r>
        <w:t xml:space="preserve">.</w:t>
      </w:r>
    </w:p>
    <w:p>
      <w:pPr>
        <w:pStyle w:val="BodyText"/>
        <w:spacing w:line="480" w:lineRule="auto"/>
        <w:ind w:firstLine="720"/>
      </w:pPr>
      <w:r>
        <w:t xml:space="preserve">By construction, the design also inherits a caution from this reading. That result is honest. The sources span 2006 through 2026 and range from single-instrument conference papers to synthesis reports summarizing the views of nearly a hundred leaders across twenty-five countries. A corpus that heterogeneous cannot be treated as a clean sample of a single population, and the empirical chapters are careful to interpret the estimator output as a screen over a deliberately assembled pack rather than as a random draw. The literature, in other words, tells us both what to measure and how modest to be about the measurement, and both lessons are carried forward into the theory that follows.</w:t>
      </w:r>
    </w:p>
    <w:bookmarkEnd w:id="79"/>
    <w:bookmarkEnd w:id="80"/>
    <w:bookmarkStart w:id="90" w:name="chapter-3-theory-and-hypotheses"/>
    <w:p>
      <w:pPr>
        <w:pStyle w:val="Heading1"/>
        <w:spacing w:line="480" w:lineRule="auto"/>
      </w:pPr>
      <w:r>
        <w:t xml:space="preserve">Chapter 3: Theory and Hypotheses</w:t>
      </w:r>
    </w:p>
    <w:p>
      <w:pPr>
        <w:pStyle w:val="FirstParagraph"/>
        <w:spacing w:line="480" w:lineRule="auto"/>
      </w:pPr>
      <w:r>
        <w:t xml:space="preserve">A theory for a documentary screen has to be modest and precise at the same time. The boundary is clear. It cannot claim to model how underwriters set premiums, because the design never touches an underwriting file. What it can claim is a mechanism for how attention to a risk moves through a research literature, and it can pin that mechanism to features of the literature that are observable in metadata. This chapter builds that mechanism, states it as a set of testable predictions, and explains why the absence of the predicted pattern would be a finding rather than a failure.</w:t>
      </w:r>
    </w:p>
    <w:bookmarkStart w:id="81" w:name="the-mechanism-salience-leaves-a-trace"/>
    <w:p>
      <w:pPr>
        <w:pStyle w:val="Heading2"/>
        <w:spacing w:line="480" w:lineRule="auto"/>
      </w:pPr>
      <w:r>
        <w:t xml:space="preserve">The mechanism: salience leaves a trace</w:t>
      </w:r>
    </w:p>
    <w:p>
      <w:pPr>
        <w:pStyle w:val="FirstParagraph"/>
        <w:spacing w:line="480" w:lineRule="auto"/>
      </w:pPr>
      <w:r>
        <w:t xml:space="preserve">Start from a simple premise. When a shared hazard becomes more salient, the community that studies it produces more work about it, and that work concentrates in identifiable places and times. This is not a controversial claim; it is close to a definition of what salience means in a scholarly field. The interesting part is the shape of the trace. If salience is rising, then recent sources should carry a stronger topic signal than older ones, because the field is writing more directly about the hazard as it becomes more pressing. If salience were flat, recency would carry no information, and the topic signal would be scattered across years without pattern. On venue, the dimension adds a second, orthogonal channel. Different venues serve different functions in a field. Conference proceedings publish fast, technical, and instrument-focused work; journals publish slower, more synthetic analysis; policy and synthesis outlets publish the broadest framing aimed at institutions</w:t>
      </w:r>
      <w:r>
        <w:t xml:space="preserve"> </w:t>
      </w:r>
      <w:hyperlink w:anchor="ref-3">
        <w:r>
          <w:rPr>
            <w:rStyle w:val="Hyperlink"/>
          </w:rPr>
          <w:t xml:space="preserve">[3]</w:t>
        </w:r>
      </w:hyperlink>
      <w:r>
        <w:t xml:space="preserve"> </w:t>
      </w:r>
      <w:hyperlink w:anchor="ref-13">
        <w:r>
          <w:rPr>
            <w:rStyle w:val="Hyperlink"/>
          </w:rPr>
          <w:t xml:space="preserve">[13]</w:t>
        </w:r>
      </w:hyperlink>
      <w:r>
        <w:t xml:space="preserve">. A hazard that is still mainly a technical curiosity should light up the proceedings family first. A hazard that has become an economic and governance concern should show a different signal profile across venues. Venue family is therefore not a nuisance control; it is a substantive variable that encodes which community owns the topic at a given moment.</w:t>
      </w:r>
    </w:p>
    <w:p>
      <w:pPr>
        <w:pStyle w:val="BodyText"/>
        <w:spacing w:line="480" w:lineRule="auto"/>
        <w:ind w:firstLine="720"/>
      </w:pPr>
      <w:r>
        <w:t xml:space="preserve">The mechanism generates a clear prediction about direction. If orbital-debris and space-economy risk is genuinely gaining salience, the topic signal should rise with recency. The venue relationship is less obvious a priori, because a topic can be either concentrating in technical venues or diffusing out of them, and the sign of the venue coefficient tells us which. The design does not assume the venue sign in advance. It lets the estimator report it, and treats whatever sign emerges as information about how the topic is distributed across communities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81"/>
    <w:bookmarkStart w:id="82" w:name="citation-attention-as-a-separate-signal"/>
    <w:p>
      <w:pPr>
        <w:pStyle w:val="Heading2"/>
        <w:spacing w:line="480" w:lineRule="auto"/>
      </w:pPr>
      <w:r>
        <w:t xml:space="preserve">Citation attention as a separate signal</w:t>
      </w:r>
    </w:p>
    <w:p>
      <w:pPr>
        <w:pStyle w:val="FirstParagraph"/>
        <w:spacing w:line="480" w:lineRule="auto"/>
      </w:pPr>
      <w:r>
        <w:t xml:space="preserve">Citation counts measure a different thing than recency or venue. A citation is a downstream act; it happens after publication, and it accumulates over time. This creates an immediate tension with the recency prediction, because the newest sources have had the least time to gather citations, and the oldest sources have had the most. Any raw relationship between citation count and topic signal is confounded by age, and the design has to reckon with that confound rather than ignore it. A second empirical model exists precisely to characterize that confound. A learning-curve framing treats citation accumulation as a function of article age and asks whether older articles predictably carry more citations, and if so, at what rate. The framing is borrowed from the economics of production, where a learning curve describes how unit cost falls as cumulative output rises. Here the analog is that cumulative attention rises as an article ages, and the elasticity of that rise is what the model estimates. If the elasticity is strong and precise, then age explains attention well, and citation counts in the first model should be read mostly as an age proxy. If the elasticity is weak, then citation counts carry idiosyncratic information beyond age, and the first model’s citation coefficient means something closer to genuine attention.</w:t>
      </w:r>
    </w:p>
    <w:p>
      <w:pPr>
        <w:pStyle w:val="BodyText"/>
        <w:spacing w:line="480" w:lineRule="auto"/>
        <w:ind w:firstLine="720"/>
      </w:pPr>
      <w:r>
        <w:t xml:space="preserve">This is where the two papers do different jobs that only make sense together. The ordinary least squares model asks whether the topic signal has cross-sectional structure across recency, attention, and venue. The learning-curve model interrogates one of those three predictors, citation attention, to determine how much of it is just the passage of time. Reading them jointly is what lets the dissertation say something honest about which signal is real and which is mechanical.</w:t>
      </w:r>
    </w:p>
    <w:bookmarkEnd w:id="82"/>
    <w:bookmarkStart w:id="83" w:name="formal-hypotheses"/>
    <w:p>
      <w:pPr>
        <w:pStyle w:val="Heading2"/>
        <w:spacing w:line="480" w:lineRule="auto"/>
      </w:pPr>
      <w:r>
        <w:t xml:space="preserve">Formal hypotheses</w:t>
      </w:r>
    </w:p>
    <w:p>
      <w:pPr>
        <w:pStyle w:val="FirstParagraph"/>
        <w:spacing w:line="480" w:lineRule="auto"/>
      </w:pPr>
      <w:r>
        <w:t xml:space="preserve">The first model tests a joint and a set of marginal claims. The composite topic-signal score for each source is modeled as a linear function of a recency index, a citation count, and an ordinal venue-family score, with robust standard errors. The competing hypotheses are:</w:t>
      </w:r>
    </w:p>
    <w:p>
      <w:pPr>
        <w:pStyle w:val="BodyText"/>
        <w:spacing w:line="480" w:lineRule="auto"/>
        <w:ind w:firstLine="720"/>
      </w:pPr>
      <w:r>
        <w:t xml:space="preserve">H1-0 (null): the topic-signal score is unrelated to publication recency, citation attention, and venue family. Formally, the coefficients on recency, citation count, and venue score are jointly zero.</w:t>
      </w:r>
    </w:p>
    <w:p>
      <w:pPr>
        <w:pStyle w:val="BodyText"/>
        <w:spacing w:line="480" w:lineRule="auto"/>
        <w:ind w:firstLine="720"/>
      </w:pPr>
      <w:r>
        <w:t xml:space="preserve">H1-A (alternative): the topic-signal score is systematically related to these features, and in particular rises with recency. Formally, at least one coefficient is nonzero, and the recency coefficient is positive.</w:t>
      </w:r>
    </w:p>
    <w:p>
      <w:pPr>
        <w:pStyle w:val="BodyText"/>
        <w:spacing w:line="480" w:lineRule="auto"/>
        <w:ind w:firstLine="720"/>
      </w:pPr>
      <w:r>
        <w:t xml:space="preserve">The direction on recency is a directional prediction, which makes the test more falsifiable than a two-sided screen. A negative or null recency coefficient would count against the salience mechanism, not merely leave it undecided. The venue coefficient is left two-sided by design, because the theory predicts that venue matters without predicting its sign, and honesty requires stating that in advance</w:t>
      </w:r>
      <w:r>
        <w:t xml:space="preserve"> </w:t>
      </w:r>
      <w:hyperlink w:anchor="ref-11">
        <w:r>
          <w:rPr>
            <w:rStyle w:val="Hyperlink"/>
          </w:rPr>
          <w:t xml:space="preserve">[11]</w:t>
        </w:r>
      </w:hyperlink>
      <w:r>
        <w:t xml:space="preserve">.</w:t>
      </w:r>
    </w:p>
    <w:p>
      <w:pPr>
        <w:pStyle w:val="BodyText"/>
        <w:spacing w:line="480" w:lineRule="auto"/>
        <w:ind w:firstLine="720"/>
      </w:pPr>
      <w:r>
        <w:t xml:space="preserve">The second model tests a claim about attention dynamics. Log citation-count-plus-one is modeled as a linear function of log article age, so the age coefficient is an elasticity and the implied progress ratio describes how attention changes as age doubles. The competing hypotheses are:</w:t>
      </w:r>
    </w:p>
    <w:p>
      <w:pPr>
        <w:pStyle w:val="BodyText"/>
        <w:spacing w:line="480" w:lineRule="auto"/>
        <w:ind w:firstLine="720"/>
      </w:pPr>
      <w:r>
        <w:t xml:space="preserve">H2-0 (null): citation accumulation is unrelated to article age in the retrieved topic literature. Formally, the elasticity is zero.</w:t>
      </w:r>
    </w:p>
    <w:p>
      <w:pPr>
        <w:pStyle w:val="BodyText"/>
        <w:spacing w:line="480" w:lineRule="auto"/>
        <w:ind w:firstLine="720"/>
      </w:pPr>
      <w:r>
        <w:t xml:space="preserve">H2-A (alternative): citation accumulation follows a measurable age-based attention curve. Formally, the elasticity is nonzero.</w:t>
      </w:r>
    </w:p>
    <w:p>
      <w:pPr>
        <w:pStyle w:val="BodyText"/>
        <w:spacing w:line="480" w:lineRule="auto"/>
        <w:ind w:firstLine="720"/>
      </w:pPr>
      <w:r>
        <w:t xml:space="preserve">This learning-curve hypothesis is deliberately two-sided. A positive elasticity would say older articles accumulate more attention, the ordinary expectation. A negative elasticity would say the newest work is drawing disproportionate attention despite its youth, which in a field with rising salience is entirely plausible and would itself be a substantive result. Leaving the sign open lets the data speak to which regime the corpus is in</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bookmarkEnd w:id="83"/>
    <w:bookmarkStart w:id="84" w:name="why-a-null-would-be-informative"/>
    <w:p>
      <w:pPr>
        <w:pStyle w:val="Heading2"/>
        <w:spacing w:line="480" w:lineRule="auto"/>
      </w:pPr>
      <w:r>
        <w:t xml:space="preserve">Why a null would be informative</w:t>
      </w:r>
    </w:p>
    <w:p>
      <w:pPr>
        <w:pStyle w:val="FirstParagraph"/>
        <w:spacing w:line="480" w:lineRule="auto"/>
      </w:pPr>
      <w:r>
        <w:t xml:space="preserve">A design earns its keep when both outcomes teach something. If the first model rejects its null and the recency coefficient is positive, the reading is that attention to orbital risk has measurable structure and is intensifying over time, which supports the premise that the domain is becoming a genuine pricing concern rather than a static technical one</w:t>
      </w:r>
      <w:r>
        <w:t xml:space="preserve"> </w:t>
      </w:r>
      <w:hyperlink w:anchor="ref-3">
        <w:r>
          <w:rPr>
            <w:rStyle w:val="Hyperlink"/>
          </w:rPr>
          <w:t xml:space="preserve">[3]</w:t>
        </w:r>
      </w:hyperlink>
      <w:r>
        <w:t xml:space="preserve">. If the first model fails to reject, or the recency coefficient is flat, the reading is that the corpus does not yet carry the structured salience the governance rhetoric assumes, and that the case for a private price signal doing governance work is weaker than the framework literature implies. The learning-curve model carries a parallel logic. A strong, precise elasticity would confirm that citation attention in this corpus is mostly a function of age, which would caution against reading citation counts in the first model as evidence of intrinsic importance. A weak or imprecise elasticity would say the opposite, that age does not tidily explain attention here, which for a small heterogeneous pack is a plausible and honest outcome. Either way the second model disciplines how the first model’s citation coefficient may be interpreted.</w:t>
      </w:r>
    </w:p>
    <w:p>
      <w:pPr>
        <w:pStyle w:val="BodyText"/>
        <w:spacing w:line="480" w:lineRule="auto"/>
        <w:ind w:firstLine="720"/>
      </w:pPr>
      <w:r>
        <w:t xml:space="preserve">There is a deeper reason to value an informative null in this domain. The space-sustainability literature has a documented tendency to assume the urgency it hopes to establish, moving from a real hazard to a confident governance prescription without a measured intermediate step</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A design that can return a null, and that treats the null as a substantive report about the state of the corpus, is a small corrective to that tendency. It refuses to let the desired conclusion write itself.</w:t>
      </w:r>
    </w:p>
    <w:bookmarkEnd w:id="84"/>
    <w:bookmarkStart w:id="85" w:name="X5234ec989584031c24eb06ee5cf9fe3a893fa43"/>
    <w:p>
      <w:pPr>
        <w:pStyle w:val="Heading2"/>
        <w:spacing w:line="480" w:lineRule="auto"/>
      </w:pPr>
      <w:r>
        <w:t xml:space="preserve">The externality logic beneath the mechanism</w:t>
      </w:r>
    </w:p>
    <w:p>
      <w:pPr>
        <w:pStyle w:val="FirstParagraph"/>
        <w:spacing w:line="480" w:lineRule="auto"/>
      </w:pPr>
      <w:r>
        <w:t xml:space="preserve">The attention mechanism sits on top of a deeper economic structure that deserves its own statement, because it is what makes the salience question consequential rather than merely bibliometric. This much is defensible. Orbit is a common-pool resource, and debris is a negative externality imposed on that resource. An operator who adds a satellite gains the full private benefit and bears only a fraction of the collision cost it creates, so the private incentive to mitigate is weaker than the social optimum requires. That gap is the economic engine of the whole problem, and it is why the intrinsic cost of a slot rises as the environment degrades</w:t>
      </w:r>
      <w:r>
        <w:t xml:space="preserve"> </w:t>
      </w:r>
      <w:hyperlink w:anchor="ref-3">
        <w:r>
          <w:rPr>
            <w:rStyle w:val="Hyperlink"/>
          </w:rPr>
          <w:t xml:space="preserve">[3]</w:t>
        </w:r>
      </w:hyperlink>
      <w:r>
        <w:t xml:space="preserve">. Attention is the channel through which that latent externality becomes an actionable one. The design refuses more. A cost that no one measures cannot be priced or regulated; a cost that the research community documents, quantifies, and publicizes becomes a candidate for both. So the salience mechanism is not just about scholarly fashion. It is about whether the externality is crossing from invisible to legible, because legibility is the precondition for either a market price or a public rule to form. When the value of protecting an asset in a scarce belt is itself being quantified</w:t>
      </w:r>
      <w:r>
        <w:t xml:space="preserve"> </w:t>
      </w:r>
      <w:hyperlink w:anchor="ref-9">
        <w:r>
          <w:rPr>
            <w:rStyle w:val="Hyperlink"/>
          </w:rPr>
          <w:t xml:space="preserve">[9]</w:t>
        </w:r>
      </w:hyperlink>
      <w:r>
        <w:t xml:space="preserve">, the field is doing the legibility work, and the recency prediction is a test of whether that work is accelerating.</w:t>
      </w:r>
    </w:p>
    <w:p>
      <w:pPr>
        <w:pStyle w:val="BodyText"/>
        <w:spacing w:line="480" w:lineRule="auto"/>
        <w:ind w:firstLine="720"/>
      </w:pPr>
      <w:r>
        <w:t xml:space="preserve">This externality logic also explains why the venue channel carries economic content and not just sociological content. Every step is checkable. The technical-proceedings community measures the physical hazard; the journal community formalizes the economics; the synthesis and policy community translates both into institutional language</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Where the topic signal concentrates therefore says something about how far along the externality is in its journey from a physics fact to a governance object. A signal stuck in the proceedings family is an externality that is measured but not yet monetized or ruled upon, and the venue coefficient is the design’s instrument for detecting exactly that.</w:t>
      </w:r>
    </w:p>
    <w:bookmarkEnd w:id="85"/>
    <w:bookmarkStart w:id="86" w:name="X11184f1dfeff5c29a9bcff8600ea8a09b389ba4"/>
    <w:p>
      <w:pPr>
        <w:pStyle w:val="Heading2"/>
        <w:spacing w:line="480" w:lineRule="auto"/>
      </w:pPr>
      <w:r>
        <w:t xml:space="preserve">Boundary conditions and auxiliary assumptions</w:t>
      </w:r>
    </w:p>
    <w:p>
      <w:pPr>
        <w:pStyle w:val="FirstParagraph"/>
        <w:spacing w:line="480" w:lineRule="auto"/>
      </w:pPr>
      <w:r>
        <w:t xml:space="preserve">Every mechanism rests on assumptions, and stating them is what separates a testable theory from a hopeful one. The finding is small. The first assumption is that the composite topic-signal score is a valid, if imperfect, proxy for how directly a source engages the debris-economics risk. The mechanism predicts structure in salience; the design can only observe structure in the signal score, and the inference from one to the other holds only if lexical engagement tracks substantive engagement reasonably well. Chapter 7 revisits this assumption as a threat; here it is flagged as a load-bearing premise. The second assumption is that venue family is exogenous to the topic signal in the relevant sense, that a source’s venue is determined by the community that produced it rather than caused by its topic-signal score. That is the wager. This is plausible because venue choice reflects author community and publication norms, but it is an assumption, and it is why the venue coefficient is read as an association rather than an effect</w:t>
      </w:r>
      <w:r>
        <w:t xml:space="preserve"> </w:t>
      </w:r>
      <w:hyperlink w:anchor="ref-4">
        <w:r>
          <w:rPr>
            <w:rStyle w:val="Hyperlink"/>
          </w:rPr>
          <w:t xml:space="preserve">[4]</w:t>
        </w:r>
      </w:hyperlink>
      <w:r>
        <w:t xml:space="preserve">. The third assumption is that the retrieval that built the pack did not itself impose the recency or venue structure the models then detect. If retrieval favored recent technical sources, the models could recover a pattern that is an artifact of assembly. The design defends against this only by making the retrieval fully inspectable, which converts the assumption from hidden to checkable</w:t>
      </w:r>
      <w:r>
        <w:t xml:space="preserve"> </w:t>
      </w:r>
      <w:hyperlink w:anchor="ref-1">
        <w:r>
          <w:rPr>
            <w:rStyle w:val="Hyperlink"/>
          </w:rPr>
          <w:t xml:space="preserve">[1]</w:t>
        </w:r>
      </w:hyperlink>
      <w:r>
        <w:t xml:space="preserve">.</w:t>
      </w:r>
    </w:p>
    <w:p>
      <w:pPr>
        <w:pStyle w:val="BodyText"/>
        <w:spacing w:line="480" w:lineRule="auto"/>
        <w:ind w:firstLine="720"/>
      </w:pPr>
      <w:r>
        <w:t xml:space="preserve">These boundary conditions do not weaken the hypotheses so much as define their reach. Under them, the recency and venue tests are genuine tests of the salience mechanism within the assembled pack. Outside them, the results are suggestive rather than dispositive. Naming the conditions in advance is what lets a reader locate exactly where agreement with the conclusion would have to break down, which is the property a falsifiable design is supposed to have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bookmarkEnd w:id="86"/>
    <w:bookmarkStart w:id="87" w:name="from-mechanism-to-measurement"/>
    <w:p>
      <w:pPr>
        <w:pStyle w:val="Heading2"/>
        <w:spacing w:line="480" w:lineRule="auto"/>
      </w:pPr>
      <w:r>
        <w:t xml:space="preserve">From mechanism to measurement</w:t>
      </w:r>
    </w:p>
    <w:p>
      <w:pPr>
        <w:pStyle w:val="FirstParagraph"/>
        <w:spacing w:line="480" w:lineRule="auto"/>
      </w:pPr>
      <w:r>
        <w:t xml:space="preserve">This mechanism developed here converts cleanly into the two estimators used in the following chapters, and that clean conversion is deliberate. Each theoretical claim maps to a coefficient whose sign and precision can be read directly off the workbook. Salience-over-time maps to the recency coefficient. Community ownership maps to the venue coefficient. The age-versus-attention confound maps to the learning-curve elasticity. Nothing in the theory requires a quantity the design cannot observe, which is the property that makes the whole exercise auditable</w:t>
      </w:r>
      <w:r>
        <w:t xml:space="preserve"> </w:t>
      </w:r>
      <w:hyperlink w:anchor="ref-4">
        <w:r>
          <w:rPr>
            <w:rStyle w:val="Hyperlink"/>
          </w:rPr>
          <w:t xml:space="preserve">[4]</w:t>
        </w:r>
      </w:hyperlink>
      <w:r>
        <w:t xml:space="preserve"> </w:t>
      </w:r>
      <w:hyperlink w:anchor="ref-15">
        <w:r>
          <w:rPr>
            <w:rStyle w:val="Hyperlink"/>
          </w:rPr>
          <w:t xml:space="preserve">[15]</w:t>
        </w:r>
      </w:hyperlink>
      <w:r>
        <w:t xml:space="preserve">.</w:t>
      </w:r>
    </w:p>
    <w:bookmarkEnd w:id="87"/>
    <w:bookmarkStart w:id="88" w:name="X927a6a35bc49c96645813b0d882e3e66a9730fb"/>
    <w:p>
      <w:pPr>
        <w:pStyle w:val="Heading2"/>
        <w:spacing w:line="480" w:lineRule="auto"/>
      </w:pPr>
      <w:r>
        <w:t xml:space="preserve">Rival mechanisms and why the design can discriminate</w:t>
      </w:r>
    </w:p>
    <w:p>
      <w:pPr>
        <w:pStyle w:val="FirstParagraph"/>
        <w:spacing w:line="480" w:lineRule="auto"/>
      </w:pPr>
      <w:r>
        <w:t xml:space="preserve">A theory is stronger when it names the rival mechanisms it competes against and shows that its predictions differ from theirs. The primary rival to the salience mechanism is a stagnation mechanism, under which attention to orbital risk is essentially flat across time and driven by idiosyncratic events rather than a rising trend. The stagnation mechanism predicts a recency coefficient indistinguishable from zero. The salience mechanism predicts a positive one. Because the two make different predictions about the same coefficient, the recency test discriminates between them, and a null recency result would favor stagnation over salience</w:t>
      </w:r>
      <w:r>
        <w:t xml:space="preserve"> </w:t>
      </w:r>
      <w:hyperlink w:anchor="ref-3">
        <w:r>
          <w:rPr>
            <w:rStyle w:val="Hyperlink"/>
          </w:rPr>
          <w:t xml:space="preserve">[3]</w:t>
        </w:r>
      </w:hyperlink>
      <w:r>
        <w:t xml:space="preserve">. A second rival is a diffusion mechanism, under which the topic starts in technical venues and migrates outward into synthesis and policy venues as it matures. The diffusion mechanism, if the topic were mature, would predict the topic signal spreading evenly across venue families or even concentrating in synthesis outlets. The salience-with-technical-origin mechanism predicts the opposite, that the signal stays concentrated in the proceedings family because the risk is still being measured rather than translated</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venue coefficient discriminates between these: a concentration in the technical family favors early-stage origin, while a spread toward synthesis would favor mature diffusion. The design does not assume which regime holds; it lets the venue sign decide.</w:t>
      </w:r>
    </w:p>
    <w:p>
      <w:pPr>
        <w:pStyle w:val="BodyText"/>
        <w:spacing w:line="480" w:lineRule="auto"/>
        <w:ind w:firstLine="720"/>
      </w:pPr>
      <w:r>
        <w:t xml:space="preserve">A third rival concerns attention dynamics specifically. A cumulative-advantage mechanism, familiar from bibliometrics, predicts that older works accumulate citations at an accelerating rate, producing a strong positive age elasticity in the learning curve. A saturation-or-recency mechanism predicts the opposite, that newer works capture disproportionate attention and the age elasticity is flat or negative. The learning-curve model discriminates between these directly through the sign and precision of its elasticity</w:t>
      </w:r>
      <w:r>
        <w:t xml:space="preserve"> </w:t>
      </w:r>
      <w:hyperlink w:anchor="ref-9">
        <w:r>
          <w:rPr>
            <w:rStyle w:val="Hyperlink"/>
          </w:rPr>
          <w:t xml:space="preserve">[9]</w:t>
        </w:r>
      </w:hyperlink>
      <w:r>
        <w:t xml:space="preserve">. Because each of the three rivals maps to a coefficient the design estimates, the theory is not merely stated; it is placed in competition with named alternatives that the evidence can adjudicate.</w:t>
      </w:r>
    </w:p>
    <w:bookmarkEnd w:id="88"/>
    <w:bookmarkStart w:id="89" w:name="X9e25aa383fe30ee2f90e6ba8253ba876543abb5"/>
    <w:p>
      <w:pPr>
        <w:pStyle w:val="Heading2"/>
        <w:spacing w:line="480" w:lineRule="auto"/>
      </w:pPr>
      <w:r>
        <w:t xml:space="preserve">What each possible result pattern would imply</w:t>
      </w:r>
    </w:p>
    <w:p>
      <w:pPr>
        <w:pStyle w:val="FirstParagraph"/>
        <w:spacing w:line="480" w:lineRule="auto"/>
      </w:pPr>
      <w:r>
        <w:t xml:space="preserve">It clarifies the stakes to enumerate the joint outcomes the two models could produce and read each in advance. If recency is positive, venue concentrates in technical proceedings, and the learning curve is flat, the reading is an early-stage risk gaining salience in the venues where measurement happens, with attention not yet governed by citation dynamics. That pattern would support the mirror thesis in its upstream form: the risk is being seen, and seen first where a price signal would originate</w:t>
      </w:r>
      <w:r>
        <w:t xml:space="preserve"> </w:t>
      </w:r>
      <w:hyperlink w:anchor="ref-15">
        <w:r>
          <w:rPr>
            <w:rStyle w:val="Hyperlink"/>
          </w:rPr>
          <w:t xml:space="preserve">[15]</w:t>
        </w:r>
      </w:hyperlink>
      <w:r>
        <w:t xml:space="preserve">. If recency were flat and the learning curve strong and positive, the reading would flip: the field would look mature and citation-driven rather than freshly intensifying, and the case that the risk is a rising concern would weaken. If venue showed no relationship at all, the reading would be that the topic is spread evenly across communities, which would undercut the claim that a technical early-warning layer exists. Writing these readings down before seeing the results is what keeps the interpretation disciplined, because it commits the design to a meaning for each outcome rather than letting the meaning be chosen after the fact to flatter whatever emerged</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That property is the point. A theory that reached for premiums, loss ratios, or reinsurance terms would be richer and untestable with the evidence in hand. The theory built here is thinner on purpose, thin enough that every one of its predictions can be checked against thirty rows, and thin enough that a reader who disagrees can say exactly which coefficient would have to look different to change the conclusion. The next chapter turns those predictions into estimators and explains what, under this design, identification can and cannot mean.</w:t>
      </w:r>
    </w:p>
    <w:bookmarkEnd w:id="89"/>
    <w:bookmarkEnd w:id="90"/>
    <w:bookmarkStart w:id="101" w:name="chapter-4-methodology-and-identification"/>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and both are ordinary tools used carefully rather than exotic tools used loosely. The mechanism is simple. The first is ordinary least squares with heteroskedasticity-robust standard errors. The second is a log-log learning-curve regression, which is ordinary least squares applied to logged variables so that its slope reads as an elasticity. This chapter states each estimator precisely, explains the choice of robust standard errors, and then does the harder and more important work of saying exactly what these estimators can identify from documentary evidence and what they cannot.</w:t>
      </w:r>
    </w:p>
    <w:bookmarkStart w:id="91" w:name="X06622fb166e6f6ac98c3c6a983e8b4d55dc3256"/>
    <w:p>
      <w:pPr>
        <w:pStyle w:val="Heading2"/>
        <w:spacing w:line="480" w:lineRule="auto"/>
      </w:pPr>
      <w:r>
        <w:t xml:space="preserve">The first estimator: ordinary least squares</w:t>
      </w:r>
    </w:p>
    <w:p>
      <w:pPr>
        <w:pStyle w:val="FirstParagraph"/>
        <w:spacing w:line="480" w:lineRule="auto"/>
      </w:pPr>
      <w:r>
        <w:t xml:space="preserve">The topic-signal model regresses the composite signal score on three predictors. Written out, the specification is that the signal score for source</w:t>
      </w:r>
      <w:r>
        <w:t xml:space="preserve"> </w:t>
      </w:r>
      <m:oMath>
        <m:r>
          <m:t>i</m:t>
        </m:r>
      </m:oMath>
      <w:r>
        <w:t xml:space="preserve"> </w:t>
      </w:r>
      <w:r>
        <w:t xml:space="preserve">equals a constant plus a coefficient on the recency index, plus a coefficient on the citation count, plus a coefficient on the venue-family score, plus an error term. The formula in the workbook is</w:t>
      </w:r>
    </w:p>
    <w:p>
      <w:pPr>
        <w:pStyle w:val="BodyText"/>
        <w:spacing w:line="480" w:lineRule="auto"/>
        <w:ind w:firstLine="720"/>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r>
            <m:rPr>
              <m:sty m:val="p"/>
            </m:rPr>
            <m:t>.</m:t>
          </m:r>
        </m:oMath>
      </m:oMathPara>
    </w:p>
    <w:p>
      <w:pPr>
        <w:pStyle w:val="FirstParagraph"/>
        <w:spacing w:line="480" w:lineRule="auto"/>
      </w:pPr>
      <w:r>
        <w:t xml:space="preserve">Ordinary least squares is the right first tool here for a plain reason: the outcome is a bounded count-like score, the predictors are a mix of an index, a count, and an ordinal code, and the goal is to detect linear structure, not to fit a delicate functional form to thirty points. A more elaborate estimator would invite the reader to mistake precision of machinery for precision of knowledge, which with this sample size would be a false comfort</w:t>
      </w:r>
      <w:r>
        <w:t xml:space="preserve"> </w:t>
      </w:r>
      <w:hyperlink w:anchor="ref-15">
        <w:r>
          <w:rPr>
            <w:rStyle w:val="Hyperlink"/>
          </w:rPr>
          <w:t xml:space="preserve">[15]</w:t>
        </w:r>
      </w:hyperlink>
      <w:r>
        <w:t xml:space="preserve">. The standard errors are the HC1 heteroskedasticity-consistent variety. The reason is not decorative. The three predictors span very different scales and the sources are drawn from different venue families, so there is every reason to expect the error variance to differ across observations. Classical standard errors assume it does not, and they would understate uncertainty exactly where it is largest. Robust standard errors relax that assumption and give inference that survives non-constant error variance, which for a heterogeneous documentary pack is the honest default</w:t>
      </w:r>
      <w:r>
        <w:t xml:space="preserve"> </w:t>
      </w:r>
      <w:hyperlink w:anchor="ref-13">
        <w:r>
          <w:rPr>
            <w:rStyle w:val="Hyperlink"/>
          </w:rPr>
          <w:t xml:space="preserve">[13]</w:t>
        </w:r>
      </w:hyperlink>
      <w:r>
        <w:t xml:space="preserve">.</w:t>
      </w:r>
    </w:p>
    <w:p>
      <w:pPr>
        <w:pStyle w:val="BodyText"/>
        <w:spacing w:line="480" w:lineRule="auto"/>
        <w:ind w:firstLine="720"/>
      </w:pPr>
      <w:r>
        <w:t xml:space="preserve">Three quantities from this model do the interpretive work. The recency coefficient tests the directional salience prediction. The venue coefficient reports which community the topic signal concentrates in, without a prior sign. The citation coefficient reports whether raw attention adds anything to the signal once recency and venue are held fixed, and its interpretation is deliberately hedged until the second model has characterized the age confound.</w:t>
      </w:r>
    </w:p>
    <w:bookmarkEnd w:id="91"/>
    <w:bookmarkStart w:id="92" w:name="the-second-estimator-a-learning-curve"/>
    <w:p>
      <w:pPr>
        <w:pStyle w:val="Heading2"/>
        <w:spacing w:line="480" w:lineRule="auto"/>
      </w:pPr>
      <w:r>
        <w:t xml:space="preserve">The second estimator: a learning curve</w:t>
      </w:r>
    </w:p>
    <w:p>
      <w:pPr>
        <w:pStyle w:val="FirstParagraph"/>
        <w:spacing w:line="480" w:lineRule="auto"/>
      </w:pPr>
      <w:r>
        <w:t xml:space="preserve">The attention model logs both sides and regresses log citation-count-plus-one on log article age:</w:t>
      </w:r>
    </w:p>
    <w:p>
      <w:pPr>
        <w:pStyle w:val="BodyText"/>
        <w:spacing w:line="480" w:lineRule="auto"/>
        <w:ind w:firstLine="720"/>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r>
            <m:rPr>
              <m:sty m:val="p"/>
            </m:rPr>
            <m:t>.</m:t>
          </m:r>
        </m:oMath>
      </m:oMathPara>
    </w:p>
    <w:p>
      <w:pPr>
        <w:pStyle w:val="FirstParagraph"/>
        <w:spacing w:line="480" w:lineRule="auto"/>
      </w:pPr>
      <w:r>
        <w:t xml:space="preserve">Adding one to the citation count before logging is not a cosmetic trick; it is what makes the transformation defined for the many uncited records in the pack, and the variable definition documents it plainly. Without the plus-one, every zero-citation source would drop out of the log, and the model would silently become a model of cited sources only, which is a different and more flattering population than the one actually retrieved. Logging both sides turns the slope into an elasticity. A one-percent increase in article age is associated with a</w:t>
      </w:r>
      <w:r>
        <w:t xml:space="preserve"> </w:t>
      </w:r>
      <m:oMath>
        <m:sSub>
          <m:e>
            <m:r>
              <m:t>β</m:t>
            </m:r>
          </m:e>
          <m:sub>
            <m:r>
              <m:t>1</m:t>
            </m:r>
          </m:sub>
        </m:sSub>
      </m:oMath>
      <w:r>
        <w:t xml:space="preserve">-percent change in citations-plus-one. From that elasticity the workbook derives a progress ratio, computed as two raised to the elasticity, which expresses how attention scales each time age doubles. This is the classic learning-curve reading imported from production economics, where the progress ratio describes how cost falls per doubling of cumulative output. Here the same arithmetic describes how attention moves per doubling of age, and the sign of the elasticity decides whether attention rises or falls with age in this corpus</w:t>
      </w:r>
      <w:r>
        <w:t xml:space="preserve"> </w:t>
      </w:r>
      <w:hyperlink w:anchor="ref-9">
        <w:r>
          <w:rPr>
            <w:rStyle w:val="Hyperlink"/>
          </w:rPr>
          <w:t xml:space="preserve">[9]</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learning-curve model uses the same robust standard-error treatment for the same reason as the first model. Its single coefficient is not there to prove a strong claim; it is there to tell the first model how to interpret its citation coefficient. That is a supporting role, and the chapter treats it as one.</w:t>
      </w:r>
    </w:p>
    <w:bookmarkEnd w:id="92"/>
    <w:bookmarkStart w:id="93" w:name="Xddc5f02ac1453443d5aff0d2f8ad770e3e26ff2"/>
    <w:p>
      <w:pPr>
        <w:pStyle w:val="Heading2"/>
        <w:spacing w:line="480" w:lineRule="auto"/>
      </w:pPr>
      <w:r>
        <w:t xml:space="preserve">What identification means here, and what it does not</w:t>
      </w:r>
    </w:p>
    <w:p>
      <w:pPr>
        <w:pStyle w:val="FirstParagraph"/>
        <w:spacing w:line="480" w:lineRule="auto"/>
      </w:pPr>
      <w:r>
        <w:t xml:space="preserve">This word identification has to be handled with care in a documentary design, because it is easy to borrow the confidence of a causal-inference vocabulary without earning it. Salience leaves a trace. This dissertation does not claim causal identification of a premium-setting process. It cannot, because it observes no premiums and no counterfactual. What it identifies is something narrower and genuinely available: the conditional association between a source’s topic signal and its recency, attention, and venue, estimated over a defined pack of thirty records, with inference robust to heteroskedasticity. That narrower target is still a real test. The null in the first model is that all three associations are zero, and ordinary least squares over the pack is a valid way to reject or fail to reject that null. The directional prediction on recency is falsifiable against the same estimator. The learning-curve elasticity is a valid summary of the age-attention relationship in the pack. None of these requires a causal story, and stating that plainly is what keeps the design defensible rather than overclaiming</w:t>
      </w:r>
      <w:r>
        <w:t xml:space="preserve"> </w:t>
      </w:r>
      <w:hyperlink w:anchor="ref-15">
        <w:r>
          <w:rPr>
            <w:rStyle w:val="Hyperlink"/>
          </w:rPr>
          <w:t xml:space="preserve">[15]</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threats to a stronger reading are worth naming precisely, because naming them is how a reader knows the limits are understood rather than hidden. The corpus is heterogeneous. The pack is assembled, not sampled at random, so the associations describe this retrieved corpus and do not automatically generalize to the full population of space-economy literature. The venue-family code is ordinal, treating the step from proceedings to journal as comparable to the step from journal to synthesis, which is a modeling convenience rather than a measured fact. The citation counts are local index values, not universal counts, so they measure attention as one index sees it. Each of these is a reason the coefficients identify an in-sample conditional association and nothing grander</w:t>
      </w:r>
      <w:r>
        <w:t xml:space="preserve"> </w:t>
      </w:r>
      <w:hyperlink w:anchor="ref-4">
        <w:r>
          <w:rPr>
            <w:rStyle w:val="Hyperlink"/>
          </w:rPr>
          <w:t xml:space="preserve">[4]</w:t>
        </w:r>
      </w:hyperlink>
      <w:r>
        <w:t xml:space="preserve">.</w:t>
      </w:r>
    </w:p>
    <w:bookmarkEnd w:id="93"/>
    <w:bookmarkStart w:id="94" w:name="estimation-choices-in-detail"/>
    <w:p>
      <w:pPr>
        <w:pStyle w:val="Heading2"/>
        <w:spacing w:line="480" w:lineRule="auto"/>
      </w:pPr>
      <w:r>
        <w:t xml:space="preserve">Estimation choices in detail</w:t>
      </w:r>
    </w:p>
    <w:p>
      <w:pPr>
        <w:pStyle w:val="FirstParagraph"/>
        <w:spacing w:line="480" w:lineRule="auto"/>
      </w:pPr>
      <w:r>
        <w:t xml:space="preserve">Several smaller estimation decisions shape the output, and a methodology chapter that skipped them would leave the results underdetermined. Scale governs everything here. The first is that both models are estimated over the full pack of thirty records with no observations dropped. No trimming of the citation outlier was performed, even though the 2018 collision-likelihood paper at fifty-one citations exerts real leverage on the learning curve</w:t>
      </w:r>
      <w:r>
        <w:t xml:space="preserve"> </w:t>
      </w:r>
      <w:hyperlink w:anchor="ref-15">
        <w:r>
          <w:rPr>
            <w:rStyle w:val="Hyperlink"/>
          </w:rPr>
          <w:t xml:space="preserve">[15]</w:t>
        </w:r>
      </w:hyperlink>
      <w:r>
        <w:t xml:space="preserve">. Dropping it would have improved the apparent fit and misrepresented the corpus, so the design keeps every row and reads the outlier’s influence openly in the results rather than engineering it away. A second decision concerns the functional form of each model. The rule is fixed. The topic-signal model is linear in its predictors because the theory predicts monotone associations, not thresholds or interactions, and thirty rows cannot identify interaction terms with any credibility. The learning-curve model is linear in logs because the learning-curve concept is multiplicative by construction: a constant progress ratio per doubling of age is a straight line in log-log space, and estimating it in levels would misstate the quantity of interest</w:t>
      </w:r>
      <w:r>
        <w:t xml:space="preserve"> </w:t>
      </w:r>
      <w:hyperlink w:anchor="ref-9">
        <w:r>
          <w:rPr>
            <w:rStyle w:val="Hyperlink"/>
          </w:rPr>
          <w:t xml:space="preserve">[9]</w:t>
        </w:r>
      </w:hyperlink>
      <w:r>
        <w:t xml:space="preserve">. Each functional form follows from the hypothesis it serves rather than from a search for the best fit.</w:t>
      </w:r>
    </w:p>
    <w:p>
      <w:pPr>
        <w:pStyle w:val="BodyText"/>
        <w:spacing w:line="480" w:lineRule="auto"/>
        <w:ind w:firstLine="720"/>
      </w:pPr>
      <w:r>
        <w:t xml:space="preserve">The third decision is the treatment of the constant. In the topic-signal model the constant of roughly seven is the expected signal for a hypothetical source at the baseline of every predictor, and it is not itself a quantity of interest; the predictors’ coefficients carry the argument. In the learning-curve model the constant is the log of expected citations-plus-one at unit age, and it interacts with the elasticity to produce the progress ratio. Reporting both constants with their p-values, as the results chapter does, is a matter of completeness rather than a claim that either constant answers a research question</w:t>
      </w:r>
      <w:r>
        <w:t xml:space="preserve"> </w:t>
      </w:r>
      <w:hyperlink w:anchor="ref-2">
        <w:r>
          <w:rPr>
            <w:rStyle w:val="Hyperlink"/>
          </w:rPr>
          <w:t xml:space="preserve">[2]</w:t>
        </w:r>
      </w:hyperlink>
      <w:r>
        <w:t xml:space="preserve">.</w:t>
      </w:r>
    </w:p>
    <w:bookmarkEnd w:id="94"/>
    <w:bookmarkStart w:id="95" w:name="robustness-thinking-for-a-small-sample"/>
    <w:p>
      <w:pPr>
        <w:pStyle w:val="Heading2"/>
        <w:spacing w:line="480" w:lineRule="auto"/>
      </w:pPr>
      <w:r>
        <w:t xml:space="preserve">Robustness thinking for a small sample</w:t>
      </w:r>
    </w:p>
    <w:p>
      <w:pPr>
        <w:pStyle w:val="FirstParagraph"/>
        <w:spacing w:line="480" w:lineRule="auto"/>
      </w:pPr>
      <w:r>
        <w:t xml:space="preserve">A design this size cannot run an elaborate robustness suite, but it can reason explicitly about what would threaten each result and whether the design is exposed. For the recency coefficient, the main robustness worry is that recency and venue are correlated in the pack, since the journal family skews recent. The multiple-regression specification addresses this by estimating the recency coefficient with venue held fixed, so the reported recency association is net of venue, which is the correct guard against that particular confound</w:t>
      </w:r>
      <w:r>
        <w:t xml:space="preserve"> </w:t>
      </w:r>
      <w:hyperlink w:anchor="ref-13">
        <w:r>
          <w:rPr>
            <w:rStyle w:val="Hyperlink"/>
          </w:rPr>
          <w:t xml:space="preserve">[13]</w:t>
        </w:r>
      </w:hyperlink>
      <w:r>
        <w:t xml:space="preserve">. For the venue coefficient, the robustness worry is the citation entanglement already flagged: nonzero citations concentrate in the journal family, so venue and citations share variance. That confound is named. Holding citations fixed in the same regression is the design’s answer, though a thirty-row sample cannot partial the two apart perfectly, and the results chapter states the residual concern rather than claiming it is resolved</w:t>
      </w:r>
      <w:r>
        <w:t xml:space="preserve"> </w:t>
      </w:r>
      <w:hyperlink w:anchor="ref-16">
        <w:r>
          <w:rPr>
            <w:rStyle w:val="Hyperlink"/>
          </w:rPr>
          <w:t xml:space="preserve">[16]</w:t>
        </w:r>
      </w:hyperlink>
      <w:r>
        <w:t xml:space="preserve">. For the learning-curve elasticity, the robustness worry is precisely the outlier, and the honest response is that a single high-leverage point in thirty is a structural fragility that only a larger sample can cure. The design does not pretend otherwise; it reports the flat, imprecise elasticity and attributes its fragility to sample size and skew.</w:t>
      </w:r>
    </w:p>
    <w:p>
      <w:pPr>
        <w:pStyle w:val="BodyText"/>
        <w:spacing w:line="480" w:lineRule="auto"/>
        <w:ind w:firstLine="720"/>
      </w:pPr>
      <w:r>
        <w:t xml:space="preserve">This robustness thinking is deliberately verbal rather than computational, because running formal sensitivity analyses on thirty heterogeneous rows would produce statistics whose precision would mislead. The methodological posture is to be transparent about exposure rather than to generate a reassuring but hollow battery of checks. A reader who wants formal robustness is directed, in the concluding chapter, to the larger-sample successor study, which is where such checks would actually mean something</w:t>
      </w:r>
      <w:r>
        <w:t xml:space="preserve"> </w:t>
      </w:r>
      <w:hyperlink w:anchor="ref-15">
        <w:r>
          <w:rPr>
            <w:rStyle w:val="Hyperlink"/>
          </w:rPr>
          <w:t xml:space="preserve">[15]</w:t>
        </w:r>
      </w:hyperlink>
      <w:r>
        <w:t xml:space="preserve"> </w:t>
      </w:r>
      <w:hyperlink w:anchor="ref-11">
        <w:r>
          <w:rPr>
            <w:rStyle w:val="Hyperlink"/>
          </w:rPr>
          <w:t xml:space="preserve">[11]</w:t>
        </w:r>
      </w:hyperlink>
      <w:r>
        <w:t xml:space="preserve">.</w:t>
      </w:r>
    </w:p>
    <w:bookmarkEnd w:id="95"/>
    <w:bookmarkStart w:id="96" w:name="X704c510a2c4e9b1e6be2190cc1743ae12db43cc"/>
    <w:p>
      <w:pPr>
        <w:pStyle w:val="Heading2"/>
        <w:spacing w:line="480" w:lineRule="auto"/>
      </w:pPr>
      <w:r>
        <w:t xml:space="preserve">Data preparation and the deterministic pipeline</w:t>
      </w:r>
    </w:p>
    <w:p>
      <w:pPr>
        <w:pStyle w:val="FirstParagraph"/>
        <w:spacing w:line="480" w:lineRule="auto"/>
      </w:pPr>
      <w:r>
        <w:t xml:space="preserve">Both estimators are only as trustworthy as the pipeline that feeds them, and that pipeline is deterministic end to end. Each source record is reduced to its variables by fixed rules: recency and age from publication year, citation count from the local index with a zero default, venue family from the outlet type, and the signal score from a fixed combination of four recorded component fields</w:t>
      </w:r>
      <w:r>
        <w:t xml:space="preserve"> </w:t>
      </w:r>
      <w:hyperlink w:anchor="ref-16">
        <w:r>
          <w:rPr>
            <w:rStyle w:val="Hyperlink"/>
          </w:rPr>
          <w:t xml:space="preserve">[16]</w:t>
        </w:r>
      </w:hyperlink>
      <w:r>
        <w:t xml:space="preserve">. No step involves a random draw, a tuned parameter, or a coder’s discretion applied after the fact, which means the estimation files are a pure function of the retrieved records. Run the pipeline twice and it returns identical rows. Determinism matters for a specific reason beyond tidiness. It removes an entire class of doubt about the results, namely the doubt that the analyst nudged the data toward the desired outcome. Because every variable is a documented function of an inspectable source, a skeptic’s only recourse is to dispute the rules themselves, which are stated openly, rather than to suspect hidden manipulation of the values</w:t>
      </w:r>
      <w:r>
        <w:t xml:space="preserve"> </w:t>
      </w:r>
      <w:hyperlink w:anchor="ref-4">
        <w:r>
          <w:rPr>
            <w:rStyle w:val="Hyperlink"/>
          </w:rPr>
          <w:t xml:space="preserve">[4]</w:t>
        </w:r>
      </w:hyperlink>
      <w:r>
        <w:t xml:space="preserve">. That property is the estimation-side complement to the identification stance: the estimators identify conditional associations, and the deterministic pipeline guarantees that those associations were computed from the sources exactly as claimed, with nothing added in between</w:t>
      </w:r>
      <w:r>
        <w:t xml:space="preserve"> </w:t>
      </w:r>
      <w:hyperlink w:anchor="ref-15">
        <w:r>
          <w:rPr>
            <w:rStyle w:val="Hyperlink"/>
          </w:rPr>
          <w:t xml:space="preserve">[15]</w:t>
        </w:r>
      </w:hyperlink>
      <w:r>
        <w:t xml:space="preserve">.</w:t>
      </w:r>
    </w:p>
    <w:bookmarkEnd w:id="96"/>
    <w:bookmarkStart w:id="97" w:name="why-these-estimators-fit-the-question"/>
    <w:p>
      <w:pPr>
        <w:pStyle w:val="Heading2"/>
        <w:spacing w:line="480" w:lineRule="auto"/>
      </w:pPr>
      <w:r>
        <w:t xml:space="preserve">Why these estimators fit the question</w:t>
      </w:r>
    </w:p>
    <w:p>
      <w:pPr>
        <w:pStyle w:val="FirstParagraph"/>
        <w:spacing w:line="480" w:lineRule="auto"/>
      </w:pPr>
      <w:r>
        <w:t xml:space="preserve">A skeptic might ask why not reach for a richer model, a count model for the signal score, a survival model for citation timing, or a panel that exploits year-over-year variation. The answer is proportion. With thirty observations and a heterogeneous pack, a richer model spends degrees of freedom the data do not have and produces coefficients whose apparent precision would be an artifact. The ordinary least squares and learning-curve pair is chosen because each parameter it estimates is one the sample can actually support, and because each maps directly to a hypothesis stated in the previous chapter</w:t>
      </w:r>
      <w:r>
        <w:t xml:space="preserve"> </w:t>
      </w:r>
      <w:hyperlink w:anchor="ref-3">
        <w:r>
          <w:rPr>
            <w:rStyle w:val="Hyperlink"/>
          </w:rPr>
          <w:t xml:space="preserve">[3]</w:t>
        </w:r>
      </w:hyperlink>
      <w:r>
        <w:t xml:space="preserve"> </w:t>
      </w:r>
      <w:hyperlink w:anchor="ref-13">
        <w:r>
          <w:rPr>
            <w:rStyle w:val="Hyperlink"/>
          </w:rPr>
          <w:t xml:space="preserve">[13]</w:t>
        </w:r>
      </w:hyperlink>
      <w:r>
        <w:t xml:space="preserve">. There is also a transparency argument. Both estimators produce output a reader can reconstruct from the workbook with a spreadsheet and a statistics textbook. That reconstructability is not a minor virtue in a field where framework claims often outrun their evidence; it is the property that lets the dissertation’s central claim be checked rather than trusted. A more sophisticated estimator that fewer readers could audit would trade the one thing this design most wants to keep</w:t>
      </w:r>
      <w:r>
        <w:t xml:space="preserve"> </w:t>
      </w:r>
      <w:hyperlink w:anchor="ref-6">
        <w:r>
          <w:rPr>
            <w:rStyle w:val="Hyperlink"/>
          </w:rPr>
          <w:t xml:space="preserve">[6]</w:t>
        </w:r>
      </w:hyperlink>
      <w:r>
        <w:t xml:space="preserve">.</w:t>
      </w:r>
    </w:p>
    <w:bookmarkEnd w:id="97"/>
    <w:bookmarkStart w:id="98" w:name="Xf35fd636ae7940dee64aedb59c470591f509202"/>
    <w:p>
      <w:pPr>
        <w:pStyle w:val="Heading2"/>
        <w:spacing w:line="480" w:lineRule="auto"/>
      </w:pPr>
      <w:r>
        <w:t xml:space="preserve">Inference, significance, and the meaning of a p-value here</w:t>
      </w:r>
    </w:p>
    <w:p>
      <w:pPr>
        <w:pStyle w:val="FirstParagraph"/>
        <w:spacing w:line="480" w:lineRule="auto"/>
      </w:pPr>
      <w:r>
        <w:t xml:space="preserve">Because the results chapter reports p-values to many digits, it is worth being explicit about what those p-values mean under this design, so they are neither overtrusted nor dismissed. A p-value here is the probability, under the null that a coefficient is zero, of observing an estimate at least as extreme as the one obtained, given the robust standard error. With thirty observations the sampling distribution is not lavishly populated, so these p-values are asymptotic approximations applied to a small sample, and they should be read as indicative thresholds rather than exact long-run frequencies</w:t>
      </w:r>
      <w:r>
        <w:t xml:space="preserve"> </w:t>
      </w:r>
      <w:hyperlink w:anchor="ref-15">
        <w:r>
          <w:rPr>
            <w:rStyle w:val="Hyperlink"/>
          </w:rPr>
          <w:t xml:space="preserve">[15]</w:t>
        </w:r>
      </w:hyperlink>
      <w:r>
        <w:t xml:space="preserve">. That caveat cuts both ways, and honesty requires stating both directions. The outlier has weight. A coefficient that clears the five-percent threshold in thirty rows is not proven; it is flagged as unlikely under the null given the data in hand. A coefficient that fails to clear it, such as a citation term with a large p-value, is not proven absent; it is reported as providing no evidence against the null within this pack. The design uses conventional thresholds to organize the reading, but it treats them as an organizing convention for a screen, not as a verdict, and the interpretive language in Chapter 6 is chosen to reflect that posture</w:t>
      </w:r>
      <w:r>
        <w:t xml:space="preserve"> </w:t>
      </w:r>
      <w:hyperlink w:anchor="ref-2">
        <w:r>
          <w:rPr>
            <w:rStyle w:val="Hyperlink"/>
          </w:rPr>
          <w:t xml:space="preserve">[2]</w:t>
        </w:r>
      </w:hyperlink>
      <w:r>
        <w:t xml:space="preserve">.</w:t>
      </w:r>
    </w:p>
    <w:p>
      <w:pPr>
        <w:pStyle w:val="BodyText"/>
        <w:spacing w:line="480" w:lineRule="auto"/>
        <w:ind w:firstLine="720"/>
      </w:pPr>
      <w:r>
        <w:t xml:space="preserve">The joint F-test deserves its own note because it does different work than the individual t-tests. The F-test asks whether the three predictors together carry explanatory power, and rejecting its null means the model as a whole is doing something, even if not every predictor contributes. This is why a significant F alongside an insignificant individual coefficient is coherent rather than contradictory: the model can have real joint structure carried by a subset of its terms. Reading the F-test and the individual terms together, rather than fixating on either alone, is the correct way to interpret a small multiple regression</w:t>
      </w:r>
      <w:r>
        <w:t xml:space="preserve"> </w:t>
      </w:r>
      <w:hyperlink w:anchor="ref-13">
        <w:r>
          <w:rPr>
            <w:rStyle w:val="Hyperlink"/>
          </w:rPr>
          <w:t xml:space="preserve">[13]</w:t>
        </w:r>
      </w:hyperlink>
      <w:r>
        <w:t xml:space="preserve">.</w:t>
      </w:r>
    </w:p>
    <w:bookmarkEnd w:id="98"/>
    <w:bookmarkStart w:id="99" w:name="why-not-a-causal-design"/>
    <w:p>
      <w:pPr>
        <w:pStyle w:val="Heading2"/>
        <w:spacing w:line="480" w:lineRule="auto"/>
      </w:pPr>
      <w:r>
        <w:t xml:space="preserve">Why not a causal design</w:t>
      </w:r>
    </w:p>
    <w:p>
      <w:pPr>
        <w:pStyle w:val="FirstParagraph"/>
        <w:spacing w:line="480" w:lineRule="auto"/>
      </w:pPr>
      <w:r>
        <w:t xml:space="preserve">A reviewer entitled to ask why the design does not attempt causal identification deserves a direct answer, because the omission is a choice rather than an oversight. Attention is skewed. Causal identification would require either an experiment, which is impossible on a documentary corpus, or a natural experiment with a credible source of exogenous variation, which the pack does not contain. There is no instrument for a source’s recency, no discontinuity in venue assignment, and no shock to citation counts that the design could exploit. Manufacturing a causal claim from thirty observational rows would be exactly the kind of overreach the whole project is built to avoid</w:t>
      </w:r>
      <w:r>
        <w:t xml:space="preserve"> </w:t>
      </w:r>
      <w:hyperlink w:anchor="ref-15">
        <w:r>
          <w:rPr>
            <w:rStyle w:val="Hyperlink"/>
          </w:rPr>
          <w:t xml:space="preserve">[15]</w:t>
        </w:r>
      </w:hyperlink>
      <w:r>
        <w:t xml:space="preserve">. The defensible target is therefore a conditional association, estimated cleanly and reported honestly, which is what the two estimators deliver. This is not a consolation prize. A well-estimated conditional association over an auditable pack is a genuine empirical finding, and it is the right size of finding for the evidence available. The design’s discipline is to claim exactly that and to route any hunger for causation into the successor studies, where a larger frame and dated event series could support a stronger inference</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Refusing a causal design here is what keeps the present claim credible.</w:t>
      </w:r>
    </w:p>
    <w:bookmarkEnd w:id="99"/>
    <w:bookmarkStart w:id="100" w:name="the-estimators-as-a-matched-pair"/>
    <w:p>
      <w:pPr>
        <w:pStyle w:val="Heading2"/>
        <w:spacing w:line="480" w:lineRule="auto"/>
      </w:pPr>
      <w:r>
        <w:t xml:space="preserve">The estimators as a matched pair</w:t>
      </w:r>
    </w:p>
    <w:p>
      <w:pPr>
        <w:pStyle w:val="FirstParagraph"/>
        <w:spacing w:line="480" w:lineRule="auto"/>
      </w:pPr>
      <w:r>
        <w:t xml:space="preserve">A final methodological point ties the two models into a single design rather than two loosely related exercises. The topic-signal model treats citation attention as one of three candidate signals; the learning-curve model exists to diagnose that one signal by asking how much of it is merely age. This is a deliberate division of labor. Without the learning-curve model, a reader could reasonably worry that the topic-signal model’s citation coefficient was contaminated by age, and the design would have no answer. With it, the design can say whether that worry is warranted</w:t>
      </w:r>
      <w:r>
        <w:t xml:space="preserve"> </w:t>
      </w:r>
      <w:hyperlink w:anchor="ref-9">
        <w:r>
          <w:rPr>
            <w:rStyle w:val="Hyperlink"/>
          </w:rPr>
          <w:t xml:space="preserve">[9]</w:t>
        </w:r>
      </w:hyperlink>
      <w:r>
        <w:t xml:space="preserve">. The pairing also disciplines the conclusions the design is willing to draw. The venues differ sharply. If the learning curve had come back strong and positive, the methodology would require reinterpreting the topic-signal citation coefficient as partly an age effect, and Chapter 6 would read differently. Building that contingency into the design in advance, rather than reacting to the output, is what makes the two-model structure a genuine identification strategy rather than a pair of convenient regressions run side by side. The estimators are matched so that each one’s output tells the reader how to interpret the other’s</w:t>
      </w:r>
      <w:r>
        <w:t xml:space="preserve"> </w:t>
      </w:r>
      <w:hyperlink w:anchor="ref-16">
        <w:r>
          <w:rPr>
            <w:rStyle w:val="Hyperlink"/>
          </w:rPr>
          <w:t xml:space="preserve">[16]</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The identification logic therefore closes on a consistent position. The estimators identify conditional associations within a defined pack, with robust inference, mapped one-to-one onto pre-stated hypotheses, and interpreted as a screen rather than a proof. The next chapter describes the pack itself in full: where each variable comes from, how the signal score is constructed, how venue is coded, and what the thirty rows actually contain.</w:t>
      </w:r>
    </w:p>
    <w:bookmarkEnd w:id="100"/>
    <w:bookmarkEnd w:id="101"/>
    <w:bookmarkStart w:id="113" w:name="chapter-5-data-and-measurement"/>
    <w:p>
      <w:pPr>
        <w:pStyle w:val="Heading1"/>
        <w:spacing w:line="480" w:lineRule="auto"/>
      </w:pPr>
      <w:r>
        <w:t xml:space="preserve">Chapter 5: Data and Measurement</w:t>
      </w:r>
    </w:p>
    <w:p>
      <w:pPr>
        <w:pStyle w:val="FirstParagraph"/>
        <w:spacing w:line="480" w:lineRule="auto"/>
      </w:pPr>
      <w:r>
        <w:t xml:space="preserve">The dataset is thirty rows. Every claim in this dissertation rests on those thirty rows, and so this chapter describes them exhaustively: where each came from, how each variable was built from source metadata, why venue is coded the way it is, and what the composition of the pack looks like when you stack the records side by side. A reader who finishes this chapter should be able to rebuild the estimation files from the source column alone.</w:t>
      </w:r>
    </w:p>
    <w:bookmarkStart w:id="102" w:name="provenance-and-the-source-column"/>
    <w:p>
      <w:pPr>
        <w:pStyle w:val="Heading2"/>
        <w:spacing w:line="480" w:lineRule="auto"/>
      </w:pPr>
      <w:r>
        <w:t xml:space="preserve">Provenance and the source column</w:t>
      </w:r>
    </w:p>
    <w:p>
      <w:pPr>
        <w:pStyle w:val="FirstParagraph"/>
        <w:spacing w:line="480" w:lineRule="auto"/>
      </w:pPr>
      <w:r>
        <w:t xml:space="preserve">Each record in the pack corresponds to one retrieved source, and each carries a source identifier in a dedicated column. That premise is load-bearing. For journal articles that identifier is a document object identifier, such as the on-orbit-servicing value analysis at 10.1016/j.actaastro.2020.11.040</w:t>
      </w:r>
      <w:r>
        <w:t xml:space="preserve"> </w:t>
      </w:r>
      <w:hyperlink w:anchor="ref-9">
        <w:r>
          <w:rPr>
            <w:rStyle w:val="Hyperlink"/>
          </w:rPr>
          <w:t xml:space="preserve">[9]</w:t>
        </w:r>
      </w:hyperlink>
      <w:r>
        <w:t xml:space="preserve"> </w:t>
      </w:r>
      <w:r>
        <w:t xml:space="preserve">or the geostationary collision-likelihood assessment at 10.1016/j.actaastro.2018.03.017</w:t>
      </w:r>
      <w:r>
        <w:t xml:space="preserve"> </w:t>
      </w:r>
      <w:hyperlink w:anchor="ref-15">
        <w:r>
          <w:rPr>
            <w:rStyle w:val="Hyperlink"/>
          </w:rPr>
          <w:t xml:space="preserve">[15]</w:t>
        </w:r>
      </w:hyperlink>
      <w:r>
        <w:t xml:space="preserve">. For conference proceedings the identifier is a stable link into the proceedings archive, as with the international-perspectives-on-space-weapons paper</w:t>
      </w:r>
      <w:r>
        <w:t xml:space="preserve"> </w:t>
      </w:r>
      <w:hyperlink w:anchor="ref-1">
        <w:r>
          <w:rPr>
            <w:rStyle w:val="Hyperlink"/>
          </w:rPr>
          <w:t xml:space="preserve">[1]</w:t>
        </w:r>
      </w:hyperlink>
      <w:r>
        <w:t xml:space="preserve"> </w:t>
      </w:r>
      <w:r>
        <w:t xml:space="preserve">and the pay-now-or-pay-more-later debris-removal paper</w:t>
      </w:r>
      <w:r>
        <w:t xml:space="preserve"> </w:t>
      </w:r>
      <w:hyperlink w:anchor="ref-2">
        <w:r>
          <w:rPr>
            <w:rStyle w:val="Hyperlink"/>
          </w:rPr>
          <w:t xml:space="preserve">[2]</w:t>
        </w:r>
      </w:hyperlink>
      <w:r>
        <w:t xml:space="preserve">. For synthesis and policy items the source column holds a descriptive record of the underlying report. The point of preserving the identifier on every row is auditability: no observation is anonymous, and any coefficient can be traced back to the specific documents that produced it. The pack spans publication years from 2006 to 2026. The oldest record is the lightweight-active-optics instrument paper from 2006</w:t>
      </w:r>
      <w:r>
        <w:t xml:space="preserve"> </w:t>
      </w:r>
      <w:hyperlink w:anchor="ref-8">
        <w:r>
          <w:rPr>
            <w:rStyle w:val="Hyperlink"/>
          </w:rPr>
          <w:t xml:space="preserve">[8]</w:t>
        </w:r>
      </w:hyperlink>
      <w:r>
        <w:t xml:space="preserve">; the newest are 2026 journal articles including the space-resource-market evaluation study</w:t>
      </w:r>
      <w:r>
        <w:t xml:space="preserve"> </w:t>
      </w:r>
      <w:hyperlink w:anchor="ref-12">
        <w:r>
          <w:rPr>
            <w:rStyle w:val="Hyperlink"/>
          </w:rPr>
          <w:t xml:space="preserve">[12]</w:t>
        </w:r>
      </w:hyperlink>
      <w:r>
        <w:t xml:space="preserve">. That twenty-year span is deliberate, because a study of whether attention to orbital risk is intensifying needs old sources as well as new ones, or the recency variable would have nothing to vary against.</w:t>
      </w:r>
    </w:p>
    <w:bookmarkEnd w:id="102"/>
    <w:bookmarkStart w:id="103" w:name="the-outcome-composite-topic-signal-score"/>
    <w:p>
      <w:pPr>
        <w:pStyle w:val="Heading2"/>
        <w:spacing w:line="480" w:lineRule="auto"/>
      </w:pPr>
      <w:r>
        <w:t xml:space="preserve">The outcome: composite topic-signal score</w:t>
      </w:r>
    </w:p>
    <w:p>
      <w:pPr>
        <w:pStyle w:val="FirstParagraph"/>
        <w:spacing w:line="480" w:lineRule="auto"/>
      </w:pPr>
      <w:r>
        <w:t xml:space="preserve">The dependent variable in the first model is a composite topic-signal score, and it is built deterministically so that no coder judgment enters after the fact. For each source the construction counts candidate-theme term hits across four fields: the source title, the retrieved snippet, the keyword field, and the author metadata. Those component counts are recorded in their own columns, title_words, snippet_words, keyword_count, and theme_hits, and the signal score is the deterministic combination the workbook computes from them. Because the score is a fixed function of recorded fields, anyone with the pack can recompute it and get the same number.</w:t>
      </w:r>
    </w:p>
    <w:p>
      <w:pPr>
        <w:pStyle w:val="BodyText"/>
        <w:spacing w:line="480" w:lineRule="auto"/>
        <w:ind w:firstLine="720"/>
      </w:pPr>
      <w:r>
        <w:t xml:space="preserve">The signal scores in the pack range from a low of 2 to a high of 13. The zero counts dominate. The single strongest signal, a score of 13, belongs to the on-chain-validation tracking-data paper from 2024</w:t>
      </w:r>
      <w:r>
        <w:t xml:space="preserve"> </w:t>
      </w:r>
      <w:hyperlink w:anchor="ref-6">
        <w:r>
          <w:rPr>
            <w:rStyle w:val="Hyperlink"/>
          </w:rPr>
          <w:t xml:space="preserve">[6]</w:t>
        </w:r>
      </w:hyperlink>
      <w:r>
        <w:t xml:space="preserve">, which combines a dense keyword field with multiple theme hits. Several sources sit at the low end, including the lens-and-camera-array survey paper at a score of 2</w:t>
      </w:r>
      <w:r>
        <w:t xml:space="preserve"> </w:t>
      </w:r>
      <w:hyperlink w:anchor="ref-7">
        <w:r>
          <w:rPr>
            <w:rStyle w:val="Hyperlink"/>
          </w:rPr>
          <w:t xml:space="preserve">[7]</w:t>
        </w:r>
      </w:hyperlink>
      <w:r>
        <w:t xml:space="preserve">, which is a technical instrument paper whose theme overlap with the debris-economics topic is thin. That spread is what the first model tries to explain, and the fact that it ranges by more than a factor of six across the pack is what makes the exercise worth attempting.</w:t>
      </w:r>
    </w:p>
    <w:bookmarkEnd w:id="103"/>
    <w:bookmarkStart w:id="104" w:name="the-predictors"/>
    <w:p>
      <w:pPr>
        <w:pStyle w:val="Heading2"/>
        <w:spacing w:line="480" w:lineRule="auto"/>
      </w:pPr>
      <w:r>
        <w:t xml:space="preserve">The predictors</w:t>
      </w:r>
    </w:p>
    <w:p>
      <w:pPr>
        <w:pStyle w:val="FirstParagraph"/>
        <w:spacing w:line="480" w:lineRule="auto"/>
      </w:pPr>
      <w:r>
        <w:t xml:space="preserve">Three predictors enter the first model, and each is constructed from recorded metadata with a documented rule.</w:t>
      </w:r>
    </w:p>
    <w:p>
      <w:pPr>
        <w:pStyle w:val="BodyText"/>
        <w:spacing w:line="480" w:lineRule="auto"/>
        <w:ind w:firstLine="720"/>
      </w:pPr>
      <w:r>
        <w:t xml:space="preserve">On recency, the index is publication year minus the minimum publication year in the sample, plus one. With the earliest year in the pack being 2006, a 2006 source receives a recency index of 1 and a 2026 source receives an index of 21. The plus-one keeps the earliest observation from taking the value zero, which keeps the index on a clean positive scale. Recency values in the pack run from 1 up to 21, with a heavy concentration in the recent years because the space-economy literature has grown quickly</w:t>
      </w:r>
      <w:r>
        <w:t xml:space="preserve"> </w:t>
      </w:r>
      <w:hyperlink w:anchor="ref-11">
        <w:r>
          <w:rPr>
            <w:rStyle w:val="Hyperlink"/>
          </w:rPr>
          <w:t xml:space="preserve">[11]</w:t>
        </w:r>
      </w:hyperlink>
      <w:r>
        <w:t xml:space="preserve">. The citation count, recorded as cites_num, is the reported citation value from the local index, set to zero when the index reported no count. Most records in the pack carry zero, which is itself informative: it means the pack is dominated by recent or conference-published work that has not yet accumulated formal citations. The nonzero values are concentrated in the older journal articles. The geostationary collision-likelihood paper from 2018 carries the highest count at 51</w:t>
      </w:r>
      <w:r>
        <w:t xml:space="preserve"> </w:t>
      </w:r>
      <w:hyperlink w:anchor="ref-15">
        <w:r>
          <w:rPr>
            <w:rStyle w:val="Hyperlink"/>
          </w:rPr>
          <w:t xml:space="preserve">[15]</w:t>
        </w:r>
      </w:hyperlink>
      <w:r>
        <w:t xml:space="preserve">, followed by the on-orbit-servicing paper at 29</w:t>
      </w:r>
      <w:r>
        <w:t xml:space="preserve"> </w:t>
      </w:r>
      <w:hyperlink w:anchor="ref-9">
        <w:r>
          <w:rPr>
            <w:rStyle w:val="Hyperlink"/>
          </w:rPr>
          <w:t xml:space="preserve">[9]</w:t>
        </w:r>
      </w:hyperlink>
      <w:r>
        <w:t xml:space="preserve"> </w:t>
      </w:r>
      <w:r>
        <w:t xml:space="preserve">and a 2023 journal article at 36</w:t>
      </w:r>
      <w:r>
        <w:t xml:space="preserve"> </w:t>
      </w:r>
      <w:hyperlink w:anchor="ref-13">
        <w:r>
          <w:rPr>
            <w:rStyle w:val="Hyperlink"/>
          </w:rPr>
          <w:t xml:space="preserve">[13]</w:t>
        </w:r>
      </w:hyperlink>
      <w:r>
        <w:t xml:space="preserve">. This concentration of citations in a handful of older journal pieces is exactly the age confound the second model exists to characterize.</w:t>
      </w:r>
    </w:p>
    <w:p>
      <w:pPr>
        <w:pStyle w:val="BodyText"/>
        <w:spacing w:line="480" w:lineRule="auto"/>
        <w:ind w:firstLine="720"/>
      </w:pPr>
      <w:r>
        <w:t xml:space="preserve">The venue-family score is an ordinal code: AMOS conference proceedings are coded 1, Acta Astronautica journal articles are coded 2, and space-economy synthesis and policy sources are coded 3. The ordering is meant to run from fast technical publication toward slower synthetic and policy publication, matching the mechanism developed earlier in which different venues own the topic at different stages of its diffusion</w:t>
      </w:r>
      <w:r>
        <w:t xml:space="preserve"> </w:t>
      </w:r>
      <w:hyperlink w:anchor="ref-3">
        <w:r>
          <w:rPr>
            <w:rStyle w:val="Hyperlink"/>
          </w:rPr>
          <w:t xml:space="preserve">[3]</w:t>
        </w:r>
      </w:hyperlink>
      <w:r>
        <w:t xml:space="preserve">. The code is ordinal, not cardinal, and the previous chapter flagged that the model treats the steps between codes as comparable, which is a convenience rather than a measured equivalence.</w:t>
      </w:r>
    </w:p>
    <w:bookmarkEnd w:id="104"/>
    <w:bookmarkStart w:id="105" w:name="the-second-models-variables"/>
    <w:p>
      <w:pPr>
        <w:pStyle w:val="Heading2"/>
        <w:spacing w:line="480" w:lineRule="auto"/>
      </w:pPr>
      <w:r>
        <w:t xml:space="preserve">The second model’s variables</w:t>
      </w:r>
    </w:p>
    <w:p>
      <w:pPr>
        <w:pStyle w:val="FirstParagraph"/>
        <w:spacing w:line="480" w:lineRule="auto"/>
      </w:pPr>
      <w:r>
        <w:t xml:space="preserve">The learning-curve model uses two variables drawn from the same records. The age index is 2026 minus the publication year plus one, so a 2026 source has age 1 and the 2006 instrument paper has age 21</w:t>
      </w:r>
      <w:r>
        <w:t xml:space="preserve"> </w:t>
      </w:r>
      <w:hyperlink w:anchor="ref-8">
        <w:r>
          <w:rPr>
            <w:rStyle w:val="Hyperlink"/>
          </w:rPr>
          <w:t xml:space="preserve">[8]</w:t>
        </w:r>
      </w:hyperlink>
      <w:r>
        <w:t xml:space="preserve">. The age index and the recency index are mirror images of each other by construction, which is intentional: recency measures distance from the oldest source, age measures distance from the present, and the two models use whichever framing makes its coefficient interpretable. The outcome in the learning-curve model is citation-count-plus-one, recorded as cites_plus1. The plus-one is what allows the log transform to accept the uncited records, as the methodology chapter explained. In the pack, cites_plus1 ranges from 1, for the many uncited sources, to 52, for the 2018 collision-likelihood paper</w:t>
      </w:r>
      <w:r>
        <w:t xml:space="preserve"> </w:t>
      </w:r>
      <w:hyperlink w:anchor="ref-15">
        <w:r>
          <w:rPr>
            <w:rStyle w:val="Hyperlink"/>
          </w:rPr>
          <w:t xml:space="preserve">[15]</w:t>
        </w:r>
      </w:hyperlink>
      <w:r>
        <w:t xml:space="preserve">. That single high-attention outlier sits at the old end of the age distribution, and its leverage on a thirty-point log-log fit is something the results chapter reads with appropriate caution.</w:t>
      </w:r>
    </w:p>
    <w:bookmarkEnd w:id="105"/>
    <w:bookmarkStart w:id="106" w:name="composition-of-the-pack"/>
    <w:p>
      <w:pPr>
        <w:pStyle w:val="Heading2"/>
        <w:spacing w:line="480" w:lineRule="auto"/>
      </w:pPr>
      <w:r>
        <w:t xml:space="preserve">Composition of the pack</w:t>
      </w:r>
    </w:p>
    <w:p>
      <w:pPr>
        <w:pStyle w:val="FirstParagraph"/>
        <w:spacing w:line="480" w:lineRule="auto"/>
      </w:pPr>
      <w:r>
        <w:t xml:space="preserve">Stacking the records reveals a pack with a clear internal structure. This is upstream of pricing. Twelve records are AMOS conference proceedings coded venue 1, spanning 2006 to 2023 and including the debris-removal, situational-awareness, and instrument papers</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Twelve records are Acta Astronautica journal articles coded venue 2, concentrated in 2018 to 2026 and including the collision-likelihood, on-orbit-servicing, risk-landscape, and space-resource-market studies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Six records are space-economy synthesis and policy sources coded venue 3, including a large report synthesizing the views of nearly a hundred leaders across twenty-five countries and a composite space-sustainability rating indicator.</w:t>
      </w:r>
    </w:p>
    <w:p>
      <w:pPr>
        <w:pStyle w:val="BodyText"/>
        <w:spacing w:line="480" w:lineRule="auto"/>
        <w:ind w:firstLine="720"/>
      </w:pPr>
      <w:r>
        <w:t xml:space="preserve">That composition matters for interpretation in two ways. The venue families are roughly balanced between proceedings and journals, which gives the venue coefficient something to estimate. The citation counts, though, are almost entirely confined to the journal family, because conference and synthesis sources in this index rarely carry a formal count. This means the citation and venue variables are partly entangled in the pack, a point the results chapter returns to when it reads the venue coefficient, because a relationship attributed to venue could in part be reflecting the citation pattern that travels with it</w:t>
      </w:r>
      <w:r>
        <w:t xml:space="preserve"> </w:t>
      </w:r>
      <w:hyperlink w:anchor="ref-16">
        <w:r>
          <w:rPr>
            <w:rStyle w:val="Hyperlink"/>
          </w:rPr>
          <w:t xml:space="preserve">[16]</w:t>
        </w:r>
      </w:hyperlink>
      <w:r>
        <w:t xml:space="preserve">.</w:t>
      </w:r>
    </w:p>
    <w:bookmarkEnd w:id="106"/>
    <w:bookmarkStart w:id="107" w:name="a-closer-look-at-the-venue-families"/>
    <w:p>
      <w:pPr>
        <w:pStyle w:val="Heading2"/>
        <w:spacing w:line="480" w:lineRule="auto"/>
      </w:pPr>
      <w:r>
        <w:t xml:space="preserve">A closer look at the venue families</w:t>
      </w:r>
    </w:p>
    <w:p>
      <w:pPr>
        <w:pStyle w:val="FirstParagraph"/>
        <w:spacing w:line="480" w:lineRule="auto"/>
      </w:pPr>
      <w:r>
        <w:t xml:space="preserve">Because venue does so much work in the results, the three families deserve individual description rather than a single ordinal number. The threat is real. The venue-1 family, AMOS conference proceedings, holds the technical core of the pack. It runs from the 2006 lightweight-active-optics paper</w:t>
      </w:r>
      <w:r>
        <w:t xml:space="preserve"> </w:t>
      </w:r>
      <w:hyperlink w:anchor="ref-8">
        <w:r>
          <w:rPr>
            <w:rStyle w:val="Hyperlink"/>
          </w:rPr>
          <w:t xml:space="preserve">[8]</w:t>
        </w:r>
      </w:hyperlink>
      <w:r>
        <w:t xml:space="preserve"> </w:t>
      </w:r>
      <w:r>
        <w:t xml:space="preserve">through debris-elimination and photon-pressure collision-avoidance concepts to the 2021 complete situational-awareness scheme</w:t>
      </w:r>
      <w:r>
        <w:t xml:space="preserve"> </w:t>
      </w:r>
      <w:hyperlink w:anchor="ref-4">
        <w:r>
          <w:rPr>
            <w:rStyle w:val="Hyperlink"/>
          </w:rPr>
          <w:t xml:space="preserve">[4]</w:t>
        </w:r>
      </w:hyperlink>
      <w:r>
        <w:t xml:space="preserve">. These sources tend to carry high topic signal because their titles and keywords use the operational vocabulary of debris and surveillance directly, and they tend to carry zero formal citations because the local index rarely records counts for proceedings. That combination, high signal and zero citations, is what makes the venue-1 family so influential in both models at once.</w:t>
      </w:r>
    </w:p>
    <w:p>
      <w:pPr>
        <w:pStyle w:val="BodyText"/>
        <w:spacing w:line="480" w:lineRule="auto"/>
        <w:ind w:firstLine="720"/>
      </w:pPr>
      <w:r>
        <w:t xml:space="preserve">The venue-2 family, Acta Astronautica journal articles, is where the pack’s citations live. It spans 2018 to 2026 and includes the geostationary collision-likelihood assessment</w:t>
      </w:r>
      <w:r>
        <w:t xml:space="preserve"> </w:t>
      </w:r>
      <w:hyperlink w:anchor="ref-15">
        <w:r>
          <w:rPr>
            <w:rStyle w:val="Hyperlink"/>
          </w:rPr>
          <w:t xml:space="preserve">[15]</w:t>
        </w:r>
      </w:hyperlink>
      <w:r>
        <w:t xml:space="preserve">, the on-orbit-servicing value analysis</w:t>
      </w:r>
      <w:r>
        <w:t xml:space="preserve"> </w:t>
      </w:r>
      <w:hyperlink w:anchor="ref-9">
        <w:r>
          <w:rPr>
            <w:rStyle w:val="Hyperlink"/>
          </w:rPr>
          <w:t xml:space="preserve">[9]</w:t>
        </w:r>
      </w:hyperlink>
      <w:r>
        <w:t xml:space="preserve">, the risk-landscape framing</w:t>
      </w:r>
      <w:r>
        <w:t xml:space="preserve"> </w:t>
      </w:r>
      <w:hyperlink w:anchor="ref-13">
        <w:r>
          <w:rPr>
            <w:rStyle w:val="Hyperlink"/>
          </w:rPr>
          <w:t xml:space="preserve">[13]</w:t>
        </w:r>
      </w:hyperlink>
      <w:r>
        <w:t xml:space="preserve">, and the data-driven governance study</w:t>
      </w:r>
      <w:r>
        <w:t xml:space="preserve"> </w:t>
      </w:r>
      <w:hyperlink w:anchor="ref-16">
        <w:r>
          <w:rPr>
            <w:rStyle w:val="Hyperlink"/>
          </w:rPr>
          <w:t xml:space="preserve">[16]</w:t>
        </w:r>
      </w:hyperlink>
      <w:r>
        <w:t xml:space="preserve">. Signal scores in this family are moderate rather than extreme, and citation counts range from zero for the newest pieces to fifty-one for the oldest. This family is the reason the citation variable exists at all, and also the reason it is confounded with venue.</w:t>
      </w:r>
    </w:p>
    <w:p>
      <w:pPr>
        <w:pStyle w:val="BodyText"/>
        <w:spacing w:line="480" w:lineRule="auto"/>
        <w:ind w:firstLine="720"/>
      </w:pPr>
      <w:r>
        <w:t xml:space="preserve">The venue-3 family, space-economy synthesis and policy sources, is the smallest at six records and the most heterogeneous. That reading is cautious. It includes a large report synthesizing the views of nearly a hundred leaders across twenty-five countries on the space sector’s inflection point, a composite space-sustainability rating indicator, and an aviation-inspired orbital-classification proposal tied to econometric analysis of satellite-dependent company impacts. These sources carry low signal scores under the term-hit construction, not because they are irrelevant but because they discuss the risk in broad economic and institutional language that overlaps only lightly with the candidate-theme vocabulary. That mismatch is itself a finding about measurement, and Chapter 7 treats it as a threat to the validity of the signal score.</w:t>
      </w:r>
    </w:p>
    <w:bookmarkEnd w:id="107"/>
    <w:bookmarkStart w:id="108" w:name="the-signal-score-components-row-by-row"/>
    <w:p>
      <w:pPr>
        <w:pStyle w:val="Heading2"/>
        <w:spacing w:line="480" w:lineRule="auto"/>
      </w:pPr>
      <w:r>
        <w:t xml:space="preserve">The signal-score components, row by row</w:t>
      </w:r>
    </w:p>
    <w:p>
      <w:pPr>
        <w:pStyle w:val="FirstParagraph"/>
        <w:spacing w:line="480" w:lineRule="auto"/>
      </w:pPr>
      <w:r>
        <w:t xml:space="preserve">The composite signal score is built from four recorded component fields, and inspecting them clarifies what the score is actually rewarding. The elasticity is imprecise. The theme_hits field counts direct candidate-theme term matches and is the strongest driver: the 2024 on-chain-validation paper reaches a signal of 13 partly on five theme hits</w:t>
      </w:r>
      <w:r>
        <w:t xml:space="preserve"> </w:t>
      </w:r>
      <w:hyperlink w:anchor="ref-6">
        <w:r>
          <w:rPr>
            <w:rStyle w:val="Hyperlink"/>
          </w:rPr>
          <w:t xml:space="preserve">[6]</w:t>
        </w:r>
      </w:hyperlink>
      <w:r>
        <w:t xml:space="preserve">, the largest in the pack. The keyword_count field rewards sources with dense, well-tagged keyword metadata, which favors recent journal articles whose keyword fields are rich. The title_words and snippet_words fields capture how much retrievable text each source exposes, which varies with how the source was indexed.</w:t>
      </w:r>
    </w:p>
    <w:p>
      <w:pPr>
        <w:pStyle w:val="BodyText"/>
        <w:spacing w:line="480" w:lineRule="auto"/>
        <w:ind w:firstLine="720"/>
      </w:pPr>
      <w:r>
        <w:t xml:space="preserve">The consequence is that the score favors sources that are both topically on-target and well-indexed, and it penalizes sources that are on-target but sparsely indexed, such as several synthesis reports whose snippet fields are empty. Age explains little. That is a defensible construction for a first screen, because a well-indexed on-target source genuinely is easier for a risk market or a policy body to find and use. It is also a limitation, because substantive relevance and indexing quality are not the same thing, and the score cannot separate them. Recording all four components in their own columns is what lets a later coder rebuild the score differently, which is the design’s hedge against the construction being wrong</w:t>
      </w:r>
      <w:r>
        <w:t xml:space="preserve"> </w:t>
      </w:r>
      <w:hyperlink w:anchor="ref-16">
        <w:r>
          <w:rPr>
            <w:rStyle w:val="Hyperlink"/>
          </w:rPr>
          <w:t xml:space="preserve">[16]</w:t>
        </w:r>
      </w:hyperlink>
      <w:r>
        <w:t xml:space="preserve">.</w:t>
      </w:r>
    </w:p>
    <w:bookmarkEnd w:id="108"/>
    <w:bookmarkStart w:id="109" w:name="what-the-data-can-and-cannot-support"/>
    <w:p>
      <w:pPr>
        <w:pStyle w:val="Heading2"/>
        <w:spacing w:line="480" w:lineRule="auto"/>
      </w:pPr>
      <w:r>
        <w:t xml:space="preserve">What the data can and cannot support</w:t>
      </w:r>
    </w:p>
    <w:p>
      <w:pPr>
        <w:pStyle w:val="FirstParagraph"/>
        <w:spacing w:line="480" w:lineRule="auto"/>
      </w:pPr>
      <w:r>
        <w:t xml:space="preserve">The pack is small, local, and assembled. Those three adjectives set the ceiling on every claim that follows. Small means the standard errors will be wide and a single outlier can move a fit. Local means the citation counts and signal scores are index-specific measures, not universal ones. Assembled means the associations describe this retrieved corpus rather than a random draw from the field.</w:t>
      </w:r>
    </w:p>
    <w:bookmarkEnd w:id="109"/>
    <w:bookmarkStart w:id="110" w:name="the-temporal-distribution-of-the-pack"/>
    <w:p>
      <w:pPr>
        <w:pStyle w:val="Heading2"/>
        <w:spacing w:line="480" w:lineRule="auto"/>
      </w:pPr>
      <w:r>
        <w:t xml:space="preserve">The temporal distribution of the pack</w:t>
      </w:r>
    </w:p>
    <w:p>
      <w:pPr>
        <w:pStyle w:val="FirstParagraph"/>
        <w:spacing w:line="480" w:lineRule="auto"/>
      </w:pPr>
      <w:r>
        <w:t xml:space="preserve">How the records spread across years governs what the recency and age variables can detect, so the temporal distribution deserves a direct look. The pack is front-loaded toward recent years. A large share of records fall between 2020 and 2026, reflecting the rapid growth of the space-economy and sustainability literature in that window</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while a thinner set of older records reaches back through the 2010s to a single 2006 instrument paper</w:t>
      </w:r>
      <w:r>
        <w:t xml:space="preserve"> </w:t>
      </w:r>
      <w:hyperlink w:anchor="ref-8">
        <w:r>
          <w:rPr>
            <w:rStyle w:val="Hyperlink"/>
          </w:rPr>
          <w:t xml:space="preserve">[8]</w:t>
        </w:r>
      </w:hyperlink>
      <w:r>
        <w:t xml:space="preserve">. This shape is typical of a fast-growing field and is exactly why the design needed to reach back to 2006 at all: without the older tail, the recency index would have too little range to estimate a gradient against.</w:t>
      </w:r>
    </w:p>
    <w:p>
      <w:pPr>
        <w:pStyle w:val="BodyText"/>
        <w:spacing w:line="480" w:lineRule="auto"/>
        <w:ind w:firstLine="720"/>
      </w:pPr>
      <w:r>
        <w:t xml:space="preserve">The uneven temporal spread has a consequence the later chapters must respect. The gradient is genuine. Because recent years are densely populated and old years are sparse, the recency coefficient is estimated more precisely in the recent range and more thinly in the old range. The single 2006 record and the handful of early-2010s records carry disproportionate weight in anchoring the low end of the recency scale. This is not a flaw to be corrected but a feature to be reported, and it is one reason the recency finding is described as robust in direction while modest in the confidence attached to its exact slope</w:t>
      </w:r>
      <w:r>
        <w:t xml:space="preserve"> </w:t>
      </w:r>
      <w:hyperlink w:anchor="ref-3">
        <w:r>
          <w:rPr>
            <w:rStyle w:val="Hyperlink"/>
          </w:rPr>
          <w:t xml:space="preserve">[3]</w:t>
        </w:r>
      </w:hyperlink>
      <w:r>
        <w:t xml:space="preserve">.</w:t>
      </w:r>
    </w:p>
    <w:p>
      <w:pPr>
        <w:pStyle w:val="BodyText"/>
        <w:spacing w:line="480" w:lineRule="auto"/>
        <w:ind w:firstLine="720"/>
      </w:pPr>
      <w:r>
        <w:t xml:space="preserve">The age index inherits the mirror of this structure. Since most records are recent, most age-index values are small, and the few large age values, the 2006 and early-2010s conference papers, sit alone at the high-age end with zero recorded citations. That configuration is what starves the learning-curve model of the variation it would need to estimate a strong age-attention relationship, and it is the structural reason the later elasticity comes back flat and imprecise. The temporal distribution, in short, is the deep cause of both the recency signal and the learning-curve null, and describing it here is what makes those two results legible when they arrive</w:t>
      </w:r>
      <w:r>
        <w:t xml:space="preserve"> </w:t>
      </w:r>
      <w:hyperlink w:anchor="ref-15">
        <w:r>
          <w:rPr>
            <w:rStyle w:val="Hyperlink"/>
          </w:rPr>
          <w:t xml:space="preserve">[15]</w:t>
        </w:r>
      </w:hyperlink>
      <w:r>
        <w:t xml:space="preserve"> </w:t>
      </w:r>
      <w:hyperlink w:anchor="ref-9">
        <w:r>
          <w:rPr>
            <w:rStyle w:val="Hyperlink"/>
          </w:rPr>
          <w:t xml:space="preserve">[9]</w:t>
        </w:r>
      </w:hyperlink>
      <w:r>
        <w:t xml:space="preserve">.</w:t>
      </w:r>
    </w:p>
    <w:bookmarkEnd w:id="110"/>
    <w:bookmarkStart w:id="111" w:name="X55075df75b7871923a70251a45afb889e3b3633"/>
    <w:p>
      <w:pPr>
        <w:pStyle w:val="Heading2"/>
        <w:spacing w:line="480" w:lineRule="auto"/>
      </w:pPr>
      <w:r>
        <w:t xml:space="preserve">The citation field as a special measurement problem</w:t>
      </w:r>
    </w:p>
    <w:p>
      <w:pPr>
        <w:pStyle w:val="FirstParagraph"/>
        <w:spacing w:line="480" w:lineRule="auto"/>
      </w:pPr>
      <w:r>
        <w:t xml:space="preserve">Among all the variables, the citation count carries the most measurement risk, and it earns a dedicated discussion. That answer stays partial. The count is a local index value, not a universal citation total, so it reflects what one index observed rather than a source’s true standing in the wider literature. A paper heavily cited in venues the local index does not track would appear underweighted here, and the zero counts that dominate the conference and synthesis families almost certainly understate real attention to those works</w:t>
      </w:r>
      <w:r>
        <w:t xml:space="preserve"> </w:t>
      </w:r>
      <w:hyperlink w:anchor="ref-2">
        <w:r>
          <w:rPr>
            <w:rStyle w:val="Hyperlink"/>
          </w:rPr>
          <w:t xml:space="preserve">[2]</w:t>
        </w:r>
      </w:hyperlink>
      <w:r>
        <w:t xml:space="preserve">. The variable is best read as a lower bound on attention filtered through a single index, not as a faithful census.</w:t>
      </w:r>
    </w:p>
    <w:p>
      <w:pPr>
        <w:pStyle w:val="BodyText"/>
        <w:spacing w:line="480" w:lineRule="auto"/>
        <w:ind w:firstLine="720"/>
      </w:pPr>
      <w:r>
        <w:t xml:space="preserve">This measurement fragility is the deeper reason the design pairs the topic-signal model with a learning-curve diagnostic rather than trusting the citation coefficient on its own. If the citation field were a clean measure, its coefficient could be read directly; because it is a noisy, index-specific, heavily-zero field, the design treats any citation result cautiously and cross-checks it against the age relationship</w:t>
      </w:r>
      <w:r>
        <w:t xml:space="preserve"> </w:t>
      </w:r>
      <w:hyperlink w:anchor="ref-9">
        <w:r>
          <w:rPr>
            <w:rStyle w:val="Hyperlink"/>
          </w:rPr>
          <w:t xml:space="preserve">[9]</w:t>
        </w:r>
      </w:hyperlink>
      <w:r>
        <w:t xml:space="preserve">. Recording the raw count in its own column, defaulting transparently to zero, and flagging its local-index provenance are the honest handling of a variable that cannot be trusted at face value, and the later chapters read every citation result through that caution</w:t>
      </w:r>
      <w:r>
        <w:t xml:space="preserve"> </w:t>
      </w:r>
      <w:hyperlink w:anchor="ref-15">
        <w:r>
          <w:rPr>
            <w:rStyle w:val="Hyperlink"/>
          </w:rPr>
          <w:t xml:space="preserve">[15]</w:t>
        </w:r>
      </w:hyperlink>
      <w:r>
        <w:t xml:space="preserve">.</w:t>
      </w:r>
    </w:p>
    <w:bookmarkEnd w:id="111"/>
    <w:bookmarkStart w:id="112" w:name="X9dbb6dd0a46aec4b06859fbe8c2ac303a1ccf64"/>
    <w:p>
      <w:pPr>
        <w:pStyle w:val="Heading2"/>
        <w:spacing w:line="480" w:lineRule="auto"/>
      </w:pPr>
      <w:r>
        <w:t xml:space="preserve">Auditing the pack: how a reader would rebuild it</w:t>
      </w:r>
    </w:p>
    <w:p>
      <w:pPr>
        <w:pStyle w:val="FirstParagraph"/>
        <w:spacing w:line="480" w:lineRule="auto"/>
      </w:pPr>
      <w:r>
        <w:t xml:space="preserve">The strongest claim this chapter can make is that a skeptical reader could reconstruct every variable from the source column alone, and it is worth walking through how. Starting from a row’s source identifier, a document object identifier or a proceedings link, the reader retrieves the original source. From its publication year they compute the recency index as year minus 2006 plus one, and the age index as 2026 minus year plus one, matching the recorded columns exactly. From the local index they read the reported citation count, defaulting to zero where none is reported, which reproduces cites_num and cites_plus1</w:t>
      </w:r>
      <w:r>
        <w:t xml:space="preserve"> </w:t>
      </w:r>
      <w:hyperlink w:anchor="ref-6">
        <w:r>
          <w:rPr>
            <w:rStyle w:val="Hyperlink"/>
          </w:rPr>
          <w:t xml:space="preserve">[6]</w:t>
        </w:r>
      </w:hyperlink>
      <w:r>
        <w:t xml:space="preserve">.</w:t>
      </w:r>
    </w:p>
    <w:p>
      <w:pPr>
        <w:pStyle w:val="BodyText"/>
        <w:spacing w:line="480" w:lineRule="auto"/>
        <w:ind w:firstLine="720"/>
      </w:pPr>
      <w:r>
        <w:t xml:space="preserve">The signal score is the one variable requiring the recorded component fields, and the pack preserves all four, title_words, snippet_words, keyword_count, and theme_hits, so the deterministic combination can be recomputed and checked against the recorded signal_score. The venue-family code follows from the source’s outlet: a proceedings link maps to 1, an Acta Astronautica document object identifier maps to 2, and a synthesis or policy record maps to 3. Every step is mechanical, and no step depends on a judgment the reader cannot see, which is the precise sense in which the dataset is auditable</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Stated positively, the data can support a screen. Thirty auditable rows are enough to ask whether the topic signal has any structure across recency, attention, and venue, and enough to characterize how citation attention scales with age. They are not enough to prove a premium-pricing claim, and the design never asks them to. With the variables defined and the pack described, the next chapter reports exactly what the two estimators return when run against these thirty rows, and reads the signs and magnitudes for what they are worth</w:t>
      </w:r>
      <w:r>
        <w:t xml:space="preserve"> </w:t>
      </w:r>
      <w:hyperlink w:anchor="ref-15">
        <w:r>
          <w:rPr>
            <w:rStyle w:val="Hyperlink"/>
          </w:rPr>
          <w:t xml:space="preserve">[15]</w:t>
        </w:r>
      </w:hyperlink>
      <w:r>
        <w:t xml:space="preserve"> </w:t>
      </w:r>
      <w:hyperlink w:anchor="ref-9">
        <w:r>
          <w:rPr>
            <w:rStyle w:val="Hyperlink"/>
          </w:rPr>
          <w:t xml:space="preserve">[9]</w:t>
        </w:r>
      </w:hyperlink>
      <w:r>
        <w:t xml:space="preserve">.</w:t>
      </w:r>
    </w:p>
    <w:bookmarkEnd w:id="112"/>
    <w:bookmarkEnd w:id="113"/>
    <w:bookmarkStart w:id="122" w:name="chapter-6-results"/>
    <w:p>
      <w:pPr>
        <w:pStyle w:val="Heading1"/>
        <w:spacing w:line="480" w:lineRule="auto"/>
      </w:pPr>
      <w:r>
        <w:t xml:space="preserve">Chapter 6: Results</w:t>
      </w:r>
    </w:p>
    <w:p>
      <w:pPr>
        <w:pStyle w:val="FirstParagraph"/>
        <w:spacing w:line="480" w:lineRule="auto"/>
      </w:pPr>
      <w:r>
        <w:t xml:space="preserve">This chapter reports what the two estimators return when run against the thirty-row pack, and it reports them exactly as the workbooks produce them. No number here is rounded for effect or adjusted for narrative. The coefficients, standard-error-derived p-values, and fit statistics are the deterministic output of the estimation files, and they are stated first and interpreted second, so that the reading never gets ahead of the evidence.</w:t>
      </w:r>
    </w:p>
    <w:bookmarkStart w:id="114" w:name="the-first-model-ordinary-least-squares"/>
    <w:p>
      <w:pPr>
        <w:pStyle w:val="Heading2"/>
        <w:spacing w:line="480" w:lineRule="auto"/>
      </w:pPr>
      <w:r>
        <w:t xml:space="preserve">The first model: ordinary least squares</w:t>
      </w:r>
    </w:p>
    <w:p>
      <w:pPr>
        <w:pStyle w:val="FirstParagraph"/>
        <w:spacing w:line="480" w:lineRule="auto"/>
      </w:pPr>
      <w:r>
        <w:t xml:space="preserve">The topic-signal model was estimated over all thirty records with heteroskedasticity-robust HC1 standard errors. The overall fit summary is: N=30, R2=0.3513596210757396, R2_adj=0.2765165004306328, F=4.439154256047279, F_p=0.012003166396172701.</w:t>
      </w:r>
    </w:p>
    <w:p>
      <w:pPr>
        <w:pStyle w:val="BodyText"/>
        <w:spacing w:line="480" w:lineRule="auto"/>
        <w:ind w:firstLine="720"/>
      </w:pPr>
      <w:r>
        <w:t xml:space="preserve">The term-by-term summary is as follows. The constant has coef=7.14150478822099 with p=3.9534644469793394e-11. The recency-index coefficient is coef=0.14398516081733248 with p=0.04424796161967861. The citation-count coefficient is coef=-0.009462692822855934 with p=0.7005374411527063. The venue-score coefficient is coef=-2.0639447853765707 with p=0.0002698928762648813.</w:t>
      </w:r>
    </w:p>
    <w:p>
      <w:pPr>
        <w:pStyle w:val="BodyText"/>
        <w:spacing w:line="480" w:lineRule="auto"/>
        <w:ind w:firstLine="720"/>
      </w:pPr>
      <w:r>
        <w:t xml:space="preserve">Read the fit first. The model explains about 35 percent of the variance in the topic-signal score, with an adjusted R-squared near 0.28 once the three predictors are penalized. The joint F-statistic of 4.44 carries a p-value of 0.012, which rejects the joint null that all three coefficients are zero at conventional levels. In the language of the hypotheses from Chapter 3, the first model rejects H1-0. The topic signal is not unrelated to recency, attention, and venue; it has structure, and the three predictors together capture a real fraction of it.</w:t>
      </w:r>
    </w:p>
    <w:p>
      <w:pPr>
        <w:pStyle w:val="BodyText"/>
        <w:spacing w:line="480" w:lineRule="auto"/>
        <w:ind w:firstLine="720"/>
      </w:pPr>
      <w:r>
        <w:t xml:space="preserve">Now the individual terms. The recency coefficient is positive at 0.144 and significant at the five-percent level, with a p-value of 0.044. This is the directional prediction the design staked itself on, and it comes out in the predicted direction. Each additional unit of recency, one year further from the oldest source in the pack, is associated with roughly a seventh of a point more topic signal, holding citation attention and venue fixed. Across the twenty-one-unit span of the recency index that is an implied swing of about three signal points from the oldest to the newest source, which against a signal scale that runs from 2 to 13 is a substantial gradient. The salience mechanism survives its test: attention to the topic rises measurably with recency</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On citations, the coefficient is the story of a non-result, and the design anticipated it. The frame is topical. At coef=-0.0095 with p=0.70, the citation term is both tiny and statistically indistinguishable from zero. Once recency and venue are held fixed, the raw citation count adds essentially nothing to the topic signal. This is exactly the outcome Chapter 3 warned to expect if citation attention in this pack is mostly a function of age rather than an independent marker of topic relevance, and the second model below confirms that reading. The honest interpretation is not that citations do not matter in general; it is that in this pack, conditional on recency and venue, they carry no separable information</w:t>
      </w:r>
      <w:r>
        <w:t xml:space="preserve"> </w:t>
      </w:r>
      <w:hyperlink w:anchor="ref-2">
        <w:r>
          <w:rPr>
            <w:rStyle w:val="Hyperlink"/>
          </w:rPr>
          <w:t xml:space="preserve">[2]</w:t>
        </w:r>
      </w:hyperlink>
      <w:r>
        <w:t xml:space="preserve">.</w:t>
      </w:r>
    </w:p>
    <w:p>
      <w:pPr>
        <w:pStyle w:val="BodyText"/>
        <w:spacing w:line="480" w:lineRule="auto"/>
        <w:ind w:firstLine="720"/>
      </w:pPr>
      <w:r>
        <w:t xml:space="preserve">The venue coefficient is the sharpest and most interesting result in the model. This buys auditability. At coef=-2.064 with p=0.00027, it is large and highly significant, and its sign is negative. Moving up one step in the venue-family ordering, from AMOS proceedings toward Acta journals and then toward synthesis sources, is associated with about two fewer points of topic signal, holding recency and citations fixed. The proceedings family, coded 1, carries the strongest topic signal; the higher-coded synthesis and policy family carries the weakest. Chapter 3 left the venue sign open on purpose, and the data have now filled it in: in this corpus the debris-economics topic signal concentrates in the fast technical venues, not in the slower synthesis outlets</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That negative venue sign deserves a careful reading rather than a triumphant one. The math is transparent. Chapter 5 noted that citation counts and venue are partly entangled in the pack, because nearly all nonzero citations sit in the journal family. The venue coefficient is estimated with citations held fixed, which mitigates but does not fully dissolve that entanglement in a sample this size. The safe statement is that venue family is strongly associated with the topic signal, that the technical-proceedings family shows the highest signal, and that the magnitude should be read as a pack-specific conditional association rather than a universal law</w:t>
      </w:r>
      <w:r>
        <w:t xml:space="preserve"> </w:t>
      </w:r>
      <w:hyperlink w:anchor="ref-16">
        <w:r>
          <w:rPr>
            <w:rStyle w:val="Hyperlink"/>
          </w:rPr>
          <w:t xml:space="preserve">[16]</w:t>
        </w:r>
      </w:hyperlink>
      <w:r>
        <w:t xml:space="preserve">.</w:t>
      </w:r>
    </w:p>
    <w:bookmarkEnd w:id="114"/>
    <w:bookmarkStart w:id="115" w:name="the-second-model-the-learning-curve"/>
    <w:p>
      <w:pPr>
        <w:pStyle w:val="Heading2"/>
        <w:spacing w:line="480" w:lineRule="auto"/>
      </w:pPr>
      <w:r>
        <w:t xml:space="preserve">The second model: the learning curve</w:t>
      </w:r>
    </w:p>
    <w:p>
      <w:pPr>
        <w:pStyle w:val="FirstParagraph"/>
        <w:spacing w:line="480" w:lineRule="auto"/>
      </w:pPr>
      <w:r>
        <w:t xml:space="preserve">The attention model regressed log citation-count-plus-one on log article age over the same thirty records with robust standard errors. The fit summary is: N=30, R2=0.020004824610425853, elasticity_b=-0.20652419038636552, progress_ratio_2^b=0.8666226266950048.</w:t>
      </w:r>
    </w:p>
    <w:p>
      <w:pPr>
        <w:pStyle w:val="BodyText"/>
        <w:spacing w:line="480" w:lineRule="auto"/>
        <w:ind w:firstLine="720"/>
      </w:pPr>
      <w:r>
        <w:t xml:space="preserve">The term summary is: the constant has coef=1.064019627806907 with p=0.004354493651082429; the log-age term has coef=-0.20652419038636552 with p=0.3142265986862943.</w:t>
      </w:r>
    </w:p>
    <w:p>
      <w:pPr>
        <w:pStyle w:val="BodyText"/>
        <w:spacing w:line="480" w:lineRule="auto"/>
        <w:ind w:firstLine="720"/>
      </w:pPr>
      <w:r>
        <w:t xml:space="preserve">On fit, the is the headline, and the headline is that there almost is no fit. The R-squared is 0.020, meaning log article age explains about two percent of the variance in log citations-plus-one across the pack. The elasticity is -0.207, and its p-value is 0.314, which does not reject the null at any conventional level. In the language of Chapter 3, the second model fails to reject H2-0. Citation accumulation in this corpus is not measurably structured by article age.</w:t>
      </w:r>
    </w:p>
    <w:p>
      <w:pPr>
        <w:pStyle w:val="BodyText"/>
        <w:spacing w:line="480" w:lineRule="auto"/>
        <w:ind w:firstLine="720"/>
      </w:pPr>
      <w:r>
        <w:t xml:space="preserve">The elasticity sign is negative, and the implied progress ratio is 0.867, meaning that a doubling of age is associated with attention falling to about 87 percent of its prior level in the point estimate. That step is mechanical. Taken at face value that would say newer articles draw slightly more attention than their age would predict. Taken honestly, the estimate is imprecise enough that no directional claim survives; with a p-value of 0.31 the elasticity is statistically indistinguishable from zero, and the negative sign is not something to build an argument on. The correct reading is that age does not tidily explain attention in this pack, and the near-zero R-squared confirms it.</w:t>
      </w:r>
    </w:p>
    <w:p>
      <w:pPr>
        <w:pStyle w:val="BodyText"/>
        <w:spacing w:line="480" w:lineRule="auto"/>
        <w:ind w:firstLine="720"/>
      </w:pPr>
      <w:r>
        <w:t xml:space="preserve">That non-result is not a disappointment; it is the load-bearing finding that licenses how the first model was read. Chapter 3 laid out the logic in advance: if the learning-curve elasticity is weak and imprecise, then citation counts do not reduce cleanly to age, but neither do they carry strong structured information, which is consistent with the first model finding the citation coefficient indistinguishable from zero. The two null-ish citation results agree. Attention in this pack is dominated by a few high-citation older journal outliers, such as the 2018 collision-likelihood paper at 51 citations</w:t>
      </w:r>
      <w:r>
        <w:t xml:space="preserve"> </w:t>
      </w:r>
      <w:hyperlink w:anchor="ref-15">
        <w:r>
          <w:rPr>
            <w:rStyle w:val="Hyperlink"/>
          </w:rPr>
          <w:t xml:space="preserve">[15]</w:t>
        </w:r>
      </w:hyperlink>
      <w:r>
        <w:t xml:space="preserve"> </w:t>
      </w:r>
      <w:r>
        <w:t xml:space="preserve">and the 2020 on-orbit-servicing paper at 29</w:t>
      </w:r>
      <w:r>
        <w:t xml:space="preserve"> </w:t>
      </w:r>
      <w:hyperlink w:anchor="ref-9">
        <w:r>
          <w:rPr>
            <w:rStyle w:val="Hyperlink"/>
          </w:rPr>
          <w:t xml:space="preserve">[9]</w:t>
        </w:r>
      </w:hyperlink>
      <w:r>
        <w:t xml:space="preserve">, and outside those outliers most records carry no citations at all, which is precisely the pattern that produces both a flat learning curve and a dead citation coefficient.</w:t>
      </w:r>
    </w:p>
    <w:bookmarkEnd w:id="115"/>
    <w:bookmarkStart w:id="116" w:name="magnitudes-in-context"/>
    <w:p>
      <w:pPr>
        <w:pStyle w:val="Heading2"/>
        <w:spacing w:line="480" w:lineRule="auto"/>
      </w:pPr>
      <w:r>
        <w:t xml:space="preserve">Magnitudes in context</w:t>
      </w:r>
    </w:p>
    <w:p>
      <w:pPr>
        <w:pStyle w:val="FirstParagraph"/>
        <w:spacing w:line="480" w:lineRule="auto"/>
      </w:pPr>
      <w:r>
        <w:t xml:space="preserve">Coefficients mean little until they are placed against the scales they act on, so it is worth translating each into the units a reader can picture. The hazard is documented. The recency coefficient of 0.14398516081733248 operates on a recency index that runs from 1 to 21. From the oldest source to the newest, the predicted signal contribution from recency alone rises by about 0.144 times 20, or roughly 2.9 points, holding citations and venue fixed. Against a signal scale that spans 2 to 13, a swing of nearly three points is not a rounding artifact; it is a meaningful share of the observed range, and it is why a coefficient that looks small in absolute terms carries a real gradient across the pack</w:t>
      </w:r>
      <w:r>
        <w:t xml:space="preserve"> </w:t>
      </w:r>
      <w:hyperlink w:anchor="ref-3">
        <w:r>
          <w:rPr>
            <w:rStyle w:val="Hyperlink"/>
          </w:rPr>
          <w:t xml:space="preserve">[3]</w:t>
        </w:r>
      </w:hyperlink>
      <w:r>
        <w:t xml:space="preserve">.</w:t>
      </w:r>
    </w:p>
    <w:p>
      <w:pPr>
        <w:pStyle w:val="BodyText"/>
        <w:spacing w:line="480" w:lineRule="auto"/>
        <w:ind w:firstLine="720"/>
      </w:pPr>
      <w:r>
        <w:t xml:space="preserve">On venue, the coefficient of -2.0639447853765707 operates on a three-step ordinal scale. Discounting looks steep. Moving from the proceedings family at 1 to the synthesis family at 3 implies a predicted signal drop of about 2.064 times 2, or roughly 4.1 points, again holding the other predictors fixed. That is the single largest predicted movement in the model, larger than the full recency span, which is why venue rather than recency is the dominant explanatory channel here. The technical-proceedings family is where the topic signal peaks, and the drop toward synthesis venues is steep</w:t>
      </w:r>
      <w:r>
        <w:t xml:space="preserve"> </w:t>
      </w:r>
      <w:hyperlink w:anchor="ref-4">
        <w:r>
          <w:rPr>
            <w:rStyle w:val="Hyperlink"/>
          </w:rPr>
          <w:t xml:space="preserve">[4]</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The citation coefficient of -0.009462692822855934 is, by contrast, negligible on any scale. Even across the widest citation gap in the pack, from zero to fifty-one at the 2018 collision-likelihood paper</w:t>
      </w:r>
      <w:r>
        <w:t xml:space="preserve"> </w:t>
      </w:r>
      <w:hyperlink w:anchor="ref-15">
        <w:r>
          <w:rPr>
            <w:rStyle w:val="Hyperlink"/>
          </w:rPr>
          <w:t xml:space="preserve">[15]</w:t>
        </w:r>
      </w:hyperlink>
      <w:r>
        <w:t xml:space="preserve">, the implied signal contribution is about -0.009 times 51, or roughly half a point, and with a p-value of 0.7005374411527063 even that small movement is indistinguishable from noise. Placing the three magnitudes side by side makes the model’s structure legible at a glance: venue dominates, recency contributes a real secondary gradient, and citations do essentially nothing.</w:t>
      </w:r>
    </w:p>
    <w:bookmarkEnd w:id="116"/>
    <w:bookmarkStart w:id="117" w:name="X5a27d7e620bb030f6fa60e03e79eae05e085a88"/>
    <w:p>
      <w:pPr>
        <w:pStyle w:val="Heading2"/>
        <w:spacing w:line="480" w:lineRule="auto"/>
      </w:pPr>
      <w:r>
        <w:t xml:space="preserve">The learning curve read against the first model</w:t>
      </w:r>
    </w:p>
    <w:p>
      <w:pPr>
        <w:pStyle w:val="FirstParagraph"/>
        <w:spacing w:line="480" w:lineRule="auto"/>
      </w:pPr>
      <w:r>
        <w:t xml:space="preserve">This learning-curve output has to be read in dialogue with the first model rather than in isolation, and the dialogue is what makes the flat curve informative. The market may lag. The elasticity of -0.20652419038636552, with its p-value of 0.3142265986862943, says age does not reliably predict citations in this pack. The progress ratio of 0.8666226266950048 is the point-estimate translation, a doubling of age mapping to attention at about 87 percent of its prior level, but the imprecision drains that number of any directional force. The R-squared of 0.020004824610425853 confirms that log age is almost inert as a predictor here.</w:t>
      </w:r>
    </w:p>
    <w:p>
      <w:pPr>
        <w:pStyle w:val="BodyText"/>
        <w:spacing w:line="480" w:lineRule="auto"/>
        <w:ind w:firstLine="720"/>
      </w:pPr>
      <w:r>
        <w:t xml:space="preserve">Now connect that to the first model’s dead citation coefficient. That translation is incomplete. If citations were tightly governed by age, the design would have to worry that the first model’s citation term was really an age term in disguise, and interpretation would get tangled. The flat learning curve dissolves that worry: since age barely predicts citations, the first model’s citation coefficient is not a smuggled age effect, it is simply the true near-zero signal that raw citation counts carry in this corpus once recency and venue are fixed</w:t>
      </w:r>
      <w:r>
        <w:t xml:space="preserve"> </w:t>
      </w:r>
      <w:hyperlink w:anchor="ref-9">
        <w:r>
          <w:rPr>
            <w:rStyle w:val="Hyperlink"/>
          </w:rPr>
          <w:t xml:space="preserve">[9]</w:t>
        </w:r>
      </w:hyperlink>
      <w:r>
        <w:t xml:space="preserve">. The two null-ish results are not redundant; the second explains why the first is safe to read at face value.</w:t>
      </w:r>
    </w:p>
    <w:p>
      <w:pPr>
        <w:pStyle w:val="BodyText"/>
        <w:spacing w:line="480" w:lineRule="auto"/>
        <w:ind w:firstLine="720"/>
      </w:pPr>
      <w:r>
        <w:t xml:space="preserve">The constant in the learning-curve model, at 1.064019627806907 with p=0.004354493651082429, is precisely estimated even though the slope is not, which is exactly what a flat, well-anchored, low-slope fit looks like. The model confidently locates the average log-citation level and cannot find a reliable tilt to it with age. For a pack dominated by uncited recent work punctuated by a few old high-citation anchors, that is the statistically honest description, and the results chapter reports it honestly rather than straining to extract a trend the data do not hold</w:t>
      </w:r>
      <w:r>
        <w:t xml:space="preserve"> </w:t>
      </w:r>
      <w:hyperlink w:anchor="ref-2">
        <w:r>
          <w:rPr>
            <w:rStyle w:val="Hyperlink"/>
          </w:rPr>
          <w:t xml:space="preserve">[2]</w:t>
        </w:r>
      </w:hyperlink>
      <w:r>
        <w:t xml:space="preserve"> </w:t>
      </w:r>
      <w:hyperlink w:anchor="ref-15">
        <w:r>
          <w:rPr>
            <w:rStyle w:val="Hyperlink"/>
          </w:rPr>
          <w:t xml:space="preserve">[15]</w:t>
        </w:r>
      </w:hyperlink>
      <w:r>
        <w:t xml:space="preserve">.</w:t>
      </w:r>
    </w:p>
    <w:bookmarkEnd w:id="117"/>
    <w:bookmarkStart w:id="118" w:name="reading-the-two-models-together"/>
    <w:p>
      <w:pPr>
        <w:pStyle w:val="Heading2"/>
        <w:spacing w:line="480" w:lineRule="auto"/>
      </w:pPr>
      <w:r>
        <w:t xml:space="preserve">Reading the two models together</w:t>
      </w:r>
    </w:p>
    <w:p>
      <w:pPr>
        <w:pStyle w:val="FirstParagraph"/>
        <w:spacing w:line="480" w:lineRule="auto"/>
      </w:pPr>
      <w:r>
        <w:t xml:space="preserve">Stacking the results gives a coherent three-part picture, and the parts reinforce rather than contradict one another. The screen comes first. Recency matters and points the predicted way; the topic signal intensifies with time, and that relationship is significant</w:t>
      </w:r>
      <w:r>
        <w:t xml:space="preserve"> </w:t>
      </w:r>
      <w:hyperlink w:anchor="ref-3">
        <w:r>
          <w:rPr>
            <w:rStyle w:val="Hyperlink"/>
          </w:rPr>
          <w:t xml:space="preserve">[3]</w:t>
        </w:r>
      </w:hyperlink>
      <w:r>
        <w:t xml:space="preserve">. Venue matters strongly, and the technical-proceedings family carries the highest signal, which says the debris-economics conversation is still concentrated in fast technical venues rather than diffusing fully into synthesis and policy outlets</w:t>
      </w:r>
      <w:r>
        <w:t xml:space="preserve"> </w:t>
      </w:r>
      <w:hyperlink w:anchor="ref-4">
        <w:r>
          <w:rPr>
            <w:rStyle w:val="Hyperlink"/>
          </w:rPr>
          <w:t xml:space="preserve">[4]</w:t>
        </w:r>
      </w:hyperlink>
      <w:r>
        <w:t xml:space="preserve">. Citation attention, by contrast, adds nothing separable in the first model and is not structured by age in the second, which together say that in this pack citations are a noisy outlier-driven measure rather than a reliable salience signal</w:t>
      </w:r>
      <w:r>
        <w:t xml:space="preserve"> </w:t>
      </w:r>
      <w:hyperlink w:anchor="ref-2">
        <w:r>
          <w:rPr>
            <w:rStyle w:val="Hyperlink"/>
          </w:rPr>
          <w:t xml:space="preserve">[2]</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joint F-test rejecting its null while the citation term stays flat is not a contradiction. This is the precondition. It is the ordinary situation in which the model as a whole has explanatory power carried by two of its three predictors, recency and venue, while the third contributes nothing. The adjusted R-squared of 0.28 is modest, as it must be for thirty heterogeneous rows, and the results chapter states it as modest rather than dressing it up. What the models establish is bounded and real: the topic signal has structure, that structure lives in recency and venue, and citation attention in this corpus is too outlier-dominated to serve as a fourth channel</w:t>
      </w:r>
      <w:r>
        <w:t xml:space="preserve"> </w:t>
      </w:r>
      <w:hyperlink w:anchor="ref-13">
        <w:r>
          <w:rPr>
            <w:rStyle w:val="Hyperlink"/>
          </w:rPr>
          <w:t xml:space="preserve">[13]</w:t>
        </w:r>
      </w:hyperlink>
      <w:r>
        <w:t xml:space="preserve"> </w:t>
      </w:r>
      <w:hyperlink w:anchor="ref-15">
        <w:r>
          <w:rPr>
            <w:rStyle w:val="Hyperlink"/>
          </w:rPr>
          <w:t xml:space="preserve">[15]</w:t>
        </w:r>
      </w:hyperlink>
      <w:r>
        <w:t xml:space="preserve">.</w:t>
      </w:r>
    </w:p>
    <w:bookmarkEnd w:id="118"/>
    <w:bookmarkStart w:id="119" w:name="Xfb93505cf44dc8e20cbc1226706288625360571"/>
    <w:p>
      <w:pPr>
        <w:pStyle w:val="Heading2"/>
        <w:spacing w:line="480" w:lineRule="auto"/>
      </w:pPr>
      <w:r>
        <w:t xml:space="preserve">Fit quality and what the unexplained variance means</w:t>
      </w:r>
    </w:p>
    <w:p>
      <w:pPr>
        <w:pStyle w:val="FirstParagraph"/>
        <w:spacing w:line="480" w:lineRule="auto"/>
      </w:pPr>
      <w:r>
        <w:t xml:space="preserve">The first model leaves roughly two thirds of the topic-signal variance unexplained, since its R-squared is 0.3513596210757396, and that residual deserves interpretation rather than silence. The sign is negative. An adjusted R-squared of 0.2765165004306328 over thirty heterogeneous records is a respectable but far from dominant fit, and the honest reading is that recency and venue capture a real but partial share of what drives the topic signal. The unexplained portion is where idiosyncratic source features live: a paper’s specific subject, the density of its keyword tagging, and the vagaries of how the local index recorded its text. None of those is in the model, and none should be, because thirty rows cannot support their estimation</w:t>
      </w:r>
      <w:r>
        <w:t xml:space="preserve"> </w:t>
      </w:r>
      <w:hyperlink w:anchor="ref-16">
        <w:r>
          <w:rPr>
            <w:rStyle w:val="Hyperlink"/>
          </w:rPr>
          <w:t xml:space="preserve">[16]</w:t>
        </w:r>
      </w:hyperlink>
      <w:r>
        <w:t xml:space="preserve">.</w:t>
      </w:r>
    </w:p>
    <w:p>
      <w:pPr>
        <w:pStyle w:val="BodyText"/>
        <w:spacing w:line="480" w:lineRule="auto"/>
        <w:ind w:firstLine="720"/>
      </w:pPr>
      <w:r>
        <w:t xml:space="preserve">What the fit does establish is that the structure is not illusory. A joint F of 4.439154256047279 with F_p=0.012003166396172701 means the explained third is unlikely to be an accident of a model fitting noise, and that is the claim the design needs. It does not need to explain most of the variance; it needs to show that recency and venue explain a non-trivial and statistically distinguishable part of it, and the fit statistics deliver exactly that and no more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119"/>
    <w:bookmarkStart w:id="120" w:name="X2daad8b73c9c4a72eda872435c37af0a9371a3d"/>
    <w:p>
      <w:pPr>
        <w:pStyle w:val="Heading2"/>
        <w:spacing w:line="480" w:lineRule="auto"/>
      </w:pPr>
      <w:r>
        <w:t xml:space="preserve">The constant term and the baseline signal</w:t>
      </w:r>
    </w:p>
    <w:p>
      <w:pPr>
        <w:pStyle w:val="FirstParagraph"/>
        <w:spacing w:line="480" w:lineRule="auto"/>
      </w:pPr>
      <w:r>
        <w:t xml:space="preserve">This constant in the first model, at coef=7.14150478822099 with p=3.9534644469793394e-11, is estimated with extreme precision, and reading it correctly guards against a common misinterpretation. It represents the expected topic signal for a source at the baseline of every predictor, and its tiny p-value reflects only that the average signal level is reliably nonzero, not that any research hypothesis has been confirmed. The hypotheses live in the slope coefficients, not the intercept, and the intercept’s significance is a statement about where the signal scale is centered rather than about recency, citations, or venue</w:t>
      </w:r>
      <w:r>
        <w:t xml:space="preserve"> </w:t>
      </w:r>
      <w:hyperlink w:anchor="ref-3">
        <w:r>
          <w:rPr>
            <w:rStyle w:val="Hyperlink"/>
          </w:rPr>
          <w:t xml:space="preserve">[3]</w:t>
        </w:r>
      </w:hyperlink>
      <w:r>
        <w:t xml:space="preserve">.</w:t>
      </w:r>
    </w:p>
    <w:p>
      <w:pPr>
        <w:pStyle w:val="BodyText"/>
        <w:spacing w:line="480" w:lineRule="auto"/>
        <w:ind w:firstLine="720"/>
      </w:pPr>
      <w:r>
        <w:t xml:space="preserve">Still, the constant is not without interpretive use. A baseline signal near seven, against an observed scale running from 2 to 13, says the typical source in the pack sits near the middle of the signal range before the predictors move it up or down. The recency and venue coefficients then push individual sources away from that center, recency lifting recent work and venue depressing the synthesis family. Seeing the intercept as the anchor around which the two significant slopes operate makes the whole first model easier to read as a coherent system rather than a list of separate numbers</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20"/>
    <w:bookmarkStart w:id="121" w:name="Xdc44f74976caa57adb752cf714ddec749e24819"/>
    <w:p>
      <w:pPr>
        <w:pStyle w:val="Heading2"/>
        <w:spacing w:line="480" w:lineRule="auto"/>
      </w:pPr>
      <w:r>
        <w:t xml:space="preserve">Reconciling the two significant coefficients with the one that is not</w:t>
      </w:r>
    </w:p>
    <w:p>
      <w:pPr>
        <w:pStyle w:val="FirstParagraph"/>
        <w:spacing w:line="480" w:lineRule="auto"/>
      </w:pPr>
      <w:r>
        <w:t xml:space="preserve">A reader could find it puzzling that recency and venue are both significant while citations are inert, given that all three were motivated as candidate salience signals. That magnitude is large. The reconciliation is in the data structure Chapter 5 described. Recency varies smoothly across the whole pack and correlates with the topic signal in the predicted direction, so it is estimable and significant at coef=0.14398516081733248 with p=0.04424796161967861</w:t>
      </w:r>
      <w:r>
        <w:t xml:space="preserve"> </w:t>
      </w:r>
      <w:hyperlink w:anchor="ref-3">
        <w:r>
          <w:rPr>
            <w:rStyle w:val="Hyperlink"/>
          </w:rPr>
          <w:t xml:space="preserve">[3]</w:t>
        </w:r>
      </w:hyperlink>
      <w:r>
        <w:t xml:space="preserve">. Venue varies across three well-populated families and separates high-signal technical work from low-signal synthesis work sharply, so it is estimable and highly significant at coef=-2.0639447853765707 with p=0.0002698928762648813</w:t>
      </w:r>
      <w:r>
        <w:t xml:space="preserve"> </w:t>
      </w:r>
      <w:hyperlink w:anchor="ref-4">
        <w:r>
          <w:rPr>
            <w:rStyle w:val="Hyperlink"/>
          </w:rPr>
          <w:t xml:space="preserve">[4]</w:t>
        </w:r>
      </w:hyperlink>
      <w:r>
        <w:t xml:space="preserve">.</w:t>
      </w:r>
    </w:p>
    <w:p>
      <w:pPr>
        <w:pStyle w:val="BodyText"/>
        <w:spacing w:line="480" w:lineRule="auto"/>
        <w:ind w:firstLine="720"/>
      </w:pPr>
      <w:r>
        <w:t xml:space="preserve">Citations, by contrast, are zero for most records and large for a scattered few, with no smooth relationship to the signal score once recency and venue are fixed. The fit is modest. That degenerate distribution is why the citation coefficient at coef=-0.009462692822855934 lands at p=0.7005374411527063, statistically silent</w:t>
      </w:r>
      <w:r>
        <w:t xml:space="preserve"> </w:t>
      </w:r>
      <w:hyperlink w:anchor="ref-15">
        <w:r>
          <w:rPr>
            <w:rStyle w:val="Hyperlink"/>
          </w:rPr>
          <w:t xml:space="preserve">[15]</w:t>
        </w:r>
      </w:hyperlink>
      <w:r>
        <w:t xml:space="preserve">. The three coefficients are not in tension; they reflect three variables with three different distributions, two of which carry estimable structure and one of which does not. Reading them together, the model says the topic signal is organized by when and where a source was published and not by how often it happened to be cited, which is a coherent and interpretable result rather than a contradictory one</w:t>
      </w:r>
      <w:r>
        <w:t xml:space="preserve"> </w:t>
      </w:r>
      <w:hyperlink w:anchor="ref-9">
        <w:r>
          <w:rPr>
            <w:rStyle w:val="Hyperlink"/>
          </w:rPr>
          <w:t xml:space="preserve">[9]</w:t>
        </w:r>
      </w:hyperlink>
      <w:r>
        <w:t xml:space="preserve">.</w:t>
      </w:r>
    </w:p>
    <w:p>
      <w:pPr>
        <w:pStyle w:val="BodyText"/>
        <w:spacing w:line="480" w:lineRule="auto"/>
        <w:ind w:firstLine="720"/>
      </w:pPr>
      <w:r>
        <w:t xml:space="preserve">The next chapter takes these exact findings and asks what they mean, where they could be wrong, and what a thirty-row documentary screen is entitled to conclude about whether orbital risk is being seen before it is being ruled on.</w:t>
      </w:r>
    </w:p>
    <w:bookmarkEnd w:id="121"/>
    <w:bookmarkEnd w:id="122"/>
    <w:bookmarkStart w:id="132" w:name="chapter-7-discussion-and-limitations"/>
    <w:p>
      <w:pPr>
        <w:pStyle w:val="Heading1"/>
        <w:spacing w:line="480" w:lineRule="auto"/>
      </w:pPr>
      <w:r>
        <w:t xml:space="preserve">Chapter 7: Discussion and Limitations</w:t>
      </w:r>
    </w:p>
    <w:p>
      <w:pPr>
        <w:pStyle w:val="FirstParagraph"/>
        <w:spacing w:line="480" w:lineRule="auto"/>
      </w:pPr>
      <w:r>
        <w:t xml:space="preserve">Read together, the results in the previous chapter are narrow, and their meaning has to be sized to that narrowness. Two of three predictors carried real information, one carried none, and a second model returned a near-flat curve. This chapter reads that pattern for what it says about the original question, then catalogs the threats to validity honestly, and closes by drawing the boundary around what a thirty-row documentary screen simply cannot show.</w:t>
      </w:r>
    </w:p>
    <w:bookmarkStart w:id="123" w:name="what-the-findings-mean"/>
    <w:p>
      <w:pPr>
        <w:pStyle w:val="Heading2"/>
        <w:spacing w:line="480" w:lineRule="auto"/>
      </w:pPr>
      <w:r>
        <w:t xml:space="preserve">What the findings mean</w:t>
      </w:r>
    </w:p>
    <w:p>
      <w:pPr>
        <w:pStyle w:val="FirstParagraph"/>
        <w:spacing w:line="480" w:lineRule="auto"/>
      </w:pPr>
      <w:r>
        <w:t xml:space="preserve">The central positive finding is that attention to orbital-debris and space-economy risk is structured, and structured in a way the salience mechanism predicted. The recency coefficient came out positive and significant, which is the directional result the design put its credibility on. Read against the motivating question, this is modest support for the idea that the domain is being seen with increasing intensity over time. The research community is writing more directly about orbital risk as the years pass, and that intensification is measurable rather than merely asserted</w:t>
      </w:r>
      <w:r>
        <w:t xml:space="preserve"> </w:t>
      </w:r>
      <w:hyperlink w:anchor="ref-3">
        <w:r>
          <w:rPr>
            <w:rStyle w:val="Hyperlink"/>
          </w:rPr>
          <w:t xml:space="preserve">[3]</w:t>
        </w:r>
      </w:hyperlink>
      <w:r>
        <w:t xml:space="preserve"> </w:t>
      </w:r>
      <w:hyperlink w:anchor="ref-13">
        <w:r>
          <w:rPr>
            <w:rStyle w:val="Hyperlink"/>
          </w:rPr>
          <w:t xml:space="preserve">[13]</w:t>
        </w:r>
      </w:hyperlink>
      <w:r>
        <w:t xml:space="preserve">. If the insurance mirror reflects anything, it reflects a hazard whose scholarly salience is demonstrably rising, which is a precondition for the hazard being priced at all.</w:t>
      </w:r>
    </w:p>
    <w:p>
      <w:pPr>
        <w:pStyle w:val="BodyText"/>
        <w:spacing w:line="480" w:lineRule="auto"/>
        <w:ind w:firstLine="720"/>
      </w:pPr>
      <w:r>
        <w:t xml:space="preserve">On venue, the finding sharpens the picture and complicates it. The topic signal concentrates in the technical-proceedings family and thins out toward synthesis and policy venues. One reading is encouraging for the pricing thesis and one is cautionary. The encouraging reading is that the technical community, the community closest to the sensors and the catalogs, is where the risk is most visible, which is where an actuarially useful signal would first appear</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cautionary reading is that if the signal has not yet diffused strongly into synthesis and policy venues, then the translation from technical visibility to institutional pricing may still be incomplete. Both readings are consistent with the coefficient. The dissertation reports the coefficient and declines to force a single interpretation onto it.</w:t>
      </w:r>
    </w:p>
    <w:p>
      <w:pPr>
        <w:pStyle w:val="BodyText"/>
        <w:spacing w:line="480" w:lineRule="auto"/>
        <w:ind w:firstLine="720"/>
      </w:pPr>
      <w:r>
        <w:t xml:space="preserve">The citation results, flat in both models, mean something specific and worth stating plainly. Two nulls agree. In this pack, citation attention is not a reliable proxy for topic salience. It is dominated by a few older journal outliers and is otherwise mostly zero, and neither the cross-sectional model nor the learning curve could extract structure from it. The lesson is not that citations never matter; it is that in a small pack skewed toward recent and conference-published work, formal citation counts are the wrong instrument for measuring attention, and a successor design should measure attention some other way</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Putting the three together, the honest summary of the mirror question is this. The successor study waits. The evidence shows a risk gaining scholarly salience over time, concentrated in the technical venues where a usable signal would originate, but not yet demonstrably diffused into the synthesis and policy layer where governance decisions are made. That is a partial, structured answer, and it points toward the market seeing the risk earlier than the synthesis literature registers it, which is at least suggestive of the mirror reflecting before the mandate arrives. It is suggestive, not conclusive, and the difference is the subject of the rest of this chapter.</w:t>
      </w:r>
    </w:p>
    <w:bookmarkEnd w:id="123"/>
    <w:bookmarkStart w:id="124" w:name="threats-to-validity"/>
    <w:p>
      <w:pPr>
        <w:pStyle w:val="Heading2"/>
        <w:spacing w:line="480" w:lineRule="auto"/>
      </w:pPr>
      <w:r>
        <w:t xml:space="preserve">Threats to validity</w:t>
      </w:r>
    </w:p>
    <w:p>
      <w:pPr>
        <w:pStyle w:val="FirstParagraph"/>
        <w:spacing w:line="480" w:lineRule="auto"/>
      </w:pPr>
      <w:r>
        <w:t xml:space="preserve">A first threat is sample size. Thirty observations produce wide standard errors and give any single record real leverage. The 2018 collision-likelihood paper, with fifty-one citations, is an outlier heavy enough to move the learning-curve fit on its own</w:t>
      </w:r>
      <w:r>
        <w:t xml:space="preserve"> </w:t>
      </w:r>
      <w:hyperlink w:anchor="ref-15">
        <w:r>
          <w:rPr>
            <w:rStyle w:val="Hyperlink"/>
          </w:rPr>
          <w:t xml:space="preserve">[15]</w:t>
        </w:r>
      </w:hyperlink>
      <w:r>
        <w:t xml:space="preserve">, and the near-zero R-squared of that model is partly a story about one point pulling against twenty-nine. A finding that survives in thirty rows should be held loosely until it is replicated in three hundred. The recency and venue results are strong enough to reject their nulls even at this size, but their magnitudes are pack-specific estimates, not stable population parameters.</w:t>
      </w:r>
    </w:p>
    <w:p>
      <w:pPr>
        <w:pStyle w:val="BodyText"/>
        <w:spacing w:line="480" w:lineRule="auto"/>
        <w:ind w:firstLine="720"/>
      </w:pPr>
      <w:r>
        <w:t xml:space="preserve">The second threat is the assembled, non-random nature of the pack. The records were retrieved for topical relevance, not sampled from a defined universe, so the associations describe this corpus and do not automatically generalize. If the retrieval favored technical sources, the venue coefficient partly reflects that retrieval rather than the field. The design mitigates this by preserving every source identifier so the retrieval is inspectable, but inspectability is not the same as randomness, and the generalization gap remains</w:t>
      </w:r>
      <w:r>
        <w:t xml:space="preserve"> </w:t>
      </w:r>
      <w:hyperlink w:anchor="ref-4">
        <w:r>
          <w:rPr>
            <w:rStyle w:val="Hyperlink"/>
          </w:rPr>
          <w:t xml:space="preserve">[4]</w:t>
        </w:r>
      </w:hyperlink>
      <w:r>
        <w:t xml:space="preserve">.</w:t>
      </w:r>
    </w:p>
    <w:p>
      <w:pPr>
        <w:pStyle w:val="BodyText"/>
        <w:spacing w:line="480" w:lineRule="auto"/>
        <w:ind w:firstLine="720"/>
      </w:pPr>
      <w:r>
        <w:t xml:space="preserve">A third threat is measurement in the signal score. The composite is deterministic, which removes coder subjectivity, but the term-hit construction can reward sources whose titles and keywords happen to use the candidate-theme vocabulary while missing sources that discuss the same risk in different words. A synthesis report that frames debris as a commons problem without using the exact term set could score low despite being highly relevant, as the Weinzierl-style economic sources partly do. The signal score measures lexical overlap with a theme, which is a reasonable but imperfect stand-in for substantive relevance</w:t>
      </w:r>
      <w:r>
        <w:t xml:space="preserve"> </w:t>
      </w:r>
      <w:hyperlink w:anchor="ref-16">
        <w:r>
          <w:rPr>
            <w:rStyle w:val="Hyperlink"/>
          </w:rPr>
          <w:t xml:space="preserve">[16]</w:t>
        </w:r>
      </w:hyperlink>
      <w:r>
        <w:t xml:space="preserve">.</w:t>
      </w:r>
    </w:p>
    <w:p>
      <w:pPr>
        <w:pStyle w:val="BodyText"/>
        <w:spacing w:line="480" w:lineRule="auto"/>
        <w:ind w:firstLine="720"/>
      </w:pPr>
      <w:r>
        <w:t xml:space="preserve">The fourth threat is the venue-citation entanglement flagged in Chapter 5. Nearly all nonzero citations sit in the journal family, so the venue variable and the citation variable share information. The first model estimates the venue coefficient with citations held fixed, which is the right specification, but with thirty rows and a lopsided citation distribution the partialling-out is imperfect. The large negative venue coefficient should be read with that caveat attached: some of what is attributed to venue could be the citation pattern that rides along with it</w:t>
      </w:r>
      <w:r>
        <w:t xml:space="preserve"> </w:t>
      </w:r>
      <w:hyperlink w:anchor="ref-2">
        <w:r>
          <w:rPr>
            <w:rStyle w:val="Hyperlink"/>
          </w:rPr>
          <w:t xml:space="preserve">[2]</w:t>
        </w:r>
      </w:hyperlink>
      <w:r>
        <w:t xml:space="preserve">.</w:t>
      </w:r>
    </w:p>
    <w:p>
      <w:pPr>
        <w:pStyle w:val="BodyText"/>
        <w:spacing w:line="480" w:lineRule="auto"/>
        <w:ind w:firstLine="720"/>
      </w:pPr>
      <w:r>
        <w:t xml:space="preserve">The fifth threat is the ordinal venue coding. Treating the proceedings-to-journal step as equivalent to the journal-to-synthesis step is a convenience the model requires, not a fact the data establish. If the true spacing between venue families is uneven, the linear venue term is a smoothed approximation, and the coefficient is an average effect across steps that may not be equal. The conclusion that the technical family carries the highest signal is robust to this; the precise magnitude is not.</w:t>
      </w:r>
    </w:p>
    <w:bookmarkEnd w:id="124"/>
    <w:bookmarkStart w:id="125" w:name="what-the-data-cannot-show"/>
    <w:p>
      <w:pPr>
        <w:pStyle w:val="Heading2"/>
        <w:spacing w:line="480" w:lineRule="auto"/>
      </w:pPr>
      <w:r>
        <w:t xml:space="preserve">What the data cannot show</w:t>
      </w:r>
    </w:p>
    <w:p>
      <w:pPr>
        <w:pStyle w:val="FirstParagraph"/>
        <w:spacing w:line="480" w:lineRule="auto"/>
      </w:pPr>
      <w:r>
        <w:t xml:space="preserve">Some limits are not threats to be mitigated but hard boundaries to be respected, and stating them is part of the design’s honesty. That route is mapped. This study cannot show that space-insurance premiums price orbital-debris risk, because it observes no premiums. It measures the salience of the risk in a research literature, which is upstream of pricing and correlated with it at best. The title poses a question the design answers only obliquely, by establishing that the risk is becoming visible in the places pricing signals originate, and the gap between visibility and pricing is left open</w:t>
      </w:r>
      <w:r>
        <w:t xml:space="preserve"> </w:t>
      </w:r>
      <w:hyperlink w:anchor="ref-3">
        <w:r>
          <w:rPr>
            <w:rStyle w:val="Hyperlink"/>
          </w:rPr>
          <w:t xml:space="preserve">[3]</w:t>
        </w:r>
      </w:hyperlink>
      <w:r>
        <w:t xml:space="preserve">.</w:t>
      </w:r>
    </w:p>
    <w:p>
      <w:pPr>
        <w:pStyle w:val="BodyText"/>
        <w:spacing w:line="480" w:lineRule="auto"/>
        <w:ind w:firstLine="720"/>
      </w:pPr>
      <w:r>
        <w:t xml:space="preserve">The study also cannot establish causation among its own variables. The tail is thin. The recency and venue associations are conditional correlations within a pack, not effects with a counterfactual. It would be wrong to say recency causes higher signal or that publishing in a proceedings venue raises a paper’s topic relevance; the design supports neither claim and asserts neither</w:t>
      </w:r>
      <w:r>
        <w:t xml:space="preserve"> </w:t>
      </w:r>
      <w:hyperlink w:anchor="ref-15">
        <w:r>
          <w:rPr>
            <w:rStyle w:val="Hyperlink"/>
          </w:rPr>
          <w:t xml:space="preserve">[15]</w:t>
        </w:r>
      </w:hyperlink>
      <w:r>
        <w:t xml:space="preserve">. Nor can the study speak to timing in the sharpest sense the mirror metaphor invites. To show that the market sees the risk before the regulator acts would require a dated series of premiums and a dated series of rule-making events, aligned on a common clock. This design has neither, and no amount of careful reading of thirty documentary rows can manufacture them.</w:t>
      </w:r>
    </w:p>
    <w:p>
      <w:pPr>
        <w:pStyle w:val="BodyText"/>
        <w:spacing w:line="480" w:lineRule="auto"/>
        <w:ind w:firstLine="720"/>
      </w:pPr>
      <w:r>
        <w:t xml:space="preserve">Finally, the study cannot rule out that its structured finding is an artifact of how the pack was assembled rather than a feature of the field. This limit is honest. That possibility is the honest residual of any retrieval-based screen. The defense is not that the possibility is excluded but that the retrieval is fully documented, so a skeptic can rebuild the pack, change the retrieval, and see whether the recency and venue results survive. That is the strongest form of validity a design like this can offer: not proof, but reproducible exposure of every step from source to coefficient</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25"/>
    <w:bookmarkStart w:id="126" w:name="X3e8292463ebc6b19cebc5b2cf40b01e0449302e"/>
    <w:p>
      <w:pPr>
        <w:pStyle w:val="Heading2"/>
        <w:spacing w:line="480" w:lineRule="auto"/>
      </w:pPr>
      <w:r>
        <w:t xml:space="preserve">What the significant results earn, and what they do not</w:t>
      </w:r>
    </w:p>
    <w:p>
      <w:pPr>
        <w:pStyle w:val="FirstParagraph"/>
        <w:spacing w:line="480" w:lineRule="auto"/>
      </w:pPr>
      <w:r>
        <w:t xml:space="preserve">It is worth drawing a sharp line around what the two significant coefficients license, because the temptation in a supportive result is to let it carry more than it can. The positive recency coefficient earns the statement that topic signal and recency are associated in the predicted direction within the pack, net of venue and citations</w:t>
      </w:r>
      <w:r>
        <w:t xml:space="preserve"> </w:t>
      </w:r>
      <w:hyperlink w:anchor="ref-3">
        <w:r>
          <w:rPr>
            <w:rStyle w:val="Hyperlink"/>
          </w:rPr>
          <w:t xml:space="preserve">[3]</w:t>
        </w:r>
      </w:hyperlink>
      <w:r>
        <w:t xml:space="preserve">. It does not earn the statement that time causes attention, nor that the trend will continue, nor that the market has noticed. The large negative venue coefficient earns the statement that the technical-proceedings family carries the highest topic signal in the pack</w:t>
      </w:r>
      <w:r>
        <w:t xml:space="preserve"> </w:t>
      </w:r>
      <w:hyperlink w:anchor="ref-4">
        <w:r>
          <w:rPr>
            <w:rStyle w:val="Hyperlink"/>
          </w:rPr>
          <w:t xml:space="preserve">[4]</w:t>
        </w:r>
      </w:hyperlink>
      <w:r>
        <w:t xml:space="preserve">. It does not earn a claim about the field at large, given the assembled sample, nor a clean separation of venue from the citation pattern that travels with it.</w:t>
      </w:r>
    </w:p>
    <w:p>
      <w:pPr>
        <w:pStyle w:val="BodyText"/>
        <w:spacing w:line="480" w:lineRule="auto"/>
        <w:ind w:firstLine="720"/>
      </w:pPr>
      <w:r>
        <w:t xml:space="preserve">Holding that line is the discipline the whole design depends on. The index is local. A result that is real but small is more useful than a result that is inflated and unverifiable, because the small honest result can be built on and the inflated one collapses under the first serious challenge</w:t>
      </w:r>
      <w:r>
        <w:t xml:space="preserve"> </w:t>
      </w:r>
      <w:hyperlink w:anchor="ref-16">
        <w:r>
          <w:rPr>
            <w:rStyle w:val="Hyperlink"/>
          </w:rPr>
          <w:t xml:space="preserve">[16]</w:t>
        </w:r>
      </w:hyperlink>
      <w:r>
        <w:t xml:space="preserve">. The findings here are treated as what they are, structured associations in an auditable pack, and every sentence that interprets them is written to stay inside that boundary. The reader who wants the larger claim is pointed, repeatedly and without apology, toward the successor studies that could earn it</w:t>
      </w:r>
      <w:r>
        <w:t xml:space="preserve"> </w:t>
      </w:r>
      <w:hyperlink w:anchor="ref-15">
        <w:r>
          <w:rPr>
            <w:rStyle w:val="Hyperlink"/>
          </w:rPr>
          <w:t xml:space="preserve">[15]</w:t>
        </w:r>
      </w:hyperlink>
      <w:r>
        <w:t xml:space="preserve"> </w:t>
      </w:r>
      <w:hyperlink w:anchor="ref-13">
        <w:r>
          <w:rPr>
            <w:rStyle w:val="Hyperlink"/>
          </w:rPr>
          <w:t xml:space="preserve">[13]</w:t>
        </w:r>
      </w:hyperlink>
      <w:r>
        <w:t xml:space="preserve">.</w:t>
      </w:r>
    </w:p>
    <w:bookmarkEnd w:id="126"/>
    <w:bookmarkStart w:id="127" w:name="X37bd9fb0507134dc9363fffc96f0f58091941ca"/>
    <w:p>
      <w:pPr>
        <w:pStyle w:val="Heading2"/>
        <w:spacing w:line="480" w:lineRule="auto"/>
      </w:pPr>
      <w:r>
        <w:t xml:space="preserve">Alternative explanations for the venue result</w:t>
      </w:r>
    </w:p>
    <w:p>
      <w:pPr>
        <w:pStyle w:val="FirstParagraph"/>
        <w:spacing w:line="480" w:lineRule="auto"/>
      </w:pPr>
      <w:r>
        <w:t xml:space="preserve">Good practice requires taking the strongest rival account of the headline finding seriously, and the headline finding here is the large negative venue coefficient. That doubt is removed. The salience reading is that debris-economics attention concentrates in technical venues because that is where the risk is first measured. A rival reading is purely mechanical: the signal score is built from term hits, technical proceedings use the operational debris vocabulary densely, and synthesis sources discuss the same risk in broad economic language that the term-hit construction does not reward. Under this rival account the venue coefficient measures a vocabulary artifact, not a genuine difference in attention</w:t>
      </w:r>
      <w:r>
        <w:t xml:space="preserve"> </w:t>
      </w:r>
      <w:hyperlink w:anchor="ref-16">
        <w:r>
          <w:rPr>
            <w:rStyle w:val="Hyperlink"/>
          </w:rPr>
          <w:t xml:space="preserve">[16]</w:t>
        </w:r>
      </w:hyperlink>
      <w:r>
        <w:t xml:space="preserve">.</w:t>
      </w:r>
    </w:p>
    <w:p>
      <w:pPr>
        <w:pStyle w:val="BodyText"/>
        <w:spacing w:line="480" w:lineRule="auto"/>
        <w:ind w:firstLine="720"/>
      </w:pPr>
      <w:r>
        <w:t xml:space="preserve">Both accounts are not mutually exclusive, and the design cannot fully separate them, which is stated plainly rather than glossed. The anchor is precise. What can be said is that the rival account, if true, is itself a finding worth having, because it means the field’s synthesis and policy literature talks about orbital risk in language that is lexically disconnected from the technical literature that measures it. A translation gap in vocabulary is a real barrier to the risk being priced or governed, so even the deflationary reading of the venue coefficient supports the broader thesis that the signal has not yet diffused cleanly across communities</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design does not need to win the argument between the two accounts to draw that conclusion.</w:t>
      </w:r>
    </w:p>
    <w:p>
      <w:pPr>
        <w:pStyle w:val="BodyText"/>
        <w:spacing w:line="480" w:lineRule="auto"/>
        <w:ind w:firstLine="720"/>
      </w:pPr>
      <w:r>
        <w:t xml:space="preserve">A second alternative concerns the recency result. The salience reading is that the field is intensifying its attention over time. A rival reading is compositional: the pack contains more recent journal and synthesis sources than old ones, and if those recent sources differ systematically in indexing quality, recency could be picking up an indexing trend rather than an attention trend. The multiple-regression control for venue absorbs part of this, since venue and indexing quality are correlated, but not all of it. The recency finding is therefore held as robust in direction but modest in the strength of its causal reading, consistent with the identification limits set out earlier</w:t>
      </w:r>
      <w:r>
        <w:t xml:space="preserve"> </w:t>
      </w:r>
      <w:hyperlink w:anchor="ref-3">
        <w:r>
          <w:rPr>
            <w:rStyle w:val="Hyperlink"/>
          </w:rPr>
          <w:t xml:space="preserve">[3]</w:t>
        </w:r>
      </w:hyperlink>
      <w:r>
        <w:t xml:space="preserve"> </w:t>
      </w:r>
      <w:hyperlink w:anchor="ref-15">
        <w:r>
          <w:rPr>
            <w:rStyle w:val="Hyperlink"/>
          </w:rPr>
          <w:t xml:space="preserve">[15]</w:t>
        </w:r>
      </w:hyperlink>
      <w:r>
        <w:t xml:space="preserve">.</w:t>
      </w:r>
    </w:p>
    <w:bookmarkEnd w:id="127"/>
    <w:bookmarkStart w:id="128" w:name="the-generalizability-question-in-full"/>
    <w:p>
      <w:pPr>
        <w:pStyle w:val="Heading2"/>
        <w:spacing w:line="480" w:lineRule="auto"/>
      </w:pPr>
      <w:r>
        <w:t xml:space="preserve">The generalizability question in full</w:t>
      </w:r>
    </w:p>
    <w:p>
      <w:pPr>
        <w:pStyle w:val="FirstParagraph"/>
        <w:spacing w:line="480" w:lineRule="auto"/>
      </w:pPr>
      <w:r>
        <w:t xml:space="preserve">The single largest limit on this study’s reach is that its associations describe an assembled pack rather than a random sample, and that limit deserves more than a one-line acknowledgment. This model diagnoses. Generalization from a retrieved corpus to a field requires an assumption that the retrieval did not itself impose the structure the models detect. That assumption is not verifiable from inside the pack; it can only be probed by rebuilding the pack under different retrieval choices and checking whether the recency and venue results survive</w:t>
      </w:r>
      <w:r>
        <w:t xml:space="preserve"> </w:t>
      </w:r>
      <w:hyperlink w:anchor="ref-4">
        <w:r>
          <w:rPr>
            <w:rStyle w:val="Hyperlink"/>
          </w:rPr>
          <w:t xml:space="preserve">[4]</w:t>
        </w:r>
      </w:hyperlink>
      <w:r>
        <w:t xml:space="preserve">. The design does not run that check, because a single dissertation cannot, but it makes the check possible by documenting every source, which is the most a bounded study can offer toward generalizability.</w:t>
      </w:r>
    </w:p>
    <w:p>
      <w:pPr>
        <w:pStyle w:val="BodyText"/>
        <w:spacing w:line="480" w:lineRule="auto"/>
        <w:ind w:firstLine="720"/>
      </w:pPr>
      <w:r>
        <w:t xml:space="preserve">There is a narrower sense in which the results do generalize, and it is worth claiming precisely. The pair works together. Within the population of sources that a topical retrieval of this kind would return, the recency and venue associations are plausibly stable, because they reflect real differences between how technical and synthesis communities publish and how a growing field distributes its recent output</w:t>
      </w:r>
      <w:r>
        <w:t xml:space="preserve"> </w:t>
      </w:r>
      <w:hyperlink w:anchor="ref-13">
        <w:r>
          <w:rPr>
            <w:rStyle w:val="Hyperlink"/>
          </w:rPr>
          <w:t xml:space="preserve">[13]</w:t>
        </w:r>
      </w:hyperlink>
      <w:r>
        <w:t xml:space="preserve">. What does not generalize is any claim about the full space-economy literature or about the market itself. The safe reach of the finding is the assembled corpus and corpora like it, and the concluding chapter’s call for a defined sampling frame is the direct remedy for wanting more reach than that</w:t>
      </w:r>
      <w:r>
        <w:t xml:space="preserve"> </w:t>
      </w:r>
      <w:hyperlink w:anchor="ref-15">
        <w:r>
          <w:rPr>
            <w:rStyle w:val="Hyperlink"/>
          </w:rPr>
          <w:t xml:space="preserve">[15]</w:t>
        </w:r>
      </w:hyperlink>
      <w:r>
        <w:t xml:space="preserve">.</w:t>
      </w:r>
    </w:p>
    <w:bookmarkEnd w:id="128"/>
    <w:bookmarkStart w:id="129" w:name="the-role-of-the-outlier"/>
    <w:p>
      <w:pPr>
        <w:pStyle w:val="Heading2"/>
        <w:spacing w:line="480" w:lineRule="auto"/>
      </w:pPr>
      <w:r>
        <w:t xml:space="preserve">The role of the outlier</w:t>
      </w:r>
    </w:p>
    <w:p>
      <w:pPr>
        <w:pStyle w:val="FirstParagraph"/>
        <w:spacing w:line="480" w:lineRule="auto"/>
      </w:pPr>
      <w:r>
        <w:t xml:space="preserve">One record does enough work in this analysis to merit its own discussion. That worry dissolves. The 2018 geostationary collision-likelihood paper carries fifty-one citations, more than the rest of the pack combined in some framings</w:t>
      </w:r>
      <w:r>
        <w:t xml:space="preserve"> </w:t>
      </w:r>
      <w:hyperlink w:anchor="ref-15">
        <w:r>
          <w:rPr>
            <w:rStyle w:val="Hyperlink"/>
          </w:rPr>
          <w:t xml:space="preserve">[15]</w:t>
        </w:r>
      </w:hyperlink>
      <w:r>
        <w:t xml:space="preserve">, and it sits at the older end of the age distribution. In the learning-curve model this single point is the main thing pulling the elasticity negative, because it is old and highly cited while most old sources in the pack are conference papers with zero recorded citations. Remove it and the already-flat curve would shift again, which is precisely the fragility a thirty-row log-log fit is prone to.</w:t>
      </w:r>
    </w:p>
    <w:p>
      <w:pPr>
        <w:pStyle w:val="BodyText"/>
        <w:spacing w:line="480" w:lineRule="auto"/>
        <w:ind w:firstLine="720"/>
      </w:pPr>
      <w:r>
        <w:t xml:space="preserve">The design’s response is to keep the point and report the fragility rather than to trim for a cleaner number. The point is narrow. That choice reflects a principle: the corpus is what it is, and a real field does contain a few anchor works that dominate citation counts. Trimming the anchor would produce a tidier estimate of a corpus that does not exist. The honest statement is that the learning-curve result is not robust to the removal of a single influential observation, that this non-robustness is a direct consequence of sample size and citation skew, and that only a larger pack can resolve it</w:t>
      </w:r>
      <w:r>
        <w:t xml:space="preserve"> </w:t>
      </w:r>
      <w:hyperlink w:anchor="ref-9">
        <w:r>
          <w:rPr>
            <w:rStyle w:val="Hyperlink"/>
          </w:rPr>
          <w:t xml:space="preserve">[9]</w:t>
        </w:r>
      </w:hyperlink>
      <w:r>
        <w:t xml:space="preserve">. Reporting that openly is more valuable than a trimmed elasticity that would invite false confidence.</w:t>
      </w:r>
    </w:p>
    <w:bookmarkEnd w:id="129"/>
    <w:bookmarkStart w:id="130" w:name="holding-the-result-at-the-right-size"/>
    <w:p>
      <w:pPr>
        <w:pStyle w:val="Heading2"/>
        <w:spacing w:line="480" w:lineRule="auto"/>
      </w:pPr>
      <w:r>
        <w:t xml:space="preserve">Holding the result at the right size</w:t>
      </w:r>
    </w:p>
    <w:bookmarkEnd w:id="130"/>
    <w:bookmarkStart w:id="131" w:name="X062412af9473235416dc19e0b2924eb34c86579"/>
    <w:p>
      <w:pPr>
        <w:pStyle w:val="Heading2"/>
        <w:spacing w:line="480" w:lineRule="auto"/>
      </w:pPr>
      <w:r>
        <w:t xml:space="preserve">Implications for how the risk might actually be priced</w:t>
      </w:r>
    </w:p>
    <w:p>
      <w:pPr>
        <w:pStyle w:val="FirstParagraph"/>
        <w:spacing w:line="480" w:lineRule="auto"/>
      </w:pPr>
      <w:r>
        <w:t xml:space="preserve">Reading past the coefficients toward the motivating question, the findings sketch a tentative picture of how orbital risk would move toward being priced, if it does. That distinction matters. The technical-proceedings community measures the hazard first and most densely, which is where an underwriter or a risk modeler would go for the raw physical inputs to a premium</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intensification of attention with recency suggests those inputs are becoming richer and more current over time, which is the direction a maturing risk market needs</w:t>
      </w:r>
      <w:r>
        <w:t xml:space="preserve"> </w:t>
      </w:r>
      <w:hyperlink w:anchor="ref-3">
        <w:r>
          <w:rPr>
            <w:rStyle w:val="Hyperlink"/>
          </w:rPr>
          <w:t xml:space="preserve">[3]</w:t>
        </w:r>
      </w:hyperlink>
      <w:r>
        <w:t xml:space="preserve">. If a price is forming ahead of a mandate, this is the plausible mechanism: technical measurement accumulates, the economic literature quantifies stakes</w:t>
      </w:r>
      <w:r>
        <w:t xml:space="preserve"> </w:t>
      </w:r>
      <w:hyperlink w:anchor="ref-9">
        <w:r>
          <w:rPr>
            <w:rStyle w:val="Hyperlink"/>
          </w:rPr>
          <w:t xml:space="preserve">[9]</w:t>
        </w:r>
      </w:hyperlink>
      <w:r>
        <w:t xml:space="preserve">, and eventually an underwriter has enough to price against.</w:t>
      </w:r>
    </w:p>
    <w:p>
      <w:pPr>
        <w:pStyle w:val="BodyText"/>
        <w:spacing w:line="480" w:lineRule="auto"/>
        <w:ind w:firstLine="720"/>
      </w:pPr>
      <w:r>
        <w:t xml:space="preserve">The cautionary half of the picture is the venue gap. Consider the scale. If the signal remains concentrated in technical venues and thin in synthesis and policy outlets, then the translation from measurement to institutional pricing is incomplete, and the parts of the ecosystem that would formalize a price or a rule may be lagging the parts that measure the hazard</w:t>
      </w:r>
      <w:r>
        <w:t xml:space="preserve"> </w:t>
      </w:r>
      <w:hyperlink w:anchor="ref-13">
        <w:r>
          <w:rPr>
            <w:rStyle w:val="Hyperlink"/>
          </w:rPr>
          <w:t xml:space="preserve">[13]</w:t>
        </w:r>
      </w:hyperlink>
      <w:r>
        <w:t xml:space="preserve"> </w:t>
      </w:r>
      <w:hyperlink w:anchor="ref-16">
        <w:r>
          <w:rPr>
            <w:rStyle w:val="Hyperlink"/>
          </w:rPr>
          <w:t xml:space="preserve">[16]</w:t>
        </w:r>
      </w:hyperlink>
      <w:r>
        <w:t xml:space="preserve">. That lag is consistent with the fifteen-year gap between the pay-now-or-pay-more-later argument and any decisive remediation spending</w:t>
      </w:r>
      <w:r>
        <w:t xml:space="preserve"> </w:t>
      </w:r>
      <w:hyperlink w:anchor="ref-2">
        <w:r>
          <w:rPr>
            <w:rStyle w:val="Hyperlink"/>
          </w:rPr>
          <w:t xml:space="preserve">[2]</w:t>
        </w:r>
      </w:hyperlink>
      <w:r>
        <w:t xml:space="preserve">. The findings do not prove the lag exists in the market, but they show a lag in the literature that would be surprising if the market had already closed it.</w:t>
      </w:r>
    </w:p>
    <w:p>
      <w:pPr>
        <w:pStyle w:val="BodyText"/>
        <w:spacing w:line="480" w:lineRule="auto"/>
        <w:ind w:firstLine="720"/>
      </w:pPr>
      <w:r>
        <w:t xml:space="preserve">The disciplined conclusion is a small, defended claim. Attention to orbital risk in this retrieved corpus is structured, rises with recency, and concentrates in technical venues, while citation attention adds no separable signal and does not scale cleanly with age. That claim is supported by the exact estimator output and bounded by five named threats and three hard limits. It gestures toward the mirror thesis without proving it, and it says so</w:t>
      </w:r>
      <w:r>
        <w:t xml:space="preserve"> </w:t>
      </w:r>
      <w:hyperlink w:anchor="ref-13">
        <w:r>
          <w:rPr>
            <w:rStyle w:val="Hyperlink"/>
          </w:rPr>
          <w:t xml:space="preserve">[13]</w:t>
        </w:r>
      </w:hyperlink>
      <w:r>
        <w:t xml:space="preserve">. The next chapter takes this appropriately sized result and asks what it contributes, whom it might help, and what the successor study would have to do to convert a documentary screen into a genuine test of whether the money moves before the mandate.</w:t>
      </w:r>
    </w:p>
    <w:bookmarkEnd w:id="131"/>
    <w:bookmarkEnd w:id="132"/>
    <w:bookmarkStart w:id="171"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convert a large and slippery question into a small and checkable one. The evidence is bounded. The large question is whether the private machinery of insurance and scholarly attention registers orbital-debris risk before the public machinery of regulation forces operators to internalize it. The small question, the one the design actually answers, is whether attention to that risk is structured across recency, citation, and venue in a retrieved research corpus. This closing chapter states what was found, what it contributes, whom it might serve, and what a serious successor study would have to build to close the gap between the small answer and the large question. The distance between those two questions is the whole discipline of the project, and keeping the small answer from being dressed up as the large one is the last obligation this chapter carries</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Start w:id="133" w:name="what-was-established"/>
    <w:p>
      <w:pPr>
        <w:pStyle w:val="Heading2"/>
        <w:spacing w:line="480" w:lineRule="auto"/>
      </w:pPr>
      <w:r>
        <w:t xml:space="preserve">What was established</w:t>
      </w:r>
    </w:p>
    <w:p>
      <w:pPr>
        <w:pStyle w:val="FirstParagraph"/>
        <w:spacing w:line="480" w:lineRule="auto"/>
      </w:pPr>
      <w:r>
        <w:t xml:space="preserve">Three findings survive the analysis, and they should be stated in the order of their strength. Attention to orbital-debris and space-economy risk rises with recency, and that relationship is statistically significant. Attention concentrates in the technical-proceedings venue family and thins toward synthesis and policy venues, and that relationship is strong and highly significant. Citation attention, by contrast, adds no separable information in the cross-section and does not scale measurably with article age, so in this corpus it is not a usable salience signal.</w:t>
      </w:r>
    </w:p>
    <w:p>
      <w:pPr>
        <w:pStyle w:val="BodyText"/>
        <w:spacing w:line="480" w:lineRule="auto"/>
        <w:ind w:firstLine="720"/>
      </w:pPr>
      <w:r>
        <w:t xml:space="preserve">A first model rejected its joint null with an F-test p-value near 0.012 and explained roughly a third of the variance in the topic signal, carried by recency and venue. Precision here is deliberate. The second model failed to reject its null, returning a near-flat learning curve whose elasticity was statistically indistinguishable from zero. Read together, the two models say the topic signal has real structure, that the structure lives in when and where a source was published rather than in how often it was cited, and that the pack’s citation attention is an outlier-driven measure rather than a reliable one</w:t>
      </w:r>
      <w:r>
        <w:t xml:space="preserve"> </w:t>
      </w:r>
      <w:hyperlink w:anchor="ref-15">
        <w:r>
          <w:rPr>
            <w:rStyle w:val="Hyperlink"/>
          </w:rPr>
          <w:t xml:space="preserve">[15]</w:t>
        </w:r>
      </w:hyperlink>
      <w:r>
        <w:t xml:space="preserve"> </w:t>
      </w:r>
      <w:hyperlink w:anchor="ref-9">
        <w:r>
          <w:rPr>
            <w:rStyle w:val="Hyperlink"/>
          </w:rPr>
          <w:t xml:space="preserve">[9]</w:t>
        </w:r>
      </w:hyperlink>
      <w:r>
        <w:t xml:space="preserve">. That is the whole of what the evidence supports, and the dissertation claims nothing beyond it.</w:t>
      </w:r>
    </w:p>
    <w:bookmarkEnd w:id="133"/>
    <w:bookmarkStart w:id="134" w:name="revisiting-the-hypotheses"/>
    <w:p>
      <w:pPr>
        <w:pStyle w:val="Heading2"/>
        <w:spacing w:line="480" w:lineRule="auto"/>
      </w:pPr>
      <w:r>
        <w:t xml:space="preserve">Revisiting the hypotheses</w:t>
      </w:r>
    </w:p>
    <w:p>
      <w:pPr>
        <w:pStyle w:val="FirstParagraph"/>
        <w:spacing w:line="480" w:lineRule="auto"/>
      </w:pPr>
      <w:r>
        <w:t xml:space="preserve">It clarifies the contribution to return to the four hypotheses and state their fate plainly. The first model’s null, that topic signal is unrelated to recency, citation attention, and venue, was rejected by a joint F-test</w:t>
      </w:r>
      <w:r>
        <w:t xml:space="preserve"> </w:t>
      </w:r>
      <w:hyperlink w:anchor="ref-3">
        <w:r>
          <w:rPr>
            <w:rStyle w:val="Hyperlink"/>
          </w:rPr>
          <w:t xml:space="preserve">[3]</w:t>
        </w:r>
      </w:hyperlink>
      <w:r>
        <w:t xml:space="preserve">. Its directional alternative, that signal rises with recency, was supported by a positive and significant recency coefficient. The venue relationship, left two-sided by design, resolved to a strong negative coefficient placing the highest signal in the technical family</w:t>
      </w:r>
      <w:r>
        <w:t xml:space="preserve"> </w:t>
      </w:r>
      <w:hyperlink w:anchor="ref-4">
        <w:r>
          <w:rPr>
            <w:rStyle w:val="Hyperlink"/>
          </w:rPr>
          <w:t xml:space="preserve">[4]</w:t>
        </w:r>
      </w:hyperlink>
      <w:r>
        <w:t xml:space="preserve">. The citation term contributed nothing separable, which the design had flagged as a live possibility rather than a surprise.</w:t>
      </w:r>
    </w:p>
    <w:p>
      <w:pPr>
        <w:pStyle w:val="BodyText"/>
        <w:spacing w:line="480" w:lineRule="auto"/>
        <w:ind w:firstLine="720"/>
      </w:pPr>
      <w:r>
        <w:t xml:space="preserve">The second model’s null, that citation accumulation is unrelated to article age, was not rejected</w:t>
      </w:r>
      <w:r>
        <w:t xml:space="preserve"> </w:t>
      </w:r>
      <w:hyperlink w:anchor="ref-9">
        <w:r>
          <w:rPr>
            <w:rStyle w:val="Hyperlink"/>
          </w:rPr>
          <w:t xml:space="preserve">[9]</w:t>
        </w:r>
      </w:hyperlink>
      <w:r>
        <w:t xml:space="preserve">. The reading stays modest. The learning curve came back flat and imprecise, and its two-sided alternative found no support. Reporting these fates directly, without softening the null or inflating the rejection, is the honest close to a design that pre-committed to a meaning for each outcome</w:t>
      </w:r>
      <w:r>
        <w:t xml:space="preserve"> </w:t>
      </w:r>
      <w:hyperlink w:anchor="ref-15">
        <w:r>
          <w:rPr>
            <w:rStyle w:val="Hyperlink"/>
          </w:rPr>
          <w:t xml:space="preserve">[15]</w:t>
        </w:r>
      </w:hyperlink>
      <w:r>
        <w:t xml:space="preserve">. Two hypotheses found support, two did not, and the pattern they form is coherent: signal is organized by when and where a source appeared, not by how often it was cited, and citation attention in this corpus is neither a separable cross-sectional signal nor an age-structured one</w:t>
      </w:r>
      <w:r>
        <w:t xml:space="preserve"> </w:t>
      </w:r>
      <w:hyperlink w:anchor="ref-16">
        <w:r>
          <w:rPr>
            <w:rStyle w:val="Hyperlink"/>
          </w:rPr>
          <w:t xml:space="preserve">[16]</w:t>
        </w:r>
      </w:hyperlink>
      <w:r>
        <w:t xml:space="preserve">.</w:t>
      </w:r>
    </w:p>
    <w:bookmarkEnd w:id="134"/>
    <w:bookmarkStart w:id="135" w:name="the-contribution"/>
    <w:p>
      <w:pPr>
        <w:pStyle w:val="Heading2"/>
        <w:spacing w:line="480" w:lineRule="auto"/>
      </w:pPr>
      <w:r>
        <w:t xml:space="preserve">The contribution</w:t>
      </w:r>
    </w:p>
    <w:p>
      <w:pPr>
        <w:pStyle w:val="FirstParagraph"/>
        <w:spacing w:line="480" w:lineRule="auto"/>
      </w:pPr>
      <w:r>
        <w:t xml:space="preserve">By contribution, the is not a new theory of orbital pricing and does not pretend to be. It is a method demonstration and a datum. The method is a fully auditable documentary screen: a way to take a broad policy intuition about a space-economy risk and produce a falsifiable, reproducible test of whether the risk is even visible in the literature, with every source traceable and every coefficient reconstructable from thirty rows. The space-sustainability field has no shortage of frameworks and proposals; it has a shortage of small refutable tests wired to inspectable data</w:t>
      </w:r>
      <w:r>
        <w:t xml:space="preserve"> </w:t>
      </w:r>
      <w:hyperlink w:anchor="ref-11">
        <w:r>
          <w:rPr>
            <w:rStyle w:val="Hyperlink"/>
          </w:rPr>
          <w:t xml:space="preserve">[11]</w:t>
        </w:r>
      </w:hyperlink>
      <w:r>
        <w:t xml:space="preserve"> </w:t>
      </w:r>
      <w:hyperlink w:anchor="ref-16">
        <w:r>
          <w:rPr>
            <w:rStyle w:val="Hyperlink"/>
          </w:rPr>
          <w:t xml:space="preserve">[16]</w:t>
        </w:r>
      </w:hyperlink>
      <w:r>
        <w:t xml:space="preserve">. This project adds one, and it adds it in a form that a reader can rerun to agree or disagree.</w:t>
      </w:r>
    </w:p>
    <w:p>
      <w:pPr>
        <w:pStyle w:val="BodyText"/>
        <w:spacing w:line="480" w:lineRule="auto"/>
        <w:ind w:firstLine="720"/>
      </w:pPr>
      <w:r>
        <w:t xml:space="preserve">The datum is the structured-attention finding itself. Prior work argued that debris risk raises the intrinsic cost of orbital slots</w:t>
      </w:r>
      <w:r>
        <w:t xml:space="preserve"> </w:t>
      </w:r>
      <w:hyperlink w:anchor="ref-3">
        <w:r>
          <w:rPr>
            <w:rStyle w:val="Hyperlink"/>
          </w:rPr>
          <w:t xml:space="preserve">[3]</w:t>
        </w:r>
      </w:hyperlink>
      <w:r>
        <w:t xml:space="preserve">, that the risk landscape is shifting with the space economy</w:t>
      </w:r>
      <w:r>
        <w:t xml:space="preserve"> </w:t>
      </w:r>
      <w:hyperlink w:anchor="ref-13">
        <w:r>
          <w:rPr>
            <w:rStyle w:val="Hyperlink"/>
          </w:rPr>
          <w:t xml:space="preserve">[13]</w:t>
        </w:r>
      </w:hyperlink>
      <w:r>
        <w:t xml:space="preserve">, and that governance mechanisms lack traction against a commons problem. Those are claims about a field that is supposed to be waking up to a hazard. This dissertation supplies a measured corollary: the waking-up is visible, it intensifies with recency, and it is concentrated in the technical venues where a usable early signal would originate. That corollary was assumed by much of the framework literature and measured by little of it, and measuring it, even in a small pack, is the specific thing this work contributes.</w:t>
      </w:r>
    </w:p>
    <w:p>
      <w:pPr>
        <w:pStyle w:val="BodyText"/>
        <w:spacing w:line="480" w:lineRule="auto"/>
        <w:ind w:firstLine="720"/>
      </w:pPr>
      <w:r>
        <w:t xml:space="preserve">There is also a methodological contribution in the negative results. Nothing here is hidden. Reporting that citation attention carried no separable signal, and that the learning curve was flat, is itself useful to anyone designing a successor study. It tells them that formal citation counts are the wrong instrument for measuring attention in a young, conference-heavy corpus, and that a better design must measure attention some other way</w:t>
      </w:r>
      <w:r>
        <w:t xml:space="preserve"> </w:t>
      </w:r>
      <w:hyperlink w:anchor="ref-2">
        <w:r>
          <w:rPr>
            <w:rStyle w:val="Hyperlink"/>
          </w:rPr>
          <w:t xml:space="preserve">[2]</w:t>
        </w:r>
      </w:hyperlink>
      <w:r>
        <w:t xml:space="preserve">. A field learns as much from a well-documented null as from a positive, provided the null is reported honestly rather than buried, and this dissertation reports it in the open.</w:t>
      </w:r>
    </w:p>
    <w:bookmarkEnd w:id="135"/>
    <w:bookmarkStart w:id="136" w:name="governance-and-program-relevance"/>
    <w:p>
      <w:pPr>
        <w:pStyle w:val="Heading2"/>
        <w:spacing w:line="480" w:lineRule="auto"/>
      </w:pPr>
      <w:r>
        <w:t xml:space="preserve">Governance and program relevance</w:t>
      </w:r>
    </w:p>
    <w:p>
      <w:pPr>
        <w:pStyle w:val="FirstParagraph"/>
        <w:spacing w:line="480" w:lineRule="auto"/>
      </w:pPr>
      <w:r>
        <w:t xml:space="preserve">For governance, the relevant takeaway is directional and cautious. The finding that debris-risk salience concentrates in technical venues and has not yet strongly diffused into synthesis and policy outlets suggests a translation gap between where the risk is seen and where the rule would be written. If policymakers wait for the synthesis literature to catch up before acting, they may act late, because the strongest signal is arriving in venues they are less likely to read</w:t>
      </w:r>
      <w:r>
        <w:t xml:space="preserve"> </w:t>
      </w:r>
      <w:hyperlink w:anchor="ref-4">
        <w:r>
          <w:rPr>
            <w:rStyle w:val="Hyperlink"/>
          </w:rPr>
          <w:t xml:space="preserve">[4]</w:t>
        </w:r>
      </w:hyperlink>
      <w:r>
        <w:t xml:space="preserve"> </w:t>
      </w:r>
      <w:hyperlink w:anchor="ref-7">
        <w:r>
          <w:rPr>
            <w:rStyle w:val="Hyperlink"/>
          </w:rPr>
          <w:t xml:space="preserve">[7]</w:t>
        </w:r>
      </w:hyperlink>
      <w:r>
        <w:t xml:space="preserve">. A modest program implication follows: institutions concerned with orbital sustainability could monitor the technical-proceedings literature directly as an early indicator, rather than waiting for the slower synthesis layer to register a hazard the sensors community is already tracking.</w:t>
      </w:r>
    </w:p>
    <w:p>
      <w:pPr>
        <w:pStyle w:val="BodyText"/>
        <w:spacing w:line="480" w:lineRule="auto"/>
        <w:ind w:firstLine="720"/>
      </w:pPr>
      <w:r>
        <w:t xml:space="preserve">For the pricing question that names the dissertation, the honest relevance is that the study establishes a precondition rather than a conclusion. The pack is small. A premium can only price a risk the market sees, and the study shows the risk is becoming visible in the places pricing signals originate. Whether that visibility has translated into premiums that move ahead of mandates is a further question this design does not answer. What it does is clear the ground for that question by showing the upstream salience is real and structured, which is the thing a pricing study would otherwise have to assume</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For program managers and analysts working the space-economy portfolio, the practical value is the method template. The screen developed here can be pointed at any candidate risk, debris, spectrum congestion, cislunar traffic, and asked the same falsifiable question: is this risk structured in the literature yet, and if so where. That is a cheap, reproducible first pass that can tell a portfolio which risks have crossed from anecdote into measurable scholarly attention, before anyone commits to an expensive direct-coding study</w:t>
      </w:r>
      <w:r>
        <w:t xml:space="preserve"> </w:t>
      </w:r>
      <w:hyperlink w:anchor="ref-12">
        <w:r>
          <w:rPr>
            <w:rStyle w:val="Hyperlink"/>
          </w:rPr>
          <w:t xml:space="preserve">[12]</w:t>
        </w:r>
      </w:hyperlink>
      <w:r>
        <w:t xml:space="preserve">.</w:t>
      </w:r>
    </w:p>
    <w:bookmarkEnd w:id="136"/>
    <w:bookmarkStart w:id="137" w:name="future-work"/>
    <w:p>
      <w:pPr>
        <w:pStyle w:val="Heading2"/>
        <w:spacing w:line="480" w:lineRule="auto"/>
      </w:pPr>
      <w:r>
        <w:t xml:space="preserve">Future work</w:t>
      </w:r>
    </w:p>
    <w:p>
      <w:pPr>
        <w:pStyle w:val="FirstParagraph"/>
        <w:spacing w:line="480" w:lineRule="auto"/>
      </w:pPr>
      <w:r>
        <w:t xml:space="preserve">The clearest successor study replaces the lexical signal score with hand-coded substantive relevance. A trained coder reading each source and rating how directly it addresses debris-risk pricing would remove the vocabulary-overlap weakness that the deterministic term-hit score carries, and would let the recency and venue findings be retested against a cleaner outcome</w:t>
      </w:r>
      <w:r>
        <w:t xml:space="preserve"> </w:t>
      </w:r>
      <w:hyperlink w:anchor="ref-16">
        <w:r>
          <w:rPr>
            <w:rStyle w:val="Hyperlink"/>
          </w:rPr>
          <w:t xml:space="preserve">[16]</w:t>
        </w:r>
      </w:hyperlink>
      <w:r>
        <w:t xml:space="preserve">. That is the single highest-value next step, because it attacks the most important measurement threat directly.</w:t>
      </w:r>
    </w:p>
    <w:p>
      <w:pPr>
        <w:pStyle w:val="BodyText"/>
        <w:spacing w:line="480" w:lineRule="auto"/>
        <w:ind w:firstLine="720"/>
      </w:pPr>
      <w:r>
        <w:t xml:space="preserve">The second successor study expands the pack from thirty to several hundred sources drawn from a defined universe rather than a topical retrieval. Size buys narrower standard errors and dilutes the leverage of citation outliers like the 2018 collision-likelihood paper</w:t>
      </w:r>
      <w:r>
        <w:t xml:space="preserve"> </w:t>
      </w:r>
      <w:hyperlink w:anchor="ref-15">
        <w:r>
          <w:rPr>
            <w:rStyle w:val="Hyperlink"/>
          </w:rPr>
          <w:t xml:space="preserve">[15]</w:t>
        </w:r>
      </w:hyperlink>
      <w:r>
        <w:t xml:space="preserve">, and a defined sampling frame converts pack-specific associations into estimates that generalize. With a larger frame the learning-curve model would also get a fairer test, because a flat curve over thirty rows and a flat curve over three hundred are very different pieces of evidence.</w:t>
      </w:r>
    </w:p>
    <w:p>
      <w:pPr>
        <w:pStyle w:val="BodyText"/>
        <w:spacing w:line="480" w:lineRule="auto"/>
        <w:ind w:firstLine="720"/>
      </w:pPr>
      <w:r>
        <w:t xml:space="preserve">The most ambitious successor study is the one the title actually demands: assemble a dated series of space-insurance premiums and a dated series of orbital-governance rule-making events, align them on a common clock, and test directly whether the premium signal leads the regulatory one. That study needs data this design never had and a candidate cannot easily obtain, and naming it as future work is the honest way to acknowledge the distance between what was measured and what was asked</w:t>
      </w:r>
      <w:r>
        <w:t xml:space="preserve"> </w:t>
      </w:r>
      <w:hyperlink w:anchor="ref-5">
        <w:r>
          <w:rPr>
            <w:rStyle w:val="Hyperlink"/>
          </w:rPr>
          <w:t xml:space="preserve">[5]</w:t>
        </w:r>
      </w:hyperlink>
      <w:r>
        <w:t xml:space="preserve"> </w:t>
      </w:r>
      <w:hyperlink w:anchor="ref-11">
        <w:r>
          <w:rPr>
            <w:rStyle w:val="Hyperlink"/>
          </w:rPr>
          <w:t xml:space="preserve">[11]</w:t>
        </w:r>
      </w:hyperlink>
      <w:r>
        <w:t xml:space="preserve">. The present dissertation does not close that distance. It measures the upstream salience carefully, reports it exactly, respects its limits, and hands the next researcher a documented, reproducible starting point from which the harder question can finally be attempted.</w:t>
      </w:r>
    </w:p>
    <w:bookmarkEnd w:id="137"/>
    <w:bookmarkStart w:id="138" w:name="X3cbd34e8a761267a3c97798ab8a09d50751759d"/>
    <w:p>
      <w:pPr>
        <w:pStyle w:val="Heading2"/>
        <w:spacing w:line="480" w:lineRule="auto"/>
      </w:pPr>
      <w:r>
        <w:t xml:space="preserve">Situating the contribution in the wider field</w:t>
      </w:r>
    </w:p>
    <w:p>
      <w:pPr>
        <w:pStyle w:val="FirstParagraph"/>
        <w:spacing w:line="480" w:lineRule="auto"/>
      </w:pPr>
      <w:r>
        <w:t xml:space="preserve">It helps to place this small result inside the trajectory the field is on, because the contribution reads differently depending on where the reader stands. That limit is real. For a scholar of space economics, the value is a measured intermediate step in an argument the literature usually skips. The standard move runs from a real physical hazard</w:t>
      </w:r>
      <w:r>
        <w:t xml:space="preserve"> </w:t>
      </w:r>
      <w:hyperlink w:anchor="ref-15">
        <w:r>
          <w:rPr>
            <w:rStyle w:val="Hyperlink"/>
          </w:rPr>
          <w:t xml:space="preserve">[15]</w:t>
        </w:r>
      </w:hyperlink>
      <w:r>
        <w:t xml:space="preserve"> </w:t>
      </w:r>
      <w:r>
        <w:t xml:space="preserve">to a confident governance prescription</w:t>
      </w:r>
      <w:r>
        <w:t xml:space="preserve"> </w:t>
      </w:r>
      <w:hyperlink w:anchor="ref-11">
        <w:r>
          <w:rPr>
            <w:rStyle w:val="Hyperlink"/>
          </w:rPr>
          <w:t xml:space="preserve">[11]</w:t>
        </w:r>
      </w:hyperlink>
      <w:r>
        <w:t xml:space="preserve">, and the intermediate question of whether attention to the hazard is structured yet is assumed rather than tested. This dissertation supplies the tested version of that intermediate step, and in doing so it models a habit the field could use more of: measure the salience before prescribing the cure.</w:t>
      </w:r>
    </w:p>
    <w:p>
      <w:pPr>
        <w:pStyle w:val="BodyText"/>
        <w:spacing w:line="480" w:lineRule="auto"/>
        <w:ind w:firstLine="720"/>
      </w:pPr>
      <w:r>
        <w:t xml:space="preserve">For a scholar of risk and insurance, the contribution is a demonstration that the upstream conditions for a functioning orbital risk market are partly in place. The hazard is quantified</w:t>
      </w:r>
      <w:r>
        <w:t xml:space="preserve"> </w:t>
      </w:r>
      <w:hyperlink w:anchor="ref-15">
        <w:r>
          <w:rPr>
            <w:rStyle w:val="Hyperlink"/>
          </w:rPr>
          <w:t xml:space="preserve">[15]</w:t>
        </w:r>
      </w:hyperlink>
      <w:r>
        <w:t xml:space="preserve">, its economic stakes are quantified for adjacent activities</w:t>
      </w:r>
      <w:r>
        <w:t xml:space="preserve"> </w:t>
      </w:r>
      <w:hyperlink w:anchor="ref-9">
        <w:r>
          <w:rPr>
            <w:rStyle w:val="Hyperlink"/>
          </w:rPr>
          <w:t xml:space="preserve">[9]</w:t>
        </w:r>
      </w:hyperlink>
      <w:r>
        <w:t xml:space="preserve">, and the surrounding literature is intensifying its attention with recency. Those are the ingredients an underwriter needs to form a price. What remains unmeasured, and what this study explicitly hands to future work, is whether the price actually forms ahead of the rule. The contribution is to close the gap between assuming the upstream conditions and showing them</w:t>
      </w:r>
      <w:r>
        <w:t xml:space="preserve"> </w:t>
      </w:r>
      <w:hyperlink w:anchor="ref-13">
        <w:r>
          <w:rPr>
            <w:rStyle w:val="Hyperlink"/>
          </w:rPr>
          <w:t xml:space="preserve">[13]</w:t>
        </w:r>
      </w:hyperlink>
      <w:r>
        <w:t xml:space="preserve">.</w:t>
      </w:r>
    </w:p>
    <w:p>
      <w:pPr>
        <w:pStyle w:val="BodyText"/>
        <w:spacing w:line="480" w:lineRule="auto"/>
        <w:ind w:firstLine="720"/>
      </w:pPr>
      <w:r>
        <w:t xml:space="preserve">For the practitioner community, the reusable asset is the screen itself. The number speaks plainly. It is cheap, fast, fully auditable, and pointable at any candidate risk in the space-economy portfolio. Before an institution commits to an expensive hand-coding study of whether some emerging hazard is being taken seriously, it can run this screen and learn whether the hazard has crossed from anecdote into structured scholarly attention, and where that attention lives</w:t>
      </w:r>
      <w:r>
        <w:t xml:space="preserve"> </w:t>
      </w:r>
      <w:hyperlink w:anchor="ref-12">
        <w:r>
          <w:rPr>
            <w:rStyle w:val="Hyperlink"/>
          </w:rPr>
          <w:t xml:space="preserve">[12]</w:t>
        </w:r>
      </w:hyperlink>
      <w:r>
        <w:t xml:space="preserve">. That practical reusability is a contribution independent of the specific debris result, and it may prove the more durable one.</w:t>
      </w:r>
    </w:p>
    <w:bookmarkEnd w:id="138"/>
    <w:bookmarkStart w:id="139" w:name="Xc2098d9b4bccdeae0c3780e7678216b31caa369"/>
    <w:p>
      <w:pPr>
        <w:pStyle w:val="Heading2"/>
        <w:spacing w:line="480" w:lineRule="auto"/>
      </w:pPr>
      <w:r>
        <w:t xml:space="preserve">What a decision-maker should take from this</w:t>
      </w:r>
    </w:p>
    <w:p>
      <w:pPr>
        <w:pStyle w:val="FirstParagraph"/>
        <w:spacing w:line="480" w:lineRule="auto"/>
      </w:pPr>
      <w:r>
        <w:t xml:space="preserve">Stripped to its most usable form, the finding gives a decision-maker one calibrated input. Orbital-debris risk has crossed from anecdote into structured, measurable scholarly attention, that attention is intensifying with recency, and it is concentrated in the technical venues where a usable early signal originates</w:t>
      </w:r>
      <w:r>
        <w:t xml:space="preserve"> </w:t>
      </w:r>
      <w:hyperlink w:anchor="ref-3">
        <w:r>
          <w:rPr>
            <w:rStyle w:val="Hyperlink"/>
          </w:rPr>
          <w:t xml:space="preserve">[3]</w:t>
        </w:r>
      </w:hyperlink>
      <w:r>
        <w:t xml:space="preserve"> </w:t>
      </w:r>
      <w:hyperlink w:anchor="ref-4">
        <w:r>
          <w:rPr>
            <w:rStyle w:val="Hyperlink"/>
          </w:rPr>
          <w:t xml:space="preserve">[4]</w:t>
        </w:r>
      </w:hyperlink>
      <w:r>
        <w:t xml:space="preserve">. A decision-maker weighing whether to lean on private risk signals or to reach for a public rule now has a small piece of evidence that the upstream conditions for a private signal are partly present, though not yet fully diffused into the synthesis and policy layer.</w:t>
      </w:r>
    </w:p>
    <w:p>
      <w:pPr>
        <w:pStyle w:val="BodyText"/>
        <w:spacing w:line="480" w:lineRule="auto"/>
        <w:ind w:firstLine="720"/>
      </w:pPr>
      <w:r>
        <w:t xml:space="preserve">The correct use of that input is as a prior, not a proof. This is a screen. It should raise a decision-maker’s confidence that the risk is being seen, and it should temper any assumption that seeing has already become pricing, because the venue gap suggests the translation is incomplete</w:t>
      </w:r>
      <w:r>
        <w:t xml:space="preserve"> </w:t>
      </w:r>
      <w:hyperlink w:anchor="ref-13">
        <w:r>
          <w:rPr>
            <w:rStyle w:val="Hyperlink"/>
          </w:rPr>
          <w:t xml:space="preserve">[13]</w:t>
        </w:r>
      </w:hyperlink>
      <w:r>
        <w:t xml:space="preserve">. Paired with the long-standing pay-now-or-pay-more-later argument that removal spending keeps losing to short discounting</w:t>
      </w:r>
      <w:r>
        <w:t xml:space="preserve"> </w:t>
      </w:r>
      <w:hyperlink w:anchor="ref-2">
        <w:r>
          <w:rPr>
            <w:rStyle w:val="Hyperlink"/>
          </w:rPr>
          <w:t xml:space="preserve">[2]</w:t>
        </w:r>
      </w:hyperlink>
      <w:r>
        <w:t xml:space="preserve">, the finding supports a posture of active monitoring of the technical literature as an early indicator rather than passive waiting for the synthesis layer to sound an alarm. That is a modest, actionable takeaway, and it is exactly the size of takeaway a bounded study should offer</w:t>
      </w:r>
      <w:r>
        <w:t xml:space="preserve"> </w:t>
      </w:r>
      <w:hyperlink w:anchor="ref-12">
        <w:r>
          <w:rPr>
            <w:rStyle w:val="Hyperlink"/>
          </w:rPr>
          <w:t xml:space="preserve">[12]</w:t>
        </w:r>
      </w:hyperlink>
      <w:r>
        <w:t xml:space="preserve">.</w:t>
      </w:r>
    </w:p>
    <w:bookmarkEnd w:id="139"/>
    <w:bookmarkStart w:id="140" w:name="a-note-on-reproducibility-as-method"/>
    <w:p>
      <w:pPr>
        <w:pStyle w:val="Heading2"/>
        <w:spacing w:line="480" w:lineRule="auto"/>
      </w:pPr>
      <w:r>
        <w:t xml:space="preserve">A note on reproducibility as method</w:t>
      </w:r>
    </w:p>
    <w:p>
      <w:pPr>
        <w:pStyle w:val="FirstParagraph"/>
        <w:spacing w:line="480" w:lineRule="auto"/>
      </w:pPr>
      <w:r>
        <w:t xml:space="preserve">The methodological stance of this dissertation deserves a final defense, because it is unusual enough to be mistaken for timidity. The claim holds. The refusal to overclaim, the insistence on reporting nulls, and the preservation of every source identifier are not modesty for its own sake. They are a bet that in a field prone to framework inflation, a small reproducible claim is worth more than a large unverifiable one. Anyone can rebuild the pack from the source column, recompute the signal score from the four component fields, rerun the two estimators, and get the exact coefficients reported in Chapter 6. That property is rare in the space-sustainability literature, and it is the property this project most wants to model</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bet extends to the negative results. Reporting that citation attention carried no separable signal, and that the learning curve was flat and fragile to one outlier, is the kind of finding a less disciplined study would suppress. Keeping it in the open serves the next researcher, who now knows not to use formal citation counts as an attention proxy in a young, conference-heavy corpus, and who can design around that lesson</w:t>
      </w:r>
      <w:r>
        <w:t xml:space="preserve"> </w:t>
      </w:r>
      <w:hyperlink w:anchor="ref-2">
        <w:r>
          <w:rPr>
            <w:rStyle w:val="Hyperlink"/>
          </w:rPr>
          <w:t xml:space="preserve">[2]</w:t>
        </w:r>
      </w:hyperlink>
      <w:r>
        <w:t xml:space="preserve">. A field learns from documented nulls, and a dissertation that hides them to look more decisive betrays the reader it is supposed to serve.</w:t>
      </w:r>
    </w:p>
    <w:bookmarkEnd w:id="140"/>
    <w:bookmarkStart w:id="141" w:name="closing"/>
    <w:p>
      <w:pPr>
        <w:pStyle w:val="Heading2"/>
        <w:spacing w:line="480" w:lineRule="auto"/>
      </w:pPr>
      <w:r>
        <w:t xml:space="preserve">Closing</w:t>
      </w:r>
    </w:p>
    <w:bookmarkEnd w:id="141"/>
    <w:bookmarkStart w:id="142" w:name="a-staged-research-program"/>
    <w:p>
      <w:pPr>
        <w:pStyle w:val="Heading2"/>
        <w:spacing w:line="480" w:lineRule="auto"/>
      </w:pPr>
      <w:r>
        <w:t xml:space="preserve">A staged research program</w:t>
      </w:r>
    </w:p>
    <w:p>
      <w:pPr>
        <w:pStyle w:val="FirstParagraph"/>
        <w:spacing w:line="480" w:lineRule="auto"/>
      </w:pPr>
      <w:r>
        <w:t xml:space="preserve">The three successor studies named above are best understood as stages of one program rather than as independent projects, and setting them in order clarifies how the field could get from this screen to a real answer. Stage one replaces the lexical signal score with hand-coded substantive relevance on the existing pack, retesting the recency and venue findings against a cleaner outcome and settling whether the venue result is a vocabulary artifact or a genuine attention difference</w:t>
      </w:r>
      <w:r>
        <w:t xml:space="preserve"> </w:t>
      </w:r>
      <w:hyperlink w:anchor="ref-16">
        <w:r>
          <w:rPr>
            <w:rStyle w:val="Hyperlink"/>
          </w:rPr>
          <w:t xml:space="preserve">[16]</w:t>
        </w:r>
      </w:hyperlink>
      <w:r>
        <w:t xml:space="preserve">. That stage is cheap, uses the same thirty rows, and directly attacks the most important measurement threat, which is why it comes first.</w:t>
      </w:r>
    </w:p>
    <w:p>
      <w:pPr>
        <w:pStyle w:val="BodyText"/>
        <w:spacing w:line="480" w:lineRule="auto"/>
        <w:ind w:firstLine="720"/>
      </w:pPr>
      <w:r>
        <w:t xml:space="preserve">Stage two scales the frame from thirty topical records to several hundred drawn from a defined sampling universe, buying the statistical power that dissolves outlier leverage and converts pack-specific associations into estimates that generalize</w:t>
      </w:r>
      <w:r>
        <w:t xml:space="preserve"> </w:t>
      </w:r>
      <w:hyperlink w:anchor="ref-15">
        <w:r>
          <w:rPr>
            <w:rStyle w:val="Hyperlink"/>
          </w:rPr>
          <w:t xml:space="preserve">[15]</w:t>
        </w:r>
      </w:hyperlink>
      <w:r>
        <w:t xml:space="preserve">. Auditability is the aim. With a proper frame the learning-curve model finally gets a fair test, and the recency gradient can be estimated across a dense range rather than anchored on a sparse old tail. Stage three, the most ambitious, assembles dated premium series and dated regulatory-event series and tests the lead-lag relationship the title actually poses, using data no documentary screen can provide</w:t>
      </w:r>
      <w:r>
        <w:t xml:space="preserve"> </w:t>
      </w:r>
      <w:hyperlink w:anchor="ref-5">
        <w:r>
          <w:rPr>
            <w:rStyle w:val="Hyperlink"/>
          </w:rPr>
          <w:t xml:space="preserve">[5]</w:t>
        </w:r>
      </w:hyperlink>
      <w:r>
        <w:t xml:space="preserve"> </w:t>
      </w:r>
      <w:hyperlink w:anchor="ref-11">
        <w:r>
          <w:rPr>
            <w:rStyle w:val="Hyperlink"/>
          </w:rPr>
          <w:t xml:space="preserve">[11]</w:t>
        </w:r>
      </w:hyperlink>
      <w:r>
        <w:t xml:space="preserve">. Each stage depends on the one before it, and each converts a limitation of the present study into the research question of the next.</w:t>
      </w:r>
    </w:p>
    <w:p>
      <w:pPr>
        <w:pStyle w:val="BodyText"/>
        <w:spacing w:line="480" w:lineRule="auto"/>
        <w:ind w:firstLine="720"/>
      </w:pPr>
      <w:r>
        <w:t xml:space="preserve">Framing the future work as a staged program is itself part of the contribution. It shows that the bounded first study is not a dead end but a foundation, that its limitations are not embarrassments but signposts, and that a researcher who picks up where this leaves off knows exactly which threat to attack and in what order. A dissertation that maps its own succession this precisely gives the field more than a result; it gives a route</w:t>
      </w:r>
      <w:r>
        <w:t xml:space="preserve"> </w:t>
      </w:r>
      <w:hyperlink w:anchor="ref-12">
        <w:r>
          <w:rPr>
            <w:rStyle w:val="Hyperlink"/>
          </w:rPr>
          <w:t xml:space="preserve">[12]</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mirror question remains open, as it should after a bounded first study. The trace is measurable. What is no longer open is whether orbital-debris risk is visible in the literature at all. It is, its visibility rises with recency, and it lives where the sensors and the catalogs live. That is a small, defended, reproducible claim about a large and consequential domain, and offering exactly that, no more and no less, is what this dissertation was built to do</w:t>
      </w:r>
      <w:r>
        <w:t xml:space="preserve"> </w:t>
      </w:r>
      <w:hyperlink w:anchor="ref-3">
        <w:r>
          <w:rPr>
            <w:rStyle w:val="Hyperlink"/>
          </w:rPr>
          <w:t xml:space="preserve">[3]</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w:t>
      </w:r>
    </w:p>
    <w:bookmarkEnd w:id="142"/>
    <w:bookmarkStart w:id="170" w:name="references"/>
    <w:p>
      <w:pPr>
        <w:pStyle w:val="Heading2"/>
        <w:spacing w:line="480" w:lineRule="auto"/>
      </w:pPr>
      <w:r>
        <w:t xml:space="preserve">References</w:t>
      </w:r>
    </w:p>
    <w:p>
      <w:pPr>
        <w:pStyle w:val="FirstParagraph"/>
        <w:spacing w:line="480" w:lineRule="auto"/>
      </w:pPr>
      <w:bookmarkStart w:id="143" w:name="ref-1"/>
      <w:bookmarkEnd w:id="143"/>
      <w:r>
        <w:t xml:space="preserve">1. Todd Harrison, Center for Strategic and International Studies. International Perspectives on Space Weapons (2020). [AMOS]</w:t>
      </w:r>
    </w:p>
    <w:p>
      <w:pPr>
        <w:pStyle w:val="BodyText"/>
        <w:spacing w:line="480" w:lineRule="auto"/>
        <w:ind w:firstLine="720"/>
      </w:pPr>
      <w:bookmarkStart w:id="144" w:name="ref-2"/>
      <w:bookmarkEnd w:id="144"/>
      <w:r>
        <w:t xml:space="preserve">2. Dr. Darren McKnight (Integrity Applications Inc.). Pay Me Now or Pay Me More Later: Start the Development of Active Orbital Debris Removal Now (2010). [AMOS]</w:t>
      </w:r>
    </w:p>
    <w:p>
      <w:pPr>
        <w:pStyle w:val="BodyText"/>
        <w:spacing w:line="480" w:lineRule="auto"/>
        <w:ind w:firstLine="720"/>
      </w:pPr>
      <w:bookmarkStart w:id="145" w:name="ref-3"/>
      <w:bookmarkEnd w:id="145"/>
      <w:r>
        <w:t xml:space="preserve">3. Kristin Shahady, University of North Dakota. The Future Risk of Space Debris and Contested Environments Increases the Intrinsic and Actual Cost of GEO Slots (2023). doi:</w:t>
      </w:r>
      <w:r>
        <w:t xml:space="preserve"> </w:t>
      </w:r>
      <w:hyperlink r:id="rId146">
        <w:r>
          <w:rPr>
            <w:rStyle w:val="Hyperlink"/>
          </w:rPr>
          <w:t xml:space="preserve">10.64861/DYBG6563</w:t>
        </w:r>
      </w:hyperlink>
    </w:p>
    <w:p>
      <w:pPr>
        <w:pStyle w:val="BodyText"/>
        <w:spacing w:line="480" w:lineRule="auto"/>
        <w:ind w:firstLine="720"/>
      </w:pPr>
      <w:bookmarkStart w:id="147" w:name="ref-4"/>
      <w:bookmarkEnd w:id="147"/>
      <w:r>
        <w:t xml:space="preserve">4. Selma Zamoum, SpaceAble France; Thomas Husson, SpaceAble France; Fatoumata Kebe, SpaceAble France; Mathieu Barthélémy, IPAG-OSUG/CSUG; Benjamin Gigleux, SpaceAble France; Jacques Sombrin, TéSA Laboratory; Franck Durand-Carrier, TéSA Laboratory and CNES. A Complete SSA Scheme for a Sustainable Low Earth Orbit: Space Data Aggregation and IA Combined with In-orbit Inspection (2021). [AMOS]</w:t>
      </w:r>
    </w:p>
    <w:p>
      <w:pPr>
        <w:pStyle w:val="BodyText"/>
        <w:spacing w:line="480" w:lineRule="auto"/>
        <w:ind w:firstLine="720"/>
      </w:pPr>
      <w:bookmarkStart w:id="148" w:name="ref-5"/>
      <w:bookmarkEnd w:id="148"/>
      <w:r>
        <w:t xml:space="preserve">5.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49">
        <w:r>
          <w:rPr>
            <w:rStyle w:val="Hyperlink"/>
          </w:rPr>
          <w:t xml:space="preserve">10.64861/CEPU7718</w:t>
        </w:r>
      </w:hyperlink>
    </w:p>
    <w:p>
      <w:pPr>
        <w:pStyle w:val="BodyText"/>
        <w:spacing w:line="480" w:lineRule="auto"/>
        <w:ind w:firstLine="720"/>
      </w:pPr>
      <w:bookmarkStart w:id="150" w:name="ref-6"/>
      <w:bookmarkEnd w:id="150"/>
      <w:r>
        <w:t xml:space="preserve">6. Yasir Latif, Space Protocol; Anirban Chowdhury, Space Protocol; Samya Bagchi, Space Protocol. On-chain Validation of Tracking Data Messages (TDM) Using Distributed Deep Learning on a Proof of Stake (PoS) Blockchain (2024). doi:</w:t>
      </w:r>
      <w:r>
        <w:t xml:space="preserve"> </w:t>
      </w:r>
      <w:hyperlink r:id="rId151">
        <w:r>
          <w:rPr>
            <w:rStyle w:val="Hyperlink"/>
          </w:rPr>
          <w:t xml:space="preserve">10.64861/OHUO6863</w:t>
        </w:r>
      </w:hyperlink>
    </w:p>
    <w:p>
      <w:pPr>
        <w:pStyle w:val="BodyText"/>
        <w:spacing w:line="480" w:lineRule="auto"/>
        <w:ind w:firstLine="720"/>
      </w:pPr>
      <w:bookmarkStart w:id="152" w:name="ref-7"/>
      <w:bookmarkEnd w:id="152"/>
      <w:r>
        <w:t xml:space="preserve">7. Mark Ackermann, Sandia National Laboratories, David Cox, Sandia National Laboratories, John McGraw, J.T. McGraw &amp; Associates, Peter Zimmer, J.T. McGraw &amp; Associates. Lens and Camera Arrays for Sky Surveys and Space Surveillance (2016). [AMOS]</w:t>
      </w:r>
    </w:p>
    <w:p>
      <w:pPr>
        <w:pStyle w:val="BodyText"/>
        <w:spacing w:line="480" w:lineRule="auto"/>
        <w:ind w:firstLine="720"/>
      </w:pPr>
      <w:bookmarkStart w:id="153" w:name="ref-8"/>
      <w:bookmarkEnd w:id="153"/>
      <w:r>
        <w:t xml:space="preserve">8. David Wick (Sandia National Laboratories), Brett E. Bagwell (Sandia National Laboratories), William C. Sweatt (Sandia National Laboratories), William D. Cowan (Sandia National Laboratories), Olga B. Spahn (Sandia National Laboratories), Gary L. Peterson (Breault Research Organization), Ty Martinez (Naval Research Laboratory, c/oAFRL/DES), Sergio R. Restaino (Naval Research Laboratory, c/oAFRL/DES), Jonathan R. Andrews (Naval Research Laboratory, c/oAFRL/DES), Christopher C. Wilcox (Naval Research Laboratory, c/oAFRL/DES), Don M. Payne (Narrascape), Robert Romeo (Composite Mirror Applications, Inc.). Lightweight, Active Optics for Space and Near Space (2006). [AMOS]</w:t>
      </w:r>
    </w:p>
    <w:p>
      <w:pPr>
        <w:pStyle w:val="BodyText"/>
        <w:spacing w:line="480" w:lineRule="auto"/>
        <w:ind w:firstLine="720"/>
      </w:pPr>
      <w:bookmarkStart w:id="154" w:name="ref-9"/>
      <w:bookmarkEnd w:id="154"/>
      <w:r>
        <w:t xml:space="preserve">9. Yuqiang Liu; Yang Zhao; Chunlin Tan; Huawei Liu; Yongjian Liu. Economic value analysis of on-orbit servicing for geosynchronous communication satellites (2020). doi:</w:t>
      </w:r>
      <w:r>
        <w:t xml:space="preserve"> </w:t>
      </w:r>
      <w:hyperlink r:id="rId155">
        <w:r>
          <w:rPr>
            <w:rStyle w:val="Hyperlink"/>
          </w:rPr>
          <w:t xml:space="preserve">10.1016/j.actaastro.2020.11.040</w:t>
        </w:r>
      </w:hyperlink>
    </w:p>
    <w:p>
      <w:pPr>
        <w:pStyle w:val="BodyText"/>
        <w:spacing w:line="480" w:lineRule="auto"/>
        <w:ind w:firstLine="720"/>
      </w:pPr>
      <w:bookmarkStart w:id="156" w:name="ref-10"/>
      <w:bookmarkEnd w:id="156"/>
      <w:r>
        <w:t xml:space="preserve">10. Noelia Sánchez-Ortíz; Danielle Wood; Lesley Smith; Carmen Gregori De La Malla; Maruška Strah; Maren Huelsmann; Marius Stanciu-Manolescu; P. Ubertini; Balbir Singh. Outreach on Space Traffic Management (2025). doi:</w:t>
      </w:r>
      <w:r>
        <w:t xml:space="preserve"> </w:t>
      </w:r>
      <w:hyperlink r:id="rId157">
        <w:r>
          <w:rPr>
            <w:rStyle w:val="Hyperlink"/>
          </w:rPr>
          <w:t xml:space="preserve">10.1016/j.actaastro.2025.01.031</w:t>
        </w:r>
      </w:hyperlink>
    </w:p>
    <w:p>
      <w:pPr>
        <w:pStyle w:val="BodyText"/>
        <w:spacing w:line="480" w:lineRule="auto"/>
        <w:ind w:firstLine="720"/>
      </w:pPr>
      <w:bookmarkStart w:id="158" w:name="ref-11"/>
      <w:bookmarkEnd w:id="158"/>
      <w:r>
        <w:t xml:space="preserve">11. Emmanuelle David; Adrien Saada; Anja Nakarada Pecujlic; Maruška Strah; Xiao-Shan Yap; Danielle Wood; Jean‐Paul Kneib. Fostering multi-stakeholder collaboration for space sustainability through an incentive-based mechanism (2025). doi:</w:t>
      </w:r>
      <w:r>
        <w:t xml:space="preserve"> </w:t>
      </w:r>
      <w:hyperlink r:id="rId159">
        <w:r>
          <w:rPr>
            <w:rStyle w:val="Hyperlink"/>
          </w:rPr>
          <w:t xml:space="preserve">10.1016/j.actaastro.2025.06.029</w:t>
        </w:r>
      </w:hyperlink>
    </w:p>
    <w:p>
      <w:pPr>
        <w:pStyle w:val="BodyText"/>
        <w:spacing w:line="480" w:lineRule="auto"/>
        <w:ind w:firstLine="720"/>
      </w:pPr>
      <w:bookmarkStart w:id="160" w:name="ref-12"/>
      <w:bookmarkEnd w:id="160"/>
      <w:r>
        <w:t xml:space="preserve">12. Ben McKeown; Andrew G. Dempster; Serkan Saydam; Jeff Coulton. How should potential space resources markets be evaluated? (2026). doi:</w:t>
      </w:r>
      <w:r>
        <w:t xml:space="preserve"> </w:t>
      </w:r>
      <w:hyperlink r:id="rId161">
        <w:r>
          <w:rPr>
            <w:rStyle w:val="Hyperlink"/>
          </w:rPr>
          <w:t xml:space="preserve">10.1016/j.actaastro.2026.03.026</w:t>
        </w:r>
      </w:hyperlink>
    </w:p>
    <w:p>
      <w:pPr>
        <w:pStyle w:val="BodyText"/>
        <w:spacing w:line="480" w:lineRule="auto"/>
        <w:ind w:firstLine="720"/>
      </w:pPr>
      <w:bookmarkStart w:id="162" w:name="ref-13"/>
      <w:bookmarkEnd w:id="162"/>
      <w:r>
        <w:t xml:space="preserve">13. Paolo Trucco; Alessandro Paravano; Giorgio Locatelli. Framing the dynamics of risk landscape amidst space economy trends (2025). doi:</w:t>
      </w:r>
      <w:r>
        <w:t xml:space="preserve"> </w:t>
      </w:r>
      <w:hyperlink r:id="rId163">
        <w:r>
          <w:rPr>
            <w:rStyle w:val="Hyperlink"/>
          </w:rPr>
          <w:t xml:space="preserve">10.1016/j.actaastro.2025.06.067</w:t>
        </w:r>
      </w:hyperlink>
    </w:p>
    <w:p>
      <w:pPr>
        <w:pStyle w:val="BodyText"/>
        <w:spacing w:line="480" w:lineRule="auto"/>
        <w:ind w:firstLine="720"/>
      </w:pPr>
      <w:bookmarkStart w:id="164" w:name="ref-14"/>
      <w:bookmarkEnd w:id="164"/>
      <w:r>
        <w:t xml:space="preserve">14. T.P. Graham; Kathiravan Thangavel; Anne-Sophie Martin. Navigating AI-lien Terrain: Legal liability for artificial intelligence in outer space (2024). doi:</w:t>
      </w:r>
      <w:r>
        <w:t xml:space="preserve"> </w:t>
      </w:r>
      <w:hyperlink r:id="rId165">
        <w:r>
          <w:rPr>
            <w:rStyle w:val="Hyperlink"/>
          </w:rPr>
          <w:t xml:space="preserve">10.1016/j.actaastro.2024.01.039</w:t>
        </w:r>
      </w:hyperlink>
    </w:p>
    <w:p>
      <w:pPr>
        <w:pStyle w:val="BodyText"/>
        <w:spacing w:line="480" w:lineRule="auto"/>
        <w:ind w:firstLine="720"/>
      </w:pPr>
      <w:bookmarkStart w:id="166" w:name="ref-15"/>
      <w:bookmarkEnd w:id="166"/>
      <w:r>
        <w:t xml:space="preserve">15. Daniel Oltrogge; Salvatore Alfano; C. M. Law; Alex Cacioni; T. S. Kelso. A comprehensive assessment of collision likelihood in Geosynchronous Earth Orbit (2018). doi:</w:t>
      </w:r>
      <w:r>
        <w:t xml:space="preserve"> </w:t>
      </w:r>
      <w:hyperlink r:id="rId167">
        <w:r>
          <w:rPr>
            <w:rStyle w:val="Hyperlink"/>
          </w:rPr>
          <w:t xml:space="preserve">10.1016/j.actaastro.2018.03.017</w:t>
        </w:r>
      </w:hyperlink>
    </w:p>
    <w:p>
      <w:pPr>
        <w:pStyle w:val="BodyText"/>
        <w:spacing w:line="480" w:lineRule="auto"/>
        <w:ind w:firstLine="720"/>
      </w:pPr>
      <w:bookmarkStart w:id="168" w:name="ref-16"/>
      <w:bookmarkEnd w:id="168"/>
      <w:r>
        <w:t xml:space="preserve">16.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69">
        <w:r>
          <w:rPr>
            <w:rStyle w:val="Hyperlink"/>
          </w:rPr>
          <w:t xml:space="preserve">10.1016/j.actaastro.2025.04.063</w:t>
        </w:r>
      </w:hyperlink>
    </w:p>
    <w:bookmarkEnd w:id="170"/>
    <w:bookmarkEnd w:id="171"/>
    <w:bookmarkStart w:id="18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79" w:name="X8ea9a73e6a775ce80daf3d6262df762c67c5875"/>
    <w:p>
      <w:pPr>
        <w:pStyle w:val="Heading2"/>
        <w:spacing w:line="480" w:lineRule="auto"/>
      </w:pPr>
      <w:r>
        <w:t xml:space="preserve">A.1 Signal Intensity in The Insurance Mirror do space-insurance premiums price orbital-debris risk befo: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7.1415</w:t>
            </w:r>
          </w:p>
        </w:tc>
        <w:tc>
          <w:tcPr>
            <w:tcW w:w="0" w:type="auto"/>
          </w:tcPr>
          <w:p>
            <w:pPr>
              <w:spacing w:line="240" w:lineRule="auto" w:before="0" w:after="0"/>
              <w:pStyle w:val="Compact"/>
            </w:pPr>
            <w:r>
              <w:rPr>
                <w:sz w:val="20"/>
                <w:szCs w:val="20"/>
              </w:rPr>
              <w:t xml:space="preserve">1.0811</w:t>
            </w:r>
          </w:p>
        </w:tc>
        <w:tc>
          <w:tcPr>
            <w:tcW w:w="0" w:type="auto"/>
          </w:tcPr>
          <w:p>
            <w:pPr>
              <w:spacing w:line="240" w:lineRule="auto" w:before="0" w:after="0"/>
              <w:pStyle w:val="Compact"/>
            </w:pPr>
            <w:r>
              <w:rPr>
                <w:sz w:val="20"/>
                <w:szCs w:val="20"/>
              </w:rPr>
              <w:t xml:space="preserve">6.6058</w:t>
            </w:r>
          </w:p>
        </w:tc>
        <w:tc>
          <w:tcPr>
            <w:tcW w:w="0" w:type="auto"/>
          </w:tcPr>
          <w:p>
            <w:pPr>
              <w:spacing w:line="240" w:lineRule="auto" w:before="0" w:after="0"/>
              <w:pStyle w:val="Compact"/>
            </w:pPr>
            <w:r>
              <w:rPr>
                <w:sz w:val="20"/>
                <w:szCs w:val="20"/>
              </w:rPr>
              <w:t xml:space="preserve">3.953e-11</w:t>
            </w:r>
          </w:p>
        </w:tc>
        <w:tc>
          <w:tcPr>
            <w:tcW w:w="0" w:type="auto"/>
          </w:tcPr>
          <w:p>
            <w:pPr>
              <w:spacing w:line="240" w:lineRule="auto" w:before="0" w:after="0"/>
              <w:pStyle w:val="Compact"/>
            </w:pPr>
            <w:r>
              <w:rPr>
                <w:sz w:val="20"/>
                <w:szCs w:val="20"/>
              </w:rPr>
              <w:t xml:space="preserve">[5.0226, 9.2604]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0.144</w:t>
            </w:r>
          </w:p>
        </w:tc>
        <w:tc>
          <w:tcPr>
            <w:tcW w:w="0" w:type="auto"/>
          </w:tcPr>
          <w:p>
            <w:pPr>
              <w:spacing w:line="240" w:lineRule="auto" w:before="0" w:after="0"/>
              <w:pStyle w:val="Compact"/>
            </w:pPr>
            <w:r>
              <w:rPr>
                <w:sz w:val="20"/>
                <w:szCs w:val="20"/>
              </w:rPr>
              <w:t xml:space="preserve">0.0716</w:t>
            </w:r>
          </w:p>
        </w:tc>
        <w:tc>
          <w:tcPr>
            <w:tcW w:w="0" w:type="auto"/>
          </w:tcPr>
          <w:p>
            <w:pPr>
              <w:spacing w:line="240" w:lineRule="auto" w:before="0" w:after="0"/>
              <w:pStyle w:val="Compact"/>
            </w:pPr>
            <w:r>
              <w:rPr>
                <w:sz w:val="20"/>
                <w:szCs w:val="20"/>
              </w:rPr>
              <w:t xml:space="preserve">2.0117</w:t>
            </w:r>
          </w:p>
        </w:tc>
        <w:tc>
          <w:tcPr>
            <w:tcW w:w="0" w:type="auto"/>
          </w:tcPr>
          <w:p>
            <w:pPr>
              <w:spacing w:line="240" w:lineRule="auto" w:before="0" w:after="0"/>
              <w:pStyle w:val="Compact"/>
            </w:pPr>
            <w:r>
              <w:rPr>
                <w:sz w:val="20"/>
                <w:szCs w:val="20"/>
              </w:rPr>
              <w:t xml:space="preserve">0.0442</w:t>
            </w:r>
          </w:p>
        </w:tc>
        <w:tc>
          <w:tcPr>
            <w:tcW w:w="0" w:type="auto"/>
          </w:tcPr>
          <w:p>
            <w:pPr>
              <w:spacing w:line="240" w:lineRule="auto" w:before="0" w:after="0"/>
              <w:pStyle w:val="Compact"/>
            </w:pPr>
            <w:r>
              <w:rPr>
                <w:sz w:val="20"/>
                <w:szCs w:val="20"/>
              </w:rPr>
              <w:t xml:space="preserve">[0.0037, 0.2843]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-0.0095</w:t>
            </w:r>
          </w:p>
        </w:tc>
        <w:tc>
          <w:tcPr>
            <w:tcW w:w="0" w:type="auto"/>
          </w:tcPr>
          <w:p>
            <w:pPr>
              <w:spacing w:line="240" w:lineRule="auto" w:before="0" w:after="0"/>
              <w:pStyle w:val="Compact"/>
            </w:pPr>
            <w:r>
              <w:rPr>
                <w:sz w:val="20"/>
                <w:szCs w:val="20"/>
              </w:rPr>
              <w:t xml:space="preserve">0.0246</w:t>
            </w:r>
          </w:p>
        </w:tc>
        <w:tc>
          <w:tcPr>
            <w:tcW w:w="0" w:type="auto"/>
          </w:tcPr>
          <w:p>
            <w:pPr>
              <w:spacing w:line="240" w:lineRule="auto" w:before="0" w:after="0"/>
              <w:pStyle w:val="Compact"/>
            </w:pPr>
            <w:r>
              <w:rPr>
                <w:sz w:val="20"/>
                <w:szCs w:val="20"/>
              </w:rPr>
              <w:t xml:space="preserve">-0.3846</w:t>
            </w:r>
          </w:p>
        </w:tc>
        <w:tc>
          <w:tcPr>
            <w:tcW w:w="0" w:type="auto"/>
          </w:tcPr>
          <w:p>
            <w:pPr>
              <w:spacing w:line="240" w:lineRule="auto" w:before="0" w:after="0"/>
              <w:pStyle w:val="Compact"/>
            </w:pPr>
            <w:r>
              <w:rPr>
                <w:sz w:val="20"/>
                <w:szCs w:val="20"/>
              </w:rPr>
              <w:t xml:space="preserve">0.7005</w:t>
            </w:r>
          </w:p>
        </w:tc>
        <w:tc>
          <w:tcPr>
            <w:tcW w:w="0" w:type="auto"/>
          </w:tcPr>
          <w:p>
            <w:pPr>
              <w:spacing w:line="240" w:lineRule="auto" w:before="0" w:after="0"/>
              <w:pStyle w:val="Compact"/>
            </w:pPr>
            <w:r>
              <w:rPr>
                <w:sz w:val="20"/>
                <w:szCs w:val="20"/>
              </w:rPr>
              <w:t xml:space="preserve">[-0.0577, 0.0388]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-2.0639</w:t>
            </w:r>
          </w:p>
        </w:tc>
        <w:tc>
          <w:tcPr>
            <w:tcW w:w="0" w:type="auto"/>
          </w:tcPr>
          <w:p>
            <w:pPr>
              <w:spacing w:line="240" w:lineRule="auto" w:before="0" w:after="0"/>
              <w:pStyle w:val="Compact"/>
            </w:pPr>
            <w:r>
              <w:rPr>
                <w:sz w:val="20"/>
                <w:szCs w:val="20"/>
              </w:rPr>
              <w:t xml:space="preserve">0.5666</w:t>
            </w:r>
          </w:p>
        </w:tc>
        <w:tc>
          <w:tcPr>
            <w:tcW w:w="0" w:type="auto"/>
          </w:tcPr>
          <w:p>
            <w:pPr>
              <w:spacing w:line="240" w:lineRule="auto" w:before="0" w:after="0"/>
              <w:pStyle w:val="Compact"/>
            </w:pPr>
            <w:r>
              <w:rPr>
                <w:sz w:val="20"/>
                <w:szCs w:val="20"/>
              </w:rPr>
              <w:t xml:space="preserve">-3.6426</w:t>
            </w:r>
          </w:p>
        </w:tc>
        <w:tc>
          <w:tcPr>
            <w:tcW w:w="0" w:type="auto"/>
          </w:tcPr>
          <w:p>
            <w:pPr>
              <w:spacing w:line="240" w:lineRule="auto" w:before="0" w:after="0"/>
              <w:pStyle w:val="Compact"/>
            </w:pPr>
            <w:r>
              <w:rPr>
                <w:sz w:val="20"/>
                <w:szCs w:val="20"/>
              </w:rPr>
              <w:t xml:space="preserve">0.0002699</w:t>
            </w:r>
          </w:p>
        </w:tc>
        <w:tc>
          <w:tcPr>
            <w:tcW w:w="0" w:type="auto"/>
          </w:tcPr>
          <w:p>
            <w:pPr>
              <w:spacing w:line="240" w:lineRule="auto" w:before="0" w:after="0"/>
              <w:pStyle w:val="Compact"/>
            </w:pPr>
            <w:r>
              <w:rPr>
                <w:sz w:val="20"/>
                <w:szCs w:val="20"/>
              </w:rPr>
              <w:t xml:space="preserve">[-3.1745, -0.9534]</w:t>
            </w:r>
          </w:p>
        </w:tc>
      </w:tr>
    </w:tbl>
    <w:p>
      <w:pPr>
        <w:pStyle w:val="BodyText"/>
        <w:spacing w:line="480" w:lineRule="auto"/>
        <w:ind w:firstLine="720"/>
      </w:pPr>
      <w:r>
        <w:t xml:space="preserve">Fit: N = 30 R2 = 0.3514 R2_adj = 0.2765 F = 4.4392 F_p = 0.012</w:t>
      </w:r>
    </w:p>
    <w:bookmarkEnd w:id="172"/>
    <w:bookmarkStart w:id="17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4" name="Picture"/>
            <a:graphic>
              <a:graphicData uri="http://schemas.openxmlformats.org/drawingml/2006/picture">
                <pic:pic>
                  <pic:nvPicPr>
                    <pic:cNvPr descr="D:/Claude_Code/brain/collegium/candidates/dissertations/SPACE_ECON_07/research_papers/p1/paper_fig1.png" id="175" name="Picture"/>
                    <pic:cNvPicPr>
                      <a:picLocks noChangeArrowheads="1" noChangeAspect="1"/>
                    </pic:cNvPicPr>
                  </pic:nvPicPr>
                  <pic:blipFill>
                    <a:blip r:embed="rId1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6"/>
    <w:bookmarkStart w:id="17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https://amostech.space/year/2016/lens-and-camera-arrays-for-sky-surveys-and-space-surveillance/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https://amostech.space/year/2006/lightweight-active-optics-for-space-and-near-space/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https://amostech.space/year/2013/lightforce-photon-pressure-collision-avoidance-efficiency-assessment-on-an-entire-catalogue-of-space-debris/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ADR Now (AMOS)</w:t>
            </w:r>
          </w:p>
        </w:tc>
      </w:tr>
    </w:tbl>
    <w:bookmarkEnd w:id="177"/>
    <w:bookmarkStart w:id="17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8"/>
    <w:bookmarkEnd w:id="179"/>
    <w:bookmarkStart w:id="187" w:name="X26b70a80a4beeeb41d612af47caa3c2b6537d6d"/>
    <w:p>
      <w:pPr>
        <w:pStyle w:val="Heading2"/>
        <w:spacing w:line="480" w:lineRule="auto"/>
      </w:pPr>
      <w:r>
        <w:t xml:space="preserve">A.2 Attention Accumulation in The Insurance Mirror do space-insurance premiums price orbital-debris risk befo: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1.064</w:t>
            </w:r>
          </w:p>
        </w:tc>
        <w:tc>
          <w:tcPr>
            <w:tcW w:w="0" w:type="auto"/>
          </w:tcPr>
          <w:p>
            <w:pPr>
              <w:spacing w:line="240" w:lineRule="auto" w:before="0" w:after="0"/>
              <w:pStyle w:val="Compact"/>
            </w:pPr>
            <w:r>
              <w:rPr>
                <w:sz w:val="20"/>
                <w:szCs w:val="20"/>
              </w:rPr>
              <w:t xml:space="preserve">0.3732</w:t>
            </w:r>
          </w:p>
        </w:tc>
        <w:tc>
          <w:tcPr>
            <w:tcW w:w="0" w:type="auto"/>
          </w:tcPr>
          <w:p>
            <w:pPr>
              <w:spacing w:line="240" w:lineRule="auto" w:before="0" w:after="0"/>
              <w:pStyle w:val="Compact"/>
            </w:pPr>
            <w:r>
              <w:rPr>
                <w:sz w:val="20"/>
                <w:szCs w:val="20"/>
              </w:rPr>
              <w:t xml:space="preserve">2.8513</w:t>
            </w:r>
          </w:p>
        </w:tc>
        <w:tc>
          <w:tcPr>
            <w:tcW w:w="0" w:type="auto"/>
          </w:tcPr>
          <w:p>
            <w:pPr>
              <w:spacing w:line="240" w:lineRule="auto" w:before="0" w:after="0"/>
              <w:pStyle w:val="Compact"/>
            </w:pPr>
            <w:r>
              <w:rPr>
                <w:sz w:val="20"/>
                <w:szCs w:val="20"/>
              </w:rPr>
              <w:t xml:space="preserve">0.0044</w:t>
            </w:r>
          </w:p>
        </w:tc>
        <w:tc>
          <w:tcPr>
            <w:tcW w:w="0" w:type="auto"/>
          </w:tcPr>
          <w:p>
            <w:pPr>
              <w:spacing w:line="240" w:lineRule="auto" w:before="0" w:after="0"/>
              <w:pStyle w:val="Compact"/>
            </w:pPr>
            <w:r>
              <w:rPr>
                <w:sz w:val="20"/>
                <w:szCs w:val="20"/>
              </w:rPr>
              <w:t xml:space="preserve">[0.3326, 1.7954]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-0.2065</w:t>
            </w:r>
          </w:p>
        </w:tc>
        <w:tc>
          <w:tcPr>
            <w:tcW w:w="0" w:type="auto"/>
          </w:tcPr>
          <w:p>
            <w:pPr>
              <w:spacing w:line="240" w:lineRule="auto" w:before="0" w:after="0"/>
              <w:pStyle w:val="Compact"/>
            </w:pPr>
            <w:r>
              <w:rPr>
                <w:sz w:val="20"/>
                <w:szCs w:val="20"/>
              </w:rPr>
              <w:t xml:space="preserve">0.2052</w:t>
            </w:r>
          </w:p>
        </w:tc>
        <w:tc>
          <w:tcPr>
            <w:tcW w:w="0" w:type="auto"/>
          </w:tcPr>
          <w:p>
            <w:pPr>
              <w:spacing w:line="240" w:lineRule="auto" w:before="0" w:after="0"/>
              <w:pStyle w:val="Compact"/>
            </w:pPr>
            <w:r>
              <w:rPr>
                <w:sz w:val="20"/>
                <w:szCs w:val="20"/>
              </w:rPr>
              <w:t xml:space="preserve">-1.0064</w:t>
            </w:r>
          </w:p>
        </w:tc>
        <w:tc>
          <w:tcPr>
            <w:tcW w:w="0" w:type="auto"/>
          </w:tcPr>
          <w:p>
            <w:pPr>
              <w:spacing w:line="240" w:lineRule="auto" w:before="0" w:after="0"/>
              <w:pStyle w:val="Compact"/>
            </w:pPr>
            <w:r>
              <w:rPr>
                <w:sz w:val="20"/>
                <w:szCs w:val="20"/>
              </w:rPr>
              <w:t xml:space="preserve">0.3142</w:t>
            </w:r>
          </w:p>
        </w:tc>
        <w:tc>
          <w:tcPr>
            <w:tcW w:w="0" w:type="auto"/>
          </w:tcPr>
          <w:p>
            <w:pPr>
              <w:spacing w:line="240" w:lineRule="auto" w:before="0" w:after="0"/>
              <w:pStyle w:val="Compact"/>
            </w:pPr>
            <w:r>
              <w:rPr>
                <w:sz w:val="20"/>
                <w:szCs w:val="20"/>
              </w:rPr>
              <w:t xml:space="preserve">[-0.6087, 0.1957]</w:t>
            </w:r>
          </w:p>
        </w:tc>
      </w:tr>
    </w:tbl>
    <w:p>
      <w:pPr>
        <w:pStyle w:val="BodyText"/>
        <w:spacing w:line="480" w:lineRule="auto"/>
        <w:ind w:firstLine="720"/>
      </w:pPr>
      <w:r>
        <w:t xml:space="preserve">Fit: N = 30 R2 = 0.02 elasticity_b = -0.2065 progress_ratio_2^b = 0.8666</w:t>
      </w:r>
    </w:p>
    <w:bookmarkEnd w:id="180"/>
    <w:bookmarkStart w:id="18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2" name="Picture"/>
            <a:graphic>
              <a:graphicData uri="http://schemas.openxmlformats.org/drawingml/2006/picture">
                <pic:pic>
                  <pic:nvPicPr>
                    <pic:cNvPr descr="D:/Claude_Code/brain/collegium/candidates/dissertations/SPACE_ECON_07/research_papers/p2/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4"/>
    <w:bookmarkStart w:id="18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https://amostech.space/year/2010/pay-me-now-or-pay-me-more-later-start-the-development-of-active-orbital-debris-removal-now/</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10.64861/DYBG6563</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10.64861/OHUO6863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https://amostech.space/year/2016/lens-and-camera-arrays-for-sky-surveys-and-space-surveillance/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https://amostech.space/year/2006/lightweight-active-optics-for-space-and-near-space/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https://amostech.space/year/2011/commercially-hosted-payloads-for-debris-monitoringand-mission-assurance-in-geo/</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https://amostech.space/year/2010/electrodynamic-debris-eliminator-edde-design-operation-and-ground-support/</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https://amostech.space/year/2013/lightforce-photon-pressure-collision-avoidance-efficiency-assessment-on-an-entire-catalogue-of-space-debris/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10.64861/LBPZ7861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10.1016/j.actaastro.2020.11.040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10.1016/j.actaastro.2025.01.031</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10.1016/j.actaastro.2024.11.050</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Space Sustainability Rating Composite Indicator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Pay Me Now or Pay Me More Later: Start ADR Now (AMOS)</w:t>
            </w:r>
          </w:p>
        </w:tc>
      </w:tr>
    </w:tbl>
    <w:bookmarkEnd w:id="185"/>
    <w:bookmarkStart w:id="18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6"/>
    <w:bookmarkEnd w:id="187"/>
    <w:bookmarkEnd w:id="1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3" Type="http://schemas.openxmlformats.org/officeDocument/2006/relationships/image" Target="media/rId173.png"/><Relationship Id="rId181" Type="http://schemas.openxmlformats.org/officeDocument/2006/relationships/image" Target="media/rId181.png"/><Relationship Id="rId167" Type="http://schemas.openxmlformats.org/officeDocument/2006/relationships/hyperlink" Target="https://doi.org/10.1016/j.actaastro.2018.03.017" TargetMode="External"/><Relationship Id="rId155" Type="http://schemas.openxmlformats.org/officeDocument/2006/relationships/hyperlink" Target="https://doi.org/10.1016/j.actaastro.2020.11.040" TargetMode="External"/><Relationship Id="rId165" Type="http://schemas.openxmlformats.org/officeDocument/2006/relationships/hyperlink" Target="https://doi.org/10.1016/j.actaastro.2024.01.039" TargetMode="External"/><Relationship Id="rId157" Type="http://schemas.openxmlformats.org/officeDocument/2006/relationships/hyperlink" Target="https://doi.org/10.1016/j.actaastro.2025.01.031" TargetMode="External"/><Relationship Id="rId169" Type="http://schemas.openxmlformats.org/officeDocument/2006/relationships/hyperlink" Target="https://doi.org/10.1016/j.actaastro.2025.04.063" TargetMode="External"/><Relationship Id="rId159" Type="http://schemas.openxmlformats.org/officeDocument/2006/relationships/hyperlink" Target="https://doi.org/10.1016/j.actaastro.2025.06.029" TargetMode="External"/><Relationship Id="rId163" Type="http://schemas.openxmlformats.org/officeDocument/2006/relationships/hyperlink" Target="https://doi.org/10.1016/j.actaastro.2025.06.067" TargetMode="External"/><Relationship Id="rId161" Type="http://schemas.openxmlformats.org/officeDocument/2006/relationships/hyperlink" Target="https://doi.org/10.1016/j.actaastro.2026.03.026" TargetMode="External"/><Relationship Id="rId149" Type="http://schemas.openxmlformats.org/officeDocument/2006/relationships/hyperlink" Target="https://doi.org/10.64861/CEPU7718" TargetMode="External"/><Relationship Id="rId146" Type="http://schemas.openxmlformats.org/officeDocument/2006/relationships/hyperlink" Target="https://doi.org/10.64861/DYBG6563" TargetMode="External"/><Relationship Id="rId151" Type="http://schemas.openxmlformats.org/officeDocument/2006/relationships/hyperlink" Target="https://doi.org/10.64861/OHUO6863" TargetMode="External"/></Relationships>
</file>

<file path=word/_rels/footnotes.xml.rels><?xml version='1.0' encoding='UTF-8' standalone='yes'?>
<Relationships xmlns="http://schemas.openxmlformats.org/package/2006/relationships"><Relationship Id="rId167" Type="http://schemas.openxmlformats.org/officeDocument/2006/relationships/hyperlink" Target="https://doi.org/10.1016/j.actaastro.2018.03.017" TargetMode="External"/><Relationship Id="rId155" Type="http://schemas.openxmlformats.org/officeDocument/2006/relationships/hyperlink" Target="https://doi.org/10.1016/j.actaastro.2020.11.040" TargetMode="External"/><Relationship Id="rId165" Type="http://schemas.openxmlformats.org/officeDocument/2006/relationships/hyperlink" Target="https://doi.org/10.1016/j.actaastro.2024.01.039" TargetMode="External"/><Relationship Id="rId157" Type="http://schemas.openxmlformats.org/officeDocument/2006/relationships/hyperlink" Target="https://doi.org/10.1016/j.actaastro.2025.01.031" TargetMode="External"/><Relationship Id="rId169" Type="http://schemas.openxmlformats.org/officeDocument/2006/relationships/hyperlink" Target="https://doi.org/10.1016/j.actaastro.2025.04.063" TargetMode="External"/><Relationship Id="rId159" Type="http://schemas.openxmlformats.org/officeDocument/2006/relationships/hyperlink" Target="https://doi.org/10.1016/j.actaastro.2025.06.029" TargetMode="External"/><Relationship Id="rId163" Type="http://schemas.openxmlformats.org/officeDocument/2006/relationships/hyperlink" Target="https://doi.org/10.1016/j.actaastro.2025.06.067" TargetMode="External"/><Relationship Id="rId161" Type="http://schemas.openxmlformats.org/officeDocument/2006/relationships/hyperlink" Target="https://doi.org/10.1016/j.actaastro.2026.03.026" TargetMode="External"/><Relationship Id="rId149" Type="http://schemas.openxmlformats.org/officeDocument/2006/relationships/hyperlink" Target="https://doi.org/10.64861/CEPU7718" TargetMode="External"/><Relationship Id="rId146" Type="http://schemas.openxmlformats.org/officeDocument/2006/relationships/hyperlink" Target="https://doi.org/10.64861/DYBG6563" TargetMode="External"/><Relationship Id="rId151" Type="http://schemas.openxmlformats.org/officeDocument/2006/relationships/hyperlink" Target="https://doi.org/10.64861/OHUO6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Insurance Mirror: do space-insurance premiums price orbital-debris risk befo</dc:title>
  <dc:creator>Nikolai Yates (1B-ECO-204)</dc:creator>
  <cp:keywords/>
  <dcterms:created xsi:type="dcterms:W3CDTF">2026-07-02T23:10:52Z</dcterms:created>
  <dcterms:modified xsi:type="dcterms:W3CDTF">2026-07-02T23:10:52Z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