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5806b60d8be98354790c233c6c57e5a2f1564e7"/>
    <w:p>
      <w:pPr>
        <w:pStyle w:val="Heading1"/>
      </w:pPr>
      <w:r>
        <w:t xml:space="preserve">Signal Intensity in Disruption from Below is the smallsat/rideshare bus a Christensen low-end disru: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Greta Strand (1B-ECO-223) and the dissertation project</w:t>
      </w:r>
      <w:r>
        <w:t xml:space="preserve"> </w:t>
      </w:r>
      <w:r>
        <w:rPr>
          <w:i/>
          <w:iCs/>
        </w:rPr>
        <w:t xml:space="preserve">Disruption from Below: is the smallsat/rideshare bus a Christensen low-end disru</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R2=0.42175457287790263, R2_adj=0.3550339466715068, F=8.672949244628327, F_p=0.0003719986091501786. The exact term summary is: const coef=5.083168715634308 p=7.605733978021624e-08; recency_index coef=0.11341499136246169 p=0.07188420876483026; cites_num coef=-0.007909968613391102 p=0.09877372851446231; venue_score coef=-1.923533898093268 p=6.707671548340307e-07.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Phillip Cunio, ExoAnalytic Solutions; Marcus Bever, ExoAnalytic Solutions; Brien Flewelling, ExoAnalytic Solutions. Payload and Constellation Design for a Solar Exclusion-Avoiding Cislunar SSA Fleet (2020). [AMOS]</w:t>
      </w:r>
      <w:r>
        <w:t xml:space="preserve"> </w:t>
      </w:r>
      <w:bookmarkStart w:id="68" w:name="ref-2"/>
      <w:bookmarkEnd w:id="68"/>
      <w:r>
        <w:t xml:space="preserve">2.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69">
        <w:r>
          <w:rPr>
            <w:rStyle w:val="Hyperlink"/>
          </w:rPr>
          <w:t xml:space="preserve">10.64861/PFBR4795</w:t>
        </w:r>
      </w:hyperlink>
      <w:r>
        <w:t xml:space="preserve"> </w:t>
      </w:r>
      <w:bookmarkStart w:id="70" w:name="ref-3"/>
      <w:bookmarkEnd w:id="70"/>
      <w:r>
        <w:t xml:space="preserve">3. David Robie, General Atomics Electromagnetic Systems; Aaron Freeman, General Atomics Electromagnetics; Robert Peterkin, General Atomics. MicroSat Laser Communication Terminals and IR Imaging Payloads for Space-Based Applications (2020). [AMOS]</w:t>
      </w:r>
      <w:r>
        <w:t xml:space="preserve"> </w:t>
      </w:r>
      <w:bookmarkStart w:id="71" w:name="ref-4"/>
      <w:bookmarkEnd w:id="71"/>
      <w:r>
        <w:t xml:space="preserve">4. Operational Collision Risk Management – Evaluating and Mitigating High-Risk Conjunction Events Matthew Duncan (SpaceNav), Joshua Wysack (SpaceNav). Operational Collision Risk Management –Evaluating and Mitigating High-Risk Conjunction Events (2011). [AMOS]</w:t>
      </w:r>
      <w:r>
        <w:t xml:space="preserve"> </w:t>
      </w:r>
      <w:bookmarkStart w:id="72" w:name="ref-5"/>
      <w:bookmarkEnd w:id="72"/>
      <w:r>
        <w:t xml:space="preserve">5. Alexander Macmanus, University of Warwick &amp; Defence Science Technology Laboratory (Dstl); Don Pollacco, University of Warwick; Paul Chote, University of Warwick; Calum Meredith, Defence Science Technology Laboratory (Dstl). Dual-band Characterisation of Low-Earth Orbit Satellites Using Machine Learning Techniques (2025). doi:</w:t>
      </w:r>
      <w:r>
        <w:t xml:space="preserve"> </w:t>
      </w:r>
      <w:hyperlink r:id="rId73">
        <w:r>
          <w:rPr>
            <w:rStyle w:val="Hyperlink"/>
          </w:rPr>
          <w:t xml:space="preserve">10.64861/QSBT6539</w:t>
        </w:r>
      </w:hyperlink>
      <w:r>
        <w:t xml:space="preserve"> </w:t>
      </w:r>
      <w:bookmarkStart w:id="74" w:name="ref-6"/>
      <w:bookmarkEnd w:id="74"/>
      <w:r>
        <w:t xml:space="preserve">6. Richard Stottler, Stottler Henke Associates, Inc.; Gregory Howe, Stottler Henke Associates, Inc.. Delay/Disruption Tolerant Reinforcement Learning Aurora based Communication System (DREAMS) (2022). [AMOS]</w:t>
      </w:r>
      <w:r>
        <w:t xml:space="preserve"> </w:t>
      </w:r>
      <w:bookmarkStart w:id="75" w:name="ref-7"/>
      <w:bookmarkEnd w:id="75"/>
      <w:r>
        <w:t xml:space="preserve">7. Max Geissbuhler, Slingshot Aerospace; Nicholas Noyes, Slingshot Aerospace; Jesse Gutknecht, Slingshot Aerospace; Tyler Mancini, Slingshot Aerospace; Jeffrey Shaddix, Slingshot Aerospace; Belinda Marchand, Slingshot Aerospace. Rapid Tracking, Characterization, and Cataloguing of Multi-Payload Launches to Low Earth Orbit (2025). doi:</w:t>
      </w:r>
      <w:r>
        <w:t xml:space="preserve"> </w:t>
      </w:r>
      <w:hyperlink r:id="rId76">
        <w:r>
          <w:rPr>
            <w:rStyle w:val="Hyperlink"/>
          </w:rPr>
          <w:t xml:space="preserve">10.64861/DXXP4768</w:t>
        </w:r>
      </w:hyperlink>
      <w:r>
        <w:t xml:space="preserve"> </w:t>
      </w:r>
      <w:bookmarkStart w:id="77" w:name="ref-8"/>
      <w:bookmarkEnd w:id="77"/>
      <w:r>
        <w:t xml:space="preserve">8. Keith Morris (Lockheed Martin Space Systems Company), Chris Rice (Lockheed Martin Space Systems Company). Concepts for an Enhanced CubeSat GEO Space Situational Awareness Architecture (2014).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5.0832</w:t>
            </w:r>
          </w:p>
        </w:tc>
        <w:tc>
          <w:tcPr>
            <w:tcW w:w="0" w:type="auto"/>
          </w:tcPr>
          <w:p>
            <w:pPr>
              <w:spacing w:line="240" w:lineRule="auto" w:before="0" w:after="0"/>
              <w:pStyle w:val="Compact"/>
            </w:pPr>
            <w:r>
              <w:rPr>
                <w:sz w:val="20"/>
                <w:szCs w:val="20"/>
              </w:rPr>
              <w:t xml:space="preserve">0.9455</w:t>
            </w:r>
          </w:p>
        </w:tc>
        <w:tc>
          <w:tcPr>
            <w:tcW w:w="0" w:type="auto"/>
          </w:tcPr>
          <w:p>
            <w:pPr>
              <w:spacing w:line="240" w:lineRule="auto" w:before="0" w:after="0"/>
              <w:pStyle w:val="Compact"/>
            </w:pPr>
            <w:r>
              <w:rPr>
                <w:sz w:val="20"/>
                <w:szCs w:val="20"/>
              </w:rPr>
              <w:t xml:space="preserve">5.3762</w:t>
            </w:r>
          </w:p>
        </w:tc>
        <w:tc>
          <w:tcPr>
            <w:tcW w:w="0" w:type="auto"/>
          </w:tcPr>
          <w:p>
            <w:pPr>
              <w:spacing w:line="240" w:lineRule="auto" w:before="0" w:after="0"/>
              <w:pStyle w:val="Compact"/>
            </w:pPr>
            <w:r>
              <w:rPr>
                <w:sz w:val="20"/>
                <w:szCs w:val="20"/>
              </w:rPr>
              <w:t xml:space="preserve">7.606e-08</w:t>
            </w:r>
          </w:p>
        </w:tc>
        <w:tc>
          <w:tcPr>
            <w:tcW w:w="0" w:type="auto"/>
          </w:tcPr>
          <w:p>
            <w:pPr>
              <w:spacing w:line="240" w:lineRule="auto" w:before="0" w:after="0"/>
              <w:pStyle w:val="Compact"/>
            </w:pPr>
            <w:r>
              <w:rPr>
                <w:sz w:val="20"/>
                <w:szCs w:val="20"/>
              </w:rPr>
              <w:t xml:space="preserve">[3.23, 6.9363]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0.1134</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1.7999</w:t>
            </w:r>
          </w:p>
        </w:tc>
        <w:tc>
          <w:tcPr>
            <w:tcW w:w="0" w:type="auto"/>
          </w:tcPr>
          <w:p>
            <w:pPr>
              <w:spacing w:line="240" w:lineRule="auto" w:before="0" w:after="0"/>
              <w:pStyle w:val="Compact"/>
            </w:pPr>
            <w:r>
              <w:rPr>
                <w:sz w:val="20"/>
                <w:szCs w:val="20"/>
              </w:rPr>
              <w:t xml:space="preserve">0.0719</w:t>
            </w:r>
          </w:p>
        </w:tc>
        <w:tc>
          <w:tcPr>
            <w:tcW w:w="0" w:type="auto"/>
          </w:tcPr>
          <w:p>
            <w:pPr>
              <w:spacing w:line="240" w:lineRule="auto" w:before="0" w:after="0"/>
              <w:pStyle w:val="Compact"/>
            </w:pPr>
            <w:r>
              <w:rPr>
                <w:sz w:val="20"/>
                <w:szCs w:val="20"/>
              </w:rPr>
              <w:t xml:space="preserve">[-0.0101, 0.2369]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-1.6508</w:t>
            </w:r>
          </w:p>
        </w:tc>
        <w:tc>
          <w:tcPr>
            <w:tcW w:w="0" w:type="auto"/>
          </w:tcPr>
          <w:p>
            <w:pPr>
              <w:spacing w:line="240" w:lineRule="auto" w:before="0" w:after="0"/>
              <w:pStyle w:val="Compact"/>
            </w:pPr>
            <w:r>
              <w:rPr>
                <w:sz w:val="20"/>
                <w:szCs w:val="20"/>
              </w:rPr>
              <w:t xml:space="preserve">0.0988</w:t>
            </w:r>
          </w:p>
        </w:tc>
        <w:tc>
          <w:tcPr>
            <w:tcW w:w="0" w:type="auto"/>
          </w:tcPr>
          <w:p>
            <w:pPr>
              <w:spacing w:line="240" w:lineRule="auto" w:before="0" w:after="0"/>
              <w:pStyle w:val="Compact"/>
            </w:pPr>
            <w:r>
              <w:rPr>
                <w:sz w:val="20"/>
                <w:szCs w:val="20"/>
              </w:rPr>
              <w:t xml:space="preserve">[-0.0173, 0.0015]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-1.9235</w:t>
            </w:r>
          </w:p>
        </w:tc>
        <w:tc>
          <w:tcPr>
            <w:tcW w:w="0" w:type="auto"/>
          </w:tcPr>
          <w:p>
            <w:pPr>
              <w:spacing w:line="240" w:lineRule="auto" w:before="0" w:after="0"/>
              <w:pStyle w:val="Compact"/>
            </w:pPr>
            <w:r>
              <w:rPr>
                <w:sz w:val="20"/>
                <w:szCs w:val="20"/>
              </w:rPr>
              <w:t xml:space="preserve">0.3871</w:t>
            </w:r>
          </w:p>
        </w:tc>
        <w:tc>
          <w:tcPr>
            <w:tcW w:w="0" w:type="auto"/>
          </w:tcPr>
          <w:p>
            <w:pPr>
              <w:spacing w:line="240" w:lineRule="auto" w:before="0" w:after="0"/>
              <w:pStyle w:val="Compact"/>
            </w:pPr>
            <w:r>
              <w:rPr>
                <w:sz w:val="20"/>
                <w:szCs w:val="20"/>
              </w:rPr>
              <w:t xml:space="preserve">-4.9696</w:t>
            </w:r>
          </w:p>
        </w:tc>
        <w:tc>
          <w:tcPr>
            <w:tcW w:w="0" w:type="auto"/>
          </w:tcPr>
          <w:p>
            <w:pPr>
              <w:spacing w:line="240" w:lineRule="auto" w:before="0" w:after="0"/>
              <w:pStyle w:val="Compact"/>
            </w:pPr>
            <w:r>
              <w:rPr>
                <w:sz w:val="20"/>
                <w:szCs w:val="20"/>
              </w:rPr>
              <w:t xml:space="preserve">6.708e-07</w:t>
            </w:r>
          </w:p>
        </w:tc>
        <w:tc>
          <w:tcPr>
            <w:tcW w:w="0" w:type="auto"/>
          </w:tcPr>
          <w:p>
            <w:pPr>
              <w:spacing w:line="240" w:lineRule="auto" w:before="0" w:after="0"/>
              <w:pStyle w:val="Compact"/>
            </w:pPr>
            <w:r>
              <w:rPr>
                <w:sz w:val="20"/>
                <w:szCs w:val="20"/>
              </w:rPr>
              <w:t xml:space="preserve">[-2.6822, -1.1649]</w:t>
            </w:r>
          </w:p>
        </w:tc>
      </w:tr>
    </w:tbl>
    <w:p>
      <w:pPr>
        <w:pStyle w:val="BodyText"/>
      </w:pPr>
      <w:r>
        <w:t xml:space="preserve">Fit: N = 30 R2 = 0.4218 R2_adj = 0.355 F = 8.6729 F_p = 0.000372</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SPACE_ECON_06\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https://amostech.space/year/2020/microsat-laser-communication-terminals-and-ir-imaging-payloads-for-space-based-applications/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https://amostech.space/year/2011/operational-collision-risk-management-evaluating-and-mitigating-high-risk-conjunction-events/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10.64861/QSBT6539</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https://amostech.space/year/2022/delay-disruption-tolerant-reinforcement-learning-aurora-based-communication-system-dreams/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10.64861/DXXP4768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https://amostech.space/year/2014/concepts-for-an-enhanced-cubesat-geo-space-situational-awareness-architecture/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https://amostech.space/year/2007/samm-2-a-rapid-modular-and-extensible-all-altitude-vis-ir-background-scene-generator/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10.64861/ZLBP3943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https://amostech.space/year/2022/the-experiment-for-space-radiation-analysis-esra-technology-maturation-of-next-generation-charged-particle-detectors-in-gto/</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10.1016/j.actaastro.2024.05.045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10.1016/j.actaastro.2026.01.050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10.1016/j.actaastro.2022.11.046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10.1016/j.actaastro.2024.06.033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10.1016/j.actaastro.2024.12.057</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10.1016/j.actaastro.2019.05.010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5.0832</w:t>
            </w:r>
          </w:p>
        </w:tc>
        <w:tc>
          <w:tcPr>
            <w:tcW w:w="0" w:type="auto"/>
          </w:tcPr>
          <w:p>
            <w:pPr>
              <w:spacing w:line="240" w:lineRule="auto" w:before="0" w:after="0"/>
              <w:pStyle w:val="Compact"/>
            </w:pPr>
            <w:r>
              <w:rPr>
                <w:sz w:val="20"/>
                <w:szCs w:val="20"/>
              </w:rPr>
              <w:t xml:space="preserve">0.9455</w:t>
            </w:r>
          </w:p>
        </w:tc>
        <w:tc>
          <w:tcPr>
            <w:tcW w:w="0" w:type="auto"/>
          </w:tcPr>
          <w:p>
            <w:pPr>
              <w:spacing w:line="240" w:lineRule="auto" w:before="0" w:after="0"/>
              <w:pStyle w:val="Compact"/>
            </w:pPr>
            <w:r>
              <w:rPr>
                <w:sz w:val="20"/>
                <w:szCs w:val="20"/>
              </w:rPr>
              <w:t xml:space="preserve">5.3762</w:t>
            </w:r>
          </w:p>
        </w:tc>
        <w:tc>
          <w:tcPr>
            <w:tcW w:w="0" w:type="auto"/>
          </w:tcPr>
          <w:p>
            <w:pPr>
              <w:spacing w:line="240" w:lineRule="auto" w:before="0" w:after="0"/>
              <w:pStyle w:val="Compact"/>
            </w:pPr>
            <w:r>
              <w:rPr>
                <w:sz w:val="20"/>
                <w:szCs w:val="20"/>
              </w:rPr>
              <w:t xml:space="preserve">7.606e-08</w:t>
            </w:r>
          </w:p>
        </w:tc>
        <w:tc>
          <w:tcPr>
            <w:tcW w:w="0" w:type="auto"/>
          </w:tcPr>
          <w:p>
            <w:pPr>
              <w:spacing w:line="240" w:lineRule="auto" w:before="0" w:after="0"/>
              <w:pStyle w:val="Compact"/>
            </w:pPr>
            <w:r>
              <w:rPr>
                <w:sz w:val="20"/>
                <w:szCs w:val="20"/>
              </w:rPr>
              <w:t xml:space="preserve">[3.23, 6.9363]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0.1134</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1.7999</w:t>
            </w:r>
          </w:p>
        </w:tc>
        <w:tc>
          <w:tcPr>
            <w:tcW w:w="0" w:type="auto"/>
          </w:tcPr>
          <w:p>
            <w:pPr>
              <w:spacing w:line="240" w:lineRule="auto" w:before="0" w:after="0"/>
              <w:pStyle w:val="Compact"/>
            </w:pPr>
            <w:r>
              <w:rPr>
                <w:sz w:val="20"/>
                <w:szCs w:val="20"/>
              </w:rPr>
              <w:t xml:space="preserve">0.0719</w:t>
            </w:r>
          </w:p>
        </w:tc>
        <w:tc>
          <w:tcPr>
            <w:tcW w:w="0" w:type="auto"/>
          </w:tcPr>
          <w:p>
            <w:pPr>
              <w:spacing w:line="240" w:lineRule="auto" w:before="0" w:after="0"/>
              <w:pStyle w:val="Compact"/>
            </w:pPr>
            <w:r>
              <w:rPr>
                <w:sz w:val="20"/>
                <w:szCs w:val="20"/>
              </w:rPr>
              <w:t xml:space="preserve">[-0.0101, 0.2369]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-1.6508</w:t>
            </w:r>
          </w:p>
        </w:tc>
        <w:tc>
          <w:tcPr>
            <w:tcW w:w="0" w:type="auto"/>
          </w:tcPr>
          <w:p>
            <w:pPr>
              <w:spacing w:line="240" w:lineRule="auto" w:before="0" w:after="0"/>
              <w:pStyle w:val="Compact"/>
            </w:pPr>
            <w:r>
              <w:rPr>
                <w:sz w:val="20"/>
                <w:szCs w:val="20"/>
              </w:rPr>
              <w:t xml:space="preserve">0.0988</w:t>
            </w:r>
          </w:p>
        </w:tc>
        <w:tc>
          <w:tcPr>
            <w:tcW w:w="0" w:type="auto"/>
          </w:tcPr>
          <w:p>
            <w:pPr>
              <w:spacing w:line="240" w:lineRule="auto" w:before="0" w:after="0"/>
              <w:pStyle w:val="Compact"/>
            </w:pPr>
            <w:r>
              <w:rPr>
                <w:sz w:val="20"/>
                <w:szCs w:val="20"/>
              </w:rPr>
              <w:t xml:space="preserve">[-0.0173, 0.0015]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-1.9235</w:t>
            </w:r>
          </w:p>
        </w:tc>
        <w:tc>
          <w:tcPr>
            <w:tcW w:w="0" w:type="auto"/>
          </w:tcPr>
          <w:p>
            <w:pPr>
              <w:spacing w:line="240" w:lineRule="auto" w:before="0" w:after="0"/>
              <w:pStyle w:val="Compact"/>
            </w:pPr>
            <w:r>
              <w:rPr>
                <w:sz w:val="20"/>
                <w:szCs w:val="20"/>
              </w:rPr>
              <w:t xml:space="preserve">0.3871</w:t>
            </w:r>
          </w:p>
        </w:tc>
        <w:tc>
          <w:tcPr>
            <w:tcW w:w="0" w:type="auto"/>
          </w:tcPr>
          <w:p>
            <w:pPr>
              <w:spacing w:line="240" w:lineRule="auto" w:before="0" w:after="0"/>
              <w:pStyle w:val="Compact"/>
            </w:pPr>
            <w:r>
              <w:rPr>
                <w:sz w:val="20"/>
                <w:szCs w:val="20"/>
              </w:rPr>
              <w:t xml:space="preserve">-4.9696</w:t>
            </w:r>
          </w:p>
        </w:tc>
        <w:tc>
          <w:tcPr>
            <w:tcW w:w="0" w:type="auto"/>
          </w:tcPr>
          <w:p>
            <w:pPr>
              <w:spacing w:line="240" w:lineRule="auto" w:before="0" w:after="0"/>
              <w:pStyle w:val="Compact"/>
            </w:pPr>
            <w:r>
              <w:rPr>
                <w:sz w:val="20"/>
                <w:szCs w:val="20"/>
              </w:rPr>
              <w:t xml:space="preserve">6.708e-07</w:t>
            </w:r>
          </w:p>
        </w:tc>
        <w:tc>
          <w:tcPr>
            <w:tcW w:w="0" w:type="auto"/>
          </w:tcPr>
          <w:p>
            <w:pPr>
              <w:spacing w:line="240" w:lineRule="auto" w:before="0" w:after="0"/>
              <w:pStyle w:val="Compact"/>
            </w:pPr>
            <w:r>
              <w:rPr>
                <w:sz w:val="20"/>
                <w:szCs w:val="20"/>
              </w:rPr>
              <w:t xml:space="preserve">[-2.6822, -1.1649]</w:t>
            </w:r>
          </w:p>
        </w:tc>
      </w:tr>
    </w:tbl>
    <w:p>
      <w:pPr>
        <w:pStyle w:val="BodyText"/>
      </w:pPr>
      <w:r>
        <w:t xml:space="preserve">Fit: N = 30 R2 = 0.4218 R2_adj = 0.355 F = 8.6729 F_p = 0.000372</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6" Target="https://doi.org/10.64861/DXXP4768" TargetMode="External" /><Relationship Type="http://schemas.openxmlformats.org/officeDocument/2006/relationships/hyperlink" Id="rId69" Target="https://doi.org/10.64861/PFBR4795" TargetMode="External" /><Relationship Type="http://schemas.openxmlformats.org/officeDocument/2006/relationships/hyperlink" Id="rId73" Target="https://doi.org/10.64861/QSBT6539"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DXXP4768" TargetMode="External" /><Relationship Type="http://schemas.openxmlformats.org/officeDocument/2006/relationships/hyperlink" Id="rId69" Target="https://doi.org/10.64861/PFBR4795" TargetMode="External" /><Relationship Type="http://schemas.openxmlformats.org/officeDocument/2006/relationships/hyperlink" Id="rId73" Target="https://doi.org/10.64861/QSBT653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2026-06-29T09:43:43Z</dcterms:created>
  <dcterms:modified xsi:type="dcterms:W3CDTF">2026-06-29T09:43:43Z</dcterms:modified>
</cp:coreProperties>
</file>

<file path=docProps/custom.xml><?xml version="1.0" encoding="utf-8"?>
<Properties xmlns="http://schemas.openxmlformats.org/officeDocument/2006/custom-properties" xmlns:vt="http://schemas.openxmlformats.org/officeDocument/2006/docPropsVTypes"/>
</file>