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DISRUPTION FROM BELOW: IS THE SMALLSAT/RIDESHARE BUS A CHRISTENSEN LOW-END DISRU</w:t>
      </w:r>
    </w:p>
    <w:p>
      <w:pPr>
        <w:jc w:val="center"/>
      </w:pPr>
    </w:p>
    <w:p>
      <w:pPr>
        <w:jc w:val="center"/>
      </w:pPr>
      <w:r>
        <w:rPr>
          <w:rFonts w:ascii="Times New Roman" w:hAnsi="Times New Roman"/>
          <w:sz w:val="24"/>
        </w:rPr>
        <w:t>by</w:t>
      </w:r>
    </w:p>
    <w:p>
      <w:pPr>
        <w:jc w:val="center"/>
      </w:pPr>
      <w:r>
        <w:rPr>
          <w:rFonts w:ascii="Times New Roman" w:hAnsi="Times New Roman"/>
          <w:b/>
          <w:sz w:val="28"/>
        </w:rPr>
        <w:t>Greta Strand</w:t>
      </w:r>
    </w:p>
    <w:p>
      <w:pPr>
        <w:jc w:val="center"/>
      </w:pPr>
      <w:r>
        <w:rPr>
          <w:rFonts w:ascii="Times New Roman" w:hAnsi="Times New Roman"/>
          <w:sz w:val="24"/>
        </w:rPr>
        <w:t>1B-ECO-223</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3" w:name="chapter-1.-introduction"/>
    <w:p>
      <w:pPr>
        <w:pStyle w:val="Heading1"/>
        <w:spacing w:line="480" w:lineRule="auto"/>
      </w:pPr>
      <w:r>
        <w:t xml:space="preserve">Chapter 1. Introduction</w:t>
      </w:r>
    </w:p>
    <w:bookmarkStart w:id="61" w:name="X7172caa9519ba4d54d61adeb6585dcb2eb46761"/>
    <w:p>
      <w:pPr>
        <w:pStyle w:val="Heading2"/>
        <w:spacing w:line="480" w:lineRule="auto"/>
      </w:pPr>
      <w:r>
        <w:t xml:space="preserve">1.1 A question that arrives before its institution</w:t>
      </w:r>
    </w:p>
    <w:p>
      <w:pPr>
        <w:pStyle w:val="FirstParagraph"/>
        <w:spacing w:line="480" w:lineRule="auto"/>
      </w:pPr>
      <w:r>
        <w:t xml:space="preserve">Cheap access changes who gets to fly. That single fact sits underneath this dissertation. Price fell. Participation widened. For most of the space age, reaching orbit meant commissioning a dedicated launch, a dedicated bus, and a dedicated mission team, and the price of that arrangement kept the field small and its participants familiar. The smallsat and the rideshare manifest broke that arrangement. A standardized bus, a shared upper stage, and a published price per kilogram let operators who could never have afforded a dedicated flight place a payload in low Earth orbit for a fraction of the historical cost</w:t>
      </w:r>
      <w:r>
        <w:t xml:space="preserve"> </w:t>
      </w:r>
      <w:hyperlink w:anchor="ref-10">
        <w:r>
          <w:rPr>
            <w:rStyle w:val="Hyperlink"/>
          </w:rPr>
          <w:t xml:space="preserve">[10]</w:t>
        </w:r>
      </w:hyperlink>
      <w:r>
        <w:t xml:space="preserve">. Greta Strand’s dissertation,</w:t>
      </w:r>
      <w:r>
        <w:t xml:space="preserve"> </w:t>
      </w:r>
      <w:r>
        <w:rPr>
          <w:i/>
          <w:iCs/>
        </w:rPr>
        <w:t xml:space="preserve">Disruption from Below: is the smallsat/rideshare bus a Christensen low-end disruptor</w:t>
      </w:r>
      <w:r>
        <w:t xml:space="preserve">, takes that shift seriously and asks whether it fits the specific technical meaning of disruption rather than the loose journalistic one.</w:t>
      </w:r>
    </w:p>
    <w:p>
      <w:pPr>
        <w:pStyle w:val="BodyText"/>
        <w:spacing w:line="480" w:lineRule="auto"/>
        <w:ind w:firstLine="720"/>
      </w:pPr>
      <w:r>
        <w:t xml:space="preserve">The distinction matters because words carry theory. When a trade press writer calls the rideshare model disruptive, the claim is usually rhetorical. When an analyst invokes Clayton Christensen’s framework, the claim becomes testable: a low-end disruptor enters underneath the incumbent performance frontier, serves customers the incumbent is content to cede, and then improves along a trajectory that eventually reaches the mainstream market</w:t>
      </w:r>
      <w:r>
        <w:t xml:space="preserve"> </w:t>
      </w:r>
      <w:hyperlink w:anchor="ref-11">
        <w:r>
          <w:rPr>
            <w:rStyle w:val="Hyperlink"/>
          </w:rPr>
          <w:t xml:space="preserve">[11]</w:t>
        </w:r>
      </w:hyperlink>
      <w:r>
        <w:t xml:space="preserve">. The framework predicts a signature. This project asks whether that signature is visible in the documentary and bibliometric record the candidate can actually obtain, and it declines to answer beyond what that record supports.</w:t>
      </w:r>
    </w:p>
    <w:p>
      <w:pPr>
        <w:pStyle w:val="BodyText"/>
        <w:spacing w:line="480" w:lineRule="auto"/>
        <w:ind w:firstLine="720"/>
      </w:pPr>
      <w:r>
        <w:t xml:space="preserve">That restraint is the governing posture of the whole document. The dissertation is not a general essay on the rise of small satellites. It is a bounded empirical inquiry built from source-traced records, reported metadata, and auditable estimator output. Every number that appears in these chapters is a workbook result. Every substantive claim is conditional on the corpus assembled for the candidate. The design accepts a smaller question in exchange for a defensible answer.</w:t>
      </w:r>
    </w:p>
    <w:bookmarkEnd w:id="61"/>
    <w:bookmarkStart w:id="62" w:name="why-the-stakes-are-real"/>
    <w:p>
      <w:pPr>
        <w:pStyle w:val="Heading2"/>
        <w:spacing w:line="480" w:lineRule="auto"/>
      </w:pPr>
      <w:r>
        <w:t xml:space="preserve">1.2 Why the stakes are real</w:t>
      </w:r>
    </w:p>
    <w:p>
      <w:pPr>
        <w:pStyle w:val="FirstParagraph"/>
        <w:spacing w:line="480" w:lineRule="auto"/>
      </w:pPr>
      <w:r>
        <w:t xml:space="preserve">The smallsat economy is no longer a curiosity. It is an industry now. Rideshare aggregation, standardized deployers, and modular payload management systems have turned orbit into something closer to a scheduled freight service than a bespoke expedition</w:t>
      </w:r>
      <w:r>
        <w:t xml:space="preserve"> </w:t>
      </w:r>
      <w:hyperlink w:anchor="ref-13">
        <w:r>
          <w:rPr>
            <w:rStyle w:val="Hyperlink"/>
          </w:rPr>
          <w:t xml:space="preserve">[13]</w:t>
        </w:r>
      </w:hyperlink>
      <w:r>
        <w:t xml:space="preserve">. Operators now design missions around published launch cadences and standard interfaces, and that reorganization has consequences that reach past engineering into governance, market structure, and national program planning</w:t>
      </w:r>
      <w:r>
        <w:t xml:space="preserve"> </w:t>
      </w:r>
      <w:hyperlink w:anchor="ref-11">
        <w:r>
          <w:rPr>
            <w:rStyle w:val="Hyperlink"/>
          </w:rPr>
          <w:t xml:space="preserve">[11]</w:t>
        </w:r>
      </w:hyperlink>
      <w:r>
        <w:t xml:space="preserve">.</w:t>
      </w:r>
    </w:p>
    <w:p>
      <w:pPr>
        <w:pStyle w:val="BodyText"/>
        <w:spacing w:line="480" w:lineRule="auto"/>
        <w:ind w:firstLine="720"/>
      </w:pPr>
      <w:r>
        <w:t xml:space="preserve">Governance is where the pressure shows first. A launch that carries dozens of small payloads produces a tracking and cataloguing problem that did not exist when a rocket carried one large satellite</w:t>
      </w:r>
      <w:r>
        <w:t xml:space="preserve"> </w:t>
      </w:r>
      <w:hyperlink w:anchor="ref-7">
        <w:r>
          <w:rPr>
            <w:rStyle w:val="Hyperlink"/>
          </w:rPr>
          <w:t xml:space="preserve">[7]</w:t>
        </w:r>
      </w:hyperlink>
      <w:r>
        <w:t xml:space="preserve">. Space situational awareness architectures were sized for a sparser sky, and the multi-payload deployment pattern stresses them in ways operators and regulators are still learning to describe</w:t>
      </w:r>
      <w:r>
        <w:t xml:space="preserve"> </w:t>
      </w:r>
      <w:hyperlink w:anchor="ref-8">
        <w:r>
          <w:rPr>
            <w:rStyle w:val="Hyperlink"/>
          </w:rPr>
          <w:t xml:space="preserve">[8]</w:t>
        </w:r>
      </w:hyperlink>
      <w:r>
        <w:t xml:space="preserve">. The disruption question is therefore not academic. If the rideshare bus is a genuine low-end disruptor, then the institutions that manage orbital traffic, licensing, and collision risk are facing a moving frontier rather than a one-time adjustment.</w:t>
      </w:r>
    </w:p>
    <w:p>
      <w:pPr>
        <w:pStyle w:val="BodyText"/>
        <w:spacing w:line="480" w:lineRule="auto"/>
        <w:ind w:firstLine="720"/>
      </w:pPr>
      <w:r>
        <w:t xml:space="preserve">Program planning is the second stake. Agencies and primes decide where to place scarce capital based on beliefs about which architectures will mature. A framework that correctly labels the smallsat bus as a disruptor implies one investment posture; a framework that treats it as a niche implies another. Getting the label wrong is expensive in both directions, and the cost of overconfidence is exactly why this dissertation insists on measuring what the record can bear before it advises anyone</w:t>
      </w:r>
      <w:r>
        <w:t xml:space="preserve"> </w:t>
      </w:r>
      <w:hyperlink w:anchor="ref-9">
        <w:r>
          <w:rPr>
            <w:rStyle w:val="Hyperlink"/>
          </w:rPr>
          <w:t xml:space="preserve">[9]</w:t>
        </w:r>
      </w:hyperlink>
      <w:r>
        <w:t xml:space="preserve">.</w:t>
      </w:r>
    </w:p>
    <w:bookmarkEnd w:id="62"/>
    <w:bookmarkStart w:id="63" w:name="the-gap-this-dissertation-addresses"/>
    <w:p>
      <w:pPr>
        <w:pStyle w:val="Heading2"/>
        <w:spacing w:line="480" w:lineRule="auto"/>
      </w:pPr>
      <w:r>
        <w:t xml:space="preserve">1.3 The gap this dissertation addresses</w:t>
      </w:r>
    </w:p>
    <w:p>
      <w:pPr>
        <w:pStyle w:val="FirstParagraph"/>
        <w:spacing w:line="480" w:lineRule="auto"/>
      </w:pPr>
      <w:r>
        <w:t xml:space="preserve">Two gaps motivate the design. The first sits between technical description and institutional explanation. Source records document what small satellites do, how they are deployed, and how they are tracked, but a technical record rarely explains why governance language tightens around a technology or stays permissive</w:t>
      </w:r>
      <w:r>
        <w:t xml:space="preserve"> </w:t>
      </w:r>
      <w:hyperlink w:anchor="ref-3">
        <w:r>
          <w:rPr>
            <w:rStyle w:val="Hyperlink"/>
          </w:rPr>
          <w:t xml:space="preserve">[3]</w:t>
        </w:r>
      </w:hyperlink>
      <w:r>
        <w:t xml:space="preserve">. A conjunction analysis paper describes risk; it does not, on its own, tell us whether that risk will harden into rule</w:t>
      </w:r>
      <w:r>
        <w:t xml:space="preserve"> </w:t>
      </w:r>
      <w:hyperlink w:anchor="ref-4">
        <w:r>
          <w:rPr>
            <w:rStyle w:val="Hyperlink"/>
          </w:rPr>
          <w:t xml:space="preserve">[4]</w:t>
        </w:r>
      </w:hyperlink>
      <w:r>
        <w:t xml:space="preserve">. The candidate treats that missing link as something to be probed with evidence rather than asserted with confidence.</w:t>
      </w:r>
    </w:p>
    <w:p>
      <w:pPr>
        <w:pStyle w:val="BodyText"/>
        <w:spacing w:line="480" w:lineRule="auto"/>
        <w:ind w:firstLine="720"/>
      </w:pPr>
      <w:r>
        <w:t xml:space="preserve">The second gap sits between salience and measurement. It is easy to say the rideshare topic is rising. It is harder to show that rise in a way another researcher could reproduce. Publication recency, citation attention, and venue family are all observable, and each carries a signal about how a topic is distributed across a retrieved corpus, yet none of them is self-interpreting</w:t>
      </w:r>
      <w:r>
        <w:t xml:space="preserve"> </w:t>
      </w:r>
      <w:hyperlink w:anchor="ref-2">
        <w:r>
          <w:rPr>
            <w:rStyle w:val="Hyperlink"/>
          </w:rPr>
          <w:t xml:space="preserve">[2]</w:t>
        </w:r>
      </w:hyperlink>
      <w:r>
        <w:t xml:space="preserve">. A topic can be recent and uncited, or old and heavily cited, and the pattern of those combinations is what a disciplined design tries to read</w:t>
      </w:r>
      <w:r>
        <w:t xml:space="preserve"> </w:t>
      </w:r>
      <w:hyperlink w:anchor="ref-6">
        <w:r>
          <w:rPr>
            <w:rStyle w:val="Hyperlink"/>
          </w:rPr>
          <w:t xml:space="preserve">[6]</w:t>
        </w:r>
      </w:hyperlink>
      <w:r>
        <w:t xml:space="preserve">. The prospectus names this gap and then narrows the contribution to a test that survives replication.</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dissertation stakes itself on one falsifiable proposition. Stated as a null and its alternative:</w:t>
      </w:r>
    </w:p>
    <w:p>
      <w:pPr>
        <w:pStyle w:val="BodyText"/>
        <w:spacing w:line="480" w:lineRule="auto"/>
        <w:ind w:firstLine="720"/>
      </w:pPr>
      <w:r>
        <w:t xml:space="preserve">H0: the candidate topic signal is unrelated to publication recency, citation attention, and venue family in the retrieved source corpus.</w:t>
      </w:r>
    </w:p>
    <w:p>
      <w:pPr>
        <w:pStyle w:val="BodyText"/>
        <w:spacing w:line="480" w:lineRule="auto"/>
        <w:ind w:firstLine="720"/>
      </w:pPr>
      <w:r>
        <w:t xml:space="preserve">H1: the candidate topic signal is systematically related to publication recency, citation attention, and venue family in the retrieved source corpus.</w:t>
      </w:r>
    </w:p>
    <w:p>
      <w:pPr>
        <w:pStyle w:val="BodyText"/>
        <w:spacing w:line="480" w:lineRule="auto"/>
        <w:ind w:firstLine="720"/>
      </w:pPr>
      <w:r>
        <w:t xml:space="preserve">This is deliberately modest. It does not claim to prove that the rideshare bus is a Christensen disruptor. It claims something a workbook can actually establish: that the topic leaves a measurable, structured trace in the metadata of the sources that discuss it, and that the trace has a shape consistent with, or inconsistent with, a technology moving up from below. A corpus screen cannot settle a theory of markets. It can tell us whether the empirical ground is firm enough to build on, and it can tell us where it is not.</w:t>
      </w:r>
    </w:p>
    <w:bookmarkEnd w:id="64"/>
    <w:bookmarkStart w:id="65" w:name="the-empirical-spine"/>
    <w:p>
      <w:pPr>
        <w:pStyle w:val="Heading2"/>
        <w:spacing w:line="480" w:lineRule="auto"/>
      </w:pPr>
      <w:r>
        <w:t xml:space="preserve">1.5 The empirical spine</w:t>
      </w:r>
    </w:p>
    <w:p>
      <w:pPr>
        <w:pStyle w:val="FirstParagraph"/>
        <w:spacing w:line="480" w:lineRule="auto"/>
      </w:pPr>
      <w:r>
        <w:t xml:space="preserve">Two papers carry the empirical weight, and they ask complementary questions. Paper 1 studies cross-sectional structure. It asks whether the topic-signal score attached to each retrieved record varies with how recent the record is, how much it has been cited, and which venue family published it. The specification is ordinary least squares with robust HC1 standard errors, estimated over thirty records, and its stated hypotheses read: H0, the topic-signal score is unrelated to publication recency, citation attention, and venue family; H1, the topic-signal score increases with recency and citation attention.</w:t>
      </w:r>
    </w:p>
    <w:p>
      <w:pPr>
        <w:pStyle w:val="BodyText"/>
        <w:spacing w:line="480" w:lineRule="auto"/>
        <w:ind w:firstLine="720"/>
      </w:pPr>
      <w:r>
        <w:t xml:space="preserve">Paper 1 returns a model with N = 30, R2 = 0.4218, adjusted R2 = 0.3550, F = 8.673, and F p-value = 0.000372. Its term estimates are: const coefficient 5.0832, p = 7.61e-08; recency_index coefficient 0.1134, p = 0.0719; cites_num coefficient -0.0079, p = 0.0988; venue_score coefficient -1.9235, p = 6.71e-07. The venue term dominates, and Chapter 6 reads what that dominance means without inflating it.</w:t>
      </w:r>
    </w:p>
    <w:p>
      <w:pPr>
        <w:pStyle w:val="BodyText"/>
        <w:spacing w:line="480" w:lineRule="auto"/>
        <w:ind w:firstLine="720"/>
      </w:pPr>
      <w:r>
        <w:t xml:space="preserve">Paper 2 studies accumulation over time. It asks whether citation counts grow with article age in a way a learning curve can capture, using a log-log specification with robust HC1 standard errors over the same thirty records. Its hypotheses read: H0, citation accumulation is unrelated to article age; H1, citation accumulation follows a measurable age-based attention curve. The fitted model returns N = 30, R2 = 0.0104, an elasticity of -0.1926, and an implied progress ratio of 0.8750; the term estimates are const coefficient 1.1022, p = 0.0191, and the log-age coefficient -0.1926, p = 0.5076. One paper reads the field’s structure across records; the other reads its shape across time. Neither substitutes for the other.</w:t>
      </w:r>
    </w:p>
    <w:bookmarkEnd w:id="65"/>
    <w:bookmarkStart w:id="66" w:name="what-the-reader-can-expect"/>
    <w:p>
      <w:pPr>
        <w:pStyle w:val="Heading2"/>
        <w:spacing w:line="480" w:lineRule="auto"/>
      </w:pPr>
      <w:r>
        <w:t xml:space="preserve">1.6 What the reader can expect</w:t>
      </w:r>
    </w:p>
    <w:p>
      <w:pPr>
        <w:pStyle w:val="FirstParagraph"/>
        <w:spacing w:line="480" w:lineRule="auto"/>
      </w:pPr>
      <w:r>
        <w:t xml:space="preserve">The two papers deliver a bounded verdict, not a sweeping one. Paper 1 shows that the retained records carry structured variation, most of it running through venue family rather than through recency or raw citation attention. Paper 2 shows that the same corpus does not exhibit a statistically resolved age-based attention curve. Held together, they describe a literature organized by where it is published more than by how old it is or how heavily it is cited, and they leave the causal disruption question open for a design with richer document-level coding.</w:t>
      </w:r>
    </w:p>
    <w:p>
      <w:pPr>
        <w:pStyle w:val="BodyText"/>
        <w:spacing w:line="480" w:lineRule="auto"/>
        <w:ind w:firstLine="720"/>
      </w:pPr>
      <w:r>
        <w:t xml:space="preserve">The honest reading of that verdict is neither triumphant nor deflated. A finding that venue family carries most of the structured signal is itself informative, because it tells us the topic is currently sorted more by publication community than by cumulative attention. That is precisely the kind of early-stage pattern a genuine disruption might produce before the mainstream market notices it, and it is also the kind of pattern a mere reporting artifact could produce. The workbook cannot separate those two readings. Chapter 7 says so plainly.</w:t>
      </w:r>
    </w:p>
    <w:bookmarkEnd w:id="66"/>
    <w:bookmarkStart w:id="67" w:name="roadmap"/>
    <w:p>
      <w:pPr>
        <w:pStyle w:val="Heading2"/>
        <w:spacing w:line="480" w:lineRule="auto"/>
      </w:pPr>
      <w:r>
        <w:t xml:space="preserve">1.7 Roadmap</w:t>
      </w:r>
    </w:p>
    <w:p>
      <w:pPr>
        <w:pStyle w:val="FirstParagraph"/>
        <w:spacing w:line="480" w:lineRule="auto"/>
      </w:pPr>
      <w:r>
        <w:t xml:space="preserve">The chapters follow the logic of the inquiry. Chapter 2 situates the study against prior work on smallsat access, commercial space maturation, and the measurement of scholarly attention</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Chapter 3 develops the mechanism that would produce a low-end disruption signature and derives the testable predictions from it</w:t>
      </w:r>
      <w:r>
        <w:t xml:space="preserve"> </w:t>
      </w:r>
      <w:hyperlink w:anchor="ref-9">
        <w:r>
          <w:rPr>
            <w:rStyle w:val="Hyperlink"/>
          </w:rPr>
          <w:t xml:space="preserve">[9]</w:t>
        </w:r>
      </w:hyperlink>
      <w:r>
        <w:t xml:space="preserve">. Chapter 4 sets out the estimators and explains why each identifies the association it targets</w:t>
      </w:r>
      <w:r>
        <w:t xml:space="preserve"> </w:t>
      </w:r>
      <w:hyperlink w:anchor="ref-2">
        <w:r>
          <w:rPr>
            <w:rStyle w:val="Hyperlink"/>
          </w:rPr>
          <w:t xml:space="preserve">[2]</w:t>
        </w:r>
      </w:hyperlink>
      <w:r>
        <w:t xml:space="preserve">. Chapter 5 documents the dataset, the variable construction, and the provenance rules that keep the workbooks auditable. Chapter 6 reports the exact estimator output and interprets the signs and magnitudes. Chapter 7 weighs what the findings mean and catalogs the threats to validity that bound them. Chapter 8 states the contribution, connects it to governance and program relevance, and names the next empirical step</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67"/>
    <w:bookmarkStart w:id="68" w:name="the-intellectual-wager-behind-the-design"/>
    <w:p>
      <w:pPr>
        <w:pStyle w:val="Heading2"/>
        <w:spacing w:line="480" w:lineRule="auto"/>
      </w:pPr>
      <w:r>
        <w:t xml:space="preserve">1.8 The intellectual wager behind the design</w:t>
      </w:r>
    </w:p>
    <w:p>
      <w:pPr>
        <w:pStyle w:val="FirstParagraph"/>
        <w:spacing w:line="480" w:lineRule="auto"/>
      </w:pPr>
      <w:r>
        <w:t xml:space="preserve">Every dissertation makes a wager about where its value lies, and this one wagers on discipline over reach. The alternative path was available and tempting. A candidate could assemble a persuasive narrative from the trade press, the launch manifests, and the visible collapse in price per kilogram, and could declare the rideshare bus a textbook Christensen disruptor in twenty confident pages. That essay would read well. It would also be unfalsifiable, because it would offer the reader no way to check its central claim against anything other than the author’s judgment</w:t>
      </w:r>
      <w:r>
        <w:t xml:space="preserve"> </w:t>
      </w:r>
      <w:hyperlink w:anchor="ref-11">
        <w:r>
          <w:rPr>
            <w:rStyle w:val="Hyperlink"/>
          </w:rPr>
          <w:t xml:space="preserve">[11]</w:t>
        </w:r>
      </w:hyperlink>
      <w:r>
        <w:t xml:space="preserve">.</w:t>
      </w:r>
    </w:p>
    <w:p>
      <w:pPr>
        <w:pStyle w:val="BodyText"/>
        <w:spacing w:line="480" w:lineRule="auto"/>
        <w:ind w:firstLine="720"/>
      </w:pPr>
      <w:r>
        <w:t xml:space="preserve">The wager here runs the other way. By binding the argument to two estimable models over a fixed corpus, the dissertation gives up rhetorical sweep and buys the one thing the narrative essay cannot supply: a claim that could have failed. Paper 1 could have returned a flat, insignificant model, and Paper 2 could have returned a sharp positive learning curve, and either outcome would have forced a different reading</w:t>
      </w:r>
      <w:r>
        <w:t xml:space="preserve"> </w:t>
      </w:r>
      <w:hyperlink w:anchor="ref-2">
        <w:r>
          <w:rPr>
            <w:rStyle w:val="Hyperlink"/>
          </w:rPr>
          <w:t xml:space="preserve">[2]</w:t>
        </w:r>
      </w:hyperlink>
      <w:r>
        <w:t xml:space="preserve">. That the models returned what they did is informative only because they were built to be capable of returning something else. Falsifiability is not a decoration on this design; it is the design.</w:t>
      </w:r>
    </w:p>
    <w:p>
      <w:pPr>
        <w:pStyle w:val="BodyText"/>
        <w:spacing w:line="480" w:lineRule="auto"/>
        <w:ind w:firstLine="720"/>
      </w:pPr>
      <w:r>
        <w:t xml:space="preserve">There is a cost to the wager, and honesty requires naming it early. A metadata screen cannot see the mechanism it is trying to detect; it can only see the shadow the mechanism might cast on the record</w:t>
      </w:r>
      <w:r>
        <w:t xml:space="preserve"> </w:t>
      </w:r>
      <w:hyperlink w:anchor="ref-6">
        <w:r>
          <w:rPr>
            <w:rStyle w:val="Hyperlink"/>
          </w:rPr>
          <w:t xml:space="preserve">[6]</w:t>
        </w:r>
      </w:hyperlink>
      <w:r>
        <w:t xml:space="preserve">. The dissertation spends much of its length on exactly this gap, between the disruption that happens in launch bays and balance sheets and the trace that disruption leaves in titles, keywords, and citation counts. A reader who wants the market story will find only its documentary silhouette here. A reader who wants to know whether that silhouette is real, structured, and worth a larger investigation will find a defensible answer</w:t>
      </w:r>
      <w:r>
        <w:t xml:space="preserve"> </w:t>
      </w:r>
      <w:hyperlink w:anchor="ref-9">
        <w:r>
          <w:rPr>
            <w:rStyle w:val="Hyperlink"/>
          </w:rPr>
          <w:t xml:space="preserve">[9]</w:t>
        </w:r>
      </w:hyperlink>
      <w:r>
        <w:t xml:space="preserve">.</w:t>
      </w:r>
    </w:p>
    <w:bookmarkEnd w:id="68"/>
    <w:bookmarkStart w:id="69" w:name="X1e434aaf04d97fa8378d3f40e7c493a79f80d9f"/>
    <w:p>
      <w:pPr>
        <w:pStyle w:val="Heading2"/>
        <w:spacing w:line="480" w:lineRule="auto"/>
      </w:pPr>
      <w:r>
        <w:t xml:space="preserve">1.9 Positioning within the space-economy question</w:t>
      </w:r>
    </w:p>
    <w:p>
      <w:pPr>
        <w:pStyle w:val="FirstParagraph"/>
        <w:spacing w:line="480" w:lineRule="auto"/>
      </w:pPr>
      <w:r>
        <w:t xml:space="preserve">The study belongs to a specific corner of space economics, the study of how a cost-reducing access technology reorganizes an industry, and it enters that corner through a deliberately small door. The broad question, whether cheap access transforms who participates in orbit and how value is distributed, is enormous and has occupied a mature commercial-space literature</w:t>
      </w:r>
      <w:r>
        <w:t xml:space="preserve"> </w:t>
      </w:r>
      <w:hyperlink w:anchor="ref-11">
        <w:r>
          <w:rPr>
            <w:rStyle w:val="Hyperlink"/>
          </w:rPr>
          <w:t xml:space="preserve">[11]</w:t>
        </w:r>
      </w:hyperlink>
      <w:r>
        <w:t xml:space="preserve">. This dissertation does not attempt that question whole. It isolates one testable fragment of it and asks whether the documentary record even supports treating the rideshare bus as a disruptor before anyone builds the larger economic model.</w:t>
      </w:r>
    </w:p>
    <w:p>
      <w:pPr>
        <w:pStyle w:val="BodyText"/>
        <w:spacing w:line="480" w:lineRule="auto"/>
        <w:ind w:firstLine="720"/>
      </w:pPr>
      <w:r>
        <w:t xml:space="preserve">That sequencing is intentional. A grand economic model of smallsat disruption built on an untested assumption that the phenomenon is real would inherit the fragility of that assumption. By establishing first, on auditable evidence, that the topic leaves a structured trace worth modeling, the dissertation clears the ground for the larger study rather than pre-empting it</w:t>
      </w:r>
      <w:r>
        <w:t xml:space="preserve"> </w:t>
      </w:r>
      <w:hyperlink w:anchor="ref-5">
        <w:r>
          <w:rPr>
            <w:rStyle w:val="Hyperlink"/>
          </w:rPr>
          <w:t xml:space="preserve">[5]</w:t>
        </w:r>
      </w:hyperlink>
      <w:r>
        <w:t xml:space="preserve">. The contribution is foundational in the literal sense: it tests a footing before the building goes up, and it reports, with numbers a skeptic can rerun, whether that footing will hold</w:t>
      </w:r>
      <w:r>
        <w:t xml:space="preserve"> </w:t>
      </w:r>
      <w:hyperlink w:anchor="ref-1">
        <w:r>
          <w:rPr>
            <w:rStyle w:val="Hyperlink"/>
          </w:rPr>
          <w:t xml:space="preserve">[1]</w:t>
        </w:r>
      </w:hyperlink>
      <w:r>
        <w:t xml:space="preserve">.</w:t>
      </w:r>
    </w:p>
    <w:bookmarkEnd w:id="69"/>
    <w:bookmarkStart w:id="70" w:name="X2d52b8bdf828e9a68363197b76a988ab290b983"/>
    <w:p>
      <w:pPr>
        <w:pStyle w:val="Heading2"/>
        <w:spacing w:line="480" w:lineRule="auto"/>
      </w:pPr>
      <w:r>
        <w:t xml:space="preserve">1.10 Defining the terms the argument depends on</w:t>
      </w:r>
    </w:p>
    <w:p>
      <w:pPr>
        <w:pStyle w:val="FirstParagraph"/>
        <w:spacing w:line="480" w:lineRule="auto"/>
      </w:pPr>
      <w:r>
        <w:t xml:space="preserve">Precision about terms prevents most of the confusion that surrounds disruption claims, so the introduction fixes its vocabulary before the analysis begins. By low-end disruptor the dissertation means the specific Christensen construct: an entrant that enters below the incumbent’s performance frontier, serves customers the incumbent is content to lose, and improves along a trajectory that eventually reaches the mainstream</w:t>
      </w:r>
      <w:r>
        <w:t xml:space="preserve"> </w:t>
      </w:r>
      <w:hyperlink w:anchor="ref-11">
        <w:r>
          <w:rPr>
            <w:rStyle w:val="Hyperlink"/>
          </w:rPr>
          <w:t xml:space="preserve">[11]</w:t>
        </w:r>
      </w:hyperlink>
      <w:r>
        <w:t xml:space="preserve">. This is narrower than the everyday sense of disruptive, which attaches to anything novel or fast-growing. A technology can be revolutionary without being a low-end disruptor, and the distinction is exactly what the study tries to keep in view.</w:t>
      </w:r>
    </w:p>
    <w:p>
      <w:pPr>
        <w:pStyle w:val="BodyText"/>
        <w:spacing w:line="480" w:lineRule="auto"/>
        <w:ind w:firstLine="720"/>
      </w:pPr>
      <w:r>
        <w:t xml:space="preserve">By the smallsat and rideshare bus the dissertation means the coupled system of the standardized small-satellite platform and the shared-launch business model that places it in orbit</w:t>
      </w:r>
      <w:r>
        <w:t xml:space="preserve"> </w:t>
      </w:r>
      <w:hyperlink w:anchor="ref-10">
        <w:r>
          <w:rPr>
            <w:rStyle w:val="Hyperlink"/>
          </w:rPr>
          <w:t xml:space="preserve">[10]</w:t>
        </w:r>
      </w:hyperlink>
      <w:r>
        <w:t xml:space="preserve">. The two are analytically separable, a small satellite can fly on a dedicated launch, and a rideshare can carry a large payload, but in practice they co-evolved, and it is their combination that produced the collapse in the effective cost of access. The candidate topic is that combination considered as a possible disruptor, not the small satellite alone.</w:t>
      </w:r>
    </w:p>
    <w:p>
      <w:pPr>
        <w:pStyle w:val="BodyText"/>
        <w:spacing w:line="480" w:lineRule="auto"/>
        <w:ind w:firstLine="720"/>
      </w:pPr>
      <w:r>
        <w:t xml:space="preserve">By topic signal, finally, the dissertation means the measured intensity with which a source record engages the candidate theme, operationalized as a deterministic count of theme-term hits across a record’s metadata fields</w:t>
      </w:r>
      <w:r>
        <w:t xml:space="preserve"> </w:t>
      </w:r>
      <w:hyperlink w:anchor="ref-6">
        <w:r>
          <w:rPr>
            <w:rStyle w:val="Hyperlink"/>
          </w:rPr>
          <w:t xml:space="preserve">[6]</w:t>
        </w:r>
      </w:hyperlink>
      <w:r>
        <w:t xml:space="preserve">. This is a measurement construct, not a judgment of quality or centrality, and the study is careful throughout to treat it as the shadow of engagement rather than engagement itself. Fixing these three terms now lets every later chapter use them without re-litigating their meaning, and it prevents the slide from a precise technical claim into a loose journalistic one that the whole design is built to avoid</w:t>
      </w:r>
      <w:r>
        <w:t xml:space="preserve"> </w:t>
      </w:r>
      <w:hyperlink w:anchor="ref-5">
        <w:r>
          <w:rPr>
            <w:rStyle w:val="Hyperlink"/>
          </w:rPr>
          <w:t xml:space="preserve">[5]</w:t>
        </w:r>
      </w:hyperlink>
      <w:r>
        <w:t xml:space="preserve">.</w:t>
      </w:r>
    </w:p>
    <w:bookmarkEnd w:id="70"/>
    <w:bookmarkStart w:id="71" w:name="X9b1188942ddc15a61ad078ae25ba6f762a4ee8c"/>
    <w:p>
      <w:pPr>
        <w:pStyle w:val="Heading2"/>
        <w:spacing w:line="480" w:lineRule="auto"/>
      </w:pPr>
      <w:r>
        <w:t xml:space="preserve">1.11 The reader this dissertation is written for</w:t>
      </w:r>
    </w:p>
    <w:p>
      <w:pPr>
        <w:pStyle w:val="FirstParagraph"/>
        <w:spacing w:line="480" w:lineRule="auto"/>
      </w:pPr>
      <w:r>
        <w:t xml:space="preserve">A design-stage doctoral document serves two audiences at once, and naming them clarifies its choices. The first is the methodological reviewer who wants to know whether the inference is sound: whether the estimators fit the questions, whether the standard errors are honest, whether the nulls are reported as nulls</w:t>
      </w:r>
      <w:r>
        <w:t xml:space="preserve"> </w:t>
      </w:r>
      <w:hyperlink w:anchor="ref-2">
        <w:r>
          <w:rPr>
            <w:rStyle w:val="Hyperlink"/>
          </w:rPr>
          <w:t xml:space="preserve">[2]</w:t>
        </w:r>
      </w:hyperlink>
      <w:r>
        <w:t xml:space="preserve">. For that reader the dissertation front-loads its estimator output and spends whole sections defending modeling decisions that a narrative essay would never mention. The second audience is the domain stakeholder, the program officer or governance analyst who wants to know whether the smallsat disruption question is real enough to act on</w:t>
      </w:r>
      <w:r>
        <w:t xml:space="preserve"> </w:t>
      </w:r>
      <w:hyperlink w:anchor="ref-9">
        <w:r>
          <w:rPr>
            <w:rStyle w:val="Hyperlink"/>
          </w:rPr>
          <w:t xml:space="preserve">[9]</w:t>
        </w:r>
      </w:hyperlink>
      <w:r>
        <w:t xml:space="preserve">.</w:t>
      </w:r>
    </w:p>
    <w:p>
      <w:pPr>
        <w:pStyle w:val="BodyText"/>
        <w:spacing w:line="480" w:lineRule="auto"/>
        <w:ind w:firstLine="720"/>
      </w:pPr>
      <w:r>
        <w:t xml:space="preserve">Serving both is a balancing act, and the structure reflects it. The theory and methods chapters speak mainly to the first reader, building the case that the test is trustworthy. The discussion and conclusion chapters speak mainly to the second, translating a venue coefficient and an unresolved recency slope into governance and program relevance without overclaiming</w:t>
      </w:r>
      <w:r>
        <w:t xml:space="preserve"> </w:t>
      </w:r>
      <w:hyperlink w:anchor="ref-8">
        <w:r>
          <w:rPr>
            <w:rStyle w:val="Hyperlink"/>
          </w:rPr>
          <w:t xml:space="preserve">[8]</w:t>
        </w:r>
      </w:hyperlink>
      <w:r>
        <w:t xml:space="preserve">. The dissertation refuses to let either audience down by pretending the evidence is stronger than it is; its central respect for both readers is that it tells each exactly how far the numbers reach</w:t>
      </w:r>
      <w:r>
        <w:t xml:space="preserve"> </w:t>
      </w:r>
      <w:hyperlink w:anchor="ref-1">
        <w:r>
          <w:rPr>
            <w:rStyle w:val="Hyperlink"/>
          </w:rPr>
          <w:t xml:space="preserve">[1]</w:t>
        </w:r>
      </w:hyperlink>
      <w:r>
        <w:t xml:space="preserve">.</w:t>
      </w:r>
    </w:p>
    <w:bookmarkEnd w:id="71"/>
    <w:bookmarkStart w:id="72" w:name="a-note-on-what-success-looks-like"/>
    <w:p>
      <w:pPr>
        <w:pStyle w:val="Heading2"/>
        <w:spacing w:line="480" w:lineRule="auto"/>
      </w:pPr>
      <w:r>
        <w:t xml:space="preserve">1.12 A note on what success looks like</w:t>
      </w:r>
    </w:p>
    <w:p>
      <w:pPr>
        <w:pStyle w:val="FirstParagraph"/>
        <w:spacing w:line="480" w:lineRule="auto"/>
      </w:pPr>
      <w:r>
        <w:t xml:space="preserve">Because the study’s ambitions are unusual, it helps to state at the outset what would count as success and what would count as failure. Success is not a finding that the smallsat bus is a disruptor; that finding is beyond the reach of a metadata screen, and claiming it would be the failure the whole design guards against</w:t>
      </w:r>
      <w:r>
        <w:t xml:space="preserve"> </w:t>
      </w:r>
      <w:hyperlink w:anchor="ref-11">
        <w:r>
          <w:rPr>
            <w:rStyle w:val="Hyperlink"/>
          </w:rPr>
          <w:t xml:space="preserve">[11]</w:t>
        </w:r>
      </w:hyperlink>
      <w:r>
        <w:t xml:space="preserve">. Success is a clean, auditable answer to a smaller question: does the topic leave a structured trace, and if so, what shape does that trace take. A result that the trace is structured, concentrated by venue, and silent on temporal accumulation is a success precisely because it is specific and checkable</w:t>
      </w:r>
      <w:r>
        <w:t xml:space="preserve"> </w:t>
      </w:r>
      <w:hyperlink w:anchor="ref-2">
        <w:r>
          <w:rPr>
            <w:rStyle w:val="Hyperlink"/>
          </w:rPr>
          <w:t xml:space="preserve">[2]</w:t>
        </w:r>
      </w:hyperlink>
      <w:r>
        <w:t xml:space="preserve">.</w:t>
      </w:r>
    </w:p>
    <w:p>
      <w:pPr>
        <w:pStyle w:val="BodyText"/>
        <w:spacing w:line="480" w:lineRule="auto"/>
        <w:ind w:firstLine="720"/>
      </w:pPr>
      <w:r>
        <w:t xml:space="preserve">Failure, by the study’s own standard, would be an unrepeatable result, a claim that outran its evidence, or a null reported as if it were a finding</w:t>
      </w:r>
      <w:r>
        <w:t xml:space="preserve"> </w:t>
      </w:r>
      <w:hyperlink w:anchor="ref-6">
        <w:r>
          <w:rPr>
            <w:rStyle w:val="Hyperlink"/>
          </w:rPr>
          <w:t xml:space="preserve">[6]</w:t>
        </w:r>
      </w:hyperlink>
      <w:r>
        <w:t xml:space="preserve">. The design is built to make those failures visible rather than to prevent them by fiat, and the chapters that follow expose every modeling decision to exactly the scrutiny that would catch them. Setting this standard now gives the reader a yardstick to hold the dissertation to, and the study invites that measurement rather than evading it</w:t>
      </w:r>
      <w:r>
        <w:t xml:space="preserve"> </w:t>
      </w:r>
      <w:hyperlink w:anchor="ref-5">
        <w:r>
          <w:rPr>
            <w:rStyle w:val="Hyperlink"/>
          </w:rPr>
          <w:t xml:space="preserve">[5]</w:t>
        </w:r>
      </w:hyperlink>
      <w:r>
        <w:t xml:space="preserve">.</w:t>
      </w:r>
    </w:p>
    <w:bookmarkEnd w:id="72"/>
    <w:bookmarkEnd w:id="73"/>
    <w:bookmarkStart w:id="86" w:name="chapter-2.-literature-review"/>
    <w:p>
      <w:pPr>
        <w:pStyle w:val="Heading1"/>
        <w:spacing w:line="480" w:lineRule="auto"/>
      </w:pPr>
      <w:r>
        <w:t xml:space="preserve">Chapter 2. Literature Review</w:t>
      </w:r>
    </w:p>
    <w:bookmarkStart w:id="74" w:name="two-conversations-that-rarely-meet"/>
    <w:p>
      <w:pPr>
        <w:pStyle w:val="Heading2"/>
        <w:spacing w:line="480" w:lineRule="auto"/>
      </w:pPr>
      <w:r>
        <w:t xml:space="preserve">2.1 Two conversations that rarely meet</w:t>
      </w:r>
    </w:p>
    <w:p>
      <w:pPr>
        <w:pStyle w:val="FirstParagraph"/>
        <w:spacing w:line="480" w:lineRule="auto"/>
      </w:pPr>
      <w:r>
        <w:t xml:space="preserve">The literature this dissertation draws on runs along two tracks that seldom cross. The first is a technical and commercial track about how small satellites reach orbit, what they can do once there, and how the launch market has reorganized around them. The second is a measurement track about how scholarly and documentary attention is distributed and how that distribution can be read as evidence. The disruption question sits at the junction, and part of the contribution here is simply to hold the two conversations in the same frame.</w:t>
      </w:r>
    </w:p>
    <w:p>
      <w:pPr>
        <w:pStyle w:val="BodyText"/>
        <w:spacing w:line="480" w:lineRule="auto"/>
        <w:ind w:firstLine="720"/>
      </w:pPr>
      <w:r>
        <w:t xml:space="preserve">Bringing them together is not cosmetic. It is the point. A claim that the rideshare bus is a Christensen low-end disruptor is a claim about a trajectory: entry below the incumbent frontier followed by upward improvement. Trajectories are temporal and structural, which means they can, in principle, leave a fingerprint in the timing and organization of the record that discusses them. The measurement literature supplies the vocabulary for reading fingerprints; the technical literature supplies the phenomenon whose fingerprint is being read.</w:t>
      </w:r>
    </w:p>
    <w:bookmarkEnd w:id="74"/>
    <w:bookmarkStart w:id="75" w:name="the-reorganization-of-access-to-orbit"/>
    <w:p>
      <w:pPr>
        <w:pStyle w:val="Heading2"/>
        <w:spacing w:line="480" w:lineRule="auto"/>
      </w:pPr>
      <w:r>
        <w:t xml:space="preserve">2.2 The reorganization of access to orbit</w:t>
      </w:r>
    </w:p>
    <w:p>
      <w:pPr>
        <w:pStyle w:val="FirstParagraph"/>
        <w:spacing w:line="480" w:lineRule="auto"/>
      </w:pPr>
      <w:r>
        <w:t xml:space="preserve">Access is where the disruption story begins, and the recent literature documents a genuine restructuring rather than an incremental price decline. Barato and colleagues examine competing strategies for placing small satellites on a defined low Earth orbit and treat access itself as the design variable, comparing dedicated small launchers against rideshare aggregation on a common orbital target</w:t>
      </w:r>
      <w:r>
        <w:t xml:space="preserve"> </w:t>
      </w:r>
      <w:hyperlink w:anchor="ref-10">
        <w:r>
          <w:rPr>
            <w:rStyle w:val="Hyperlink"/>
          </w:rPr>
          <w:t xml:space="preserve">[10]</w:t>
        </w:r>
      </w:hyperlink>
      <w:r>
        <w:t xml:space="preserve">. That framing is exactly the one Christensen’s model needs: it treats the cheap, good-enough path as a distinct competitive option rather than a degraded version of the premium path.</w:t>
      </w:r>
    </w:p>
    <w:p>
      <w:pPr>
        <w:pStyle w:val="BodyText"/>
        <w:spacing w:line="480" w:lineRule="auto"/>
        <w:ind w:firstLine="720"/>
      </w:pPr>
      <w:r>
        <w:t xml:space="preserve">The macro view reinforces the point. Denis and colleagues trace the passage from new space to big space and describe how a commercial ambition once treated as speculative has consolidated into an industry with recognizable market structure, financing patterns, and incumbents</w:t>
      </w:r>
      <w:r>
        <w:t xml:space="preserve"> </w:t>
      </w:r>
      <w:hyperlink w:anchor="ref-11">
        <w:r>
          <w:rPr>
            <w:rStyle w:val="Hyperlink"/>
          </w:rPr>
          <w:t xml:space="preserve">[11]</w:t>
        </w:r>
      </w:hyperlink>
      <w:r>
        <w:t xml:space="preserve">. Their account is useful here precisely because it is not celebratory; it documents maturation, and maturation is the phase in which a low-end entrant either climbs into the mainstream or stalls. Climb or stall. The record should show which. The dissertation’s disruption question lives inside that transition.</w:t>
      </w:r>
    </w:p>
    <w:p>
      <w:pPr>
        <w:pStyle w:val="BodyText"/>
        <w:spacing w:line="480" w:lineRule="auto"/>
        <w:ind w:firstLine="720"/>
      </w:pPr>
      <w:r>
        <w:t xml:space="preserve">Payload architecture is the third strand. The SpIRIT payload management system is presented as a paradigm for integrating multiple payloads on a single small platform, and its authors frame modular multi-payload integration as a way to raise the capability ceiling of the small bus without abandoning its cost advantage</w:t>
      </w:r>
      <w:r>
        <w:t xml:space="preserve"> </w:t>
      </w:r>
      <w:hyperlink w:anchor="ref-13">
        <w:r>
          <w:rPr>
            <w:rStyle w:val="Hyperlink"/>
          </w:rPr>
          <w:t xml:space="preserve">[13]</w:t>
        </w:r>
      </w:hyperlink>
      <w:r>
        <w:t xml:space="preserve">. That combination, low cost plus rising capability, is the mechanical core of a low-end disruption. A bus that stays cheap while its payload sophistication climbs is doing precisely what the framework predicts a disruptor should do.</w:t>
      </w:r>
    </w:p>
    <w:bookmarkEnd w:id="75"/>
    <w:bookmarkStart w:id="76" w:name="X4b8de1f8cf490c9a349dcfcf6b09588b85637ee"/>
    <w:p>
      <w:pPr>
        <w:pStyle w:val="Heading2"/>
        <w:spacing w:line="480" w:lineRule="auto"/>
      </w:pPr>
      <w:r>
        <w:t xml:space="preserve">2.3 Capability creep and the incumbent frontier</w:t>
      </w:r>
    </w:p>
    <w:p>
      <w:pPr>
        <w:pStyle w:val="FirstParagraph"/>
        <w:spacing w:line="480" w:lineRule="auto"/>
      </w:pPr>
      <w:r>
        <w:t xml:space="preserve">A disruptor matters only if it can climb. Several sources in the pool document the capability creep that would let a small platform move toward missions once reserved for large, expensive systems. Nanjangud and colleagues study robotic on-orbit assembly of large space telescopes and lay out mission architectures in which distributed, modular elements substitute for a single monolithic instrument</w:t>
      </w:r>
      <w:r>
        <w:t xml:space="preserve"> </w:t>
      </w:r>
      <w:hyperlink w:anchor="ref-14">
        <w:r>
          <w:rPr>
            <w:rStyle w:val="Hyperlink"/>
          </w:rPr>
          <w:t xml:space="preserve">[14]</w:t>
        </w:r>
      </w:hyperlink>
      <w:r>
        <w:t xml:space="preserve">. If large-aperture science can be assembled from smaller pieces, the performance gap the incumbent relies on narrows from the bottom.</w:t>
      </w:r>
    </w:p>
    <w:p>
      <w:pPr>
        <w:pStyle w:val="BodyText"/>
        <w:spacing w:line="480" w:lineRule="auto"/>
        <w:ind w:firstLine="720"/>
      </w:pPr>
      <w:r>
        <w:t xml:space="preserve">Component-level work tells the same story at finer grain. McMullan and colleagues describe a compact rigid-flex printed-circuit deployable solar array designed for cube satellites, a power-generation solution that pushes the energy envelope of very small platforms upward</w:t>
      </w:r>
      <w:r>
        <w:t xml:space="preserve"> </w:t>
      </w:r>
      <w:hyperlink w:anchor="ref-16">
        <w:r>
          <w:rPr>
            <w:rStyle w:val="Hyperlink"/>
          </w:rPr>
          <w:t xml:space="preserve">[16]</w:t>
        </w:r>
      </w:hyperlink>
      <w:r>
        <w:t xml:space="preserve">. Power has long been a binding constraint on what a cubesat can attempt, so a deployable array that relaxes that constraint is a concrete instance of the improvement trajectory a disruption model requires. These are not abstract claims about potential; they are engineering results that move the small-platform frontier.</w:t>
      </w:r>
    </w:p>
    <w:p>
      <w:pPr>
        <w:pStyle w:val="BodyText"/>
        <w:spacing w:line="480" w:lineRule="auto"/>
        <w:ind w:firstLine="720"/>
      </w:pPr>
      <w:r>
        <w:t xml:space="preserve">Staged deployment supplies the strategic logic that ties the components together. Anderson, Cardin, and Grogan analyze flexible multi-layer staged deployment for satellite mega-constellations under demand uncertainty and show that incremental, optionality-preserving deployment can dominate committing to a full architecture up front</w:t>
      </w:r>
      <w:r>
        <w:t xml:space="preserve"> </w:t>
      </w:r>
      <w:hyperlink w:anchor="ref-9">
        <w:r>
          <w:rPr>
            <w:rStyle w:val="Hyperlink"/>
          </w:rPr>
          <w:t xml:space="preserve">[9]</w:t>
        </w:r>
      </w:hyperlink>
      <w:r>
        <w:t xml:space="preserve">. That is the deployment grammar of a disruptor: enter small, preserve the option to scale, and let demand pull capability upward rather than betting the whole system before the market has spoken.</w:t>
      </w:r>
    </w:p>
    <w:bookmarkEnd w:id="76"/>
    <w:bookmarkStart w:id="77" w:name="X5175616a1be42922de2ef28c7dedc9e07cd6308"/>
    <w:p>
      <w:pPr>
        <w:pStyle w:val="Heading2"/>
        <w:spacing w:line="480" w:lineRule="auto"/>
      </w:pPr>
      <w:r>
        <w:t xml:space="preserve">2.4 The governance shadow of many small objects</w:t>
      </w:r>
    </w:p>
    <w:p>
      <w:pPr>
        <w:pStyle w:val="FirstParagraph"/>
        <w:spacing w:line="480" w:lineRule="auto"/>
      </w:pPr>
      <w:r>
        <w:t xml:space="preserve">Disruption from below does not only change markets; it changes the sky, and the governance literature registers the strain. Tracking a launch that disperses dozens of payloads is a different problem from tracking one large satellite, and Geissbuhler and colleagues address exactly that, developing rapid tracking, characterization, and cataloguing methods for multi-payload launches to low Earth orbit</w:t>
      </w:r>
      <w:r>
        <w:t xml:space="preserve"> </w:t>
      </w:r>
      <w:hyperlink w:anchor="ref-7">
        <w:r>
          <w:rPr>
            <w:rStyle w:val="Hyperlink"/>
          </w:rPr>
          <w:t xml:space="preserve">[7]</w:t>
        </w:r>
      </w:hyperlink>
      <w:r>
        <w:t xml:space="preserve">. The existence of dedicated tracking research for multi-payload deployments is itself evidence that the rideshare pattern has become common enough to demand new tooling.</w:t>
      </w:r>
    </w:p>
    <w:p>
      <w:pPr>
        <w:pStyle w:val="BodyText"/>
        <w:spacing w:line="480" w:lineRule="auto"/>
        <w:ind w:firstLine="720"/>
      </w:pPr>
      <w:r>
        <w:t xml:space="preserve">Situational awareness architecture is under parallel pressure. Morris and Rice propose concepts for an enhanced cubesat GEO space situational awareness architecture, using small platforms both as the object to be watched and as the sensor doing the watching</w:t>
      </w:r>
      <w:r>
        <w:t xml:space="preserve"> </w:t>
      </w:r>
      <w:hyperlink w:anchor="ref-8">
        <w:r>
          <w:rPr>
            <w:rStyle w:val="Hyperlink"/>
          </w:rPr>
          <w:t xml:space="preserve">[8]</w:t>
        </w:r>
      </w:hyperlink>
      <w:r>
        <w:t xml:space="preserve">. That dual role captures the recursive quality of the disruption: the cheap platform is simultaneously the thing that stresses the catalog and part of the response to that stress. Robie and colleagues, describing microsat laser communication terminals and infrared imaging payloads, show the same platform class absorbing functions that once required larger, costlier systems</w:t>
      </w:r>
      <w:r>
        <w:t xml:space="preserve"> </w:t>
      </w:r>
      <w:hyperlink w:anchor="ref-3">
        <w:r>
          <w:rPr>
            <w:rStyle w:val="Hyperlink"/>
          </w:rPr>
          <w:t xml:space="preserve">[3]</w:t>
        </w:r>
      </w:hyperlink>
      <w:r>
        <w:t xml:space="preserve">.</w:t>
      </w:r>
    </w:p>
    <w:p>
      <w:pPr>
        <w:pStyle w:val="BodyText"/>
        <w:spacing w:line="480" w:lineRule="auto"/>
        <w:ind w:firstLine="720"/>
      </w:pPr>
      <w:r>
        <w:t xml:space="preserve">The operational risk literature closes the loop. Duncan and Wysack’s treatment of operational collision risk management, evaluating and mitigating high-risk conjunction events, describes the day-to-day machinery of keeping a crowded orbit safe</w:t>
      </w:r>
      <w:r>
        <w:t xml:space="preserve"> </w:t>
      </w:r>
      <w:hyperlink w:anchor="ref-4">
        <w:r>
          <w:rPr>
            <w:rStyle w:val="Hyperlink"/>
          </w:rPr>
          <w:t xml:space="preserve">[4]</w:t>
        </w:r>
      </w:hyperlink>
      <w:r>
        <w:t xml:space="preserve">. A proliferation of small objects raises the frequency of high-risk conjunctions, so this line of work is the operational cost that a successful low-end disruption imposes on the shared environment. Governance, in other words, is where the externality of cheap access is paid.</w:t>
      </w:r>
    </w:p>
    <w:bookmarkEnd w:id="77"/>
    <w:bookmarkStart w:id="78" w:name="reading-attention-as-evidence"/>
    <w:p>
      <w:pPr>
        <w:pStyle w:val="Heading2"/>
        <w:spacing w:line="480" w:lineRule="auto"/>
      </w:pPr>
      <w:r>
        <w:t xml:space="preserve">2.5 Reading attention as evidence</w:t>
      </w:r>
    </w:p>
    <w:p>
      <w:pPr>
        <w:pStyle w:val="FirstParagraph"/>
        <w:spacing w:line="480" w:lineRule="auto"/>
      </w:pPr>
      <w:r>
        <w:t xml:space="preserve">The second track of the literature concerns how attention itself is measured, and it is what makes the dissertation’s empirical claim tractable. The core intuition is that a body of work leaves observable traces, publication timing, citation counts, and venue placement, and that the arrangement of those traces carries information about how a field is developing. The candidate’s design turns that intuition into two estimable models, one cross-sectional and one temporal.</w:t>
      </w:r>
    </w:p>
    <w:p>
      <w:pPr>
        <w:pStyle w:val="BodyText"/>
        <w:spacing w:line="480" w:lineRule="auto"/>
        <w:ind w:firstLine="720"/>
      </w:pPr>
      <w:r>
        <w:t xml:space="preserve">Venue family is treated in this study as an ordinal signal rather than a nuisance, and the source pool justifies that choice. The corpus spans conference proceedings, a flagship journal, and a policy-oriented economy literature, and those venue families differ systematically in what they reward and how they report attention. A federated exercise paper drawn from a proceedings venue</w:t>
      </w:r>
      <w:r>
        <w:t xml:space="preserve"> </w:t>
      </w:r>
      <w:hyperlink w:anchor="ref-2">
        <w:r>
          <w:rPr>
            <w:rStyle w:val="Hyperlink"/>
          </w:rPr>
          <w:t xml:space="preserve">[2]</w:t>
        </w:r>
      </w:hyperlink>
      <w:r>
        <w:t xml:space="preserve"> </w:t>
      </w:r>
      <w:r>
        <w:t xml:space="preserve">and a mega-constellation optimization paper drawn from a journal venue</w:t>
      </w:r>
      <w:r>
        <w:t xml:space="preserve"> </w:t>
      </w:r>
      <w:hyperlink w:anchor="ref-9">
        <w:r>
          <w:rPr>
            <w:rStyle w:val="Hyperlink"/>
          </w:rPr>
          <w:t xml:space="preserve">[9]</w:t>
        </w:r>
      </w:hyperlink>
      <w:r>
        <w:t xml:space="preserve"> </w:t>
      </w:r>
      <w:r>
        <w:t xml:space="preserve">are not merely two documents; they are samples from two publication cultures whose differences the venue score is designed to capture.</w:t>
      </w:r>
    </w:p>
    <w:p>
      <w:pPr>
        <w:pStyle w:val="BodyText"/>
        <w:spacing w:line="480" w:lineRule="auto"/>
        <w:ind w:firstLine="720"/>
      </w:pPr>
      <w:r>
        <w:t xml:space="preserve">Citation attention is the second measured dimension, and the pool contains the spread that makes it worth modeling. Some records carry substantial citation counts while others, though recent and technically substantive, carry almost none</w:t>
      </w:r>
      <w:r>
        <w:t xml:space="preserve"> </w:t>
      </w:r>
      <w:hyperlink w:anchor="ref-5">
        <w:r>
          <w:rPr>
            <w:rStyle w:val="Hyperlink"/>
          </w:rPr>
          <w:t xml:space="preserve">[5]</w:t>
        </w:r>
      </w:hyperlink>
      <w:r>
        <w:t xml:space="preserve">. That dispersion is the raw material of the learning-curve question in Paper 2: if attention accumulates predictably with age, the spread should organize itself along a curve; if it does not, the spread will look like noise. Either outcome is informative, and the measurement literature is what lets the dissertation say which one it observed.</w:t>
      </w:r>
    </w:p>
    <w:bookmarkEnd w:id="78"/>
    <w:bookmarkStart w:id="79" w:name="where-this-dissertation-sits"/>
    <w:p>
      <w:pPr>
        <w:pStyle w:val="Heading2"/>
        <w:spacing w:line="480" w:lineRule="auto"/>
      </w:pPr>
      <w:r>
        <w:t xml:space="preserve">2.6 Where this dissertation sits</w:t>
      </w:r>
    </w:p>
    <w:p>
      <w:pPr>
        <w:pStyle w:val="FirstParagraph"/>
        <w:spacing w:line="480" w:lineRule="auto"/>
      </w:pPr>
      <w:r>
        <w:t xml:space="preserve">Set against these two tracks, the contribution is specific. The technical and commercial literature establishes that the smallsat and rideshare bus has the mechanical properties of a low-end disruptor: cheap entry</w:t>
      </w:r>
      <w:r>
        <w:t xml:space="preserve"> </w:t>
      </w:r>
      <w:hyperlink w:anchor="ref-10">
        <w:r>
          <w:rPr>
            <w:rStyle w:val="Hyperlink"/>
          </w:rPr>
          <w:t xml:space="preserve">[10]</w:t>
        </w:r>
      </w:hyperlink>
      <w:r>
        <w:t xml:space="preserve">, rising capability</w:t>
      </w:r>
      <w:r>
        <w:t xml:space="preserve"> </w:t>
      </w:r>
      <w:hyperlink w:anchor="ref-14">
        <w:r>
          <w:rPr>
            <w:rStyle w:val="Hyperlink"/>
          </w:rPr>
          <w:t xml:space="preserve">[14]</w:t>
        </w:r>
      </w:hyperlink>
      <w:r>
        <w:t xml:space="preserve"> </w:t>
      </w:r>
      <w:hyperlink w:anchor="ref-16">
        <w:r>
          <w:rPr>
            <w:rStyle w:val="Hyperlink"/>
          </w:rPr>
          <w:t xml:space="preserve">[16]</w:t>
        </w:r>
      </w:hyperlink>
      <w:r>
        <w:t xml:space="preserve">, optionality-preserving deployment</w:t>
      </w:r>
      <w:r>
        <w:t xml:space="preserve"> </w:t>
      </w:r>
      <w:hyperlink w:anchor="ref-9">
        <w:r>
          <w:rPr>
            <w:rStyle w:val="Hyperlink"/>
          </w:rPr>
          <w:t xml:space="preserve">[9]</w:t>
        </w:r>
      </w:hyperlink>
      <w:r>
        <w:t xml:space="preserve">, and a governance shadow that grows with adoption</w:t>
      </w:r>
      <w:r>
        <w:t xml:space="preserve"> </w:t>
      </w:r>
      <w:hyperlink w:anchor="ref-7">
        <w:r>
          <w:rPr>
            <w:rStyle w:val="Hyperlink"/>
          </w:rPr>
          <w:t xml:space="preserve">[7]</w:t>
        </w:r>
      </w:hyperlink>
      <w:r>
        <w:t xml:space="preserve"> </w:t>
      </w:r>
      <w:hyperlink w:anchor="ref-8">
        <w:r>
          <w:rPr>
            <w:rStyle w:val="Hyperlink"/>
          </w:rPr>
          <w:t xml:space="preserve">[8]</w:t>
        </w:r>
      </w:hyperlink>
      <w:r>
        <w:t xml:space="preserve">. What that literature does not do is test whether the disruption claim leaves a measurable signature in the documentary record, and that is the gap the candidate steps into.</w:t>
      </w:r>
    </w:p>
    <w:p>
      <w:pPr>
        <w:pStyle w:val="BodyText"/>
        <w:spacing w:line="480" w:lineRule="auto"/>
        <w:ind w:firstLine="720"/>
      </w:pPr>
      <w:r>
        <w:t xml:space="preserve">The measurement track supplies the second half of the frame, giving the study a way to convert salience into an estimable object. By joining the two, the dissertation avoids the two failure modes that dog work in this area: the purely narrative account that asserts disruption without a test, and the purely bibliometric exercise that measures attention without connecting it to a substantive mechanism. Chapter 3 builds that mechanism explicitly, deriving from the disruption framework the specific predictions the two workbooks are then asked to confront</w:t>
      </w:r>
      <w:r>
        <w:t xml:space="preserve"> </w:t>
      </w:r>
      <w:hyperlink w:anchor="ref-11">
        <w:r>
          <w:rPr>
            <w:rStyle w:val="Hyperlink"/>
          </w:rPr>
          <w:t xml:space="preserve">[11]</w:t>
        </w:r>
      </w:hyperlink>
      <w:r>
        <w:t xml:space="preserve"> </w:t>
      </w:r>
      <w:hyperlink w:anchor="ref-6">
        <w:r>
          <w:rPr>
            <w:rStyle w:val="Hyperlink"/>
          </w:rPr>
          <w:t xml:space="preserve">[6]</w:t>
        </w:r>
      </w:hyperlink>
      <w:r>
        <w:t xml:space="preserve">.</w:t>
      </w:r>
    </w:p>
    <w:bookmarkEnd w:id="79"/>
    <w:bookmarkStart w:id="80" w:name="Xd2ad7313d2c12be7b8052947beee18466e8c313"/>
    <w:p>
      <w:pPr>
        <w:pStyle w:val="Heading2"/>
        <w:spacing w:line="480" w:lineRule="auto"/>
      </w:pPr>
      <w:r>
        <w:t xml:space="preserve">2.7 The trajectory as the unit of theoretical interest</w:t>
      </w:r>
    </w:p>
    <w:p>
      <w:pPr>
        <w:pStyle w:val="FirstParagraph"/>
        <w:spacing w:line="480" w:lineRule="auto"/>
      </w:pPr>
      <w:r>
        <w:t xml:space="preserve">It is worth dwelling on why trajectory, rather than snapshot, is the theoretically loaded object. Christensen’s contribution was never the observation that cheap products exist alongside expensive ones; markets have always been segmented by price. His contribution was the claim that certain cheap entrants improve along a path that carries them into the incumbent’s territory, and that incumbents, rationally serving their best customers, fail to respond until it is too late</w:t>
      </w:r>
      <w:r>
        <w:t xml:space="preserve"> </w:t>
      </w:r>
      <w:hyperlink w:anchor="ref-11">
        <w:r>
          <w:rPr>
            <w:rStyle w:val="Hyperlink"/>
          </w:rPr>
          <w:t xml:space="preserve">[11]</w:t>
        </w:r>
      </w:hyperlink>
      <w:r>
        <w:t xml:space="preserve">. The theory is about motion. Not price. Motion. A static comparison of a cubesat against a flagship satellite says nothing about disruption; only the direction and speed of the cubesat’s improvement do.</w:t>
      </w:r>
    </w:p>
    <w:p>
      <w:pPr>
        <w:pStyle w:val="BodyText"/>
        <w:spacing w:line="480" w:lineRule="auto"/>
        <w:ind w:firstLine="720"/>
      </w:pPr>
      <w:r>
        <w:t xml:space="preserve">This is why the capability-creep literature matters more to the argument than the raw cost literature. A deployable solar array that raises a cubesat’s power budget</w:t>
      </w:r>
      <w:r>
        <w:t xml:space="preserve"> </w:t>
      </w:r>
      <w:hyperlink w:anchor="ref-16">
        <w:r>
          <w:rPr>
            <w:rStyle w:val="Hyperlink"/>
          </w:rPr>
          <w:t xml:space="preserve">[16]</w:t>
        </w:r>
      </w:hyperlink>
      <w:r>
        <w:t xml:space="preserve">, a payload management system that lets one small bus carry several instruments</w:t>
      </w:r>
      <w:r>
        <w:t xml:space="preserve"> </w:t>
      </w:r>
      <w:hyperlink w:anchor="ref-13">
        <w:r>
          <w:rPr>
            <w:rStyle w:val="Hyperlink"/>
          </w:rPr>
          <w:t xml:space="preserve">[13]</w:t>
        </w:r>
      </w:hyperlink>
      <w:r>
        <w:t xml:space="preserve">, and an assembly architecture that builds large apertures from small modular elements</w:t>
      </w:r>
      <w:r>
        <w:t xml:space="preserve"> </w:t>
      </w:r>
      <w:hyperlink w:anchor="ref-14">
        <w:r>
          <w:rPr>
            <w:rStyle w:val="Hyperlink"/>
          </w:rPr>
          <w:t xml:space="preserve">[14]</w:t>
        </w:r>
      </w:hyperlink>
      <w:r>
        <w:t xml:space="preserve"> </w:t>
      </w:r>
      <w:r>
        <w:t xml:space="preserve">are each a data point on an improvement trajectory. Individually they are engineering results. Collectively they sketch the upward path the theory requires, and it is that collective sketch, not any single component, that makes the disruption question worth testing empirically rather than settling by inspection.</w:t>
      </w:r>
    </w:p>
    <w:bookmarkEnd w:id="80"/>
    <w:bookmarkStart w:id="81" w:name="what-the-prior-work-leaves-unmeasured"/>
    <w:p>
      <w:pPr>
        <w:pStyle w:val="Heading2"/>
        <w:spacing w:line="480" w:lineRule="auto"/>
      </w:pPr>
      <w:r>
        <w:t xml:space="preserve">2.8 What the prior work leaves unmeasured</w:t>
      </w:r>
    </w:p>
    <w:p>
      <w:pPr>
        <w:pStyle w:val="FirstParagraph"/>
        <w:spacing w:line="480" w:lineRule="auto"/>
      </w:pPr>
      <w:r>
        <w:t xml:space="preserve">Reading the two tracks together exposes a specific hole that no source in the pool fills. The technical literature establishes the mechanism’s ingredients: cheap entry</w:t>
      </w:r>
      <w:r>
        <w:t xml:space="preserve"> </w:t>
      </w:r>
      <w:hyperlink w:anchor="ref-10">
        <w:r>
          <w:rPr>
            <w:rStyle w:val="Hyperlink"/>
          </w:rPr>
          <w:t xml:space="preserve">[10]</w:t>
        </w:r>
      </w:hyperlink>
      <w:r>
        <w:t xml:space="preserve">, climbing capability</w:t>
      </w:r>
      <w:r>
        <w:t xml:space="preserve"> </w:t>
      </w:r>
      <w:hyperlink w:anchor="ref-14">
        <w:r>
          <w:rPr>
            <w:rStyle w:val="Hyperlink"/>
          </w:rPr>
          <w:t xml:space="preserve">[14]</w:t>
        </w:r>
      </w:hyperlink>
      <w:r>
        <w:t xml:space="preserve"> </w:t>
      </w:r>
      <w:hyperlink w:anchor="ref-16">
        <w:r>
          <w:rPr>
            <w:rStyle w:val="Hyperlink"/>
          </w:rPr>
          <w:t xml:space="preserve">[16]</w:t>
        </w:r>
      </w:hyperlink>
      <w:r>
        <w:t xml:space="preserve">, optionality-preserving deployment</w:t>
      </w:r>
      <w:r>
        <w:t xml:space="preserve"> </w:t>
      </w:r>
      <w:hyperlink w:anchor="ref-9">
        <w:r>
          <w:rPr>
            <w:rStyle w:val="Hyperlink"/>
          </w:rPr>
          <w:t xml:space="preserve">[9]</w:t>
        </w:r>
      </w:hyperlink>
      <w:r>
        <w:t xml:space="preserve">. The governance literature establishes the mechanism’s cost to the shared environment: harder tracking</w:t>
      </w:r>
      <w:r>
        <w:t xml:space="preserve"> </w:t>
      </w:r>
      <w:hyperlink w:anchor="ref-7">
        <w:r>
          <w:rPr>
            <w:rStyle w:val="Hyperlink"/>
          </w:rPr>
          <w:t xml:space="preserve">[7]</w:t>
        </w:r>
      </w:hyperlink>
      <w:r>
        <w:t xml:space="preserve">, stressed situational-awareness architectures</w:t>
      </w:r>
      <w:r>
        <w:t xml:space="preserve"> </w:t>
      </w:r>
      <w:hyperlink w:anchor="ref-8">
        <w:r>
          <w:rPr>
            <w:rStyle w:val="Hyperlink"/>
          </w:rPr>
          <w:t xml:space="preserve">[8]</w:t>
        </w:r>
      </w:hyperlink>
      <w:r>
        <w:t xml:space="preserve">, rising conjunction risk</w:t>
      </w:r>
      <w:r>
        <w:t xml:space="preserve"> </w:t>
      </w:r>
      <w:hyperlink w:anchor="ref-4">
        <w:r>
          <w:rPr>
            <w:rStyle w:val="Hyperlink"/>
          </w:rPr>
          <w:t xml:space="preserve">[4]</w:t>
        </w:r>
      </w:hyperlink>
      <w:r>
        <w:t xml:space="preserve">. Neither track, however, tests whether the disruption claim registers as a structured pattern in the documentary record. Each track assumes the phenomenon and studies its consequences.</w:t>
      </w:r>
    </w:p>
    <w:p>
      <w:pPr>
        <w:pStyle w:val="BodyText"/>
        <w:spacing w:line="480" w:lineRule="auto"/>
        <w:ind w:firstLine="720"/>
      </w:pPr>
      <w:r>
        <w:t xml:space="preserve">That assumption is reasonable for the technical and governance communities, whose job is to build and to regulate, not to validate a management-theory label. But it leaves a doctoral-scale question open. Before the field spends effort modeling the economics of smallsat disruption, someone should establish that the topic behaves, in the record, like a rising topic rather than a stable niche or a passing fashion</w:t>
      </w:r>
      <w:r>
        <w:t xml:space="preserve"> </w:t>
      </w:r>
      <w:hyperlink w:anchor="ref-6">
        <w:r>
          <w:rPr>
            <w:rStyle w:val="Hyperlink"/>
          </w:rPr>
          <w:t xml:space="preserve">[6]</w:t>
        </w:r>
      </w:hyperlink>
      <w:r>
        <w:t xml:space="preserve">. The measurement track supplies the tools to ask that question, and the technical track supplies the phenomenon to ask it about, yet no prior work has joined them for this candidate topic. That join is the seam this dissertation stitches.</w:t>
      </w:r>
    </w:p>
    <w:bookmarkEnd w:id="81"/>
    <w:bookmarkStart w:id="82" w:name="X2c6d88c86a0ece8bd57b23f7c982ccc35cc6449"/>
    <w:p>
      <w:pPr>
        <w:pStyle w:val="Heading2"/>
        <w:spacing w:line="480" w:lineRule="auto"/>
      </w:pPr>
      <w:r>
        <w:t xml:space="preserve">2.9 On the choice of an auditable, candidate-specific corpus</w:t>
      </w:r>
    </w:p>
    <w:p>
      <w:pPr>
        <w:pStyle w:val="FirstParagraph"/>
        <w:spacing w:line="480" w:lineRule="auto"/>
      </w:pPr>
      <w:r>
        <w:t xml:space="preserve">A methodological reader will ask why the study works from a curated candidate corpus rather than a large database query, and the literature helps justify the choice. Large bibliometric corpora buy statistical power at the cost of provenance; a query returning thousands of records rarely lets a reader trace any single row to a verifiable source</w:t>
      </w:r>
      <w:r>
        <w:t xml:space="preserve"> </w:t>
      </w:r>
      <w:hyperlink w:anchor="ref-2">
        <w:r>
          <w:rPr>
            <w:rStyle w:val="Hyperlink"/>
          </w:rPr>
          <w:t xml:space="preserve">[2]</w:t>
        </w:r>
      </w:hyperlink>
      <w:r>
        <w:t xml:space="preserve">. The disruption question, at this design stage, is less about power than about whether a clean, checkable signal exists at all. A small corpus in which every record is traceable to a specific proceedings paper</w:t>
      </w:r>
      <w:r>
        <w:t xml:space="preserve"> </w:t>
      </w:r>
      <w:hyperlink w:anchor="ref-3">
        <w:r>
          <w:rPr>
            <w:rStyle w:val="Hyperlink"/>
          </w:rPr>
          <w:t xml:space="preserve">[3]</w:t>
        </w:r>
      </w:hyperlink>
      <w:r>
        <w:t xml:space="preserve"> </w:t>
      </w:r>
      <w:r>
        <w:t xml:space="preserve">or a specific journal article</w:t>
      </w:r>
      <w:r>
        <w:t xml:space="preserve"> </w:t>
      </w:r>
      <w:hyperlink w:anchor="ref-9">
        <w:r>
          <w:rPr>
            <w:rStyle w:val="Hyperlink"/>
          </w:rPr>
          <w:t xml:space="preserve">[9]</w:t>
        </w:r>
      </w:hyperlink>
      <w:r>
        <w:t xml:space="preserve"> </w:t>
      </w:r>
      <w:r>
        <w:t xml:space="preserve">answers that question in a form a committee can audit line by line.</w:t>
      </w:r>
    </w:p>
    <w:p>
      <w:pPr>
        <w:pStyle w:val="BodyText"/>
        <w:spacing w:line="480" w:lineRule="auto"/>
        <w:ind w:firstLine="720"/>
      </w:pPr>
      <w:r>
        <w:t xml:space="preserve">The trade is explicit and defended throughout the study. Thirty auditable records cannot resolve a subtle effect, and the results chapters say so where the recency slope sits at the edge of significance</w:t>
      </w:r>
      <w:r>
        <w:t xml:space="preserve"> </w:t>
      </w:r>
      <w:hyperlink w:anchor="ref-10">
        <w:r>
          <w:rPr>
            <w:rStyle w:val="Hyperlink"/>
          </w:rPr>
          <w:t xml:space="preserve">[10]</w:t>
        </w:r>
      </w:hyperlink>
      <w:r>
        <w:t xml:space="preserve">. What the small corpus can do is establish presence, structure, and the absence of a temporal curve with full transparency, and it can mark precisely where a larger, less traceable corpus would need to take over. The literature on staged, optionality-preserving investment offers an apt analogy for the design itself</w:t>
      </w:r>
      <w:r>
        <w:t xml:space="preserve"> </w:t>
      </w:r>
      <w:hyperlink w:anchor="ref-9">
        <w:r>
          <w:rPr>
            <w:rStyle w:val="Hyperlink"/>
          </w:rPr>
          <w:t xml:space="preserve">[9]</w:t>
        </w:r>
      </w:hyperlink>
      <w:r>
        <w:t xml:space="preserve">: the dissertation makes a small, reversible evidentiary bet first, and reserves the large commitment for after the footing is confirmed.</w:t>
      </w:r>
    </w:p>
    <w:bookmarkEnd w:id="82"/>
    <w:bookmarkStart w:id="83" w:name="Xcdb84b3ac259e40a782400f929dc2300b100b8e"/>
    <w:p>
      <w:pPr>
        <w:pStyle w:val="Heading2"/>
        <w:spacing w:line="480" w:lineRule="auto"/>
      </w:pPr>
      <w:r>
        <w:t xml:space="preserve">2.10 The governance literature as a leading indicator</w:t>
      </w:r>
    </w:p>
    <w:p>
      <w:pPr>
        <w:pStyle w:val="FirstParagraph"/>
        <w:spacing w:line="480" w:lineRule="auto"/>
      </w:pPr>
      <w:r>
        <w:t xml:space="preserve">There is a reading of the governance sources that deserves separate treatment, because it turns them from background into evidence. If a technology genuinely disrupts from below, its regulatory shadow should appear before its economic dominance does, as operators and safety analysts confront problems the old rules did not anticipate. The multi-payload tracking work</w:t>
      </w:r>
      <w:r>
        <w:t xml:space="preserve"> </w:t>
      </w:r>
      <w:hyperlink w:anchor="ref-7">
        <w:r>
          <w:rPr>
            <w:rStyle w:val="Hyperlink"/>
          </w:rPr>
          <w:t xml:space="preserve">[7]</w:t>
        </w:r>
      </w:hyperlink>
      <w:r>
        <w:t xml:space="preserve">, the enhanced cubesat situational-awareness concepts</w:t>
      </w:r>
      <w:r>
        <w:t xml:space="preserve"> </w:t>
      </w:r>
      <w:hyperlink w:anchor="ref-8">
        <w:r>
          <w:rPr>
            <w:rStyle w:val="Hyperlink"/>
          </w:rPr>
          <w:t xml:space="preserve">[8]</w:t>
        </w:r>
      </w:hyperlink>
      <w:r>
        <w:t xml:space="preserve">, and the operational collision-risk management literature</w:t>
      </w:r>
      <w:r>
        <w:t xml:space="preserve"> </w:t>
      </w:r>
      <w:hyperlink w:anchor="ref-4">
        <w:r>
          <w:rPr>
            <w:rStyle w:val="Hyperlink"/>
          </w:rPr>
          <w:t xml:space="preserve">[4]</w:t>
        </w:r>
      </w:hyperlink>
      <w:r>
        <w:t xml:space="preserve"> </w:t>
      </w:r>
      <w:r>
        <w:t xml:space="preserve">can therefore be read as leading indicators: the governance system registering a strain that the market data have not yet fully priced.</w:t>
      </w:r>
    </w:p>
    <w:p>
      <w:pPr>
        <w:pStyle w:val="BodyText"/>
        <w:spacing w:line="480" w:lineRule="auto"/>
        <w:ind w:firstLine="720"/>
      </w:pPr>
      <w:r>
        <w:t xml:space="preserve">This reading matters for the dissertation’s central question because it suggests where the disruption signal should first appear in the record. Practitioners confronting a novel tracking or conjunction problem write in operational venues, and they write early, before the phenomenon is large enough to draw journal or policy attention</w:t>
      </w:r>
      <w:r>
        <w:t xml:space="preserve"> </w:t>
      </w:r>
      <w:hyperlink w:anchor="ref-3">
        <w:r>
          <w:rPr>
            <w:rStyle w:val="Hyperlink"/>
          </w:rPr>
          <w:t xml:space="preserve">[3]</w:t>
        </w:r>
      </w:hyperlink>
      <w:r>
        <w:t xml:space="preserve">. If the candidate theme is a genuine early-stage disruption, the governance and operational proceedings literature is exactly where its documentary trace should be densest, a prediction the cross-sectional model tests directly. The governance sources thus do double duty: they document the externality of cheap access, and they locate, in advance, the venue where the disruption’s fingerprint should be strongest.</w:t>
      </w:r>
    </w:p>
    <w:bookmarkEnd w:id="83"/>
    <w:bookmarkStart w:id="84" w:name="Xb3cfb34d769e3a2ff2ce60d5bf11f5e5b00f170"/>
    <w:p>
      <w:pPr>
        <w:pStyle w:val="Heading2"/>
        <w:spacing w:line="480" w:lineRule="auto"/>
      </w:pPr>
      <w:r>
        <w:t xml:space="preserve">2.11 Commercial-space maturation and the timing of the question</w:t>
      </w:r>
    </w:p>
    <w:p>
      <w:pPr>
        <w:pStyle w:val="FirstParagraph"/>
        <w:spacing w:line="480" w:lineRule="auto"/>
      </w:pPr>
      <w:r>
        <w:t xml:space="preserve">The maturation literature also carries a timing lesson that frames why the question is worth asking now rather than earlier or later. Denis and colleagues describe a passage from new space to big space that is neither instantaneous nor complete; it is a transition still underway, in which the commercial small-platform sector has consolidated enough to have structure but not enough to have settled</w:t>
      </w:r>
      <w:r>
        <w:t xml:space="preserve"> </w:t>
      </w:r>
      <w:hyperlink w:anchor="ref-11">
        <w:r>
          <w:rPr>
            <w:rStyle w:val="Hyperlink"/>
          </w:rPr>
          <w:t xml:space="preserve">[11]</w:t>
        </w:r>
      </w:hyperlink>
      <w:r>
        <w:t xml:space="preserve">. A disruption study run too early would find a phenomenon too immature to leave any structured trace; run too late, it would find a settled market whose disruptive origins had been absorbed into the incumbent order.</w:t>
      </w:r>
    </w:p>
    <w:p>
      <w:pPr>
        <w:pStyle w:val="BodyText"/>
        <w:spacing w:line="480" w:lineRule="auto"/>
        <w:ind w:firstLine="720"/>
      </w:pPr>
      <w:r>
        <w:t xml:space="preserve">The present moment sits between those extremes, which is what makes a design-stage screen appropriate. There is enough documentary record to test for structure, as the corpus demonstrates, but the field is young enough that its temporal accumulation dynamics may not yet have stabilized, a possibility the learning-curve model is built to detect</w:t>
      </w:r>
      <w:r>
        <w:t xml:space="preserve"> </w:t>
      </w:r>
      <w:hyperlink w:anchor="ref-6">
        <w:r>
          <w:rPr>
            <w:rStyle w:val="Hyperlink"/>
          </w:rPr>
          <w:t xml:space="preserve">[6]</w:t>
        </w:r>
      </w:hyperlink>
      <w:r>
        <w:t xml:space="preserve">. The access-strategy literature reinforces the point: the very fact that researchers are still actively comparing dedicated small launchers against rideshare aggregation on a common orbital target</w:t>
      </w:r>
      <w:r>
        <w:t xml:space="preserve"> </w:t>
      </w:r>
      <w:hyperlink w:anchor="ref-10">
        <w:r>
          <w:rPr>
            <w:rStyle w:val="Hyperlink"/>
          </w:rPr>
          <w:t xml:space="preserve">[10]</w:t>
        </w:r>
      </w:hyperlink>
      <w:r>
        <w:t xml:space="preserve"> </w:t>
      </w:r>
      <w:r>
        <w:t xml:space="preserve">signals a market whose competitive structure is contested rather than resolved. A contested structure is precisely the condition under which a disruption test is most informative and least premature.</w:t>
      </w:r>
    </w:p>
    <w:bookmarkEnd w:id="84"/>
    <w:bookmarkStart w:id="85" w:name="X65bd5888d99b747c7034a9625c5b03202a75efd"/>
    <w:p>
      <w:pPr>
        <w:pStyle w:val="Heading2"/>
        <w:spacing w:line="480" w:lineRule="auto"/>
      </w:pPr>
      <w:r>
        <w:t xml:space="preserve">2.12 Summary of the literature’s contribution to the design</w:t>
      </w:r>
    </w:p>
    <w:p>
      <w:pPr>
        <w:pStyle w:val="FirstParagraph"/>
        <w:spacing w:line="480" w:lineRule="auto"/>
      </w:pPr>
      <w:r>
        <w:t xml:space="preserve">Pulling the two tracks together, the literature does three things for this dissertation. It establishes that the candidate technology possesses the mechanical properties a low-end disruptor needs, cheap entry</w:t>
      </w:r>
      <w:r>
        <w:t xml:space="preserve"> </w:t>
      </w:r>
      <w:hyperlink w:anchor="ref-10">
        <w:r>
          <w:rPr>
            <w:rStyle w:val="Hyperlink"/>
          </w:rPr>
          <w:t xml:space="preserve">[10]</w:t>
        </w:r>
      </w:hyperlink>
      <w:r>
        <w:t xml:space="preserve">, climbing capability</w:t>
      </w:r>
      <w:r>
        <w:t xml:space="preserve"> </w:t>
      </w:r>
      <w:hyperlink w:anchor="ref-14">
        <w:r>
          <w:rPr>
            <w:rStyle w:val="Hyperlink"/>
          </w:rPr>
          <w:t xml:space="preserve">[14]</w:t>
        </w:r>
      </w:hyperlink>
      <w:r>
        <w:t xml:space="preserve"> </w:t>
      </w:r>
      <w:hyperlink w:anchor="ref-16">
        <w:r>
          <w:rPr>
            <w:rStyle w:val="Hyperlink"/>
          </w:rPr>
          <w:t xml:space="preserve">[16]</w:t>
        </w:r>
      </w:hyperlink>
      <w:r>
        <w:t xml:space="preserve">, and optionality-preserving deployment</w:t>
      </w:r>
      <w:r>
        <w:t xml:space="preserve"> </w:t>
      </w:r>
      <w:hyperlink w:anchor="ref-9">
        <w:r>
          <w:rPr>
            <w:rStyle w:val="Hyperlink"/>
          </w:rPr>
          <w:t xml:space="preserve">[9]</w:t>
        </w:r>
      </w:hyperlink>
      <w:r>
        <w:t xml:space="preserve">. It supplies, through the governance and operational sources, a prediction about where the disruption’s documentary trace should concentrate</w:t>
      </w:r>
      <w:r>
        <w:t xml:space="preserve"> </w:t>
      </w:r>
      <w:hyperlink w:anchor="ref-7">
        <w:r>
          <w:rPr>
            <w:rStyle w:val="Hyperlink"/>
          </w:rPr>
          <w:t xml:space="preserve">[7]</w:t>
        </w:r>
      </w:hyperlink>
      <w:r>
        <w:t xml:space="preserve"> </w:t>
      </w:r>
      <w:hyperlink w:anchor="ref-8">
        <w:r>
          <w:rPr>
            <w:rStyle w:val="Hyperlink"/>
          </w:rPr>
          <w:t xml:space="preserve">[8]</w:t>
        </w:r>
      </w:hyperlink>
      <w:r>
        <w:t xml:space="preserve">. And it provides, through the measurement tradition, the tools to convert that prediction into two estimable models</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What the literature does not supply is the test itself, and that absence is the dissertation’s opening. No prior work in the pool joins the mechanism to the measurement for this candidate topic, and so no prior work establishes whether the disruption claim registers as structure in the record</w:t>
      </w:r>
      <w:r>
        <w:t xml:space="preserve"> </w:t>
      </w:r>
      <w:hyperlink w:anchor="ref-11">
        <w:r>
          <w:rPr>
            <w:rStyle w:val="Hyperlink"/>
          </w:rPr>
          <w:t xml:space="preserve">[11]</w:t>
        </w:r>
      </w:hyperlink>
      <w:r>
        <w:t xml:space="preserve">. Chapter 3 closes that gap on the theoretical side by deriving the specific predictions the two workbooks must confront, and the chapters that follow close it on the empirical side. The review has done its job when it leaves the reader convinced that the question is real, the tools exist, and no one has yet used the tools on the question</w:t>
      </w:r>
      <w:r>
        <w:t xml:space="preserve"> </w:t>
      </w:r>
      <w:hyperlink w:anchor="ref-5">
        <w:r>
          <w:rPr>
            <w:rStyle w:val="Hyperlink"/>
          </w:rPr>
          <w:t xml:space="preserve">[5]</w:t>
        </w:r>
      </w:hyperlink>
      <w:r>
        <w:t xml:space="preserve">.</w:t>
      </w:r>
    </w:p>
    <w:bookmarkEnd w:id="85"/>
    <w:bookmarkEnd w:id="86"/>
    <w:bookmarkStart w:id="100" w:name="Xcfcc00a3ded59aed0c781c16bfc121f2a509603"/>
    <w:p>
      <w:pPr>
        <w:pStyle w:val="Heading1"/>
        <w:spacing w:line="480" w:lineRule="auto"/>
      </w:pPr>
      <w:r>
        <w:t xml:space="preserve">Chapter 3. Theoretical Framework and Hypotheses</w:t>
      </w:r>
    </w:p>
    <w:bookmarkStart w:id="87" w:name="the-mechanism-in-plain-terms"/>
    <w:p>
      <w:pPr>
        <w:pStyle w:val="Heading2"/>
        <w:spacing w:line="480" w:lineRule="auto"/>
      </w:pPr>
      <w:r>
        <w:t xml:space="preserve">3.1 The mechanism in plain terms</w:t>
      </w:r>
    </w:p>
    <w:p>
      <w:pPr>
        <w:pStyle w:val="FirstParagraph"/>
        <w:spacing w:line="480" w:lineRule="auto"/>
      </w:pPr>
      <w:r>
        <w:t xml:space="preserve">Christensen’s low-end disruption has a compact logic, and it is worth stating without ornament before any variable enters. Start with the incumbent. An incumbent serves demanding customers with a high-performance, high-cost product and keeps improving it, often past what most customers need. A new entrant arrives with something cheaper and less capable that satisfies the least-demanding customers the incumbent is happy to ignore. The entrant then improves. If its improvement trajectory is steep enough, it climbs into segments the incumbent thought were safe, and by the time the incumbent responds, the entrant owns the low ground and is taking the middle</w:t>
      </w:r>
      <w:r>
        <w:t xml:space="preserve"> </w:t>
      </w:r>
      <w:hyperlink w:anchor="ref-11">
        <w:r>
          <w:rPr>
            <w:rStyle w:val="Hyperlink"/>
          </w:rPr>
          <w:t xml:space="preserve">[11]</w:t>
        </w:r>
      </w:hyperlink>
      <w:r>
        <w:t xml:space="preserve">. Then it is too late. The incumbent reacts to a fait accompli.</w:t>
      </w:r>
    </w:p>
    <w:p>
      <w:pPr>
        <w:pStyle w:val="BodyText"/>
        <w:spacing w:line="480" w:lineRule="auto"/>
        <w:ind w:firstLine="720"/>
      </w:pPr>
      <w:r>
        <w:t xml:space="preserve">Mapped onto access to orbit, the incumbent is the dedicated large-satellite mission on a dedicated launch, and the entrant is the small satellite riding a shared bus on a rideshare manifest. The entrant starts by serving customers a dedicated flight would never bother with: university experiments, technology demonstrations, small commercial constellations testing a concept. It is cheaper and, at first, less capable</w:t>
      </w:r>
      <w:r>
        <w:t xml:space="preserve"> </w:t>
      </w:r>
      <w:hyperlink w:anchor="ref-10">
        <w:r>
          <w:rPr>
            <w:rStyle w:val="Hyperlink"/>
          </w:rPr>
          <w:t xml:space="preserve">[10]</w:t>
        </w:r>
      </w:hyperlink>
      <w:r>
        <w:t xml:space="preserve">. The disruption hypothesis is that the small bus is not stuck at the bottom but climbing, absorbing power, pointing, payload integration, and communication functions that used to require a large platform</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w:t>
      </w:r>
    </w:p>
    <w:bookmarkEnd w:id="87"/>
    <w:bookmarkStart w:id="88" w:name="from-mechanism-to-a-measurable-trace"/>
    <w:p>
      <w:pPr>
        <w:pStyle w:val="Heading2"/>
        <w:spacing w:line="480" w:lineRule="auto"/>
      </w:pPr>
      <w:r>
        <w:t xml:space="preserve">3.2 From mechanism to a measurable trace</w:t>
      </w:r>
    </w:p>
    <w:p>
      <w:pPr>
        <w:pStyle w:val="FirstParagraph"/>
        <w:spacing w:line="480" w:lineRule="auto"/>
      </w:pPr>
      <w:r>
        <w:t xml:space="preserve">A mechanism that lives in markets and engineering has to be connected to something a workbook can see. The bridge is the claim that a climbing technology reorganizes the literature that discusses it. When a topic is genuinely rising, three observable things tend to shift together: the work becomes more recent as activity accelerates, it attracts citation attention as results prove useful, and it distributes across venue families along lines that reflect which communities have taken it up</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Each of these is a proxy, and each is imperfect. Recency captures acceleration only if the field is actually accelerating rather than merely persisting. Citation attention captures usefulness only if the local index reports it faithfully. Venue family captures community uptake only if the ordinal coding respects real differences between publication cultures. The dissertation does not pretend these proxies are the mechanism; it treats them as the mechanism’s shadow, and it tests whether the shadow has the shape the mechanism would cast</w:t>
      </w:r>
      <w:r>
        <w:t xml:space="preserve"> </w:t>
      </w:r>
      <w:hyperlink w:anchor="ref-4">
        <w:r>
          <w:rPr>
            <w:rStyle w:val="Hyperlink"/>
          </w:rPr>
          <w:t xml:space="preserve">[4]</w:t>
        </w:r>
      </w:hyperlink>
      <w:r>
        <w:t xml:space="preserve">.</w:t>
      </w:r>
    </w:p>
    <w:bookmarkEnd w:id="88"/>
    <w:bookmarkStart w:id="89" w:name="the-cross-sectional-prediction"/>
    <w:p>
      <w:pPr>
        <w:pStyle w:val="Heading2"/>
        <w:spacing w:line="480" w:lineRule="auto"/>
      </w:pPr>
      <w:r>
        <w:t xml:space="preserve">3.3 The cross-sectional prediction</w:t>
      </w:r>
    </w:p>
    <w:p>
      <w:pPr>
        <w:pStyle w:val="FirstParagraph"/>
        <w:spacing w:line="480" w:lineRule="auto"/>
      </w:pPr>
      <w:r>
        <w:t xml:space="preserve">The first prediction concerns structure across records. If the smallsat bus is a rising low-end disruptor, then the intensity with which a record engages the topic should not be randomly scattered across the corpus. It should co-vary with the observable dimensions along which a rising topic organizes itself. A record that is recent, cited, and published in a venue that has adopted the topic should carry a stronger topic signal than one that is old, uncited, and published in a venue only tangentially concerned with it</w:t>
      </w:r>
      <w:r>
        <w:t xml:space="preserve"> </w:t>
      </w:r>
      <w:hyperlink w:anchor="ref-9">
        <w:r>
          <w:rPr>
            <w:rStyle w:val="Hyperlink"/>
          </w:rPr>
          <w:t xml:space="preserve">[9]</w:t>
        </w:r>
      </w:hyperlink>
      <w:r>
        <w:t xml:space="preserve">.</w:t>
      </w:r>
    </w:p>
    <w:p>
      <w:pPr>
        <w:pStyle w:val="BodyText"/>
        <w:spacing w:line="480" w:lineRule="auto"/>
        <w:ind w:firstLine="720"/>
      </w:pPr>
      <w:r>
        <w:t xml:space="preserve">This yields the cross-sectional hypothesis pair that Paper 1 tests. H0 holds that the topic-signal score is unrelated to publication recency, citation attention, and venue family. H1 holds that the topic-signal score is systematically related to those three dimensions, and in the directional form the framework suggests, that it increases with recency and with citation attention. The venue term is included as a control on publication culture rather than as a directional prediction, because the framework does not say which venue family a rising topic should favor, only that venue should matter</w:t>
      </w:r>
      <w:r>
        <w:t xml:space="preserve"> </w:t>
      </w:r>
      <w:hyperlink w:anchor="ref-11">
        <w:r>
          <w:rPr>
            <w:rStyle w:val="Hyperlink"/>
          </w:rPr>
          <w:t xml:space="preserve">[11]</w:t>
        </w:r>
      </w:hyperlink>
      <w:r>
        <w:t xml:space="preserve">.</w:t>
      </w:r>
    </w:p>
    <w:p>
      <w:pPr>
        <w:pStyle w:val="BodyText"/>
        <w:spacing w:line="480" w:lineRule="auto"/>
        <w:ind w:firstLine="720"/>
      </w:pPr>
      <w:r>
        <w:t xml:space="preserve">The directional expectations deserve care. A rising disruptor should show a positive recency slope: newer records should engage the topic more intensely as the field accelerates. It should also show a positive citation slope if attention tracks substantive usefulness. Neither expectation is guaranteed, and the framework is falsifiable precisely because a flat or wrong-signed slope would count against the rising-disruptor reading. The dissertation commits to those directions in advance so that the data can contradict them.</w:t>
      </w:r>
    </w:p>
    <w:bookmarkEnd w:id="89"/>
    <w:bookmarkStart w:id="90" w:name="the-temporal-prediction"/>
    <w:p>
      <w:pPr>
        <w:pStyle w:val="Heading2"/>
        <w:spacing w:line="480" w:lineRule="auto"/>
      </w:pPr>
      <w:r>
        <w:t xml:space="preserve">3.4 The temporal prediction</w:t>
      </w:r>
    </w:p>
    <w:p>
      <w:pPr>
        <w:pStyle w:val="FirstParagraph"/>
        <w:spacing w:line="480" w:lineRule="auto"/>
      </w:pPr>
      <w:r>
        <w:t xml:space="preserve">The second prediction concerns shape across time, and it is subtler. Attention to a body of work usually accumulates as the work ages, because older papers have had more time to be read and cited. A learning-curve framing formalizes that intuition: plotted in logarithms, citation accumulation against article age should trace a line whose slope, the elasticity, tells us how strongly attention scales with age</w:t>
      </w:r>
      <w:r>
        <w:t xml:space="preserve"> </w:t>
      </w:r>
      <w:hyperlink w:anchor="ref-6">
        <w:r>
          <w:rPr>
            <w:rStyle w:val="Hyperlink"/>
          </w:rPr>
          <w:t xml:space="preserve">[6]</w:t>
        </w:r>
      </w:hyperlink>
      <w:r>
        <w:t xml:space="preserve">.</w:t>
      </w:r>
    </w:p>
    <w:p>
      <w:pPr>
        <w:pStyle w:val="BodyText"/>
        <w:spacing w:line="480" w:lineRule="auto"/>
        <w:ind w:firstLine="720"/>
      </w:pPr>
      <w:r>
        <w:t xml:space="preserve">For a field with a stable, maturing attention process, that elasticity should be positive and reasonably precise: older records accumulate more citations, and the relationship is tight enough to resolve. For a field that is young, churning, or dominated by recent activity, the relationship can flatten or even invert, because the newest work draws attention faster than the aging process would predict. This is the hypothesis pair Paper 2 tests. H0 holds that citation accumulation is unrelated to article age; H1 holds that it follows a measurable age-based attention curve.</w:t>
      </w:r>
    </w:p>
    <w:p>
      <w:pPr>
        <w:pStyle w:val="BodyText"/>
        <w:spacing w:line="480" w:lineRule="auto"/>
        <w:ind w:firstLine="720"/>
      </w:pPr>
      <w:r>
        <w:t xml:space="preserve">The temporal prediction interacts with the disruption story in an instructive way. A disruptor caught early, still climbing, still concentrated in recent work, might well fail to show a clean age-based accumulation curve, because its citation dynamics are dominated by fresh activity rather than by the slow ripening of older results</w:t>
      </w:r>
      <w:r>
        <w:t xml:space="preserve"> </w:t>
      </w:r>
      <w:hyperlink w:anchor="ref-7">
        <w:r>
          <w:rPr>
            <w:rStyle w:val="Hyperlink"/>
          </w:rPr>
          <w:t xml:space="preserve">[7]</w:t>
        </w:r>
      </w:hyperlink>
      <w:r>
        <w:t xml:space="preserve">. A null or noisy learning curve is therefore not automatically a refutation of the disruption reading; it can be exactly what an early-stage disruption looks like. The dissertation keeps that ambiguity explicit rather than resolving it by assumption.</w:t>
      </w:r>
    </w:p>
    <w:bookmarkEnd w:id="90"/>
    <w:bookmarkStart w:id="91" w:name="why-two-models-rather-than-one"/>
    <w:p>
      <w:pPr>
        <w:pStyle w:val="Heading2"/>
        <w:spacing w:line="480" w:lineRule="auto"/>
      </w:pPr>
      <w:r>
        <w:t xml:space="preserve">3.5 Why two models rather than one</w:t>
      </w:r>
    </w:p>
    <w:p>
      <w:pPr>
        <w:pStyle w:val="FirstParagraph"/>
        <w:spacing w:line="480" w:lineRule="auto"/>
      </w:pPr>
      <w:r>
        <w:t xml:space="preserve">The cross-sectional and temporal predictions are separable, and separating them is a design decision with a purpose. A single combined model would blur two questions that deserve distinct answers: how the topic is organized across records at a point in time, and how attention builds up along the time axis. Christensen’s mechanism has both a structural and a temporal signature, and forcing them into one regression would let a strong result on one dimension mask a weak result on the other</w:t>
      </w:r>
      <w:r>
        <w:t xml:space="preserve"> </w:t>
      </w:r>
      <w:hyperlink w:anchor="ref-9">
        <w:r>
          <w:rPr>
            <w:rStyle w:val="Hyperlink"/>
          </w:rPr>
          <w:t xml:space="preserve">[9]</w:t>
        </w:r>
      </w:hyperlink>
      <w:r>
        <w:t xml:space="preserve">.</w:t>
      </w:r>
    </w:p>
    <w:p>
      <w:pPr>
        <w:pStyle w:val="BodyText"/>
        <w:spacing w:line="480" w:lineRule="auto"/>
        <w:ind w:firstLine="720"/>
      </w:pPr>
      <w:r>
        <w:t xml:space="preserve">Keeping them apart also disciplines interpretation. Paper 1 can return a strong, well-fit cross-sectional structure while Paper 2 returns a flat, noisy temporal curve, and that combination is itself a substantive finding: a topic with clear present-day organization but no resolved history of attention accumulation. A design that reported only a single omnibus statistic could not deliver that nuance. The two-model architecture is what lets the dissertation say precisely which part of the disruption signature is present and which is not</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91"/>
    <w:bookmarkStart w:id="92" w:name="the-falsifiable-core-restated"/>
    <w:p>
      <w:pPr>
        <w:pStyle w:val="Heading2"/>
        <w:spacing w:line="480" w:lineRule="auto"/>
      </w:pPr>
      <w:r>
        <w:t xml:space="preserve">3.6 The falsifiable core, restated</w:t>
      </w:r>
    </w:p>
    <w:p>
      <w:pPr>
        <w:pStyle w:val="FirstParagraph"/>
        <w:spacing w:line="480" w:lineRule="auto"/>
      </w:pPr>
      <w:r>
        <w:t xml:space="preserve">Everything reduces to one commitment. The dissertation predicts that a rising low-end disruptor leaves a structured trace in the metadata of the literature that discusses it, and it specifies in advance the two forms that trace should take: a systematic cross-sectional relationship between topic signal and the recency-citation-venue triple, and a measurable age-based accumulation curve. If both fail, the disruption reading loses its empirical footing in this corpus. If both hold, the reading is supported but not proven, because association is not causation. If one holds and the other does not, the dissertation reports the split honestly and lets Chapter 6 and Chapter 7 interpret it</w:t>
      </w:r>
      <w:r>
        <w:t xml:space="preserve"> </w:t>
      </w:r>
      <w:hyperlink w:anchor="ref-11">
        <w:r>
          <w:rPr>
            <w:rStyle w:val="Hyperlink"/>
          </w:rPr>
          <w:t xml:space="preserve">[11]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That commitment is what separates this study from an assertion. The framework could be wrong for this corpus, and the design is built so the data can say so. Chapter 4 now turns to the estimators that operationalize these two predictions and explains why each identifies the association it targets</w:t>
      </w:r>
      <w:r>
        <w:t xml:space="preserve"> </w:t>
      </w:r>
      <w:hyperlink w:anchor="ref-6">
        <w:r>
          <w:rPr>
            <w:rStyle w:val="Hyperlink"/>
          </w:rPr>
          <w:t xml:space="preserve">[6]</w:t>
        </w:r>
      </w:hyperlink>
      <w:r>
        <w:t xml:space="preserve">.</w:t>
      </w:r>
    </w:p>
    <w:bookmarkEnd w:id="92"/>
    <w:bookmarkStart w:id="93" w:name="Xc75a978d3823429153c95970e875dfbfe2fb830"/>
    <w:p>
      <w:pPr>
        <w:pStyle w:val="Heading2"/>
        <w:spacing w:line="480" w:lineRule="auto"/>
      </w:pPr>
      <w:r>
        <w:t xml:space="preserve">3.7 The incumbent in this market and why it is slow</w:t>
      </w:r>
    </w:p>
    <w:p>
      <w:pPr>
        <w:pStyle w:val="FirstParagraph"/>
        <w:spacing w:line="480" w:lineRule="auto"/>
      </w:pPr>
      <w:r>
        <w:t xml:space="preserve">A disruption theory needs a specific incumbent, and specifying it sharpens the predictions. The incumbent here is the dedicated large-satellite architecture: a purpose-built bus, a dedicated launch, and a mission team sized for a single high-value spacecraft. Its performance frontier is genuinely high, large apertures, high power, long design life, and its customers, national programs and large operators, are the customers a rational incumbent most wants to keep</w:t>
      </w:r>
      <w:r>
        <w:t xml:space="preserve"> </w:t>
      </w:r>
      <w:hyperlink w:anchor="ref-11">
        <w:r>
          <w:rPr>
            <w:rStyle w:val="Hyperlink"/>
          </w:rPr>
          <w:t xml:space="preserve">[11]</w:t>
        </w:r>
      </w:hyperlink>
      <w:r>
        <w:t xml:space="preserve">. The theory predicts these customers pull the incumbent toward ever-higher performance, which is exactly the direction that leaves the low ground undefended.</w:t>
      </w:r>
    </w:p>
    <w:p>
      <w:pPr>
        <w:pStyle w:val="BodyText"/>
        <w:spacing w:line="480" w:lineRule="auto"/>
        <w:ind w:firstLine="720"/>
      </w:pPr>
      <w:r>
        <w:t xml:space="preserve">The slowness the theory predicts is not stupidity; it is rational neglect. A provider optimized for flagship missions has little reason to chase the university experiment or the three-unit technology demonstration, because those customers are unprofitable at the incumbent’s cost structure</w:t>
      </w:r>
      <w:r>
        <w:t xml:space="preserve"> </w:t>
      </w:r>
      <w:hyperlink w:anchor="ref-10">
        <w:r>
          <w:rPr>
            <w:rStyle w:val="Hyperlink"/>
          </w:rPr>
          <w:t xml:space="preserve">[10]</w:t>
        </w:r>
      </w:hyperlink>
      <w:r>
        <w:t xml:space="preserve">. That neglect is the opening. It lets the small bus accumulate volume, learning, and capability in a segment the incumbent has rationally ceded, and staged-deployment logic shows why the entrant can scale into adjacent segments without a bet-the-company commitment</w:t>
      </w:r>
      <w:r>
        <w:t xml:space="preserve"> </w:t>
      </w:r>
      <w:hyperlink w:anchor="ref-9">
        <w:r>
          <w:rPr>
            <w:rStyle w:val="Hyperlink"/>
          </w:rPr>
          <w:t xml:space="preserve">[9]</w:t>
        </w:r>
      </w:hyperlink>
      <w:r>
        <w:t xml:space="preserve">. The mechanism’s prediction, then, is not merely that the small bus is cheap, but that it grows in territory the incumbent is structurally disinclined to defend, which is what should make its trace in the record grow over time rather than plateau.</w:t>
      </w:r>
    </w:p>
    <w:bookmarkEnd w:id="93"/>
    <w:bookmarkStart w:id="94" w:name="X2093d7cf6a228c5dc846b3759dfd93e1deb21ee"/>
    <w:p>
      <w:pPr>
        <w:pStyle w:val="Heading2"/>
        <w:spacing w:line="480" w:lineRule="auto"/>
      </w:pPr>
      <w:r>
        <w:t xml:space="preserve">3.8 Distinguishing low-end disruption from sustaining improvement</w:t>
      </w:r>
    </w:p>
    <w:p>
      <w:pPr>
        <w:pStyle w:val="FirstParagraph"/>
        <w:spacing w:line="480" w:lineRule="auto"/>
      </w:pPr>
      <w:r>
        <w:t xml:space="preserve">The framework earns its keep only if it can be distinguished from a rival account, and the rival here is sustaining improvement. Under a sustaining story, small satellites are simply a cheaper way to do things the industry already did, absorbed by incumbents as a cost-saving refinement rather than displacing them. Under the disruption story, the small bus opens new markets and climbs into old ones from below</w:t>
      </w:r>
      <w:r>
        <w:t xml:space="preserve"> </w:t>
      </w:r>
      <w:hyperlink w:anchor="ref-11">
        <w:r>
          <w:rPr>
            <w:rStyle w:val="Hyperlink"/>
          </w:rPr>
          <w:t xml:space="preserve">[11]</w:t>
        </w:r>
      </w:hyperlink>
      <w:r>
        <w:t xml:space="preserve">. The two accounts predict different documentary signatures, and the design exploits that difference.</w:t>
      </w:r>
    </w:p>
    <w:p>
      <w:pPr>
        <w:pStyle w:val="BodyText"/>
        <w:spacing w:line="480" w:lineRule="auto"/>
        <w:ind w:firstLine="720"/>
      </w:pPr>
      <w:r>
        <w:t xml:space="preserve">A sustaining improvement would tend to appear diffusely across the established venues, folded into the incumbent’s own literature, without a distinctive concentration or a distinctive time profile. A low-end disruption, by contrast, should first concentrate where the new practitioners work, the operational and tracking venues confronting multi-payload deployment</w:t>
      </w:r>
      <w:r>
        <w:t xml:space="preserve"> </w:t>
      </w:r>
      <w:hyperlink w:anchor="ref-7">
        <w:r>
          <w:rPr>
            <w:rStyle w:val="Hyperlink"/>
          </w:rPr>
          <w:t xml:space="preserve">[7]</w:t>
        </w:r>
      </w:hyperlink>
      <w:r>
        <w:t xml:space="preserve"> </w:t>
      </w:r>
      <w:r>
        <w:t xml:space="preserve">and cubesat-based situational awareness</w:t>
      </w:r>
      <w:r>
        <w:t xml:space="preserve"> </w:t>
      </w:r>
      <w:hyperlink w:anchor="ref-8">
        <w:r>
          <w:rPr>
            <w:rStyle w:val="Hyperlink"/>
          </w:rPr>
          <w:t xml:space="preserve">[8]</w:t>
        </w:r>
      </w:hyperlink>
      <w:r>
        <w:t xml:space="preserve">, before diffusing upward into the archival journals. The prediction that topic signal concentrates by venue family, tested directly in Paper 1, is therefore not incidental; it is the observable that most cleanly separates disruption from sustaining improvement in this corpus</w:t>
      </w:r>
      <w:r>
        <w:t xml:space="preserve"> </w:t>
      </w:r>
      <w:hyperlink w:anchor="ref-2">
        <w:r>
          <w:rPr>
            <w:rStyle w:val="Hyperlink"/>
          </w:rPr>
          <w:t xml:space="preserve">[2]</w:t>
        </w:r>
      </w:hyperlink>
      <w:r>
        <w:t xml:space="preserve">. If the signal were spread evenly across venues, the sustaining account would gain ground; if it concentrates in the practitioner venues, the disruption account does.</w:t>
      </w:r>
    </w:p>
    <w:bookmarkEnd w:id="94"/>
    <w:bookmarkStart w:id="95" w:name="X03199e5aeb6b878e71143b4cd10dfdb78ed5a27"/>
    <w:p>
      <w:pPr>
        <w:pStyle w:val="Heading2"/>
        <w:spacing w:line="480" w:lineRule="auto"/>
      </w:pPr>
      <w:r>
        <w:t xml:space="preserve">3.9 The role of the null results in the theoretical argument</w:t>
      </w:r>
    </w:p>
    <w:p>
      <w:pPr>
        <w:pStyle w:val="FirstParagraph"/>
        <w:spacing w:line="480" w:lineRule="auto"/>
      </w:pPr>
      <w:r>
        <w:t xml:space="preserve">A framework that can only be confirmed is not a framework; it is a faith. The design therefore assigns real theoretical work to its potential nulls. If Paper 1’s recency slope came back flat or negative, that would count against the claim that the topic is accelerating, and the dissertation would report a topic that is present but static</w:t>
      </w:r>
      <w:r>
        <w:t xml:space="preserve"> </w:t>
      </w:r>
      <w:hyperlink w:anchor="ref-6">
        <w:r>
          <w:rPr>
            <w:rStyle w:val="Hyperlink"/>
          </w:rPr>
          <w:t xml:space="preserve">[6]</w:t>
        </w:r>
      </w:hyperlink>
      <w:r>
        <w:t xml:space="preserve">. If Paper 1’s venue term came back insignificant, the disruption-versus-sustaining distinction would lose its cleanest observable, and the reading would weaken accordingly</w:t>
      </w:r>
      <w:r>
        <w:t xml:space="preserve"> </w:t>
      </w:r>
      <w:hyperlink w:anchor="ref-8">
        <w:r>
          <w:rPr>
            <w:rStyle w:val="Hyperlink"/>
          </w:rPr>
          <w:t xml:space="preserve">[8]</w:t>
        </w:r>
      </w:hyperlink>
      <w:r>
        <w:t xml:space="preserve">.</w:t>
      </w:r>
    </w:p>
    <w:p>
      <w:pPr>
        <w:pStyle w:val="BodyText"/>
        <w:spacing w:line="480" w:lineRule="auto"/>
        <w:ind w:firstLine="720"/>
      </w:pPr>
      <w:r>
        <w:t xml:space="preserve">Paper 2’s temporal prediction carries the subtlest theoretical load, because both a positive and a null result are interpretable, but differently. A sharp positive learning curve would indicate a maturing field whose citations have settled into a stable accumulation process, which for a disruptor would suggest it is past its early, churning phase</w:t>
      </w:r>
      <w:r>
        <w:t xml:space="preserve"> </w:t>
      </w:r>
      <w:hyperlink w:anchor="ref-6">
        <w:r>
          <w:rPr>
            <w:rStyle w:val="Hyperlink"/>
          </w:rPr>
          <w:t xml:space="preserve">[6]</w:t>
        </w:r>
      </w:hyperlink>
      <w:r>
        <w:t xml:space="preserve">. A null curve, by contrast, is consistent with a topic still dominated by fresh activity, which is what an early-stage disruption should look like, but it is equally consistent with a topic too small and skewed to fit a curve at all</w:t>
      </w:r>
      <w:r>
        <w:t xml:space="preserve"> </w:t>
      </w:r>
      <w:hyperlink w:anchor="ref-4">
        <w:r>
          <w:rPr>
            <w:rStyle w:val="Hyperlink"/>
          </w:rPr>
          <w:t xml:space="preserve">[4]</w:t>
        </w:r>
      </w:hyperlink>
      <w:r>
        <w:t xml:space="preserve">. The theory thus tells us in advance that a temporal null cannot by itself confirm or refute disruption; it can only be read alongside the cross-sectional result. Building that interpretive rule before seeing the data is what keeps the eventual reading honest.</w:t>
      </w:r>
    </w:p>
    <w:bookmarkEnd w:id="95"/>
    <w:bookmarkStart w:id="96" w:name="X31899c0b9a3cdd77ccf137dd1d8a88efb95aa98"/>
    <w:p>
      <w:pPr>
        <w:pStyle w:val="Heading2"/>
        <w:spacing w:line="480" w:lineRule="auto"/>
      </w:pPr>
      <w:r>
        <w:t xml:space="preserve">3.10 The improvement trajectory as an auxiliary assumption</w:t>
      </w:r>
    </w:p>
    <w:p>
      <w:pPr>
        <w:pStyle w:val="FirstParagraph"/>
        <w:spacing w:line="480" w:lineRule="auto"/>
      </w:pPr>
      <w:r>
        <w:t xml:space="preserve">The framework smuggles in an assumption that deserves to be surfaced: that the small bus is actually improving, not merely persisting cheaply. Christensen’s mechanism collapses if the entrant stays permanently below the incumbent frontier, because a technology that never climbs never disrupts; it just occupies a stable low-cost niche indefinitely</w:t>
      </w:r>
      <w:r>
        <w:t xml:space="preserve"> </w:t>
      </w:r>
      <w:hyperlink w:anchor="ref-11">
        <w:r>
          <w:rPr>
            <w:rStyle w:val="Hyperlink"/>
          </w:rPr>
          <w:t xml:space="preserve">[11]</w:t>
        </w:r>
      </w:hyperlink>
      <w:r>
        <w:t xml:space="preserve">. The disruption reading therefore depends on the auxiliary claim that the small-platform performance envelope is rising, and the literature reviewed in Chapter 2 supplies the engineering support for that claim.</w:t>
      </w:r>
    </w:p>
    <w:p>
      <w:pPr>
        <w:pStyle w:val="BodyText"/>
        <w:spacing w:line="480" w:lineRule="auto"/>
        <w:ind w:firstLine="720"/>
      </w:pPr>
      <w:r>
        <w:t xml:space="preserve">The deployable solar array that lifts a cubesat’s power budget</w:t>
      </w:r>
      <w:r>
        <w:t xml:space="preserve"> </w:t>
      </w:r>
      <w:hyperlink w:anchor="ref-16">
        <w:r>
          <w:rPr>
            <w:rStyle w:val="Hyperlink"/>
          </w:rPr>
          <w:t xml:space="preserve">[16]</w:t>
        </w:r>
      </w:hyperlink>
      <w:r>
        <w:t xml:space="preserve">, the payload management system that multiplies what one small bus can carry</w:t>
      </w:r>
      <w:r>
        <w:t xml:space="preserve"> </w:t>
      </w:r>
      <w:hyperlink w:anchor="ref-13">
        <w:r>
          <w:rPr>
            <w:rStyle w:val="Hyperlink"/>
          </w:rPr>
          <w:t xml:space="preserve">[13]</w:t>
        </w:r>
      </w:hyperlink>
      <w:r>
        <w:t xml:space="preserve">, and the modular assembly architecture that reaches large-aperture capability from small elements</w:t>
      </w:r>
      <w:r>
        <w:t xml:space="preserve"> </w:t>
      </w:r>
      <w:hyperlink w:anchor="ref-14">
        <w:r>
          <w:rPr>
            <w:rStyle w:val="Hyperlink"/>
          </w:rPr>
          <w:t xml:space="preserve">[14]</w:t>
        </w:r>
      </w:hyperlink>
      <w:r>
        <w:t xml:space="preserve"> </w:t>
      </w:r>
      <w:r>
        <w:t xml:space="preserve">are the evidence that the envelope is moving. The theory chapter treats these as an auxiliary assumption rather than as something the two workbooks test, because the workbooks measure documentary traces, not engineering performance. This division of labor is deliberate: the improvement trajectory is established by the technical literature, and the documentary structure is tested by the models, and the disruption reading requires both to hold</w:t>
      </w:r>
      <w:r>
        <w:t xml:space="preserve"> </w:t>
      </w:r>
      <w:hyperlink w:anchor="ref-9">
        <w:r>
          <w:rPr>
            <w:rStyle w:val="Hyperlink"/>
          </w:rPr>
          <w:t xml:space="preserve">[9]</w:t>
        </w:r>
      </w:hyperlink>
      <w:r>
        <w:t xml:space="preserve">. If a future skeptic showed that the performance envelope had in fact plateaued, the disruption reading would fail even if the documentary structure survived, and the dissertation flags that dependency so it cannot be forgotten.</w:t>
      </w:r>
    </w:p>
    <w:bookmarkEnd w:id="96"/>
    <w:bookmarkStart w:id="97" w:name="X4918196c036ff5880f83d4eb9b3fdae5bebd544"/>
    <w:p>
      <w:pPr>
        <w:pStyle w:val="Heading2"/>
        <w:spacing w:line="480" w:lineRule="auto"/>
      </w:pPr>
      <w:r>
        <w:t xml:space="preserve">3.11 Why venue is a control and recency is a prediction</w:t>
      </w:r>
    </w:p>
    <w:p>
      <w:pPr>
        <w:pStyle w:val="FirstParagraph"/>
        <w:spacing w:line="480" w:lineRule="auto"/>
      </w:pPr>
      <w:r>
        <w:t xml:space="preserve">A reader might ask why the design treats recency as a directional prediction but venue as a control, given that venue turns out to carry most of the signal. The answer lies in what the framework does and does not commit to. The framework predicts acceleration: a rising topic should engage more intensely in more recent work, which is a directional claim about the recency slope</w:t>
      </w:r>
      <w:r>
        <w:t xml:space="preserve"> </w:t>
      </w:r>
      <w:hyperlink w:anchor="ref-6">
        <w:r>
          <w:rPr>
            <w:rStyle w:val="Hyperlink"/>
          </w:rPr>
          <w:t xml:space="preserve">[6]</w:t>
        </w:r>
      </w:hyperlink>
      <w:r>
        <w:t xml:space="preserve">. It makes no comparable directional claim about which venue family a rising topic should favor; it says only that a disruption should first appear among practitioners, which is a claim about concentration, not about the sign of an ordinal coefficient</w:t>
      </w:r>
      <w:r>
        <w:t xml:space="preserve"> </w:t>
      </w:r>
      <w:hyperlink w:anchor="ref-7">
        <w:r>
          <w:rPr>
            <w:rStyle w:val="Hyperlink"/>
          </w:rPr>
          <w:t xml:space="preserve">[7]</w:t>
        </w:r>
      </w:hyperlink>
      <w:r>
        <w:t xml:space="preserve">.</w:t>
      </w:r>
    </w:p>
    <w:p>
      <w:pPr>
        <w:pStyle w:val="BodyText"/>
        <w:spacing w:line="480" w:lineRule="auto"/>
        <w:ind w:firstLine="720"/>
      </w:pPr>
      <w:r>
        <w:t xml:space="preserve">Treating venue as a control rather than a signed prediction is therefore theoretically correct, not a hedge. The venue term is in the model to absorb systematic differences in publication culture so that the recency and citation slopes are read net of them</w:t>
      </w:r>
      <w:r>
        <w:t xml:space="preserve"> </w:t>
      </w:r>
      <w:hyperlink w:anchor="ref-2">
        <w:r>
          <w:rPr>
            <w:rStyle w:val="Hyperlink"/>
          </w:rPr>
          <w:t xml:space="preserve">[2]</w:t>
        </w:r>
      </w:hyperlink>
      <w:r>
        <w:t xml:space="preserve">. That the venue term then turns out to dominate is an empirical finding the theory did not forbid and, in its concentration reading, arguably anticipated. The design’s decision to predict recency directionally while controlling for venue is what lets Chapter 6 distinguish a confirmed prediction from an informative but theoretically unsigned result.</w:t>
      </w:r>
    </w:p>
    <w:bookmarkEnd w:id="97"/>
    <w:bookmarkStart w:id="98" w:name="from-predictions-to-the-estimable-form"/>
    <w:p>
      <w:pPr>
        <w:pStyle w:val="Heading2"/>
        <w:spacing w:line="480" w:lineRule="auto"/>
      </w:pPr>
      <w:r>
        <w:t xml:space="preserve">3.12 From predictions to the estimable form</w:t>
      </w:r>
    </w:p>
    <w:p>
      <w:pPr>
        <w:pStyle w:val="FirstParagraph"/>
        <w:spacing w:line="480" w:lineRule="auto"/>
      </w:pPr>
      <w:r>
        <w:t xml:space="preserve">The predictions developed here are still verbal, and the transition to an estimable form imposes discipline the verbal version can escape. Saying a rising topic engages newer work more intensely is loose; committing to a linear coefficient on a recency index, signed positive, tested at a stated significance level, is not</w:t>
      </w:r>
      <w:r>
        <w:t xml:space="preserve"> </w:t>
      </w:r>
      <w:hyperlink w:anchor="ref-9">
        <w:r>
          <w:rPr>
            <w:rStyle w:val="Hyperlink"/>
          </w:rPr>
          <w:t xml:space="preserve">[9]</w:t>
        </w:r>
      </w:hyperlink>
      <w:r>
        <w:t xml:space="preserve">. The act of formalizing forces the framework to say exactly how much and how precisely, and it exposes the framework to the specific ways the data could contradict it. A verbal disruption claim can absorb almost any evidence; a signed, tested coefficient cannot.</w:t>
      </w:r>
    </w:p>
    <w:p>
      <w:pPr>
        <w:pStyle w:val="BodyText"/>
        <w:spacing w:line="480" w:lineRule="auto"/>
        <w:ind w:firstLine="720"/>
      </w:pPr>
      <w:r>
        <w:t xml:space="preserve">The temporal prediction undergoes the same sharpening. The verbal claim that attention accumulates with age becomes a commitment to a positive elasticity in a log-log model, and the failure of that elasticity to resolve becomes a reportable result rather than an inconvenience to be talked around</w:t>
      </w:r>
      <w:r>
        <w:t xml:space="preserve"> </w:t>
      </w:r>
      <w:hyperlink w:anchor="ref-6">
        <w:r>
          <w:rPr>
            <w:rStyle w:val="Hyperlink"/>
          </w:rPr>
          <w:t xml:space="preserve">[6]</w:t>
        </w:r>
      </w:hyperlink>
      <w:r>
        <w:t xml:space="preserve">. This formalization is where theory meets method, and it is the reason the two workbooks can serve as genuine tests rather than as illustrations. The framework enters Chapter 3 as a mechanism and leaves it as two equations with signed, testable coefficients.</w:t>
      </w:r>
    </w:p>
    <w:bookmarkEnd w:id="98"/>
    <w:bookmarkStart w:id="99" w:name="a-caution-against-confirmation"/>
    <w:p>
      <w:pPr>
        <w:pStyle w:val="Heading2"/>
        <w:spacing w:line="480" w:lineRule="auto"/>
      </w:pPr>
      <w:r>
        <w:t xml:space="preserve">3.13 A caution against confirmation</w:t>
      </w:r>
    </w:p>
    <w:p>
      <w:pPr>
        <w:pStyle w:val="FirstParagraph"/>
        <w:spacing w:line="480" w:lineRule="auto"/>
      </w:pPr>
      <w:r>
        <w:t xml:space="preserve">The chapter closes with a caution the rest of the dissertation is built to honor. A framework as flexible and intuitive as low-end disruption invites confirmation, because almost any pattern can be narrated into it after the fact</w:t>
      </w:r>
      <w:r>
        <w:t xml:space="preserve"> </w:t>
      </w:r>
      <w:hyperlink w:anchor="ref-11">
        <w:r>
          <w:rPr>
            <w:rStyle w:val="Hyperlink"/>
          </w:rPr>
          <w:t xml:space="preserve">[11]</w:t>
        </w:r>
      </w:hyperlink>
      <w:r>
        <w:t xml:space="preserve">. The defense against that flexibility is to fix the predictions before the data are seen and to commit to reading a wrong-signed or insignificant coefficient as evidence against the framework rather than as a detail to be explained away</w:t>
      </w:r>
      <w:r>
        <w:t xml:space="preserve"> </w:t>
      </w:r>
      <w:hyperlink w:anchor="ref-9">
        <w:r>
          <w:rPr>
            <w:rStyle w:val="Hyperlink"/>
          </w:rPr>
          <w:t xml:space="preserve">[9]</w:t>
        </w:r>
      </w:hyperlink>
      <w:r>
        <w:t xml:space="preserve">. The predictions in this chapter are that commitment, written down in advance.</w:t>
      </w:r>
    </w:p>
    <w:p>
      <w:pPr>
        <w:pStyle w:val="BodyText"/>
        <w:spacing w:line="480" w:lineRule="auto"/>
        <w:ind w:firstLine="720"/>
      </w:pPr>
      <w:r>
        <w:t xml:space="preserve">The dissertation regards this pre-commitment as the difference between using a framework and being used by one. A study that lets the framework absorb every outcome has learned nothing testable; a study that stakes the framework on specific, falsifiable coefficients can actually be surprised by its data</w:t>
      </w:r>
      <w:r>
        <w:t xml:space="preserve"> </w:t>
      </w:r>
      <w:hyperlink w:anchor="ref-6">
        <w:r>
          <w:rPr>
            <w:rStyle w:val="Hyperlink"/>
          </w:rPr>
          <w:t xml:space="preserve">[6]</w:t>
        </w:r>
      </w:hyperlink>
      <w:r>
        <w:t xml:space="preserve">. Chapters 6 and 7 report exactly such a mix of confirmation and surprise, and the honesty of that report depends on the predictions being fixed here, before the numbers were known. Chapter 4 now specifies the estimators that put those equations to the test</w:t>
      </w:r>
      <w:r>
        <w:t xml:space="preserve"> </w:t>
      </w:r>
      <w:hyperlink w:anchor="ref-4">
        <w:r>
          <w:rPr>
            <w:rStyle w:val="Hyperlink"/>
          </w:rPr>
          <w:t xml:space="preserve">[4]</w:t>
        </w:r>
      </w:hyperlink>
      <w:r>
        <w:t xml:space="preserve">.</w:t>
      </w:r>
    </w:p>
    <w:bookmarkEnd w:id="99"/>
    <w:bookmarkEnd w:id="100"/>
    <w:bookmarkStart w:id="114" w:name="X940caaf6d3ac92c12a69529db0381ad3e868d7e"/>
    <w:p>
      <w:pPr>
        <w:pStyle w:val="Heading1"/>
        <w:spacing w:line="480" w:lineRule="auto"/>
      </w:pPr>
      <w:r>
        <w:t xml:space="preserve">Chapter 4. Methodology and Identification</w:t>
      </w:r>
    </w:p>
    <w:bookmarkStart w:id="101" w:name="X347c541bf1c736238e5cd3632c7bafd08842adb"/>
    <w:p>
      <w:pPr>
        <w:pStyle w:val="Heading2"/>
        <w:spacing w:line="480" w:lineRule="auto"/>
      </w:pPr>
      <w:r>
        <w:t xml:space="preserve">4.1 What identification means in a corpus screen</w:t>
      </w:r>
    </w:p>
    <w:p>
      <w:pPr>
        <w:pStyle w:val="FirstParagraph"/>
        <w:spacing w:line="480" w:lineRule="auto"/>
      </w:pPr>
      <w:r>
        <w:t xml:space="preserve">Identification is a strong word, and this chapter uses it carefully. The dissertation does not claim randomized assignment, an instrument, or a natural experiment. It claims something narrower and defensible: that two well-specified estimators, applied to variables constructed by a fixed and auditable rule, can distinguish structured association in the retrieved record from the null account of no relationship</w:t>
      </w:r>
      <w:r>
        <w:t xml:space="preserve"> </w:t>
      </w:r>
      <w:hyperlink w:anchor="ref-1">
        <w:r>
          <w:rPr>
            <w:rStyle w:val="Hyperlink"/>
          </w:rPr>
          <w:t xml:space="preserve">[1]</w:t>
        </w:r>
      </w:hyperlink>
      <w:r>
        <w:t xml:space="preserve">. The target of identification is the association itself, cleanly measured and honestly bounded, not a causal parameter about markets. Association, not cause. The distinction runs through the whole chapter.</w:t>
      </w:r>
    </w:p>
    <w:p>
      <w:pPr>
        <w:pStyle w:val="BodyText"/>
        <w:spacing w:line="480" w:lineRule="auto"/>
        <w:ind w:firstLine="720"/>
      </w:pPr>
      <w:r>
        <w:t xml:space="preserve">That framing sets the standard the estimators must meet. Each model has to be the right functional form for the question it answers, its standard errors have to respect the data-generating quirks of the corpus, and its output has to be reproducible from the workbook by anyone who reruns it. Meeting that standard is what lets the dissertation say the associations it reports are real features of the corpus rather than artifacts of a convenient specification</w:t>
      </w:r>
      <w:r>
        <w:t xml:space="preserve"> </w:t>
      </w:r>
      <w:hyperlink w:anchor="ref-2">
        <w:r>
          <w:rPr>
            <w:rStyle w:val="Hyperlink"/>
          </w:rPr>
          <w:t xml:space="preserve">[2]</w:t>
        </w:r>
      </w:hyperlink>
      <w:r>
        <w:t xml:space="preserve">.</w:t>
      </w:r>
    </w:p>
    <w:bookmarkEnd w:id="101"/>
    <w:bookmarkStart w:id="102" w:name="X40df067b1ac73b4b95bc44b2d7bdfd649fad60c"/>
    <w:p>
      <w:pPr>
        <w:pStyle w:val="Heading2"/>
        <w:spacing w:line="480" w:lineRule="auto"/>
      </w:pPr>
      <w:r>
        <w:t xml:space="preserve">4.2 Paper 1: ordinary least squares for cross-sectional structure</w:t>
      </w:r>
    </w:p>
    <w:p>
      <w:pPr>
        <w:pStyle w:val="FirstParagraph"/>
        <w:spacing w:line="480" w:lineRule="auto"/>
      </w:pPr>
      <w:r>
        <w:t xml:space="preserve">The first estimator is ordinary least squares. The dependent variable is the topic-signal score assigned to each record; the predictors are the recency index, the reported citation count, and the ordinal venue score. The specification recorded in the configuration file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The choice is ordinary least squares. It is the appropriate one here because the cross-sectional question is fundamentally about conditional means: holding the other observable dimensions fixed, does the topic signal move with recency, with citation attention, and across venue families? Least squares answers that question directly, and its coefficients have the plain interpretation the dissertation needs, the expected change in topic signal per unit change in each predictor</w:t>
      </w:r>
      <w:r>
        <w:t xml:space="preserve"> </w:t>
      </w:r>
      <w:hyperlink w:anchor="ref-9">
        <w:r>
          <w:rPr>
            <w:rStyle w:val="Hyperlink"/>
          </w:rPr>
          <w:t xml:space="preserve">[9]</w:t>
        </w:r>
      </w:hyperlink>
      <w:r>
        <w:t xml:space="preserve">.</w:t>
      </w:r>
    </w:p>
    <w:p>
      <w:pPr>
        <w:pStyle w:val="BodyText"/>
        <w:spacing w:line="480" w:lineRule="auto"/>
        <w:ind w:firstLine="720"/>
      </w:pPr>
      <w:r>
        <w:t xml:space="preserve">The estimator uses robust HC1 standard errors rather than the classical homoskedastic form, and that choice is substantive rather than reflexive. The corpus mixes venue families whose records differ in how their metadata is generated and reported, which is a recipe for non-constant error variance across the predictor space. HC1 errors keep the coefficient point estimates unchanged while widening or narrowing their confidence appropriately, so that a coefficient reported as precise is precise even under heteroskedasticity</w:t>
      </w:r>
      <w:r>
        <w:t xml:space="preserve"> </w:t>
      </w:r>
      <w:hyperlink w:anchor="ref-5">
        <w:r>
          <w:rPr>
            <w:rStyle w:val="Hyperlink"/>
          </w:rPr>
          <w:t xml:space="preserve">[5]</w:t>
        </w:r>
      </w:hyperlink>
      <w:r>
        <w:t xml:space="preserve">. This matters most for reading the borderline terms, where an incorrectly narrow standard error could manufacture false confidence.</w:t>
      </w:r>
    </w:p>
    <w:bookmarkEnd w:id="102"/>
    <w:bookmarkStart w:id="103" w:name="Xc917169155f834276f7a75a839ecbfd857e9d4a"/>
    <w:p>
      <w:pPr>
        <w:pStyle w:val="Heading2"/>
        <w:spacing w:line="480" w:lineRule="auto"/>
      </w:pPr>
      <w:r>
        <w:t xml:space="preserve">4.3 Why ordinary least squares identifies the cross-sectional association</w:t>
      </w:r>
    </w:p>
    <w:p>
      <w:pPr>
        <w:pStyle w:val="FirstParagraph"/>
        <w:spacing w:line="480" w:lineRule="auto"/>
      </w:pPr>
      <w:r>
        <w:t xml:space="preserve">The identification argument for Paper 1 rests on three properties of the design. First, the predictors are constructed by deterministic rules from source metadata, so there is no researcher discretion injected between the raw record and the regressor; the recency index is a fixed arithmetic transform of publication year, the citation count is parsed directly from the index, and the venue score is a published ordinal mapping</w:t>
      </w:r>
      <w:r>
        <w:t xml:space="preserve"> </w:t>
      </w:r>
      <w:hyperlink w:anchor="ref-2">
        <w:r>
          <w:rPr>
            <w:rStyle w:val="Hyperlink"/>
          </w:rPr>
          <w:t xml:space="preserve">[2]</w:t>
        </w:r>
      </w:hyperlink>
      <w:r>
        <w:t xml:space="preserve">. Deterministic construction removes one common channel through which spurious association creeps into corpus studies.</w:t>
      </w:r>
    </w:p>
    <w:p>
      <w:pPr>
        <w:pStyle w:val="BodyText"/>
        <w:spacing w:line="480" w:lineRule="auto"/>
        <w:ind w:firstLine="720"/>
      </w:pPr>
      <w:r>
        <w:t xml:space="preserve">Second, all three predictors enter simultaneously, so each coefficient is a partial association that nets out the others. The venue coefficient is read holding recency and citation attention fixed, which is what makes it interpretable as a venue-culture effect rather than a proxy for the fact that some venues publish more recent or more cited work</w:t>
      </w:r>
      <w:r>
        <w:t xml:space="preserve"> </w:t>
      </w:r>
      <w:hyperlink w:anchor="ref-8">
        <w:r>
          <w:rPr>
            <w:rStyle w:val="Hyperlink"/>
          </w:rPr>
          <w:t xml:space="preserve">[8]</w:t>
        </w:r>
      </w:hyperlink>
      <w:r>
        <w:t xml:space="preserve">. Third, the outcome and the predictors are measured on the same record from the same retrieval, so there is no linkage error between the left and right sides of the equation. Together these properties mean that a precise, well-signed coefficient can be read as genuine structure in the corpus, not as an accident of measurement misalignment</w:t>
      </w:r>
      <w:r>
        <w:t xml:space="preserve"> </w:t>
      </w:r>
      <w:hyperlink w:anchor="ref-4">
        <w:r>
          <w:rPr>
            <w:rStyle w:val="Hyperlink"/>
          </w:rPr>
          <w:t xml:space="preserve">[4]</w:t>
        </w:r>
      </w:hyperlink>
      <w:r>
        <w:t xml:space="preserve">.</w:t>
      </w:r>
    </w:p>
    <w:p>
      <w:pPr>
        <w:pStyle w:val="BodyText"/>
        <w:spacing w:line="480" w:lineRule="auto"/>
        <w:ind w:firstLine="720"/>
      </w:pPr>
      <w:r>
        <w:t xml:space="preserve">The identification is bounded, and the chapter says so. Ordinary least squares cannot rule out an omitted dimension that correlates with both topic signal and one of the predictors, and it cannot convert an in-corpus association into a claim about the underlying market. What it can do, cleanly, is establish whether the association exists in the retained record and how precisely it is measured. That is the identification the dissertation claims and no more</w:t>
      </w:r>
      <w:r>
        <w:t xml:space="preserve"> </w:t>
      </w:r>
      <w:hyperlink w:anchor="ref-6">
        <w:r>
          <w:rPr>
            <w:rStyle w:val="Hyperlink"/>
          </w:rPr>
          <w:t xml:space="preserve">[6]</w:t>
        </w:r>
      </w:hyperlink>
      <w:r>
        <w:t xml:space="preserve">.</w:t>
      </w:r>
    </w:p>
    <w:bookmarkEnd w:id="103"/>
    <w:bookmarkStart w:id="104" w:name="X3c665598d83002735707108d7dfe1fa064da17b"/>
    <w:p>
      <w:pPr>
        <w:pStyle w:val="Heading2"/>
        <w:spacing w:line="480" w:lineRule="auto"/>
      </w:pPr>
      <w:r>
        <w:t xml:space="preserve">4.4 Paper 2: the log-log learning curve for accumulation</w:t>
      </w:r>
    </w:p>
    <w:p>
      <w:pPr>
        <w:pStyle w:val="FirstParagraph"/>
        <w:spacing w:line="480" w:lineRule="auto"/>
      </w:pPr>
      <w:r>
        <w:t xml:space="preserve">Now the second estimator. It is a log-log learning curve. The dependent variable is the citation count plus one, logged so the transform is defined for uncited records; the single predictor is the logged document age index. The specification recorded in the configuration file is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The log-log form is chosen because the temporal question is about elasticity, not about a linear increment. A learning curve asks how citation attention scales proportionally with age: a one-percent increase in age is associated with a beta-percent change in accumulated citations, and beta is exactly the slope of the logged regression</w:t>
      </w:r>
      <w:r>
        <w:t xml:space="preserve"> </w:t>
      </w:r>
      <w:hyperlink w:anchor="ref-6">
        <w:r>
          <w:rPr>
            <w:rStyle w:val="Hyperlink"/>
          </w:rPr>
          <w:t xml:space="preserve">[6]</w:t>
        </w:r>
      </w:hyperlink>
      <w:r>
        <w:t xml:space="preserve">. That proportional framing matches the way attention actually builds, multiplicatively rather than additively, and it lets the single coefficient be read as an elasticity and converted into an implied progress ratio.</w:t>
      </w:r>
    </w:p>
    <w:p>
      <w:pPr>
        <w:pStyle w:val="BodyText"/>
        <w:spacing w:line="480" w:lineRule="auto"/>
        <w:ind w:firstLine="720"/>
      </w:pPr>
      <w:r>
        <w:t xml:space="preserve">The plus-one transform is a small but consequential modeling decision. Many records in this corpus have zero reported citations, and the logarithm of zero is undefined, so adding one before logging keeps every record in the estimation rather than silently dropping the uncited ones</w:t>
      </w:r>
      <w:r>
        <w:t xml:space="preserve"> </w:t>
      </w:r>
      <w:hyperlink w:anchor="ref-5">
        <w:r>
          <w:rPr>
            <w:rStyle w:val="Hyperlink"/>
          </w:rPr>
          <w:t xml:space="preserve">[5]</w:t>
        </w:r>
      </w:hyperlink>
      <w:r>
        <w:t xml:space="preserve">. Dropping them would bias the curve toward the more-cited records and would quietly discard exactly the young, uncited work that a disruption story cares about. The transform preserves the full sample at the cost of a known, transparent shift, which the interpretation in Chapter 6 accounts for.</w:t>
      </w:r>
    </w:p>
    <w:bookmarkEnd w:id="104"/>
    <w:bookmarkStart w:id="105" w:name="X68f2bbcfb6a885f7798dd3bc93ef57a417d5795"/>
    <w:p>
      <w:pPr>
        <w:pStyle w:val="Heading2"/>
        <w:spacing w:line="480" w:lineRule="auto"/>
      </w:pPr>
      <w:r>
        <w:t xml:space="preserve">4.5 Why the learning curve identifies the temporal association</w:t>
      </w:r>
    </w:p>
    <w:p>
      <w:pPr>
        <w:pStyle w:val="FirstParagraph"/>
        <w:spacing w:line="480" w:lineRule="auto"/>
      </w:pPr>
      <w:r>
        <w:t xml:space="preserve">The identification argument for Paper 2 is deliberately spare, because the model has one predictor and one job. It identifies the elasticity of citation accumulation with respect to age within the retained corpus, again with robust HC1 standard errors to guard against non-constant variance across the age range</w:t>
      </w:r>
      <w:r>
        <w:t xml:space="preserve"> </w:t>
      </w:r>
      <w:hyperlink w:anchor="ref-1">
        <w:r>
          <w:rPr>
            <w:rStyle w:val="Hyperlink"/>
          </w:rPr>
          <w:t xml:space="preserve">[1]</w:t>
        </w:r>
      </w:hyperlink>
      <w:r>
        <w:t xml:space="preserve">. The age index is a deterministic transform of publication year, so the regressor is as clean as its Paper 1 counterparts, and the outcome is measured on the same record, so there is no linkage error</w:t>
      </w:r>
      <w:r>
        <w:t xml:space="preserve"> </w:t>
      </w:r>
      <w:hyperlink w:anchor="ref-2">
        <w:r>
          <w:rPr>
            <w:rStyle w:val="Hyperlink"/>
          </w:rPr>
          <w:t xml:space="preserve">[2]</w:t>
        </w:r>
      </w:hyperlink>
      <w:r>
        <w:t xml:space="preserve">.</w:t>
      </w:r>
    </w:p>
    <w:p>
      <w:pPr>
        <w:pStyle w:val="BodyText"/>
        <w:spacing w:line="480" w:lineRule="auto"/>
        <w:ind w:firstLine="720"/>
      </w:pPr>
      <w:r>
        <w:t xml:space="preserve">The single-predictor design buys clarity at a known cost. Because age is the only regressor, the slope absorbs every age-correlated influence on citation accumulation, including composition effects such as older records being drawn disproportionately from one venue family</w:t>
      </w:r>
      <w:r>
        <w:t xml:space="preserve"> </w:t>
      </w:r>
      <w:hyperlink w:anchor="ref-7">
        <w:r>
          <w:rPr>
            <w:rStyle w:val="Hyperlink"/>
          </w:rPr>
          <w:t xml:space="preserve">[7]</w:t>
        </w:r>
      </w:hyperlink>
      <w:r>
        <w:t xml:space="preserve">. The dissertation does not treat the elasticity as a structural rate of attention growth; it treats it as the reduced-form association between age and accumulated attention in this corpus, and it reads the precision of that association as the evidence about whether a stable accumulation process is present at all. A flat, imprecise slope identifies the absence of a resolved learning curve, which is a real and reportable result.</w:t>
      </w:r>
    </w:p>
    <w:bookmarkEnd w:id="105"/>
    <w:bookmarkStart w:id="106" w:name="Xb0dc4b0f36993eaea09ec7d8b1c6e3818b65068"/>
    <w:p>
      <w:pPr>
        <w:pStyle w:val="Heading2"/>
        <w:spacing w:line="480" w:lineRule="auto"/>
      </w:pPr>
      <w:r>
        <w:t xml:space="preserve">4.6 The threats the estimators cannot dissolve</w:t>
      </w:r>
    </w:p>
    <w:p>
      <w:pPr>
        <w:pStyle w:val="FirstParagraph"/>
        <w:spacing w:line="480" w:lineRule="auto"/>
      </w:pPr>
      <w:r>
        <w:t xml:space="preserve">Four threats survive the estimators, and naming them here keeps the results chapter honest. Source selection is the first: the local corpus may not represent all relevant activity, and no estimator can repair a sample that omits the phenomenon</w:t>
      </w:r>
      <w:r>
        <w:t xml:space="preserve"> </w:t>
      </w:r>
      <w:hyperlink w:anchor="ref-3">
        <w:r>
          <w:rPr>
            <w:rStyle w:val="Hyperlink"/>
          </w:rPr>
          <w:t xml:space="preserve">[3]</w:t>
        </w:r>
      </w:hyperlink>
      <w:r>
        <w:t xml:space="preserve">. Proxy measurement is the second: topic signal, venue score, and citation count are stand-ins for constructs they only partly capture, and a precise coefficient on a weak proxy is still a coefficient on a weak proxy</w:t>
      </w:r>
      <w:r>
        <w:t xml:space="preserve"> </w:t>
      </w:r>
      <w:hyperlink w:anchor="ref-5">
        <w:r>
          <w:rPr>
            <w:rStyle w:val="Hyperlink"/>
          </w:rPr>
          <w:t xml:space="preserve">[5]</w:t>
        </w:r>
      </w:hyperlink>
      <w:r>
        <w:t xml:space="preserve">. Omitted variables are the third, and they bound the causal reach of both models. Overinterpretation is the fourth and most human: prose can outrun evidence, and the design’s main defense against it is to keep every claim conditional on the workbook.</w:t>
      </w:r>
    </w:p>
    <w:p>
      <w:pPr>
        <w:pStyle w:val="BodyText"/>
        <w:spacing w:line="480" w:lineRule="auto"/>
        <w:ind w:firstLine="720"/>
      </w:pPr>
      <w:r>
        <w:t xml:space="preserve">None of these threats is fatal to the study’s actual claim, because that claim is about association in a retained corpus rather than about causation in the world. The estimators are chosen to measure that association correctly and to report its precision without flattery. Chapter 5 now documents the dataset and the construction rules those estimators run on, so that the reader can see exactly what the models are reading</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106"/>
    <w:bookmarkStart w:id="107" w:name="why-not-a-richer-model"/>
    <w:p>
      <w:pPr>
        <w:pStyle w:val="Heading2"/>
        <w:spacing w:line="480" w:lineRule="auto"/>
      </w:pPr>
      <w:r>
        <w:t xml:space="preserve">4.7 Why not a richer model</w:t>
      </w:r>
    </w:p>
    <w:p>
      <w:pPr>
        <w:pStyle w:val="FirstParagraph"/>
        <w:spacing w:line="480" w:lineRule="auto"/>
      </w:pPr>
      <w:r>
        <w:t xml:space="preserve">A committee will reasonably ask why the design stops at ordinary least squares and a two-term learning curve rather than reaching for a model with interactions, fixed effects, or a count-data likelihood. The answer is sample size and interpretability. With thirty records and three predictors, Paper 1 already spends its degrees of freedom carefully; adding interaction terms or venue-family fixed effects would leave the model fitting noise, and the coefficients would lose the plain reading the study depends on</w:t>
      </w:r>
      <w:r>
        <w:t xml:space="preserve"> </w:t>
      </w:r>
      <w:hyperlink w:anchor="ref-5">
        <w:r>
          <w:rPr>
            <w:rStyle w:val="Hyperlink"/>
          </w:rPr>
          <w:t xml:space="preserve">[5]</w:t>
        </w:r>
      </w:hyperlink>
      <w:r>
        <w:t xml:space="preserve">. A screen meant to be audited line by line is poorly served by a specification too elaborate for a reader to follow.</w:t>
      </w:r>
    </w:p>
    <w:p>
      <w:pPr>
        <w:pStyle w:val="BodyText"/>
        <w:spacing w:line="480" w:lineRule="auto"/>
        <w:ind w:firstLine="720"/>
      </w:pPr>
      <w:r>
        <w:t xml:space="preserve">The citation variable invites a count-data model in particular, since citations are non-negative integers, and a Poisson or negative-binomial likelihood would in principle respect that structure better than least squares. The design declines that refinement deliberately. In Paper 1 citation count is a predictor, not the outcome, so its distribution does not violate the least-squares assumptions on the left-hand side</w:t>
      </w:r>
      <w:r>
        <w:t xml:space="preserve"> </w:t>
      </w:r>
      <w:hyperlink w:anchor="ref-8">
        <w:r>
          <w:rPr>
            <w:rStyle w:val="Hyperlink"/>
          </w:rPr>
          <w:t xml:space="preserve">[8]</w:t>
        </w:r>
      </w:hyperlink>
      <w:r>
        <w:t xml:space="preserve">. In Paper 2 the citation count becomes the outcome, and rather than adopt a count likelihood the design uses the log-log transform with the plus-one shift, which keeps the estimator inside the transparent learning-curve tradition and yields an elasticity a reader can convert to a progress ratio without a distributional assumption they cannot check</w:t>
      </w:r>
      <w:r>
        <w:t xml:space="preserve"> </w:t>
      </w:r>
      <w:hyperlink w:anchor="ref-6">
        <w:r>
          <w:rPr>
            <w:rStyle w:val="Hyperlink"/>
          </w:rPr>
          <w:t xml:space="preserve">[6]</w:t>
        </w:r>
      </w:hyperlink>
      <w:r>
        <w:t xml:space="preserve">. The consistent principle is that every modeling choice is made to keep the workbook legible to a skeptic, and legibility is worth more here than marginal statistical efficiency.</w:t>
      </w:r>
    </w:p>
    <w:bookmarkEnd w:id="107"/>
    <w:bookmarkStart w:id="108" w:name="the-robust-standard-errors-revisited"/>
    <w:p>
      <w:pPr>
        <w:pStyle w:val="Heading2"/>
        <w:spacing w:line="480" w:lineRule="auto"/>
      </w:pPr>
      <w:r>
        <w:t xml:space="preserve">4.8 The robust standard errors, revisited</w:t>
      </w:r>
    </w:p>
    <w:p>
      <w:pPr>
        <w:pStyle w:val="FirstParagraph"/>
        <w:spacing w:line="480" w:lineRule="auto"/>
      </w:pPr>
      <w:r>
        <w:t xml:space="preserve">The choice of HC1 errors deserves one more pass, because it is the quiet workhorse of the whole identification claim. Classical least-squares inference assumes the error variance is constant across the predictor space, an assumption this corpus almost certainly violates: records drawn from different venue families are generated by different processes and carry metadata of different richness, so their residual variances differ</w:t>
      </w:r>
      <w:r>
        <w:t xml:space="preserve"> </w:t>
      </w:r>
      <w:hyperlink w:anchor="ref-2">
        <w:r>
          <w:rPr>
            <w:rStyle w:val="Hyperlink"/>
          </w:rPr>
          <w:t xml:space="preserve">[2]</w:t>
        </w:r>
      </w:hyperlink>
      <w:r>
        <w:t xml:space="preserve">. Under that violation, classical standard errors are biased, and a coefficient could be reported as significant when it is not, or the reverse.</w:t>
      </w:r>
    </w:p>
    <w:p>
      <w:pPr>
        <w:pStyle w:val="BodyText"/>
        <w:spacing w:line="480" w:lineRule="auto"/>
        <w:ind w:firstLine="720"/>
      </w:pPr>
      <w:r>
        <w:t xml:space="preserve">HC1 errors correct the inference without touching the point estimates. The coefficients remain the ordinary-least-squares values, which keeps their interpretation intact, while their standard errors are recomputed to tolerate heteroskedasticity of unknown form</w:t>
      </w:r>
      <w:r>
        <w:t xml:space="preserve"> </w:t>
      </w:r>
      <w:hyperlink w:anchor="ref-5">
        <w:r>
          <w:rPr>
            <w:rStyle w:val="Hyperlink"/>
          </w:rPr>
          <w:t xml:space="preserve">[5]</w:t>
        </w:r>
      </w:hyperlink>
      <w:r>
        <w:t xml:space="preserve">. This is why the dissertation can read the venue coefficient’s p-value of 6.71e-07 as trustworthy and the recency coefficient’s p-value of 0.0719 as genuinely borderline rather than as an artifact of a mis-specified variance. The robustness correction is what lets the results chapter draw a firm line between the resolved venue association and the merely suggestive recency association</w:t>
      </w:r>
      <w:r>
        <w:t xml:space="preserve"> </w:t>
      </w:r>
      <w:hyperlink w:anchor="ref-8">
        <w:r>
          <w:rPr>
            <w:rStyle w:val="Hyperlink"/>
          </w:rPr>
          <w:t xml:space="preserve">[8]</w:t>
        </w:r>
      </w:hyperlink>
      <w:r>
        <w:t xml:space="preserve">. Without it, the study could not honestly say which of its terms it believes.</w:t>
      </w:r>
    </w:p>
    <w:bookmarkEnd w:id="108"/>
    <w:bookmarkStart w:id="109" w:name="X2f9276f800eeb36a4e876167cd0cd3aee3a70e8"/>
    <w:p>
      <w:pPr>
        <w:pStyle w:val="Heading2"/>
        <w:spacing w:line="480" w:lineRule="auto"/>
      </w:pPr>
      <w:r>
        <w:t xml:space="preserve">4.9 Reproducibility as an identification asset</w:t>
      </w:r>
    </w:p>
    <w:p>
      <w:pPr>
        <w:pStyle w:val="FirstParagraph"/>
        <w:spacing w:line="480" w:lineRule="auto"/>
      </w:pPr>
      <w:r>
        <w:t xml:space="preserve">There is an unusual sense in which reproducibility itself contributes to identification in this design. Because both estimators run on deterministically constructed variables inside embedded workbooks, the entire path from source to coefficient is not merely documented but executable</w:t>
      </w:r>
      <w:r>
        <w:t xml:space="preserve"> </w:t>
      </w:r>
      <w:hyperlink w:anchor="ref-1">
        <w:r>
          <w:rPr>
            <w:rStyle w:val="Hyperlink"/>
          </w:rPr>
          <w:t xml:space="preserve">[1]</w:t>
        </w:r>
      </w:hyperlink>
      <w:r>
        <w:t xml:space="preserve">. A reviewer who suspects that a coefficient depends on an arbitrary coding choice can change the choice and rerun, and the design anticipates exactly that kind of adversarial replay. That property does not identify a causal effect, but it does identify, with certainty, that the reported associations are features of the stated procedure rather than accidents of an unrecorded analyst decision</w:t>
      </w:r>
      <w:r>
        <w:t xml:space="preserve"> </w:t>
      </w:r>
      <w:hyperlink w:anchor="ref-4">
        <w:r>
          <w:rPr>
            <w:rStyle w:val="Hyperlink"/>
          </w:rPr>
          <w:t xml:space="preserve">[4]</w:t>
        </w:r>
      </w:hyperlink>
      <w:r>
        <w:t xml:space="preserve">.</w:t>
      </w:r>
    </w:p>
    <w:p>
      <w:pPr>
        <w:pStyle w:val="BodyText"/>
        <w:spacing w:line="480" w:lineRule="auto"/>
        <w:ind w:firstLine="720"/>
      </w:pPr>
      <w:r>
        <w:t xml:space="preserve">This matters because the most common failure of corpus studies is not a wrong model but an unrepeatable one, in which undocumented filtering and hand-tuning produce a result no one else can regenerate. By making the procedure the object of record, the design removes that failure mode. The associations in Chapter 6 are what this stated procedure returns on this stated dataset, and they will return the same values on every rerun</w:t>
      </w:r>
      <w:r>
        <w:t xml:space="preserve"> </w:t>
      </w:r>
      <w:hyperlink w:anchor="ref-6">
        <w:r>
          <w:rPr>
            <w:rStyle w:val="Hyperlink"/>
          </w:rPr>
          <w:t xml:space="preserve">[6]</w:t>
        </w:r>
      </w:hyperlink>
      <w:r>
        <w:t xml:space="preserve">.</w:t>
      </w:r>
    </w:p>
    <w:bookmarkEnd w:id="109"/>
    <w:bookmarkStart w:id="110" w:name="reading-the-fit-statistics-correctly"/>
    <w:p>
      <w:pPr>
        <w:pStyle w:val="Heading2"/>
        <w:spacing w:line="480" w:lineRule="auto"/>
      </w:pPr>
      <w:r>
        <w:t xml:space="preserve">4.10 Reading the fit statistics correctly</w:t>
      </w:r>
    </w:p>
    <w:p>
      <w:pPr>
        <w:pStyle w:val="FirstParagraph"/>
        <w:spacing w:line="480" w:lineRule="auto"/>
      </w:pPr>
      <w:r>
        <w:t xml:space="preserve">The two models report their fit differently, and a methods chapter should say how each is meant to be read before the results arrive. Paper 1’s R2 of 0.4218 and its F statistic of 8.673 are the primary evidence that the cross-sectional model has captured real structure. R2 measures the share of topic-signal variance the three predictors jointly account for, and for a three-term screen over thirty records, forty-two percent is a substantial share that establishes the model is doing genuine explanatory work rather than fitting noise</w:t>
      </w:r>
      <w:r>
        <w:t xml:space="preserve"> </w:t>
      </w:r>
      <w:hyperlink w:anchor="ref-2">
        <w:r>
          <w:rPr>
            <w:rStyle w:val="Hyperlink"/>
          </w:rPr>
          <w:t xml:space="preserve">[2]</w:t>
        </w:r>
      </w:hyperlink>
      <w:r>
        <w:t xml:space="preserve">. The F statistic and its p-value of 0.000372 test the joint null that all three slopes are zero, and rejecting that null is what licenses reading the individual terms at all.</w:t>
      </w:r>
    </w:p>
    <w:p>
      <w:pPr>
        <w:pStyle w:val="BodyText"/>
        <w:spacing w:line="480" w:lineRule="auto"/>
        <w:ind w:firstLine="720"/>
      </w:pPr>
      <w:r>
        <w:t xml:space="preserve">Paper 2’s fit is read for the opposite purpose. Its R2 will be small by construction if age fails to organize citation accumulation, and a small R2 there is not a defect to be apologized for but the substantive result itself</w:t>
      </w:r>
      <w:r>
        <w:t xml:space="preserve"> </w:t>
      </w:r>
      <w:hyperlink w:anchor="ref-6">
        <w:r>
          <w:rPr>
            <w:rStyle w:val="Hyperlink"/>
          </w:rPr>
          <w:t xml:space="preserve">[6]</w:t>
        </w:r>
      </w:hyperlink>
      <w:r>
        <w:t xml:space="preserve">. The learning-curve model is asked a yes-or-no question, does a resolved age-based curve exist, and a low R2 paired with an insignificant elasticity answers no. The methods chapter flags this asymmetry now so that Chapter 6 is not misread: a low R2 in Paper 1 would undermine the study, while a low R2 in Paper 2 is one of the study’s findings</w:t>
      </w:r>
      <w:r>
        <w:t xml:space="preserve"> </w:t>
      </w:r>
      <w:hyperlink w:anchor="ref-5">
        <w:r>
          <w:rPr>
            <w:rStyle w:val="Hyperlink"/>
          </w:rPr>
          <w:t xml:space="preserve">[5]</w:t>
        </w:r>
      </w:hyperlink>
      <w:r>
        <w:t xml:space="preserve">. The progress ratio reported alongside Paper 2’s elasticity is a mechanical transform of the slope, a convention from the learning-curve tradition, and it should be read as a restatement of the elasticity rather than as independent evidence.</w:t>
      </w:r>
    </w:p>
    <w:bookmarkEnd w:id="110"/>
    <w:bookmarkStart w:id="111" w:name="X6aa3932b512846d5ea4a8ef6a35ec639a1a4521"/>
    <w:p>
      <w:pPr>
        <w:pStyle w:val="Heading2"/>
        <w:spacing w:line="480" w:lineRule="auto"/>
      </w:pPr>
      <w:r>
        <w:t xml:space="preserve">4.11 The estimators and the falsifiability commitment</w:t>
      </w:r>
    </w:p>
    <w:p>
      <w:pPr>
        <w:pStyle w:val="FirstParagraph"/>
        <w:spacing w:line="480" w:lineRule="auto"/>
      </w:pPr>
      <w:r>
        <w:t xml:space="preserve">The chapter closes by tying the estimators back to the falsifiability commitment made in Chapter 3. Each model is capable of returning a result that would count against the disruption reading, and specifying that capacity in advance is what makes the test genuine. Paper 1 could return a recency slope that is flat or negative, a citation slope that is insignificant, or an F statistic that fails to reject its joint null, and any of those would weaken the claim that the topic behaves like a rising disruptor</w:t>
      </w:r>
      <w:r>
        <w:t xml:space="preserve"> </w:t>
      </w:r>
      <w:hyperlink w:anchor="ref-9">
        <w:r>
          <w:rPr>
            <w:rStyle w:val="Hyperlink"/>
          </w:rPr>
          <w:t xml:space="preserve">[9]</w:t>
        </w:r>
      </w:hyperlink>
      <w:r>
        <w:t xml:space="preserve">. Paper 2 could return a sharp positive learning curve, which would indicate a mature rather than an early-stage field.</w:t>
      </w:r>
    </w:p>
    <w:p>
      <w:pPr>
        <w:pStyle w:val="BodyText"/>
        <w:spacing w:line="480" w:lineRule="auto"/>
        <w:ind w:firstLine="720"/>
      </w:pPr>
      <w:r>
        <w:t xml:space="preserve">The estimators are chosen not because they are guaranteed to support the hypothesis but because they are the correct tools for asking whether the hypothesis holds, and correct tools cut both ways</w:t>
      </w:r>
      <w:r>
        <w:t xml:space="preserve"> </w:t>
      </w:r>
      <w:hyperlink w:anchor="ref-4">
        <w:r>
          <w:rPr>
            <w:rStyle w:val="Hyperlink"/>
          </w:rPr>
          <w:t xml:space="preserve">[4]</w:t>
        </w:r>
      </w:hyperlink>
      <w:r>
        <w:t xml:space="preserve">. That symmetry is the ethical core of the design. A study that selected an estimator likely to confirm its preferred reading would be engineering a foregone conclusion; a study that selects the estimator that fits the question, and reports whatever it returns, is doing science</w:t>
      </w:r>
      <w:r>
        <w:t xml:space="preserve"> </w:t>
      </w:r>
      <w:hyperlink w:anchor="ref-1">
        <w:r>
          <w:rPr>
            <w:rStyle w:val="Hyperlink"/>
          </w:rPr>
          <w:t xml:space="preserve">[1]</w:t>
        </w:r>
      </w:hyperlink>
      <w:r>
        <w:t xml:space="preserve">.</w:t>
      </w:r>
    </w:p>
    <w:bookmarkEnd w:id="111"/>
    <w:bookmarkStart w:id="112" w:name="the-identification-claim-in-one-sentence"/>
    <w:p>
      <w:pPr>
        <w:pStyle w:val="Heading2"/>
        <w:spacing w:line="480" w:lineRule="auto"/>
      </w:pPr>
      <w:r>
        <w:t xml:space="preserve">4.12 The identification claim in one sentence</w:t>
      </w:r>
    </w:p>
    <w:p>
      <w:pPr>
        <w:pStyle w:val="FirstParagraph"/>
        <w:spacing w:line="480" w:lineRule="auto"/>
      </w:pPr>
      <w:r>
        <w:t xml:space="preserve">Stripped to its essence, the identification claim of this dissertation is this: two correctly specified estimators, run on deterministically constructed and fully traceable variables with heteroskedasticity-robust inference, identify the presence, direction, and precision of the association between topic signal and its observable predictors within the retained corpus, and nothing more</w:t>
      </w:r>
      <w:r>
        <w:t xml:space="preserve"> </w:t>
      </w:r>
      <w:hyperlink w:anchor="ref-2">
        <w:r>
          <w:rPr>
            <w:rStyle w:val="Hyperlink"/>
          </w:rPr>
          <w:t xml:space="preserve">[2]</w:t>
        </w:r>
      </w:hyperlink>
      <w:r>
        <w:t xml:space="preserve">. Every word of that sentence is chosen to fence the claim. It is about association, not causation; about the retained corpus, not the field; about presence and precision, not magnitude in the world</w:t>
      </w:r>
      <w:r>
        <w:t xml:space="preserve"> </w:t>
      </w:r>
      <w:hyperlink w:anchor="ref-8">
        <w:r>
          <w:rPr>
            <w:rStyle w:val="Hyperlink"/>
          </w:rPr>
          <w:t xml:space="preserve">[8]</w:t>
        </w:r>
      </w:hyperlink>
      <w:r>
        <w:t xml:space="preserve">.</w:t>
      </w:r>
    </w:p>
    <w:p>
      <w:pPr>
        <w:pStyle w:val="BodyText"/>
        <w:spacing w:line="480" w:lineRule="auto"/>
        <w:ind w:firstLine="720"/>
      </w:pPr>
      <w:r>
        <w:t xml:space="preserve">That fenced claim is deliberately unglamorous, and its unglamorousness is a feature. A larger claim would require assumptions the design cannot support, and importing those assumptions would trade honesty for reach. By keeping the identification claim small and defensible, the dissertation ensures that whatever Chapter 6 reports can actually be believed at face value</w:t>
      </w:r>
      <w:r>
        <w:t xml:space="preserve"> </w:t>
      </w:r>
      <w:hyperlink w:anchor="ref-5">
        <w:r>
          <w:rPr>
            <w:rStyle w:val="Hyperlink"/>
          </w:rPr>
          <w:t xml:space="preserve">[5]</w:t>
        </w:r>
      </w:hyperlink>
      <w:r>
        <w:t xml:space="preserve">.</w:t>
      </w:r>
    </w:p>
    <w:bookmarkEnd w:id="112"/>
    <w:bookmarkStart w:id="113" w:name="how-the-two-estimators-divide-the-labor"/>
    <w:p>
      <w:pPr>
        <w:pStyle w:val="Heading2"/>
        <w:spacing w:line="480" w:lineRule="auto"/>
      </w:pPr>
      <w:r>
        <w:t xml:space="preserve">4.13 How the two estimators divide the labor</w:t>
      </w:r>
    </w:p>
    <w:p>
      <w:pPr>
        <w:pStyle w:val="FirstParagraph"/>
        <w:spacing w:line="480" w:lineRule="auto"/>
      </w:pPr>
      <w:r>
        <w:t xml:space="preserve">A last word on architecture clarifies why the methodology needs both estimators rather than one omnibus model. The two questions are genuinely distinct in kind: one is cross-sectional, asking how topic signal is arranged across records at a point in observation, and the other is temporal, asking how citation attention accumulates along the age axis</w:t>
      </w:r>
      <w:r>
        <w:t xml:space="preserve"> </w:t>
      </w:r>
      <w:hyperlink w:anchor="ref-2">
        <w:r>
          <w:rPr>
            <w:rStyle w:val="Hyperlink"/>
          </w:rPr>
          <w:t xml:space="preserve">[2]</w:t>
        </w:r>
      </w:hyperlink>
      <w:r>
        <w:t xml:space="preserve">. An omnibus specification that tried to answer both at once would entangle the two, letting a strong cross-sectional fit mask a weak temporal one or the reverse</w:t>
      </w:r>
      <w:r>
        <w:t xml:space="preserve"> </w:t>
      </w:r>
      <w:hyperlink w:anchor="ref-6">
        <w:r>
          <w:rPr>
            <w:rStyle w:val="Hyperlink"/>
          </w:rPr>
          <w:t xml:space="preserve">[6]</w:t>
        </w:r>
      </w:hyperlink>
      <w:r>
        <w:t xml:space="preserve">.</w:t>
      </w:r>
    </w:p>
    <w:p>
      <w:pPr>
        <w:pStyle w:val="BodyText"/>
        <w:spacing w:line="480" w:lineRule="auto"/>
        <w:ind w:firstLine="720"/>
      </w:pPr>
      <w:r>
        <w:t xml:space="preserve">Dividing the labor keeps each answer clean. Paper 1 owns the cross-sectional question and reports it with a three-predictor least-squares model; Paper 2 owns the temporal question and reports it with a single-predictor learning curve</w:t>
      </w:r>
      <w:r>
        <w:t xml:space="preserve"> </w:t>
      </w:r>
      <w:hyperlink w:anchor="ref-9">
        <w:r>
          <w:rPr>
            <w:rStyle w:val="Hyperlink"/>
          </w:rPr>
          <w:t xml:space="preserve">[9]</w:t>
        </w:r>
      </w:hyperlink>
      <w:r>
        <w:t xml:space="preserve">. The two never compete for the same variance, and their results can be read independently and then combined, which is exactly what Chapter 6 does when it pairs a rejected cross-sectional null with a non-rejected temporal one. The architecture is not redundancy; it is a deliberate separation of two questions that deserve separate answers</w:t>
      </w:r>
      <w:r>
        <w:t xml:space="preserve"> </w:t>
      </w:r>
      <w:hyperlink w:anchor="ref-4">
        <w:r>
          <w:rPr>
            <w:rStyle w:val="Hyperlink"/>
          </w:rPr>
          <w:t xml:space="preserve">[4]</w:t>
        </w:r>
      </w:hyperlink>
      <w:r>
        <w:t xml:space="preserve">. Chapter 5 now sets out the dataset in full, so the reader can see the raw material the estimators identify their associations from</w:t>
      </w:r>
      <w:r>
        <w:t xml:space="preserve"> </w:t>
      </w:r>
      <w:hyperlink w:anchor="ref-9">
        <w:r>
          <w:rPr>
            <w:rStyle w:val="Hyperlink"/>
          </w:rPr>
          <w:t xml:space="preserve">[9]</w:t>
        </w:r>
      </w:hyperlink>
      <w:r>
        <w:t xml:space="preserve">.</w:t>
      </w:r>
    </w:p>
    <w:bookmarkEnd w:id="113"/>
    <w:bookmarkEnd w:id="114"/>
    <w:bookmarkStart w:id="128" w:name="chapter-5.-data-and-measurement"/>
    <w:p>
      <w:pPr>
        <w:pStyle w:val="Heading1"/>
        <w:spacing w:line="480" w:lineRule="auto"/>
      </w:pPr>
      <w:r>
        <w:t xml:space="preserve">Chapter 5. Data and Measurement</w:t>
      </w:r>
    </w:p>
    <w:bookmarkStart w:id="115" w:name="the-dataset-in-one-paragraph"/>
    <w:p>
      <w:pPr>
        <w:pStyle w:val="Heading2"/>
        <w:spacing w:line="480" w:lineRule="auto"/>
      </w:pPr>
      <w:r>
        <w:t xml:space="preserve">5.1 The dataset in one paragraph</w:t>
      </w:r>
    </w:p>
    <w:p>
      <w:pPr>
        <w:pStyle w:val="FirstParagraph"/>
        <w:spacing w:line="480" w:lineRule="auto"/>
      </w:pPr>
      <w:r>
        <w:t xml:space="preserve">The estimation file contains thirty retrieved source records, and every one of them carries a source column that ties it back to the document it came from. That provenance column is the spine of the whole design. It means no row is a free-floating number; each is an assertion about a specific, locatable source, and anyone who doubts a value can open the source and check it. The dataset is small by the standards of large-scale bibliometrics, and the dissertation neither hides that nor apologizes for it, because a small, fully auditable corpus is the deliberate trade the design makes</w:t>
      </w:r>
      <w:r>
        <w:t xml:space="preserve"> </w:t>
      </w:r>
      <w:hyperlink w:anchor="ref-1">
        <w:r>
          <w:rPr>
            <w:rStyle w:val="Hyperlink"/>
          </w:rPr>
          <w:t xml:space="preserve">[1]</w:t>
        </w:r>
      </w:hyperlink>
      <w:r>
        <w:t xml:space="preserve">.</w:t>
      </w:r>
    </w:p>
    <w:p>
      <w:pPr>
        <w:pStyle w:val="BodyText"/>
        <w:spacing w:line="480" w:lineRule="auto"/>
        <w:ind w:firstLine="720"/>
      </w:pPr>
      <w:r>
        <w:t xml:space="preserve">Thirty rows. That is the whole corpus. It is enough to fit the two models specified in Chapter 4 and to read their precision honestly, and it is small enough that every record can be inspected individually. The sample is not a random draw from all of space literature. It is the candidate-specific corpus assembled for this topic, which is both its strength, every record is relevant and traceable, and its limitation, the sample cannot speak for activity it did not retrieve</w:t>
      </w:r>
      <w:r>
        <w:t xml:space="preserve"> </w:t>
      </w:r>
      <w:hyperlink w:anchor="ref-3">
        <w:r>
          <w:rPr>
            <w:rStyle w:val="Hyperlink"/>
          </w:rPr>
          <w:t xml:space="preserve">[3]</w:t>
        </w:r>
      </w:hyperlink>
      <w:r>
        <w:t xml:space="preserve">.</w:t>
      </w:r>
    </w:p>
    <w:bookmarkEnd w:id="115"/>
    <w:bookmarkStart w:id="116" w:name="where-the-records-come-from"/>
    <w:p>
      <w:pPr>
        <w:pStyle w:val="Heading2"/>
        <w:spacing w:line="480" w:lineRule="auto"/>
      </w:pPr>
      <w:r>
        <w:t xml:space="preserve">5.2 Where the records come from</w:t>
      </w:r>
    </w:p>
    <w:p>
      <w:pPr>
        <w:pStyle w:val="FirstParagraph"/>
        <w:spacing w:line="480" w:lineRule="auto"/>
      </w:pPr>
      <w:r>
        <w:t xml:space="preserve">The corpus spans three venue families, and the mix is visible in the data itself. One family is the conference proceedings literature, represented by records such as the federated protect-and-defend exercise study that uses civilian launches as live tests of a space-domain battle management system</w:t>
      </w:r>
      <w:r>
        <w:t xml:space="preserve"> </w:t>
      </w:r>
      <w:hyperlink w:anchor="ref-2">
        <w:r>
          <w:rPr>
            <w:rStyle w:val="Hyperlink"/>
          </w:rPr>
          <w:t xml:space="preserve">[2]</w:t>
        </w:r>
      </w:hyperlink>
      <w:r>
        <w:t xml:space="preserve"> </w:t>
      </w:r>
      <w:r>
        <w:t xml:space="preserve">and the microsat laser communication and infrared imaging payload work</w:t>
      </w:r>
      <w:r>
        <w:t xml:space="preserve"> </w:t>
      </w:r>
      <w:hyperlink w:anchor="ref-3">
        <w:r>
          <w:rPr>
            <w:rStyle w:val="Hyperlink"/>
          </w:rPr>
          <w:t xml:space="preserve">[3]</w:t>
        </w:r>
      </w:hyperlink>
      <w:r>
        <w:t xml:space="preserve">. A second family is the flagship journal literature, represented by records such as the staged-deployment analysis of mega-constellations under demand uncertainty</w:t>
      </w:r>
      <w:r>
        <w:t xml:space="preserve"> </w:t>
      </w:r>
      <w:hyperlink w:anchor="ref-9">
        <w:r>
          <w:rPr>
            <w:rStyle w:val="Hyperlink"/>
          </w:rPr>
          <w:t xml:space="preserve">[9]</w:t>
        </w:r>
      </w:hyperlink>
      <w:r>
        <w:t xml:space="preserve"> </w:t>
      </w:r>
      <w:r>
        <w:t xml:space="preserve">and the study of access-to-space strategies for small satellites on a defined low Earth orbit</w:t>
      </w:r>
      <w:r>
        <w:t xml:space="preserve"> </w:t>
      </w:r>
      <w:hyperlink w:anchor="ref-10">
        <w:r>
          <w:rPr>
            <w:rStyle w:val="Hyperlink"/>
          </w:rPr>
          <w:t xml:space="preserve">[10]</w:t>
        </w:r>
      </w:hyperlink>
      <w:r>
        <w:t xml:space="preserve">. A third family is a policy and space-economy literature, represented by a set of roadmap and framing documents whose concern is institutional rather than technical.</w:t>
      </w:r>
    </w:p>
    <w:p>
      <w:pPr>
        <w:pStyle w:val="BodyText"/>
        <w:spacing w:line="480" w:lineRule="auto"/>
        <w:ind w:firstLine="720"/>
      </w:pPr>
      <w:r>
        <w:t xml:space="preserve">These families are not interchangeable, and the design treats their differences as data rather than as noise. A proceedings paper on rapid tracking of multi-payload launches</w:t>
      </w:r>
      <w:r>
        <w:t xml:space="preserve"> </w:t>
      </w:r>
      <w:hyperlink w:anchor="ref-7">
        <w:r>
          <w:rPr>
            <w:rStyle w:val="Hyperlink"/>
          </w:rPr>
          <w:t xml:space="preserve">[7]</w:t>
        </w:r>
      </w:hyperlink>
      <w:r>
        <w:t xml:space="preserve"> </w:t>
      </w:r>
      <w:r>
        <w:t xml:space="preserve">reports attention differently from a journal paper on robotic on-orbit assembly of large telescopes</w:t>
      </w:r>
      <w:r>
        <w:t xml:space="preserve"> </w:t>
      </w:r>
      <w:hyperlink w:anchor="ref-14">
        <w:r>
          <w:rPr>
            <w:rStyle w:val="Hyperlink"/>
          </w:rPr>
          <w:t xml:space="preserve">[14]</w:t>
        </w:r>
      </w:hyperlink>
      <w:r>
        <w:t xml:space="preserve">, and the venue score exists precisely to encode that difference. Keeping the three families in one file, each tagged by venue, is what lets Paper 1 ask whether venue family carries structured signal at all.</w:t>
      </w:r>
    </w:p>
    <w:bookmarkEnd w:id="116"/>
    <w:bookmarkStart w:id="117" w:name="X867d32f50edad61433e46d902c09434addd1398"/>
    <w:p>
      <w:pPr>
        <w:pStyle w:val="Heading2"/>
        <w:spacing w:line="480" w:lineRule="auto"/>
      </w:pPr>
      <w:r>
        <w:t xml:space="preserve">5.3 Constructing the outcome: the topic-signal score</w:t>
      </w:r>
    </w:p>
    <w:p>
      <w:pPr>
        <w:pStyle w:val="FirstParagraph"/>
        <w:spacing w:line="480" w:lineRule="auto"/>
      </w:pPr>
      <w:r>
        <w:t xml:space="preserve">The dependent variable in Paper 1 is a composite topic-signal score, and it is built by a rule rather than by judgment. For each record, the construction counts candidate-theme term hits across the source title, the retrieved snippet, the keyword field, and the author metadata, and it sums those hits into a single deterministic score. The rule is fixed in advance and applied uniformly, so the score for any record can be reproduced by rerunning the count against the same source fields</w:t>
      </w:r>
      <w:r>
        <w:t xml:space="preserve"> </w:t>
      </w:r>
      <w:hyperlink w:anchor="ref-6">
        <w:r>
          <w:rPr>
            <w:rStyle w:val="Hyperlink"/>
          </w:rPr>
          <w:t xml:space="preserve">[6]</w:t>
        </w:r>
      </w:hyperlink>
      <w:r>
        <w:t xml:space="preserve">.</w:t>
      </w:r>
    </w:p>
    <w:p>
      <w:pPr>
        <w:pStyle w:val="BodyText"/>
        <w:spacing w:line="480" w:lineRule="auto"/>
        <w:ind w:firstLine="720"/>
      </w:pPr>
      <w:r>
        <w:t xml:space="preserve">Determinism is the point. Count, do not judge. A hand-assigned relevance score would inject exactly the researcher discretion that corpus studies are prone to, and it would make the outcome impossible to audit. By contrast, a term-hit count is transparent: the components that produced a score of eight versus a score of one are visible in the record, and a skeptical reader can recount them. The score ranges across the corpus from low single digits for records that touch the topic only glancingly to high single digits for records saturated with candidate-theme terms, and that spread is what gives Paper 1 something to explain</w:t>
      </w:r>
      <w:r>
        <w:t xml:space="preserve"> </w:t>
      </w:r>
      <w:hyperlink w:anchor="ref-5">
        <w:r>
          <w:rPr>
            <w:rStyle w:val="Hyperlink"/>
          </w:rPr>
          <w:t xml:space="preserve">[5]</w:t>
        </w:r>
      </w:hyperlink>
      <w:r>
        <w:t xml:space="preserve">.</w:t>
      </w:r>
    </w:p>
    <w:bookmarkEnd w:id="117"/>
    <w:bookmarkStart w:id="118" w:name="constructing-the-predictors"/>
    <w:p>
      <w:pPr>
        <w:pStyle w:val="Heading2"/>
        <w:spacing w:line="480" w:lineRule="auto"/>
      </w:pPr>
      <w:r>
        <w:t xml:space="preserve">5.4 Constructing the predictors</w:t>
      </w:r>
    </w:p>
    <w:p>
      <w:pPr>
        <w:pStyle w:val="FirstParagraph"/>
        <w:spacing w:line="480" w:lineRule="auto"/>
      </w:pPr>
      <w:r>
        <w:t xml:space="preserve">Three predictors enter Paper 1, and each is a deterministic transform of a raw metadata field. The recency index is publication year minus the minimum publication year in the sample plus one, so the earliest record scores one and later records score higher; it turns raw years into a clean, positive acceleration axis without changing their ordering</w:t>
      </w:r>
      <w:r>
        <w:t xml:space="preserve"> </w:t>
      </w:r>
      <w:hyperlink w:anchor="ref-10">
        <w:r>
          <w:rPr>
            <w:rStyle w:val="Hyperlink"/>
          </w:rPr>
          <w:t xml:space="preserve">[10]</w:t>
        </w:r>
      </w:hyperlink>
      <w:r>
        <w:t xml:space="preserve">. The citation count is parsed directly from the local brain index and set to zero when the index reports none, which keeps the variable faithful to what the index actually holds rather than to what a global citation database might report</w:t>
      </w:r>
      <w:r>
        <w:t xml:space="preserve"> </w:t>
      </w:r>
      <w:hyperlink w:anchor="ref-11">
        <w:r>
          <w:rPr>
            <w:rStyle w:val="Hyperlink"/>
          </w:rPr>
          <w:t xml:space="preserve">[11]</w:t>
        </w:r>
      </w:hyperlink>
      <w:r>
        <w:t xml:space="preserve">.</w:t>
      </w:r>
    </w:p>
    <w:p>
      <w:pPr>
        <w:pStyle w:val="BodyText"/>
        <w:spacing w:line="480" w:lineRule="auto"/>
        <w:ind w:firstLine="720"/>
      </w:pPr>
      <w:r>
        <w:t xml:space="preserve">The venue score is the ordinal mapping AMOS proceedings equals one, Acta Astronautica equals two, and the space-economy family equals three. That ordering is a coding choice, and the dissertation flags it as ordinal so that no reader overreads the spacing between levels; the numbers rank venue families, they do not measure a cardinal distance between them</w:t>
      </w:r>
      <w:r>
        <w:t xml:space="preserve"> </w:t>
      </w:r>
      <w:hyperlink w:anchor="ref-8">
        <w:r>
          <w:rPr>
            <w:rStyle w:val="Hyperlink"/>
          </w:rPr>
          <w:t xml:space="preserve">[8]</w:t>
        </w:r>
      </w:hyperlink>
      <w:r>
        <w:t xml:space="preserve">. Paper 2 uses a single predictor, the age index, computed as 2026 minus publication year plus one, so the most recent records carry the smallest age and the oldest carry the largest. Its outcome is the citation count plus one, the plus-one shift explained in Chapter 4 that keeps uncited records inside the logarithm</w:t>
      </w:r>
      <w:r>
        <w:t xml:space="preserve"> </w:t>
      </w:r>
      <w:hyperlink w:anchor="ref-6">
        <w:r>
          <w:rPr>
            <w:rStyle w:val="Hyperlink"/>
          </w:rPr>
          <w:t xml:space="preserve">[6]</w:t>
        </w:r>
      </w:hyperlink>
      <w:r>
        <w:t xml:space="preserve">.</w:t>
      </w:r>
    </w:p>
    <w:bookmarkEnd w:id="118"/>
    <w:bookmarkStart w:id="119" w:name="the-shape-of-the-raw-data"/>
    <w:p>
      <w:pPr>
        <w:pStyle w:val="Heading2"/>
        <w:spacing w:line="480" w:lineRule="auto"/>
      </w:pPr>
      <w:r>
        <w:t xml:space="preserve">5.5 The shape of the raw data</w:t>
      </w:r>
    </w:p>
    <w:p>
      <w:pPr>
        <w:pStyle w:val="FirstParagraph"/>
        <w:spacing w:line="480" w:lineRule="auto"/>
      </w:pPr>
      <w:r>
        <w:t xml:space="preserve">Reading the file directly reveals features the models will later confront. Citation counts are extraordinarily skewed. Wildly so. Most records report zero citations, a handful report single digits, one journal record reports twenty-eight, and one 2019 journal record reports one hundred seventy, an order of magnitude above anything else in the corpus</w:t>
      </w:r>
      <w:r>
        <w:t xml:space="preserve"> </w:t>
      </w:r>
      <w:hyperlink w:anchor="ref-9">
        <w:r>
          <w:rPr>
            <w:rStyle w:val="Hyperlink"/>
          </w:rPr>
          <w:t xml:space="preserve">[9]</w:t>
        </w:r>
      </w:hyperlink>
      <w:r>
        <w:t xml:space="preserve">. One point dominates. The rest sit near the floor. That single high-citation record is not an error; it is a real feature of a small corpus containing one unusually influential paper, and it exerts real leverage on any model that uses citation counts.</w:t>
      </w:r>
    </w:p>
    <w:p>
      <w:pPr>
        <w:pStyle w:val="BodyText"/>
        <w:spacing w:line="480" w:lineRule="auto"/>
        <w:ind w:firstLine="720"/>
      </w:pPr>
      <w:r>
        <w:t xml:space="preserve">Recency and venue are correlated, and the correlation matters for interpretation. The space-economy family records cluster at a single publication year, so their recency and age indices are constant across that family, and their citation counts are uniformly zero in the index. That means the venue-three family enters the models as a block of records that are similar on every axis except venue, which is part of why the venue term can carry so much of the cross-sectional signal</w:t>
      </w:r>
      <w:r>
        <w:t xml:space="preserve"> </w:t>
      </w:r>
      <w:hyperlink w:anchor="ref-2">
        <w:r>
          <w:rPr>
            <w:rStyle w:val="Hyperlink"/>
          </w:rPr>
          <w:t xml:space="preserve">[2]</w:t>
        </w:r>
      </w:hyperlink>
      <w:r>
        <w:t xml:space="preserve">. The proceedings and journal families are more dispersed across years, which is what gives the recency and age variables their range.</w:t>
      </w:r>
    </w:p>
    <w:bookmarkEnd w:id="119"/>
    <w:bookmarkStart w:id="120" w:name="provenance-and-auditability"/>
    <w:p>
      <w:pPr>
        <w:pStyle w:val="Heading2"/>
        <w:spacing w:line="480" w:lineRule="auto"/>
      </w:pPr>
      <w:r>
        <w:t xml:space="preserve">5.6 Provenance and auditability</w:t>
      </w:r>
    </w:p>
    <w:p>
      <w:pPr>
        <w:pStyle w:val="FirstParagraph"/>
        <w:spacing w:line="480" w:lineRule="auto"/>
      </w:pPr>
      <w:r>
        <w:t xml:space="preserve">Nothing here is unverifiable. That is the design’s central commitment. Every row preserves its source, its publication year, its venue family, its citation count, and its derived variables, so the path from raw document to estimator input is fully traceable</w:t>
      </w:r>
      <w:r>
        <w:t xml:space="preserve"> </w:t>
      </w:r>
      <w:hyperlink w:anchor="ref-1">
        <w:r>
          <w:rPr>
            <w:rStyle w:val="Hyperlink"/>
          </w:rPr>
          <w:t xml:space="preserve">[1]</w:t>
        </w:r>
      </w:hyperlink>
      <w:r>
        <w:t xml:space="preserve">. The two workbooks are embedded rather than described, which means the estimator output reported in Chapter 6 is not a claim about a computation that happened elsewhere; it is the computation, reproducible on demand</w:t>
      </w:r>
      <w:r>
        <w:t xml:space="preserve"> </w:t>
      </w:r>
      <w:hyperlink w:anchor="ref-4">
        <w:r>
          <w:rPr>
            <w:rStyle w:val="Hyperlink"/>
          </w:rPr>
          <w:t xml:space="preserve">[4]</w:t>
        </w:r>
      </w:hyperlink>
      <w:r>
        <w:t xml:space="preserve">.</w:t>
      </w:r>
    </w:p>
    <w:p>
      <w:pPr>
        <w:pStyle w:val="BodyText"/>
        <w:spacing w:line="480" w:lineRule="auto"/>
        <w:ind w:firstLine="720"/>
      </w:pPr>
      <w:r>
        <w:t xml:space="preserve">That auditability is what earns the study the right to be believed on a small sample. A large corpus analyzed opaquely can hide as much as it reveals; a small corpus analyzed transparently hides nothing. The dissertation chooses the second posture deliberately, accepting the limits of thirty records in exchange for the guarantee that every number can be checked against its source</w:t>
      </w:r>
      <w:r>
        <w:t xml:space="preserve"> </w:t>
      </w:r>
      <w:hyperlink w:anchor="ref-5">
        <w:r>
          <w:rPr>
            <w:rStyle w:val="Hyperlink"/>
          </w:rPr>
          <w:t xml:space="preserve">[5]</w:t>
        </w:r>
      </w:hyperlink>
      <w:r>
        <w:t xml:space="preserve">.</w:t>
      </w:r>
    </w:p>
    <w:bookmarkEnd w:id="120"/>
    <w:bookmarkStart w:id="121" w:name="a-closer-look-at-the-venue-family-blocks"/>
    <w:p>
      <w:pPr>
        <w:pStyle w:val="Heading2"/>
        <w:spacing w:line="480" w:lineRule="auto"/>
      </w:pPr>
      <w:r>
        <w:t xml:space="preserve">5.7 A closer look at the venue-family blocks</w:t>
      </w:r>
    </w:p>
    <w:p>
      <w:pPr>
        <w:pStyle w:val="FirstParagraph"/>
        <w:spacing w:line="480" w:lineRule="auto"/>
      </w:pPr>
      <w:r>
        <w:t xml:space="preserve">Because venue family turns out to carry most of the cross-sectional signal, the composition of each block deserves inspection before the results chapter reads the coefficient. Consider the blocks one at a time. The AMOS proceedings block, coded one, holds the operational and instrumentation work: solar-exclusion-avoiding cislunar constellation design</w:t>
      </w:r>
      <w:r>
        <w:t xml:space="preserve"> </w:t>
      </w:r>
      <w:hyperlink w:anchor="ref-1">
        <w:r>
          <w:rPr>
            <w:rStyle w:val="Hyperlink"/>
          </w:rPr>
          <w:t xml:space="preserve">[1]</w:t>
        </w:r>
      </w:hyperlink>
      <w:r>
        <w:t xml:space="preserve">, microsat laser communication and infrared imaging payloads</w:t>
      </w:r>
      <w:r>
        <w:t xml:space="preserve"> </w:t>
      </w:r>
      <w:hyperlink w:anchor="ref-3">
        <w:r>
          <w:rPr>
            <w:rStyle w:val="Hyperlink"/>
          </w:rPr>
          <w:t xml:space="preserve">[3]</w:t>
        </w:r>
      </w:hyperlink>
      <w:r>
        <w:t xml:space="preserve">, operational collision-risk management</w:t>
      </w:r>
      <w:r>
        <w:t xml:space="preserve"> </w:t>
      </w:r>
      <w:hyperlink w:anchor="ref-4">
        <w:r>
          <w:rPr>
            <w:rStyle w:val="Hyperlink"/>
          </w:rPr>
          <w:t xml:space="preserve">[4]</w:t>
        </w:r>
      </w:hyperlink>
      <w:r>
        <w:t xml:space="preserve">, multi-payload launch tracking</w:t>
      </w:r>
      <w:r>
        <w:t xml:space="preserve"> </w:t>
      </w:r>
      <w:hyperlink w:anchor="ref-7">
        <w:r>
          <w:rPr>
            <w:rStyle w:val="Hyperlink"/>
          </w:rPr>
          <w:t xml:space="preserve">[7]</w:t>
        </w:r>
      </w:hyperlink>
      <w:r>
        <w:t xml:space="preserve">, and cubesat GEO situational awareness</w:t>
      </w:r>
      <w:r>
        <w:t xml:space="preserve"> </w:t>
      </w:r>
      <w:hyperlink w:anchor="ref-8">
        <w:r>
          <w:rPr>
            <w:rStyle w:val="Hyperlink"/>
          </w:rPr>
          <w:t xml:space="preserve">[8]</w:t>
        </w:r>
      </w:hyperlink>
      <w:r>
        <w:t xml:space="preserve">, among others. These records tend to carry dense keyword fields and substantive snippets, and their topic-signal scores run toward the high end of the corpus.</w:t>
      </w:r>
    </w:p>
    <w:p>
      <w:pPr>
        <w:pStyle w:val="BodyText"/>
        <w:spacing w:line="480" w:lineRule="auto"/>
        <w:ind w:firstLine="720"/>
      </w:pPr>
      <w:r>
        <w:t xml:space="preserve">The Acta Astronautica block, coded two, holds the archival journal work: staged deployment of mega-constellations under demand uncertainty</w:t>
      </w:r>
      <w:r>
        <w:t xml:space="preserve"> </w:t>
      </w:r>
      <w:hyperlink w:anchor="ref-9">
        <w:r>
          <w:rPr>
            <w:rStyle w:val="Hyperlink"/>
          </w:rPr>
          <w:t xml:space="preserve">[9]</w:t>
        </w:r>
      </w:hyperlink>
      <w:r>
        <w:t xml:space="preserve">, access-to-space strategies for small satellites</w:t>
      </w:r>
      <w:r>
        <w:t xml:space="preserve"> </w:t>
      </w:r>
      <w:hyperlink w:anchor="ref-10">
        <w:r>
          <w:rPr>
            <w:rStyle w:val="Hyperlink"/>
          </w:rPr>
          <w:t xml:space="preserve">[10]</w:t>
        </w:r>
      </w:hyperlink>
      <w:r>
        <w:t xml:space="preserve">, the SpIRIT multi-payload management system</w:t>
      </w:r>
      <w:r>
        <w:t xml:space="preserve"> </w:t>
      </w:r>
      <w:hyperlink w:anchor="ref-13">
        <w:r>
          <w:rPr>
            <w:rStyle w:val="Hyperlink"/>
          </w:rPr>
          <w:t xml:space="preserve">[13]</w:t>
        </w:r>
      </w:hyperlink>
      <w:r>
        <w:t xml:space="preserve">, robotic on-orbit assembly of large telescopes</w:t>
      </w:r>
      <w:r>
        <w:t xml:space="preserve"> </w:t>
      </w:r>
      <w:hyperlink w:anchor="ref-14">
        <w:r>
          <w:rPr>
            <w:rStyle w:val="Hyperlink"/>
          </w:rPr>
          <w:t xml:space="preserve">[14]</w:t>
        </w:r>
      </w:hyperlink>
      <w:r>
        <w:t xml:space="preserve">, and the deployable solar array for cube satellites</w:t>
      </w:r>
      <w:r>
        <w:t xml:space="preserve"> </w:t>
      </w:r>
      <w:hyperlink w:anchor="ref-16">
        <w:r>
          <w:rPr>
            <w:rStyle w:val="Hyperlink"/>
          </w:rPr>
          <w:t xml:space="preserve">[16]</w:t>
        </w:r>
      </w:hyperlink>
      <w:r>
        <w:t xml:space="preserve">. These records carry citation counts, sometimes substantial ones, but their topic-signal scores are generally lower than the proceedings block, a pattern that will prove central in Chapter 6. The space-economy block, coded three, holds framing and roadmap documents whose snippet and keyword fields are largely empty and whose citation counts are uniformly zero in the index, so they enter as a low-signal, zero-citation, single-year cluster.</w:t>
      </w:r>
    </w:p>
    <w:bookmarkEnd w:id="121"/>
    <w:bookmarkStart w:id="122" w:name="X436d9bd4a0fba6dbba94c846d9e0156ae37ae8d"/>
    <w:p>
      <w:pPr>
        <w:pStyle w:val="Heading2"/>
        <w:spacing w:line="480" w:lineRule="auto"/>
      </w:pPr>
      <w:r>
        <w:t xml:space="preserve">5.8 The leverage points a careful reader should watch</w:t>
      </w:r>
    </w:p>
    <w:p>
      <w:pPr>
        <w:pStyle w:val="FirstParagraph"/>
        <w:spacing w:line="480" w:lineRule="auto"/>
      </w:pPr>
      <w:r>
        <w:t xml:space="preserve">Two records exert outsized influence on the estimators, and flagging them here is part of the study’s transparency commitment. The first is the 2019 journal record on mega-constellation staged deployment, which reports one hundred seventy citations against a corpus in which most records report zero</w:t>
      </w:r>
      <w:r>
        <w:t xml:space="preserve"> </w:t>
      </w:r>
      <w:hyperlink w:anchor="ref-9">
        <w:r>
          <w:rPr>
            <w:rStyle w:val="Hyperlink"/>
          </w:rPr>
          <w:t xml:space="preserve">[9]</w:t>
        </w:r>
      </w:hyperlink>
      <w:r>
        <w:t xml:space="preserve">. In Paper 1 that record dominates any relationship involving the citation predictor, and its low topic-signal score of two, paired with its enormous citation count, is much of the reason the citation coefficient comes back small and negative rather than positive. A single influential point is doing real work, and the results chapter reads the citation term with that knowledge.</w:t>
      </w:r>
    </w:p>
    <w:p>
      <w:pPr>
        <w:pStyle w:val="BodyText"/>
        <w:spacing w:line="480" w:lineRule="auto"/>
        <w:ind w:firstLine="720"/>
      </w:pPr>
      <w:r>
        <w:t xml:space="preserve">The second leverage point is the space-economy block as a whole. Six records share the same publication year, the same zero citation count, and low topic-signal scores, and they all sit at venue score three</w:t>
      </w:r>
      <w:r>
        <w:t xml:space="preserve"> </w:t>
      </w:r>
      <w:hyperlink w:anchor="ref-2">
        <w:r>
          <w:rPr>
            <w:rStyle w:val="Hyperlink"/>
          </w:rPr>
          <w:t xml:space="preserve">[2]</w:t>
        </w:r>
      </w:hyperlink>
      <w:r>
        <w:t xml:space="preserve">. Because they vary almost only in venue relative to the rest of the corpus, they anchor the top of the venue scale and pull the venue coefficient strongly. This is not a defect to be hidden; it is a structural feature of a small, deliberately assembled corpus, and naming it lets the reader judge for themselves how much of the venue result rides on this block versus on the broader proceedings-to-journal contrast</w:t>
      </w:r>
      <w:r>
        <w:t xml:space="preserve"> </w:t>
      </w:r>
      <w:hyperlink w:anchor="ref-8">
        <w:r>
          <w:rPr>
            <w:rStyle w:val="Hyperlink"/>
          </w:rPr>
          <w:t xml:space="preserve">[8]</w:t>
        </w:r>
      </w:hyperlink>
      <w:r>
        <w:t xml:space="preserve">.</w:t>
      </w:r>
    </w:p>
    <w:bookmarkEnd w:id="122"/>
    <w:bookmarkStart w:id="123" w:name="X50f5770a637a5f6972e87244c2fbb36edf3fbc6"/>
    <w:p>
      <w:pPr>
        <w:pStyle w:val="Heading2"/>
        <w:spacing w:line="480" w:lineRule="auto"/>
      </w:pPr>
      <w:r>
        <w:t xml:space="preserve">5.9 What the measurement design deliberately excludes</w:t>
      </w:r>
    </w:p>
    <w:p>
      <w:pPr>
        <w:pStyle w:val="FirstParagraph"/>
        <w:spacing w:line="480" w:lineRule="auto"/>
      </w:pPr>
      <w:r>
        <w:t xml:space="preserve">A measurement chapter should be as clear about what it does not capture as about what it does. The dataset holds no measure of a record’s actual technical contribution, no coding of whether a paper treats the small bus as an entrant below the incumbent frontier, and no market data on prices, volumes, or operator counts</w:t>
      </w:r>
      <w:r>
        <w:t xml:space="preserve"> </w:t>
      </w:r>
      <w:hyperlink w:anchor="ref-11">
        <w:r>
          <w:rPr>
            <w:rStyle w:val="Hyperlink"/>
          </w:rPr>
          <w:t xml:space="preserve">[11]</w:t>
        </w:r>
      </w:hyperlink>
      <w:r>
        <w:t xml:space="preserve">. These exclusions are not oversights; they are the boundary of a metadata screen. The topic-signal score counts vocabulary, not argument, so a record that merely uses the candidate-theme terms scores the same as one that centrally advances the disruption thesis</w:t>
      </w:r>
      <w:r>
        <w:t xml:space="preserve"> </w:t>
      </w:r>
      <w:hyperlink w:anchor="ref-5">
        <w:r>
          <w:rPr>
            <w:rStyle w:val="Hyperlink"/>
          </w:rPr>
          <w:t xml:space="preserve">[5]</w:t>
        </w:r>
      </w:hyperlink>
      <w:r>
        <w:t xml:space="preserve">.</w:t>
      </w:r>
    </w:p>
    <w:p>
      <w:pPr>
        <w:pStyle w:val="BodyText"/>
        <w:spacing w:line="480" w:lineRule="auto"/>
        <w:ind w:firstLine="720"/>
      </w:pPr>
      <w:r>
        <w:t xml:space="preserve">Naming these exclusions here prevents the results chapter from being read for more than it holds. When Paper 1 finds that topic signal concentrates in the proceedings venue, that is a statement about where the candidate vocabulary is densest, not a certified statement about where the intellectual center of the disruption debate lies</w:t>
      </w:r>
      <w:r>
        <w:t xml:space="preserve"> </w:t>
      </w:r>
      <w:hyperlink w:anchor="ref-7">
        <w:r>
          <w:rPr>
            <w:rStyle w:val="Hyperlink"/>
          </w:rPr>
          <w:t xml:space="preserve">[7]</w:t>
        </w:r>
      </w:hyperlink>
      <w:r>
        <w:t xml:space="preserve">. The gap between those two statements is exactly the gap a future document-level coding design would close, and Chapter 8 returns to it. For now, the dataset is honest about being a screen, and the interpretation in Chapter 6 stays inside that honesty</w:t>
      </w:r>
      <w:r>
        <w:t xml:space="preserve"> </w:t>
      </w:r>
      <w:hyperlink w:anchor="ref-6">
        <w:r>
          <w:rPr>
            <w:rStyle w:val="Hyperlink"/>
          </w:rPr>
          <w:t xml:space="preserve">[6]</w:t>
        </w:r>
      </w:hyperlink>
      <w:r>
        <w:t xml:space="preserve">.</w:t>
      </w:r>
    </w:p>
    <w:bookmarkEnd w:id="123"/>
    <w:bookmarkStart w:id="124" w:name="X810dd2be321c116a2ac1f3a759c0c16929672a4"/>
    <w:p>
      <w:pPr>
        <w:pStyle w:val="Heading2"/>
        <w:spacing w:line="480" w:lineRule="auto"/>
      </w:pPr>
      <w:r>
        <w:t xml:space="preserve">5.10 The recency and age indices as mirror transforms</w:t>
      </w:r>
    </w:p>
    <w:p>
      <w:pPr>
        <w:pStyle w:val="FirstParagraph"/>
        <w:spacing w:line="480" w:lineRule="auto"/>
      </w:pPr>
      <w:r>
        <w:t xml:space="preserve">The two temporal variables in the dataset warrant a joint reading, because they are near mirror images built for different models, and confusing them would misread both results. The recency index used in Paper 1 counts upward from the oldest record: publication year minus the minimum year plus one, so a 2007 record scores one and a 2026 record scores twenty</w:t>
      </w:r>
      <w:r>
        <w:t xml:space="preserve"> </w:t>
      </w:r>
      <w:hyperlink w:anchor="ref-10">
        <w:r>
          <w:rPr>
            <w:rStyle w:val="Hyperlink"/>
          </w:rPr>
          <w:t xml:space="preserve">[10]</w:t>
        </w:r>
      </w:hyperlink>
      <w:r>
        <w:t xml:space="preserve">. Higher recency means newer. The age index used in Paper 2 counts the opposite way: 2026 minus publication year plus one, so a 2026 record scores one and a 2007 record scores twenty. Higher age means older.</w:t>
      </w:r>
    </w:p>
    <w:p>
      <w:pPr>
        <w:pStyle w:val="BodyText"/>
        <w:spacing w:line="480" w:lineRule="auto"/>
        <w:ind w:firstLine="720"/>
      </w:pPr>
      <w:r>
        <w:t xml:space="preserve">The mirror construction is deliberate and matched to each model’s question. Paper 1 asks whether newer work carries more topic signal, so it needs a variable that increases with newness</w:t>
      </w:r>
      <w:r>
        <w:t xml:space="preserve"> </w:t>
      </w:r>
      <w:hyperlink w:anchor="ref-9">
        <w:r>
          <w:rPr>
            <w:rStyle w:val="Hyperlink"/>
          </w:rPr>
          <w:t xml:space="preserve">[9]</w:t>
        </w:r>
      </w:hyperlink>
      <w:r>
        <w:t xml:space="preserve">. Paper 2 asks whether older work has accumulated more citations, so it needs a variable that increases with age</w:t>
      </w:r>
      <w:r>
        <w:t xml:space="preserve"> </w:t>
      </w:r>
      <w:hyperlink w:anchor="ref-6">
        <w:r>
          <w:rPr>
            <w:rStyle w:val="Hyperlink"/>
          </w:rPr>
          <w:t xml:space="preserve">[6]</w:t>
        </w:r>
      </w:hyperlink>
      <w:r>
        <w:t xml:space="preserve">. Reading the two coefficients together requires holding this inversion in mind: a positive recency slope in Paper 1 and a positive age slope in Paper 2 would describe compatible worlds, one where newer work engages the topic more and older work has drawn more citations. The dataset encodes both axes cleanly so each model reads its own temporal direction without ambiguity, and the results chapter is careful to name which index it is discussing at each turn.</w:t>
      </w:r>
    </w:p>
    <w:bookmarkEnd w:id="124"/>
    <w:bookmarkStart w:id="125" w:name="Xeed68ac6baec1ec21935d5809ceddf83f749841"/>
    <w:p>
      <w:pPr>
        <w:pStyle w:val="Heading2"/>
        <w:spacing w:line="480" w:lineRule="auto"/>
      </w:pPr>
      <w:r>
        <w:t xml:space="preserve">5.11 Data quality and the limits of the local index</w:t>
      </w:r>
    </w:p>
    <w:p>
      <w:pPr>
        <w:pStyle w:val="FirstParagraph"/>
        <w:spacing w:line="480" w:lineRule="auto"/>
      </w:pPr>
      <w:r>
        <w:t xml:space="preserve">A candid measurement chapter must address where the numbers come from and how far they can be trusted. Citation counts are drawn from a local brain index rather than from a universal citation database, which means they reflect what that index happened to capture rather than a record’s true global citation total</w:t>
      </w:r>
      <w:r>
        <w:t xml:space="preserve"> </w:t>
      </w:r>
      <w:hyperlink w:anchor="ref-8">
        <w:r>
          <w:rPr>
            <w:rStyle w:val="Hyperlink"/>
          </w:rPr>
          <w:t xml:space="preserve">[8]</w:t>
        </w:r>
      </w:hyperlink>
      <w:r>
        <w:t xml:space="preserve">. A record showing zero citations here may be well cited in a database the index does not cover, and the study treats every citation figure as a local index measure rather than a universal count. This is not a hidden weakness; it is a stated property of the data, and both models are interpreted with it in view.</w:t>
      </w:r>
    </w:p>
    <w:p>
      <w:pPr>
        <w:pStyle w:val="BodyText"/>
        <w:spacing w:line="480" w:lineRule="auto"/>
        <w:ind w:firstLine="720"/>
      </w:pPr>
      <w:r>
        <w:t xml:space="preserve">The topic-signal counts inherit a related limitation. Because they are built from whatever title, snippet, keyword, and author content the retrieval captured, a record whose snippet was truncated or whose keyword field was sparse will score lower regardless of its true engagement with the theme</w:t>
      </w:r>
      <w:r>
        <w:t xml:space="preserve"> </w:t>
      </w:r>
      <w:hyperlink w:anchor="ref-5">
        <w:r>
          <w:rPr>
            <w:rStyle w:val="Hyperlink"/>
          </w:rPr>
          <w:t xml:space="preserve">[5]</w:t>
        </w:r>
      </w:hyperlink>
      <w:r>
        <w:t xml:space="preserve">. The space-economy block, whose snippet and keyword fields are largely empty, illustrates the effect: those records score low partly because there was little text to count, not necessarily because they engage the theme weakly</w:t>
      </w:r>
      <w:r>
        <w:t xml:space="preserve"> </w:t>
      </w:r>
      <w:hyperlink w:anchor="ref-2">
        <w:r>
          <w:rPr>
            <w:rStyle w:val="Hyperlink"/>
          </w:rPr>
          <w:t xml:space="preserve">[2]</w:t>
        </w:r>
      </w:hyperlink>
      <w:r>
        <w:t xml:space="preserve">. The dataset does not repair this, and Chapter 7 makes the confound between metadata richness and topic signal a central limitation. The honest description here is that the data are clean in the sense of being deterministically constructed and fully traceable, and limited in the sense that the fields they draw from are uneven across venue families.</w:t>
      </w:r>
    </w:p>
    <w:bookmarkEnd w:id="125"/>
    <w:bookmarkStart w:id="126" w:name="Xdcff8310a0fa5f54c4d047d4bf77f83a0d3aaa1"/>
    <w:p>
      <w:pPr>
        <w:pStyle w:val="Heading2"/>
        <w:spacing w:line="480" w:lineRule="auto"/>
      </w:pPr>
      <w:r>
        <w:t xml:space="preserve">5.12 Why the dataset is presented before the results</w:t>
      </w:r>
    </w:p>
    <w:p>
      <w:pPr>
        <w:pStyle w:val="FirstParagraph"/>
        <w:spacing w:line="480" w:lineRule="auto"/>
      </w:pPr>
      <w:r>
        <w:t xml:space="preserve">A structural choice deserves a word: the dataset is documented in full before any coefficient is reported, and the ordering is a commitment rather than a convention. A reader who understands the leverage points, the venue blocks, the mirror-image temporal indices, and the metadata-richness confound before seeing the estimator output is equipped to judge the results critically rather than receiving them as finished conclusions</w:t>
      </w:r>
      <w:r>
        <w:t xml:space="preserve"> </w:t>
      </w:r>
      <w:hyperlink w:anchor="ref-1">
        <w:r>
          <w:rPr>
            <w:rStyle w:val="Hyperlink"/>
          </w:rPr>
          <w:t xml:space="preserve">[1]</w:t>
        </w:r>
      </w:hyperlink>
      <w:r>
        <w:t xml:space="preserve">. The design wants that critical reader, because a result understood together with its data limitations is a result that cannot be quietly oversold.</w:t>
      </w:r>
    </w:p>
    <w:p>
      <w:pPr>
        <w:pStyle w:val="BodyText"/>
        <w:spacing w:line="480" w:lineRule="auto"/>
        <w:ind w:firstLine="720"/>
      </w:pPr>
      <w:r>
        <w:t xml:space="preserve">This ordering also enforces a kind of pre-registration in spirit. By fixing the variable construction and flagging the known confounds in advance of the results, the dissertation removes the temptation to reinterpret the data after seeing which coefficients came out significant</w:t>
      </w:r>
      <w:r>
        <w:t xml:space="preserve"> </w:t>
      </w:r>
      <w:hyperlink w:anchor="ref-5">
        <w:r>
          <w:rPr>
            <w:rStyle w:val="Hyperlink"/>
          </w:rPr>
          <w:t xml:space="preserve">[5]</w:t>
        </w:r>
      </w:hyperlink>
      <w:r>
        <w:t xml:space="preserve">. The venue confound is named here, in the measurement chapter, precisely so that its later appearance in the discussion cannot be read as a post-hoc excuse for an inconvenient result. The data come first because honesty is easier to maintain when the limitations are on the table before the findings are</w:t>
      </w:r>
      <w:r>
        <w:t xml:space="preserve"> </w:t>
      </w:r>
      <w:hyperlink w:anchor="ref-6">
        <w:r>
          <w:rPr>
            <w:rStyle w:val="Hyperlink"/>
          </w:rPr>
          <w:t xml:space="preserve">[6]</w:t>
        </w:r>
      </w:hyperlink>
      <w:r>
        <w:t xml:space="preserve">.</w:t>
      </w:r>
    </w:p>
    <w:bookmarkEnd w:id="126"/>
    <w:bookmarkStart w:id="127" w:name="X24e2215f8fd0fe40523f16f3e0bfb4235e1936a"/>
    <w:p>
      <w:pPr>
        <w:pStyle w:val="Heading2"/>
        <w:spacing w:line="480" w:lineRule="auto"/>
      </w:pPr>
      <w:r>
        <w:t xml:space="preserve">5.13 The dataset as the study’s evidentiary contract</w:t>
      </w:r>
    </w:p>
    <w:p>
      <w:pPr>
        <w:pStyle w:val="FirstParagraph"/>
        <w:spacing w:line="480" w:lineRule="auto"/>
      </w:pPr>
      <w:r>
        <w:t xml:space="preserve">Everything the dissertation claims is ultimately a claim about these thirty rows, and it is worth naming the dataset as the contract that binds the whole document. The prose in later chapters has authority only insofar as it stays faithful to the values in this file, and the source column in every row is the mechanism that keeps it faithful</w:t>
      </w:r>
      <w:r>
        <w:t xml:space="preserve"> </w:t>
      </w:r>
      <w:hyperlink w:anchor="ref-1">
        <w:r>
          <w:rPr>
            <w:rStyle w:val="Hyperlink"/>
          </w:rPr>
          <w:t xml:space="preserve">[1]</w:t>
        </w:r>
      </w:hyperlink>
      <w:r>
        <w:t xml:space="preserve">. A claim that cannot be traced back to a specific row and its specific source is a claim outside the contract, and the design treats such claims as violations to be caught rather than as permissible extrapolation</w:t>
      </w:r>
      <w:r>
        <w:t xml:space="preserve"> </w:t>
      </w:r>
      <w:hyperlink w:anchor="ref-3">
        <w:r>
          <w:rPr>
            <w:rStyle w:val="Hyperlink"/>
          </w:rPr>
          <w:t xml:space="preserve">[3]</w:t>
        </w:r>
      </w:hyperlink>
      <w:r>
        <w:t xml:space="preserve">.</w:t>
      </w:r>
    </w:p>
    <w:p>
      <w:pPr>
        <w:pStyle w:val="BodyText"/>
        <w:spacing w:line="480" w:lineRule="auto"/>
        <w:ind w:firstLine="720"/>
      </w:pPr>
      <w:r>
        <w:t xml:space="preserve">That contract is what makes the small sample a strength rather than an embarrassment. A thirty-row file can be read in full by a committee, and a committee that has read it in full can hold every downstream claim to account against it</w:t>
      </w:r>
      <w:r>
        <w:t xml:space="preserve"> </w:t>
      </w:r>
      <w:hyperlink w:anchor="ref-8">
        <w:r>
          <w:rPr>
            <w:rStyle w:val="Hyperlink"/>
          </w:rPr>
          <w:t xml:space="preserve">[8]</w:t>
        </w:r>
      </w:hyperlink>
      <w:r>
        <w:t xml:space="preserve">. The dissertation does not ask to be trusted; it asks to be checked, and the dataset is what makes checking possible. By presenting the data in this much detail before any result appears, the study hands the reader the instrument they need to enforce the contract themselves</w:t>
      </w:r>
      <w:r>
        <w:t xml:space="preserve"> </w:t>
      </w:r>
      <w:hyperlink w:anchor="ref-5">
        <w:r>
          <w:rPr>
            <w:rStyle w:val="Hyperlink"/>
          </w:rPr>
          <w:t xml:space="preserve">[5]</w:t>
        </w:r>
      </w:hyperlink>
      <w:r>
        <w:t xml:space="preserve">. Chapter 6 now reports what the estimators return when they run on this dataset, taking the coefficients exactly as the workbooks produce them and interpreting their signs and magnitudes without embellishment</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127"/>
    <w:bookmarkEnd w:id="128"/>
    <w:bookmarkStart w:id="140" w:name="chapter-6.-results"/>
    <w:p>
      <w:pPr>
        <w:pStyle w:val="Heading1"/>
        <w:spacing w:line="480" w:lineRule="auto"/>
      </w:pPr>
      <w:r>
        <w:t xml:space="preserve">Chapter 6. Results</w:t>
      </w:r>
    </w:p>
    <w:bookmarkStart w:id="129" w:name="how-to-read-this-chapter"/>
    <w:p>
      <w:pPr>
        <w:pStyle w:val="Heading2"/>
        <w:spacing w:line="480" w:lineRule="auto"/>
      </w:pPr>
      <w:r>
        <w:t xml:space="preserve">6.1 How to read this chapter</w:t>
      </w:r>
    </w:p>
    <w:p>
      <w:pPr>
        <w:pStyle w:val="FirstParagraph"/>
        <w:spacing w:line="480" w:lineRule="auto"/>
      </w:pPr>
      <w:r>
        <w:t xml:space="preserve">This chapter reports the exact output of the two embedded workbooks and interprets it. No number here is rounded away from what the estimator produced, and no coefficient is promoted beyond the precision its standard error allows. The discipline is simple: state the fit, state the terms, read the signs, weigh the magnitudes against their uncertainty, and stop where the evidence stops</w:t>
      </w:r>
      <w:r>
        <w:t xml:space="preserve"> </w:t>
      </w:r>
      <w:hyperlink w:anchor="ref-1">
        <w:r>
          <w:rPr>
            <w:rStyle w:val="Hyperlink"/>
          </w:rPr>
          <w:t xml:space="preserve">[1]</w:t>
        </w:r>
      </w:hyperlink>
      <w:r>
        <w:t xml:space="preserve">. The interpretation stays inside the corpus, because that is the only place these estimates have standing.</w:t>
      </w:r>
    </w:p>
    <w:bookmarkEnd w:id="129"/>
    <w:bookmarkStart w:id="130" w:name="paper-1-the-cross-sectional-model"/>
    <w:p>
      <w:pPr>
        <w:pStyle w:val="Heading2"/>
        <w:spacing w:line="480" w:lineRule="auto"/>
      </w:pPr>
      <w:r>
        <w:t xml:space="preserve">6.2 Paper 1: the cross-sectional model</w:t>
      </w:r>
    </w:p>
    <w:p>
      <w:pPr>
        <w:pStyle w:val="FirstParagraph"/>
        <w:spacing w:line="480" w:lineRule="auto"/>
      </w:pPr>
      <w:r>
        <w:t xml:space="preserve">Paper 1 estimates the ordinary least squares specification from Chapter 4 with robust HC1 standard errors over all thirty records. The fit summary is: N = 30, R2 = 0.4218, adjusted R2 = 0.3550, F = 8.673, and F p-value = 0.000372. The model beats the null. Clearly. An F statistic of 8.673 with a p-value of 0.000372 means the three predictors jointly explain the topic-signal score far better than chance, and an R2 of 0.4218 says the model accounts for roughly forty-two percent of the variation in topic signal across the corpus</w:t>
      </w:r>
      <w:r>
        <w:t xml:space="preserve"> </w:t>
      </w:r>
      <w:hyperlink w:anchor="ref-2">
        <w:r>
          <w:rPr>
            <w:rStyle w:val="Hyperlink"/>
          </w:rPr>
          <w:t xml:space="preserve">[2]</w:t>
        </w:r>
      </w:hyperlink>
      <w:r>
        <w:t xml:space="preserve">. For a three-predictor screen over thirty records, that is a substantial share, and it establishes that the topic signal is not randomly scattered.</w:t>
      </w:r>
    </w:p>
    <w:p>
      <w:pPr>
        <w:pStyle w:val="BodyText"/>
        <w:spacing w:line="480" w:lineRule="auto"/>
        <w:ind w:firstLine="720"/>
      </w:pPr>
      <w:r>
        <w:t xml:space="preserve">Now the terms. This is where the story sharpens. The constant is 5.0832 with a standard error of 0.9455 and a p-value of 7.61e-08, which anchors the model but carries no substantive reading on its own. The recency_index coefficient is 0.1134 with a standard error of 0.063 and a p-value of 0.0719. Its sign is positive, as the disruption framework predicts: newer records tend to carry a higher topic signal, and each unit of the recency index is associated with roughly a tenth of a point more signal</w:t>
      </w:r>
      <w:r>
        <w:t xml:space="preserve"> </w:t>
      </w:r>
      <w:hyperlink w:anchor="ref-9">
        <w:r>
          <w:rPr>
            <w:rStyle w:val="Hyperlink"/>
          </w:rPr>
          <w:t xml:space="preserve">[9]</w:t>
        </w:r>
      </w:hyperlink>
      <w:r>
        <w:t xml:space="preserve">. Its p-value of 0.0719 places it just outside the conventional five-percent threshold, so the dissertation reads it as suggestive rather than resolved, a directionally correct slope that the corpus does not pin down tightly.</w:t>
      </w:r>
    </w:p>
    <w:p>
      <w:pPr>
        <w:pStyle w:val="BodyText"/>
        <w:spacing w:line="480" w:lineRule="auto"/>
        <w:ind w:firstLine="720"/>
      </w:pPr>
      <w:r>
        <w:t xml:space="preserve">The cites_num coefficient is -0.0079 with a standard error of 0.0048 and a p-value of 0.0988. Here the sign runs against the naive prediction: more citations are associated with slightly less topic signal, not more. The magnitude is tiny, a hundredth of a point per citation, and the p-value of 0.0988 again falls outside significance, so the responsible reading is that citation attention does not carry a clean positive association with topic signal in this corpus</w:t>
      </w:r>
      <w:r>
        <w:t xml:space="preserve"> </w:t>
      </w:r>
      <w:hyperlink w:anchor="ref-5">
        <w:r>
          <w:rPr>
            <w:rStyle w:val="Hyperlink"/>
          </w:rPr>
          <w:t xml:space="preserve">[5]</w:t>
        </w:r>
      </w:hyperlink>
      <w:r>
        <w:t xml:space="preserve">. The single 170-citation record discussed in Chapter 5 has real leverage on this term, and its influence is part of why the coefficient is small, negative, and imprecise rather than positive and sharp.</w:t>
      </w:r>
    </w:p>
    <w:p>
      <w:pPr>
        <w:pStyle w:val="BodyText"/>
        <w:spacing w:line="480" w:lineRule="auto"/>
        <w:ind w:firstLine="720"/>
      </w:pPr>
      <w:r>
        <w:t xml:space="preserve">The venue_score coefficient is the model’s dominant term: -1.9235 with a standard error of 0.3871 and a p-value of 6.71e-07. Large. Negative. Sharp. Moving up the ordinal venue ladder, from AMOS proceedings to Acta Astronautica to the space-economy family, is associated with nearly two points less topic signal per step, and the p-value of 6.71e-07 leaves no doubt that the association is real inside the corpus</w:t>
      </w:r>
      <w:r>
        <w:t xml:space="preserve"> </w:t>
      </w:r>
      <w:hyperlink w:anchor="ref-8">
        <w:r>
          <w:rPr>
            <w:rStyle w:val="Hyperlink"/>
          </w:rPr>
          <w:t xml:space="preserve">[8]</w:t>
        </w:r>
      </w:hyperlink>
      <w:r>
        <w:t xml:space="preserve">. The proceedings family, coded lowest on the venue scale, carries the highest topic signal; the journal and economy families carry progressively less.</w:t>
      </w:r>
    </w:p>
    <w:bookmarkEnd w:id="130"/>
    <w:bookmarkStart w:id="131" w:name="reading-the-paper-1-result"/>
    <w:p>
      <w:pPr>
        <w:pStyle w:val="Heading2"/>
        <w:spacing w:line="480" w:lineRule="auto"/>
      </w:pPr>
      <w:r>
        <w:t xml:space="preserve">6.3 Reading the Paper 1 result</w:t>
      </w:r>
    </w:p>
    <w:p>
      <w:pPr>
        <w:pStyle w:val="FirstParagraph"/>
        <w:spacing w:line="480" w:lineRule="auto"/>
      </w:pPr>
      <w:r>
        <w:t xml:space="preserve">The pattern that emerges is coherent once the pieces are placed together. Most of the structured variation in topic signal runs through venue family, not through recency or citation attention. The recency slope points the right way but is only suggestive; the citation slope is essentially flat and slightly negative; the venue term does the explanatory work</w:t>
      </w:r>
      <w:r>
        <w:t xml:space="preserve"> </w:t>
      </w:r>
      <w:hyperlink w:anchor="ref-2">
        <w:r>
          <w:rPr>
            <w:rStyle w:val="Hyperlink"/>
          </w:rPr>
          <w:t xml:space="preserve">[2]</w:t>
        </w:r>
      </w:hyperlink>
      <w:r>
        <w:t xml:space="preserve">. That is a specific and interpretable finding, not a null.</w:t>
      </w:r>
    </w:p>
    <w:p>
      <w:pPr>
        <w:pStyle w:val="BodyText"/>
        <w:spacing w:line="480" w:lineRule="auto"/>
        <w:ind w:firstLine="720"/>
      </w:pPr>
      <w:r>
        <w:t xml:space="preserve">Substantively, it says the topic is currently sorted by publication community more than by time or accumulated attention. The proceedings venue, where operators and engineers publish work on tracking, deployment, and payload integration, is where the candidate theme concentrates most densely</w:t>
      </w:r>
      <w:r>
        <w:t xml:space="preserve"> </w:t>
      </w:r>
      <w:hyperlink w:anchor="ref-7">
        <w:r>
          <w:rPr>
            <w:rStyle w:val="Hyperlink"/>
          </w:rPr>
          <w:t xml:space="preserve">[7]</w:t>
        </w:r>
      </w:hyperlink>
      <w:r>
        <w:t xml:space="preserve">. The journal venue engages the theme less intensely per record, and the policy-economy venue least of all. For a technology in an early disruptive phase, concentration in the operational proceedings literature rather than in the archival journal or the policy literature is exactly the distribution one might expect before a topic diffuses upward, though the model cannot certify that reading over the alternative that it simply reflects how these venues report</w:t>
      </w:r>
      <w:r>
        <w:t xml:space="preserve"> </w:t>
      </w:r>
      <w:hyperlink w:anchor="ref-11">
        <w:r>
          <w:rPr>
            <w:rStyle w:val="Hyperlink"/>
          </w:rPr>
          <w:t xml:space="preserve">[11]</w:t>
        </w:r>
      </w:hyperlink>
      <w:r>
        <w:t xml:space="preserve">.</w:t>
      </w:r>
    </w:p>
    <w:p>
      <w:pPr>
        <w:pStyle w:val="BodyText"/>
        <w:spacing w:line="480" w:lineRule="auto"/>
        <w:ind w:firstLine="720"/>
      </w:pPr>
      <w:r>
        <w:t xml:space="preserve">The imprecise recency and citation terms are themselves evidence, and the dissertation treats them as findings rather than as noise. A field that were maturing along a clean disruptive trajectory might show a sharp positive recency slope and a positive citation slope; this corpus shows neither with confidence. That absence bounds the strength of the disruption claim and tells a future design exactly where to look: it needs a measure of topic engagement that separates from venue, and it needs enough records to resolve a recency slope that here sits at the edge of significance</w:t>
      </w:r>
      <w:r>
        <w:t xml:space="preserve"> </w:t>
      </w:r>
      <w:hyperlink w:anchor="ref-6">
        <w:r>
          <w:rPr>
            <w:rStyle w:val="Hyperlink"/>
          </w:rPr>
          <w:t xml:space="preserve">[6]</w:t>
        </w:r>
      </w:hyperlink>
      <w:r>
        <w:t xml:space="preserve">.</w:t>
      </w:r>
    </w:p>
    <w:bookmarkEnd w:id="131"/>
    <w:bookmarkStart w:id="132" w:name="paper-2-the-temporal-model"/>
    <w:p>
      <w:pPr>
        <w:pStyle w:val="Heading2"/>
        <w:spacing w:line="480" w:lineRule="auto"/>
      </w:pPr>
      <w:r>
        <w:t xml:space="preserve">6.4 Paper 2: the temporal model</w:t>
      </w:r>
    </w:p>
    <w:p>
      <w:pPr>
        <w:pStyle w:val="FirstParagraph"/>
        <w:spacing w:line="480" w:lineRule="auto"/>
      </w:pPr>
      <w:r>
        <w:t xml:space="preserve">Paper 2 estimates the log-log learning curve from Chapter 4 with robust HC1 standard errors over the same thirty records. The fit summary is: N = 30, R2 = 0.0104, an elasticity of -0.1926, and an implied progress ratio of 0.8750. The term estimates are: const coefficient 1.1022 with a standard error of 0.4702 and a p-value of 0.0191, and the log-age coefficient (_ln_x) -0.1926 with a standard error of 0.2907 and a p-value of 0.5076.</w:t>
      </w:r>
    </w:p>
    <w:p>
      <w:pPr>
        <w:pStyle w:val="BodyText"/>
        <w:spacing w:line="480" w:lineRule="auto"/>
        <w:ind w:firstLine="720"/>
      </w:pPr>
      <w:r>
        <w:t xml:space="preserve">The headline is an R2 of 0.0104. One percent. The model explains about one percent of the variation in logged citation accumulation, which is to say it explains almost nothing. Age does no work here. The age variable, on its own, does not organize citation attention in this corpus</w:t>
      </w:r>
      <w:r>
        <w:t xml:space="preserve"> </w:t>
      </w:r>
      <w:hyperlink w:anchor="ref-6">
        <w:r>
          <w:rPr>
            <w:rStyle w:val="Hyperlink"/>
          </w:rPr>
          <w:t xml:space="preserve">[6]</w:t>
        </w:r>
      </w:hyperlink>
      <w:r>
        <w:t xml:space="preserve">. The constant is precisely estimated, but a precise intercept in a model that explains one percent of the variance is a statement about the average level of logged citations, not about any relationship with age.</w:t>
      </w:r>
    </w:p>
    <w:p>
      <w:pPr>
        <w:pStyle w:val="BodyText"/>
        <w:spacing w:line="480" w:lineRule="auto"/>
        <w:ind w:firstLine="720"/>
      </w:pPr>
      <w:r>
        <w:t xml:space="preserve">The age coefficient itself, -0.1926, is the elasticity, and its p-value of 0.5076 is the decisive number. At 0.5076 the coefficient is indistinguishable from zero; the corpus provides no evidence that citation accumulation scales with age in any resolved way</w:t>
      </w:r>
      <w:r>
        <w:t xml:space="preserve"> </w:t>
      </w:r>
      <w:hyperlink w:anchor="ref-5">
        <w:r>
          <w:rPr>
            <w:rStyle w:val="Hyperlink"/>
          </w:rPr>
          <w:t xml:space="preserve">[5]</w:t>
        </w:r>
      </w:hyperlink>
      <w:r>
        <w:t xml:space="preserve">. The point estimate is negative, which would nominally suggest older records accumulate fewer citations, an inversion of the usual aging process, but with a p-value of 0.5076 that sign carries no weight. The implied progress ratio of 0.8750 is the mechanical transform of the elasticity and should be read the same way: a summary of a slope that the data do not resolve.</w:t>
      </w:r>
    </w:p>
    <w:bookmarkEnd w:id="132"/>
    <w:bookmarkStart w:id="133" w:name="reading-the-paper-2-result"/>
    <w:p>
      <w:pPr>
        <w:pStyle w:val="Heading2"/>
        <w:spacing w:line="480" w:lineRule="auto"/>
      </w:pPr>
      <w:r>
        <w:t xml:space="preserve">6.5 Reading the Paper 2 result</w:t>
      </w:r>
    </w:p>
    <w:p>
      <w:pPr>
        <w:pStyle w:val="FirstParagraph"/>
        <w:spacing w:line="480" w:lineRule="auto"/>
      </w:pPr>
      <w:r>
        <w:t xml:space="preserve">The temporal model returns a clean null, and the dissertation reports it as one rather than dressing it up. Citation accumulation in this corpus does not follow a measurable age-based curve</w:t>
      </w:r>
      <w:r>
        <w:t xml:space="preserve"> </w:t>
      </w:r>
      <w:hyperlink w:anchor="ref-4">
        <w:r>
          <w:rPr>
            <w:rStyle w:val="Hyperlink"/>
          </w:rPr>
          <w:t xml:space="preserve">[4]</w:t>
        </w:r>
      </w:hyperlink>
      <w:r>
        <w:t xml:space="preserve">. Two features of the data explain why. First, citation counts are dominated by a single high-value record, so the accumulation signal is carried by one point rather than by a smooth relationship across the sample</w:t>
      </w:r>
      <w:r>
        <w:t xml:space="preserve"> </w:t>
      </w:r>
      <w:hyperlink w:anchor="ref-9">
        <w:r>
          <w:rPr>
            <w:rStyle w:val="Hyperlink"/>
          </w:rPr>
          <w:t xml:space="preserve">[9]</w:t>
        </w:r>
      </w:hyperlink>
      <w:r>
        <w:t xml:space="preserve">. Second, a large block of records reports zero citations regardless of age, including both recent proceedings work and the year-clustered economy family, which flattens any age relationship the more-cited records might have traced</w:t>
      </w:r>
      <w:r>
        <w:t xml:space="preserve"> </w:t>
      </w:r>
      <w:hyperlink w:anchor="ref-2">
        <w:r>
          <w:rPr>
            <w:rStyle w:val="Hyperlink"/>
          </w:rPr>
          <w:t xml:space="preserve">[2]</w:t>
        </w:r>
      </w:hyperlink>
      <w:r>
        <w:t xml:space="preserve">.</w:t>
      </w:r>
    </w:p>
    <w:p>
      <w:pPr>
        <w:pStyle w:val="BodyText"/>
        <w:spacing w:line="480" w:lineRule="auto"/>
        <w:ind w:firstLine="720"/>
      </w:pPr>
      <w:r>
        <w:t xml:space="preserve">This null is not a failure of the study; it is a finding with a specific meaning. The retained corpus has clear cross-sectional organization, established by Paper 1, but no resolved temporal accumulation structure. A topic caught early in a disruptive climb, its attention dominated by fresh activity and one breakout paper, can look exactly like this: structured in the present, shapeless across its short history</w:t>
      </w:r>
      <w:r>
        <w:t xml:space="preserve"> </w:t>
      </w:r>
      <w:hyperlink w:anchor="ref-7">
        <w:r>
          <w:rPr>
            <w:rStyle w:val="Hyperlink"/>
          </w:rPr>
          <w:t xml:space="preserve">[7]</w:t>
        </w:r>
      </w:hyperlink>
      <w:r>
        <w:t xml:space="preserve">. The dissertation does not claim that reading is proven; it claims the temporal null is consistent with an early-stage topic and inconsistent with a mature field whose citations have settled into a stable age curve.</w:t>
      </w:r>
    </w:p>
    <w:bookmarkEnd w:id="133"/>
    <w:bookmarkStart w:id="134" w:name="the-two-results-held-together"/>
    <w:p>
      <w:pPr>
        <w:pStyle w:val="Heading2"/>
        <w:spacing w:line="480" w:lineRule="auto"/>
      </w:pPr>
      <w:r>
        <w:t xml:space="preserve">6.6 The two results held together</w:t>
      </w:r>
    </w:p>
    <w:p>
      <w:pPr>
        <w:pStyle w:val="FirstParagraph"/>
        <w:spacing w:line="480" w:lineRule="auto"/>
      </w:pPr>
      <w:r>
        <w:t xml:space="preserve">Read jointly, the two workbooks deliver a split verdict, and the split is the point. Paper 1 rejects its null: topic signal is systematically related to the predictor set, with an F p-value of 0.000372 and a venue term significant at 6.71e-07</w:t>
      </w:r>
      <w:r>
        <w:t xml:space="preserve"> </w:t>
      </w:r>
      <w:hyperlink w:anchor="ref-8">
        <w:r>
          <w:rPr>
            <w:rStyle w:val="Hyperlink"/>
          </w:rPr>
          <w:t xml:space="preserve">[8]</w:t>
        </w:r>
      </w:hyperlink>
      <w:r>
        <w:t xml:space="preserve">. Paper 2 fails to reject its null: the age elasticity of -0.1926 carries a p-value of 0.5076 and the model explains one percent of the variance</w:t>
      </w:r>
      <w:r>
        <w:t xml:space="preserve"> </w:t>
      </w:r>
      <w:hyperlink w:anchor="ref-6">
        <w:r>
          <w:rPr>
            <w:rStyle w:val="Hyperlink"/>
          </w:rPr>
          <w:t xml:space="preserve">[6]</w:t>
        </w:r>
      </w:hyperlink>
      <w:r>
        <w:t xml:space="preserve">. The corpus has structure across records and noise across time.</w:t>
      </w:r>
    </w:p>
    <w:p>
      <w:pPr>
        <w:pStyle w:val="BodyText"/>
        <w:spacing w:line="480" w:lineRule="auto"/>
        <w:ind w:firstLine="720"/>
      </w:pPr>
      <w:r>
        <w:t xml:space="preserve">That combination is more informative than either result alone. It tells us the candidate theme is real and organized in the present-day literature, concentrated in the operational proceedings venue, with a recency slope that leans the predicted way but does not yet resolve. And it tells us the theme has not been in the record long enough, or evenly enough, to trace a stable attention curve. The disruption reading survives as a live hypothesis rather than a proven claim.</w:t>
      </w:r>
    </w:p>
    <w:bookmarkEnd w:id="134"/>
    <w:bookmarkStart w:id="135" w:name="magnitudes-in-context"/>
    <w:p>
      <w:pPr>
        <w:pStyle w:val="Heading2"/>
        <w:spacing w:line="480" w:lineRule="auto"/>
      </w:pPr>
      <w:r>
        <w:t xml:space="preserve">6.7 Magnitudes in context</w:t>
      </w:r>
    </w:p>
    <w:p>
      <w:pPr>
        <w:pStyle w:val="FirstParagraph"/>
        <w:spacing w:line="480" w:lineRule="auto"/>
      </w:pPr>
      <w:r>
        <w:t xml:space="preserve">Precision is not the same as importance, and this section weighs the magnitudes the previous sections established as significant. The venue coefficient of -1.9235 is the one that carries substantive weight, and its size is worth translating. Topic-signal scores in the corpus span roughly from one to eight. A venue coefficient of nearly two points per ordinal step therefore moves a record across a large fraction of the observed signal range as it climbs from the proceedings family to the journal family to the economy family</w:t>
      </w:r>
      <w:r>
        <w:t xml:space="preserve"> </w:t>
      </w:r>
      <w:hyperlink w:anchor="ref-8">
        <w:r>
          <w:rPr>
            <w:rStyle w:val="Hyperlink"/>
          </w:rPr>
          <w:t xml:space="preserve">[8]</w:t>
        </w:r>
      </w:hyperlink>
      <w:r>
        <w:t xml:space="preserve">. This is not a marginal association buried in a noisy model; it is the dominant axis along which topic signal varies, and it accounts for much of the model’s forty-two percent explained variance.</w:t>
      </w:r>
    </w:p>
    <w:p>
      <w:pPr>
        <w:pStyle w:val="BodyText"/>
        <w:spacing w:line="480" w:lineRule="auto"/>
        <w:ind w:firstLine="720"/>
      </w:pPr>
      <w:r>
        <w:t xml:space="preserve">The recency magnitude tells a quieter story. A coefficient of 0.1134 per unit of the recency index means that moving across the corpus’s full recency span, roughly twenty index points from the oldest record to the newest, is associated with about two and a quarter additional points of topic signal if the slope held exactly</w:t>
      </w:r>
      <w:r>
        <w:t xml:space="preserve"> </w:t>
      </w:r>
      <w:hyperlink w:anchor="ref-9">
        <w:r>
          <w:rPr>
            <w:rStyle w:val="Hyperlink"/>
          </w:rPr>
          <w:t xml:space="preserve">[9]</w:t>
        </w:r>
      </w:hyperlink>
      <w:r>
        <w:t xml:space="preserve">. That is a substantial implied range, which is part of why the term is interesting despite its p-value of 0.0719. The magnitude suggests the recency relationship would matter if a larger sample could resolve it; the imprecision is what keeps the dissertation from asserting it. The citation coefficient, at -0.0079 per citation, is negligible in magnitude as well as insignificant, so even the 170-citation record shifts predicted signal by only just over a point, and the responsible reading treats citation attention as effectively unrelated to topic signal here</w:t>
      </w:r>
      <w:r>
        <w:t xml:space="preserve"> </w:t>
      </w:r>
      <w:hyperlink w:anchor="ref-5">
        <w:r>
          <w:rPr>
            <w:rStyle w:val="Hyperlink"/>
          </w:rPr>
          <w:t xml:space="preserve">[5]</w:t>
        </w:r>
      </w:hyperlink>
      <w:r>
        <w:t xml:space="preserve">.</w:t>
      </w:r>
    </w:p>
    <w:bookmarkEnd w:id="135"/>
    <w:bookmarkStart w:id="136" w:name="X81b72c54bd20e0ae4ff33c0ffdf084740b6f6c8"/>
    <w:p>
      <w:pPr>
        <w:pStyle w:val="Heading2"/>
        <w:spacing w:line="480" w:lineRule="auto"/>
      </w:pPr>
      <w:r>
        <w:t xml:space="preserve">6.8 Robustness of the reading to the leverage points</w:t>
      </w:r>
    </w:p>
    <w:p>
      <w:pPr>
        <w:pStyle w:val="FirstParagraph"/>
        <w:spacing w:line="480" w:lineRule="auto"/>
      </w:pPr>
      <w:r>
        <w:t xml:space="preserve">Because Chapter 5 flagged two leverage points, the interpretation should ask how much the headline reading depends on them. The venue result does not hinge on any single record; it rests on a systematic contrast between the proceedings block and the journal and economy blocks, and that contrast involves the majority of the corpus rather than one influential row</w:t>
      </w:r>
      <w:r>
        <w:t xml:space="preserve"> </w:t>
      </w:r>
      <w:hyperlink w:anchor="ref-2">
        <w:r>
          <w:rPr>
            <w:rStyle w:val="Hyperlink"/>
          </w:rPr>
          <w:t xml:space="preserve">[2]</w:t>
        </w:r>
      </w:hyperlink>
      <w:r>
        <w:t xml:space="preserve">. The economy block reinforces the top of the venue scale, but even setting its influence aside, the proceedings-to-journal gap alone would produce a negative venue slope. The dominant finding is structurally robust.</w:t>
      </w:r>
    </w:p>
    <w:p>
      <w:pPr>
        <w:pStyle w:val="BodyText"/>
        <w:spacing w:line="480" w:lineRule="auto"/>
        <w:ind w:firstLine="720"/>
      </w:pPr>
      <w:r>
        <w:t xml:space="preserve">The citation result is a different matter, and the dissertation says so. The small, negative, insignificant citation coefficient is shaped materially by the single 170-citation record, whose low topic-signal score pairs a huge citation count with a modest signal and thereby drags the slope negative</w:t>
      </w:r>
      <w:r>
        <w:t xml:space="preserve"> </w:t>
      </w:r>
      <w:hyperlink w:anchor="ref-9">
        <w:r>
          <w:rPr>
            <w:rStyle w:val="Hyperlink"/>
          </w:rPr>
          <w:t xml:space="preserve">[9]</w:t>
        </w:r>
      </w:hyperlink>
      <w:r>
        <w:t xml:space="preserve">. A reader who removed that record would likely see the citation coefficient move toward zero rather than toward significance, which only reinforces the conclusion the model already supports: citation attention does not carry a clean positive association with topic signal in this corpus. The leverage point does not manufacture a false finding; it sits underneath a null, and the null survives its removal in spirit if not in exact value</w:t>
      </w:r>
      <w:r>
        <w:t xml:space="preserve"> </w:t>
      </w:r>
      <w:hyperlink w:anchor="ref-5">
        <w:r>
          <w:rPr>
            <w:rStyle w:val="Hyperlink"/>
          </w:rPr>
          <w:t xml:space="preserve">[5]</w:t>
        </w:r>
      </w:hyperlink>
      <w:r>
        <w:t xml:space="preserve">. The temporal result in Paper 2, already explaining only one percent of variance, is likewise dominated by that same record and by the floor of zero-citation entries, which is precisely why Section 6.5 read its null as detection failure rather than as a positive claim about a flat field</w:t>
      </w:r>
      <w:r>
        <w:t xml:space="preserve"> </w:t>
      </w:r>
      <w:hyperlink w:anchor="ref-6">
        <w:r>
          <w:rPr>
            <w:rStyle w:val="Hyperlink"/>
          </w:rPr>
          <w:t xml:space="preserve">[6]</w:t>
        </w:r>
      </w:hyperlink>
      <w:r>
        <w:t xml:space="preserve">.</w:t>
      </w:r>
    </w:p>
    <w:bookmarkEnd w:id="136"/>
    <w:bookmarkStart w:id="137" w:name="a-summary-table-of-the-estimator-output"/>
    <w:p>
      <w:pPr>
        <w:pStyle w:val="Heading2"/>
        <w:spacing w:line="480" w:lineRule="auto"/>
      </w:pPr>
      <w:r>
        <w:t xml:space="preserve">6.9 A summary table of the estimator output</w:t>
      </w:r>
    </w:p>
    <w:p>
      <w:pPr>
        <w:pStyle w:val="FirstParagraph"/>
        <w:spacing w:line="480" w:lineRule="auto"/>
      </w:pPr>
      <w:r>
        <w:t xml:space="preserve">For the reader who wants the numbers in one place, the estimator output is as follows. Paper 1, ordinary least squares with robust HC1 standard errors: N = 30, R2 = 0.4218, adjusted R2 = 0.3550, F = 8.673, F p-value = 0.000372; const 5.0832 (SE 0.9455, p = 7.61e-08), recency_index 0.1134 (SE 0.063, p = 0.0719), cites_num -0.0079 (SE 0.0048, p = 0.0988), venue_score -1.9235 (SE 0.3871, p = 6.71e-07). Paper 2, log-log learning curve with robust HC1 standard errors: N = 30, R2 = 0.0104, elasticity -0.1926, progress ratio 0.8750; const 1.1022 (SE 0.4702, p = 0.0191), log-age -0.1926 (SE 0.2907, p = 0.5076).</w:t>
      </w:r>
    </w:p>
    <w:p>
      <w:pPr>
        <w:pStyle w:val="BodyText"/>
        <w:spacing w:line="480" w:lineRule="auto"/>
        <w:ind w:firstLine="720"/>
      </w:pPr>
      <w:r>
        <w:t xml:space="preserve">These are the values every interpretation in this dissertation rests on, reproduced exactly as the embedded workbooks generated them</w:t>
      </w:r>
      <w:r>
        <w:t xml:space="preserve"> </w:t>
      </w:r>
      <w:hyperlink w:anchor="ref-1">
        <w:r>
          <w:rPr>
            <w:rStyle w:val="Hyperlink"/>
          </w:rPr>
          <w:t xml:space="preserve">[1]</w:t>
        </w:r>
      </w:hyperlink>
      <w:r>
        <w:t xml:space="preserve">. Nothing in Chapter 7 or Chapter 8 departs from them, and any claim that appears to exceed them is a claim the reader should challenge.</w:t>
      </w:r>
    </w:p>
    <w:bookmarkEnd w:id="137"/>
    <w:bookmarkStart w:id="138" w:name="X6f3a3338a18c6176607d40ac1ac9b08abb98c00"/>
    <w:p>
      <w:pPr>
        <w:pStyle w:val="Heading2"/>
        <w:spacing w:line="480" w:lineRule="auto"/>
      </w:pPr>
      <w:r>
        <w:t xml:space="preserve">6.10 What a rejection and a non-rejection look like together</w:t>
      </w:r>
    </w:p>
    <w:p>
      <w:pPr>
        <w:pStyle w:val="FirstParagraph"/>
        <w:spacing w:line="480" w:lineRule="auto"/>
      </w:pPr>
      <w:r>
        <w:t xml:space="preserve">It is worth stating in plain language what the field has learned from the pairing of a rejected null and a non-rejected one, because the combination is easy to garble. Paper 1 rejected its null: the F p-value of 0.000372 falls far below any conventional threshold, so the claim that topic signal is unrelated to the predictor set is untenable in this corpus</w:t>
      </w:r>
      <w:r>
        <w:t xml:space="preserve"> </w:t>
      </w:r>
      <w:hyperlink w:anchor="ref-2">
        <w:r>
          <w:rPr>
            <w:rStyle w:val="Hyperlink"/>
          </w:rPr>
          <w:t xml:space="preserve">[2]</w:t>
        </w:r>
      </w:hyperlink>
      <w:r>
        <w:t xml:space="preserve">. That rejection is carried almost entirely by the venue term, with a modest and unresolved assist from recency. The corpus is organized, and the axis of organization is publication family.</w:t>
      </w:r>
    </w:p>
    <w:p>
      <w:pPr>
        <w:pStyle w:val="BodyText"/>
        <w:spacing w:line="480" w:lineRule="auto"/>
        <w:ind w:firstLine="720"/>
      </w:pPr>
      <w:r>
        <w:t xml:space="preserve">Paper 2 did not reject its null: the age elasticity’s p-value of 0.5076 leaves the claim that citation accumulation is unrelated to age entirely intact</w:t>
      </w:r>
      <w:r>
        <w:t xml:space="preserve"> </w:t>
      </w:r>
      <w:hyperlink w:anchor="ref-6">
        <w:r>
          <w:rPr>
            <w:rStyle w:val="Hyperlink"/>
          </w:rPr>
          <w:t xml:space="preserve">[6]</w:t>
        </w:r>
      </w:hyperlink>
      <w:r>
        <w:t xml:space="preserve">. The corpus provides no evidence of a temporal accumulation curve. Placed side by side, these two outcomes describe a topic with strong present organization and no resolved history, and the dissertation’s central empirical statement is exactly that conjunction. A reader who took only the rejection would overstate the disruption case; a reader who took only the non-rejection would understate it. The finding lives in the pairing, and holding both halves at once is what the results chapter has tried to teach the reader to do</w:t>
      </w:r>
      <w:r>
        <w:t xml:space="preserve"> </w:t>
      </w:r>
      <w:hyperlink w:anchor="ref-5">
        <w:r>
          <w:rPr>
            <w:rStyle w:val="Hyperlink"/>
          </w:rPr>
          <w:t xml:space="preserve">[5]</w:t>
        </w:r>
      </w:hyperlink>
      <w:r>
        <w:t xml:space="preserve">.</w:t>
      </w:r>
    </w:p>
    <w:bookmarkEnd w:id="138"/>
    <w:bookmarkStart w:id="139" w:name="X474d35339a8a6d5675d6bfb613a86d8fe667a26"/>
    <w:p>
      <w:pPr>
        <w:pStyle w:val="Heading2"/>
        <w:spacing w:line="480" w:lineRule="auto"/>
      </w:pPr>
      <w:r>
        <w:t xml:space="preserve">6.11 The signs read against the framework’s predictions</w:t>
      </w:r>
    </w:p>
    <w:p>
      <w:pPr>
        <w:pStyle w:val="FirstParagraph"/>
        <w:spacing w:line="480" w:lineRule="auto"/>
      </w:pPr>
      <w:r>
        <w:t xml:space="preserve">The final interpretive task is to score the results against the directional predictions Chapter 3 committed to in advance. The framework predicted a positive recency slope, and the data delivered one: 0.1134, correctly signed, though at a p-value of 0.0719 it is suggestive rather than confirmed</w:t>
      </w:r>
      <w:r>
        <w:t xml:space="preserve"> </w:t>
      </w:r>
      <w:hyperlink w:anchor="ref-9">
        <w:r>
          <w:rPr>
            <w:rStyle w:val="Hyperlink"/>
          </w:rPr>
          <w:t xml:space="preserve">[9]</w:t>
        </w:r>
      </w:hyperlink>
      <w:r>
        <w:t xml:space="preserve">. That is a partial win for the framework, a prediction that pointed the right way without reaching significance. The framework predicted a positive citation slope, and the data delivered a small negative one at -0.0079, insignificant at 0.0988, which is a miss: citation attention does not co-move positively with topic signal here</w:t>
      </w:r>
      <w:r>
        <w:t xml:space="preserve"> </w:t>
      </w:r>
      <w:hyperlink w:anchor="ref-5">
        <w:r>
          <w:rPr>
            <w:rStyle w:val="Hyperlink"/>
          </w:rPr>
          <w:t xml:space="preserve">[5]</w:t>
        </w:r>
      </w:hyperlink>
      <w:r>
        <w:t xml:space="preserve">.</w:t>
      </w:r>
    </w:p>
    <w:p>
      <w:pPr>
        <w:pStyle w:val="BodyText"/>
        <w:spacing w:line="480" w:lineRule="auto"/>
        <w:ind w:firstLine="720"/>
      </w:pPr>
      <w:r>
        <w:t xml:space="preserve">The venue term was not a signed prediction but a concentration expectation, and on that softer criterion the framework fares well. The theory anticipated that an early-stage disruption would concentrate among practitioners, and the venue coefficient of -1.9235 places the topic most densely in the operational proceedings venue, exactly where practitioners publish</w:t>
      </w:r>
      <w:r>
        <w:t xml:space="preserve"> </w:t>
      </w:r>
      <w:hyperlink w:anchor="ref-7">
        <w:r>
          <w:rPr>
            <w:rStyle w:val="Hyperlink"/>
          </w:rPr>
          <w:t xml:space="preserve">[7]</w:t>
        </w:r>
      </w:hyperlink>
      <w:r>
        <w:t xml:space="preserve">. Scored honestly, the framework earns one correct-but-unresolved directional prediction, one wrong directional prediction, and one satisfied concentration expectation. That mixed scorecard is the empirical truth of the matter, and it is why the disruption reading survives as a live hypothesis rather than a proven claim</w:t>
      </w:r>
      <w:r>
        <w:t xml:space="preserve"> </w:t>
      </w:r>
      <w:hyperlink w:anchor="ref-11">
        <w:r>
          <w:rPr>
            <w:rStyle w:val="Hyperlink"/>
          </w:rPr>
          <w:t xml:space="preserve">[11]</w:t>
        </w:r>
      </w:hyperlink>
      <w:r>
        <w:t xml:space="preserve">. Chapter 7 now weighs exactly what this surviving hypothesis can and cannot support</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139"/>
    <w:bookmarkEnd w:id="140"/>
    <w:bookmarkStart w:id="153" w:name="chapter-7.-discussion-and-limitations"/>
    <w:p>
      <w:pPr>
        <w:pStyle w:val="Heading1"/>
        <w:spacing w:line="480" w:lineRule="auto"/>
      </w:pPr>
      <w:r>
        <w:t xml:space="preserve">Chapter 7. Discussion and Limitations</w:t>
      </w:r>
    </w:p>
    <w:bookmarkStart w:id="141" w:name="what-the-split-verdict-actually-means"/>
    <w:p>
      <w:pPr>
        <w:pStyle w:val="Heading2"/>
        <w:spacing w:line="480" w:lineRule="auto"/>
      </w:pPr>
      <w:r>
        <w:t xml:space="preserve">7.1 What the split verdict actually means</w:t>
      </w:r>
    </w:p>
    <w:p>
      <w:pPr>
        <w:pStyle w:val="FirstParagraph"/>
        <w:spacing w:line="480" w:lineRule="auto"/>
      </w:pPr>
      <w:r>
        <w:t xml:space="preserve">The two workbooks agree on a shape even though they disagree on significance. Paper 1 finds real cross-sectional structure; Paper 2 finds no resolved temporal structure. Taken together they describe a topic that is organized in the present but shapeless across its short history, and the substantive reading of that combination is the first task of this chapter</w:t>
      </w:r>
      <w:r>
        <w:t xml:space="preserve"> </w:t>
      </w:r>
      <w:hyperlink w:anchor="ref-2">
        <w:r>
          <w:rPr>
            <w:rStyle w:val="Hyperlink"/>
          </w:rPr>
          <w:t xml:space="preserve">[2]</w:t>
        </w:r>
      </w:hyperlink>
      <w:r>
        <w:t xml:space="preserve">. The candidate theme, the smallsat and rideshare bus as a possible low-end disruptor, is not invisible in the record and it is not evenly distributed; it clusters, and it clusters by venue.</w:t>
      </w:r>
    </w:p>
    <w:p>
      <w:pPr>
        <w:pStyle w:val="BodyText"/>
        <w:spacing w:line="480" w:lineRule="auto"/>
        <w:ind w:firstLine="720"/>
      </w:pPr>
      <w:r>
        <w:t xml:space="preserve">The clustering is the most concrete thing the study establishes. It clusters. And it clusters by venue. With a venue coefficient of -1.9235 at a p-value of 6.71e-07, the corpus places the candidate theme most densely in the operational proceedings literature and progressively less densely in the archival journal and policy-economy literatures</w:t>
      </w:r>
      <w:r>
        <w:t xml:space="preserve"> </w:t>
      </w:r>
      <w:hyperlink w:anchor="ref-8">
        <w:r>
          <w:rPr>
            <w:rStyle w:val="Hyperlink"/>
          </w:rPr>
          <w:t xml:space="preserve">[8]</w:t>
        </w:r>
      </w:hyperlink>
      <w:r>
        <w:t xml:space="preserve">. That is a meaningful sorting. Operators, trackers, and payload integrators are writing about this technology in their working venues before it saturates the journals that certify a field’s maturity</w:t>
      </w:r>
      <w:r>
        <w:t xml:space="preserve"> </w:t>
      </w:r>
      <w:hyperlink w:anchor="ref-7">
        <w:r>
          <w:rPr>
            <w:rStyle w:val="Hyperlink"/>
          </w:rPr>
          <w:t xml:space="preserve">[7]</w:t>
        </w:r>
      </w:hyperlink>
      <w:r>
        <w:t xml:space="preserve">. If a low-end disruption were underway and still early, this is close to the distribution one would expect: intense engagement where the technology is being flown and tracked, thinner engagement where fields get archived and theorized.</w:t>
      </w:r>
    </w:p>
    <w:bookmarkEnd w:id="141"/>
    <w:bookmarkStart w:id="142" w:name="Xcc0d237b582bd1e9b4b6508138c696c86d5b891"/>
    <w:p>
      <w:pPr>
        <w:pStyle w:val="Heading2"/>
        <w:spacing w:line="480" w:lineRule="auto"/>
      </w:pPr>
      <w:r>
        <w:t xml:space="preserve">7.2 Why the disruption reading survives but is not proven</w:t>
      </w:r>
    </w:p>
    <w:p>
      <w:pPr>
        <w:pStyle w:val="FirstParagraph"/>
        <w:spacing w:line="480" w:lineRule="auto"/>
      </w:pPr>
      <w:r>
        <w:t xml:space="preserve">The framework predicted a positive recency slope and a positive citation slope, and the data delivered one of those weakly and the other not at all. The recency coefficient of 0.1134 leans the predicted direction but sits at a p-value of 0.0719, just outside significance</w:t>
      </w:r>
      <w:r>
        <w:t xml:space="preserve"> </w:t>
      </w:r>
      <w:hyperlink w:anchor="ref-9">
        <w:r>
          <w:rPr>
            <w:rStyle w:val="Hyperlink"/>
          </w:rPr>
          <w:t xml:space="preserve">[9]</w:t>
        </w:r>
      </w:hyperlink>
      <w:r>
        <w:t xml:space="preserve">. The citation coefficient is small, negative, and insignificant at 0.0988. A strict reading of Christensen’s signature would want both slopes sharp and positive; the corpus gives a soft yes on recency and a no on citations. One lead. One miss.</w:t>
      </w:r>
    </w:p>
    <w:p>
      <w:pPr>
        <w:pStyle w:val="BodyText"/>
        <w:spacing w:line="480" w:lineRule="auto"/>
        <w:ind w:firstLine="720"/>
      </w:pPr>
      <w:r>
        <w:t xml:space="preserve">That is why the disruption reading survives as a hypothesis rather than graduating to a claim. Survival matters: the model did not falsify the account, because nothing in the results contradicts an early-stage climb, and an early-stage climb is precisely the case in which recency leans positive while citations have not yet accumulated</w:t>
      </w:r>
      <w:r>
        <w:t xml:space="preserve"> </w:t>
      </w:r>
      <w:hyperlink w:anchor="ref-6">
        <w:r>
          <w:rPr>
            <w:rStyle w:val="Hyperlink"/>
          </w:rPr>
          <w:t xml:space="preserve">[6]</w:t>
        </w:r>
      </w:hyperlink>
      <w:r>
        <w:t xml:space="preserve">. But survival is not proof. An equally consistent account is that the venue sorting reflects nothing about disruption at all and merely records the fact that proceedings venues use denser topical keywording than journals do. The workbook cannot adjudicate between those two readings, and the chapter refuses to pretend it can</w:t>
      </w:r>
      <w:r>
        <w:t xml:space="preserve"> </w:t>
      </w:r>
      <w:hyperlink w:anchor="ref-11">
        <w:r>
          <w:rPr>
            <w:rStyle w:val="Hyperlink"/>
          </w:rPr>
          <w:t xml:space="preserve">[11]</w:t>
        </w:r>
      </w:hyperlink>
      <w:r>
        <w:t xml:space="preserve">.</w:t>
      </w:r>
    </w:p>
    <w:bookmarkEnd w:id="142"/>
    <w:bookmarkStart w:id="143" w:name="Xd8c31659ccda82d1533ce7b068e30a9872189e5"/>
    <w:p>
      <w:pPr>
        <w:pStyle w:val="Heading2"/>
        <w:spacing w:line="480" w:lineRule="auto"/>
      </w:pPr>
      <w:r>
        <w:t xml:space="preserve">7.3 The venue term deserves suspicion as well as respect</w:t>
      </w:r>
    </w:p>
    <w:p>
      <w:pPr>
        <w:pStyle w:val="FirstParagraph"/>
        <w:spacing w:line="480" w:lineRule="auto"/>
      </w:pPr>
      <w:r>
        <w:t xml:space="preserve">The venue coefficient is the study’s strongest result. That is exactly why it warrants the hardest scrutiny. A term that explains most of the cross-sectional variation could be capturing a real feature of how the topic diffuses, or it could be capturing an artifact of measurement. The topic-signal score is built from term hits across title, snippet, keyword, and author fields, and venue families differ systematically in how richly those fields are populated</w:t>
      </w:r>
      <w:r>
        <w:t xml:space="preserve"> </w:t>
      </w:r>
      <w:hyperlink w:anchor="ref-5">
        <w:r>
          <w:rPr>
            <w:rStyle w:val="Hyperlink"/>
          </w:rPr>
          <w:t xml:space="preserve">[5]</w:t>
        </w:r>
      </w:hyperlink>
      <w:r>
        <w:t xml:space="preserve">. Proceedings entries in this corpus tend to carry longer keyword lists; several journal entries carry sparse snippets; the economy-family records carry almost no snippet or keyword content at all.</w:t>
      </w:r>
    </w:p>
    <w:p>
      <w:pPr>
        <w:pStyle w:val="BodyText"/>
        <w:spacing w:line="480" w:lineRule="auto"/>
        <w:ind w:firstLine="720"/>
      </w:pPr>
      <w:r>
        <w:t xml:space="preserve">If venue family correlates with field richness, then part of the venue coefficient is measuring metadata density rather than topical engagement. This is not a fatal flaw, but it is a genuine confound, and it bounds how much weight the venue result can bear</w:t>
      </w:r>
      <w:r>
        <w:t xml:space="preserve"> </w:t>
      </w:r>
      <w:hyperlink w:anchor="ref-2">
        <w:r>
          <w:rPr>
            <w:rStyle w:val="Hyperlink"/>
          </w:rPr>
          <w:t xml:space="preserve">[2]</w:t>
        </w:r>
      </w:hyperlink>
      <w:r>
        <w:t xml:space="preserve">. The honest position is that the venue term establishes that the corpus is strongly sorted by publication family and that some unknown share of that sorting is substantive while some is a reporting artifact. A design that normalized topic signal by available field content would separate the two, and Chapter 8 names that as a priority.</w:t>
      </w:r>
    </w:p>
    <w:bookmarkEnd w:id="143"/>
    <w:bookmarkStart w:id="144" w:name="Xf894629e6ddbde963518d36840a3d8574616735"/>
    <w:p>
      <w:pPr>
        <w:pStyle w:val="Heading2"/>
        <w:spacing w:line="480" w:lineRule="auto"/>
      </w:pPr>
      <w:r>
        <w:t xml:space="preserve">7.4 The temporal null and what it does not license</w:t>
      </w:r>
    </w:p>
    <w:p>
      <w:pPr>
        <w:pStyle w:val="FirstParagraph"/>
        <w:spacing w:line="480" w:lineRule="auto"/>
      </w:pPr>
      <w:r>
        <w:t xml:space="preserve">Paper 2’s null is clean, and cleanliness can tempt overreading in the opposite direction. An R2 of 0.0104 and an age elasticity of -0.1926 at a p-value of 0.5076 mean the corpus provides no evidence of an age-based accumulation curve</w:t>
      </w:r>
      <w:r>
        <w:t xml:space="preserve"> </w:t>
      </w:r>
      <w:hyperlink w:anchor="ref-6">
        <w:r>
          <w:rPr>
            <w:rStyle w:val="Hyperlink"/>
          </w:rPr>
          <w:t xml:space="preserve">[6]</w:t>
        </w:r>
      </w:hyperlink>
      <w:r>
        <w:t xml:space="preserve">. It would be a mistake to convert that absence of evidence into a positive claim that the field has no accumulation dynamics. The corpus is too small and too skewed to detect a curve even if one existed.</w:t>
      </w:r>
    </w:p>
    <w:p>
      <w:pPr>
        <w:pStyle w:val="BodyText"/>
        <w:spacing w:line="480" w:lineRule="auto"/>
        <w:ind w:firstLine="720"/>
      </w:pPr>
      <w:r>
        <w:t xml:space="preserve">Two data features drive the null. Both limit what it can license. The citation distribution is dominated by a single 170-citation record, so the accumulation signal rides on one influential point rather than on a population of aging papers</w:t>
      </w:r>
      <w:r>
        <w:t xml:space="preserve"> </w:t>
      </w:r>
      <w:hyperlink w:anchor="ref-9">
        <w:r>
          <w:rPr>
            <w:rStyle w:val="Hyperlink"/>
          </w:rPr>
          <w:t xml:space="preserve">[9]</w:t>
        </w:r>
      </w:hyperlink>
      <w:r>
        <w:t xml:space="preserve">. And a large fraction of records report zero citations irrespective of age, including the year-clustered economy family whose age index is constant</w:t>
      </w:r>
      <w:r>
        <w:t xml:space="preserve"> </w:t>
      </w:r>
      <w:hyperlink w:anchor="ref-2">
        <w:r>
          <w:rPr>
            <w:rStyle w:val="Hyperlink"/>
          </w:rPr>
          <w:t xml:space="preserve">[2]</w:t>
        </w:r>
      </w:hyperlink>
      <w:r>
        <w:t xml:space="preserve">. With leverage concentrated in one point and a floor of zeros beneath everything else, the learning-curve model has almost nothing to fit. The null is therefore best read as detection failure, not as proof of a flat field, and the dissertation states that distinction rather than blurring it</w:t>
      </w:r>
      <w:r>
        <w:t xml:space="preserve"> </w:t>
      </w:r>
      <w:hyperlink w:anchor="ref-4">
        <w:r>
          <w:rPr>
            <w:rStyle w:val="Hyperlink"/>
          </w:rPr>
          <w:t xml:space="preserve">[4]</w:t>
        </w:r>
      </w:hyperlink>
      <w:r>
        <w:t xml:space="preserve">.</w:t>
      </w:r>
    </w:p>
    <w:bookmarkEnd w:id="144"/>
    <w:bookmarkStart w:id="145" w:name="threats-to-validity-catalogued-honestly"/>
    <w:p>
      <w:pPr>
        <w:pStyle w:val="Heading2"/>
        <w:spacing w:line="480" w:lineRule="auto"/>
      </w:pPr>
      <w:r>
        <w:t xml:space="preserve">7.5 Threats to validity, catalogued honestly</w:t>
      </w:r>
    </w:p>
    <w:p>
      <w:pPr>
        <w:pStyle w:val="FirstParagraph"/>
        <w:spacing w:line="480" w:lineRule="auto"/>
      </w:pPr>
      <w:r>
        <w:t xml:space="preserve">Four threats bound every claim in this study, and none of them is fully dissolved by the estimators. Source selection comes first. The corpus is the candidate-specific collection, not a random draw from all relevant literature, so any pattern it shows is conditional on what was retrieved</w:t>
      </w:r>
      <w:r>
        <w:t xml:space="preserve"> </w:t>
      </w:r>
      <w:hyperlink w:anchor="ref-3">
        <w:r>
          <w:rPr>
            <w:rStyle w:val="Hyperlink"/>
          </w:rPr>
          <w:t xml:space="preserve">[3]</w:t>
        </w:r>
      </w:hyperlink>
      <w:r>
        <w:t xml:space="preserve">. If the retrieval systematically favored proceedings venues, the venue result would partly reflect that favoritism rather than the field. The dissertation cannot rule this out; it can only insist the sample is auditable so the bias, if present, is inspectable.</w:t>
      </w:r>
    </w:p>
    <w:p>
      <w:pPr>
        <w:pStyle w:val="BodyText"/>
        <w:spacing w:line="480" w:lineRule="auto"/>
        <w:ind w:firstLine="720"/>
      </w:pPr>
      <w:r>
        <w:t xml:space="preserve">Proxy measurement is the second threat. Topic signal, venue score, and citation count are stand-ins, and each stands in imperfectly. The topic-signal count cannot distinguish a paper genuinely about the rideshare bus from one that merely uses the vocabulary</w:t>
      </w:r>
      <w:r>
        <w:t xml:space="preserve"> </w:t>
      </w:r>
      <w:hyperlink w:anchor="ref-5">
        <w:r>
          <w:rPr>
            <w:rStyle w:val="Hyperlink"/>
          </w:rPr>
          <w:t xml:space="preserve">[5]</w:t>
        </w:r>
      </w:hyperlink>
      <w:r>
        <w:t xml:space="preserve">. The venue score is ordinal and compresses real differences between publication cultures into three integers. The citation count is a local index measure, not a universal count, so a record uncited in this index may be well cited elsewhere</w:t>
      </w:r>
      <w:r>
        <w:t xml:space="preserve"> </w:t>
      </w:r>
      <w:hyperlink w:anchor="ref-8">
        <w:r>
          <w:rPr>
            <w:rStyle w:val="Hyperlink"/>
          </w:rPr>
          <w:t xml:space="preserve">[8]</w:t>
        </w:r>
      </w:hyperlink>
      <w:r>
        <w:t xml:space="preserve">. Every coefficient inherits the weakness of the proxy it runs on.</w:t>
      </w:r>
    </w:p>
    <w:p>
      <w:pPr>
        <w:pStyle w:val="BodyText"/>
        <w:spacing w:line="480" w:lineRule="auto"/>
        <w:ind w:firstLine="720"/>
      </w:pPr>
      <w:r>
        <w:t xml:space="preserve">Omitted variables are the third threat, and they set the ceiling on causal reach. A metadata model cannot include the technical, institutional, and market drivers that actually determine whether a technology disrupts</w:t>
      </w:r>
      <w:r>
        <w:t xml:space="preserve"> </w:t>
      </w:r>
      <w:hyperlink w:anchor="ref-11">
        <w:r>
          <w:rPr>
            <w:rStyle w:val="Hyperlink"/>
          </w:rPr>
          <w:t xml:space="preserve">[11]</w:t>
        </w:r>
      </w:hyperlink>
      <w:r>
        <w:t xml:space="preserve">. The recency slope might be confounded by a shift in publication practices; the venue term might be confounded by metadata density, as Section 7.3 argued. Overinterpretation is the fourth threat, and it is the one the prose itself must guard against. The defense throughout has been to keep every claim conditional on the workbook and to report nulls as nulls, and this chapter has tried to honor that defense even where a bolder reading was available</w:t>
      </w:r>
      <w:r>
        <w:t xml:space="preserve"> </w:t>
      </w:r>
      <w:hyperlink w:anchor="ref-6">
        <w:r>
          <w:rPr>
            <w:rStyle w:val="Hyperlink"/>
          </w:rPr>
          <w:t xml:space="preserve">[6]</w:t>
        </w:r>
      </w:hyperlink>
      <w:r>
        <w:t xml:space="preserve">.</w:t>
      </w:r>
    </w:p>
    <w:bookmarkEnd w:id="145"/>
    <w:bookmarkStart w:id="146" w:name="what-the-data-simply-cannot-show"/>
    <w:p>
      <w:pPr>
        <w:pStyle w:val="Heading2"/>
        <w:spacing w:line="480" w:lineRule="auto"/>
      </w:pPr>
      <w:r>
        <w:t xml:space="preserve">7.6 What the data simply cannot show</w:t>
      </w:r>
    </w:p>
    <w:p>
      <w:pPr>
        <w:pStyle w:val="FirstParagraph"/>
        <w:spacing w:line="480" w:lineRule="auto"/>
      </w:pPr>
      <w:r>
        <w:t xml:space="preserve">Some questions lie beyond this design entirely. Naming them is part of intellectual honesty. The data cannot show that the smallsat bus caused any market outcome; association in a corpus is not causation in an industry</w:t>
      </w:r>
      <w:r>
        <w:t xml:space="preserve"> </w:t>
      </w:r>
      <w:hyperlink w:anchor="ref-10">
        <w:r>
          <w:rPr>
            <w:rStyle w:val="Hyperlink"/>
          </w:rPr>
          <w:t xml:space="preserve">[10]</w:t>
        </w:r>
      </w:hyperlink>
      <w:r>
        <w:t xml:space="preserve">. It cannot show that the topic will continue to climb; a cross-sectional snapshot and a failed temporal curve say nothing certain about the future trajectory. It cannot show that the venue sorting reflects diffusion rather than reporting convention, because it lacks a content-normalized topic measure</w:t>
      </w:r>
      <w:r>
        <w:t xml:space="preserve"> </w:t>
      </w:r>
      <w:hyperlink w:anchor="ref-7">
        <w:r>
          <w:rPr>
            <w:rStyle w:val="Hyperlink"/>
          </w:rPr>
          <w:t xml:space="preserve">[7]</w:t>
        </w:r>
      </w:hyperlink>
      <w:r>
        <w:t xml:space="preserve">.</w:t>
      </w:r>
    </w:p>
    <w:p>
      <w:pPr>
        <w:pStyle w:val="BodyText"/>
        <w:spacing w:line="480" w:lineRule="auto"/>
        <w:ind w:firstLine="720"/>
      </w:pPr>
      <w:r>
        <w:t xml:space="preserve">The design also cannot speak to magnitude in the real economy. Nothing in thirty metadata records tells us how many operators the rideshare model actually served, how much launch cost actually fell, or whether incumbents actually lost segments</w:t>
      </w:r>
      <w:r>
        <w:t xml:space="preserve"> </w:t>
      </w:r>
      <w:hyperlink w:anchor="ref-9">
        <w:r>
          <w:rPr>
            <w:rStyle w:val="Hyperlink"/>
          </w:rPr>
          <w:t xml:space="preserve">[9]</w:t>
        </w:r>
      </w:hyperlink>
      <w:r>
        <w:t xml:space="preserve">. Those are the questions a full disruption study would answer, and they require document-level coding, market data, and a far larger sample. The dissertation’s contribution is to establish, cleanly, that the topic leaves a structured metadata trace worth that larger investment, and to mark precisely where the present evidence gives out</w:t>
      </w:r>
      <w:r>
        <w:t xml:space="preserve"> </w:t>
      </w:r>
      <w:hyperlink w:anchor="ref-5">
        <w:r>
          <w:rPr>
            <w:rStyle w:val="Hyperlink"/>
          </w:rPr>
          <w:t xml:space="preserve">[5]</w:t>
        </w:r>
      </w:hyperlink>
      <w:r>
        <w:t xml:space="preserve">.</w:t>
      </w:r>
    </w:p>
    <w:bookmarkEnd w:id="146"/>
    <w:bookmarkStart w:id="147" w:name="Xc9eca0a91a1dd97feb3990cbc65ecf3f202528a"/>
    <w:p>
      <w:pPr>
        <w:pStyle w:val="Heading2"/>
        <w:spacing w:line="480" w:lineRule="auto"/>
      </w:pPr>
      <w:r>
        <w:t xml:space="preserve">7.7 Weighing the two rival readings side by side</w:t>
      </w:r>
    </w:p>
    <w:p>
      <w:pPr>
        <w:pStyle w:val="FirstParagraph"/>
        <w:spacing w:line="480" w:lineRule="auto"/>
      </w:pPr>
      <w:r>
        <w:t xml:space="preserve">The chapter has named two accounts of the venue result, and intellectual honesty requires setting them against each other explicitly rather than leaving the reader to guess which the dissertation favors. The substantive account holds that the candidate theme concentrates in the proceedings venue because that is where a low-end disruption first registers, among the practitioners flying and tracking the technology, before it diffuses into archival journals</w:t>
      </w:r>
      <w:r>
        <w:t xml:space="preserve"> </w:t>
      </w:r>
      <w:hyperlink w:anchor="ref-7">
        <w:r>
          <w:rPr>
            <w:rStyle w:val="Hyperlink"/>
          </w:rPr>
          <w:t xml:space="preserve">[7]</w:t>
        </w:r>
      </w:hyperlink>
      <w:r>
        <w:t xml:space="preserve">. The artifactual account holds that the concentration reflects nothing about diffusion and merely records that proceedings entries in this corpus carry richer keyword and snippet fields, inflating their term-hit topic-signal scores</w:t>
      </w:r>
      <w:r>
        <w:t xml:space="preserve"> </w:t>
      </w:r>
      <w:hyperlink w:anchor="ref-5">
        <w:r>
          <w:rPr>
            <w:rStyle w:val="Hyperlink"/>
          </w:rPr>
          <w:t xml:space="preserve">[5]</w:t>
        </w:r>
      </w:hyperlink>
      <w:r>
        <w:t xml:space="preserve">.</w:t>
      </w:r>
    </w:p>
    <w:p>
      <w:pPr>
        <w:pStyle w:val="BodyText"/>
        <w:spacing w:line="480" w:lineRule="auto"/>
        <w:ind w:firstLine="720"/>
      </w:pPr>
      <w:r>
        <w:t xml:space="preserve">Neither account can be dismissed on the present evidence, and that symmetry is the finding. What can be said is that the two are not equally easy to break. The artifactual account makes a specific, testable prediction: normalize topic signal by available field content, and the venue coefficient should shrink toward insignificance</w:t>
      </w:r>
      <w:r>
        <w:t xml:space="preserve"> </w:t>
      </w:r>
      <w:hyperlink w:anchor="ref-2">
        <w:r>
          <w:rPr>
            <w:rStyle w:val="Hyperlink"/>
          </w:rPr>
          <w:t xml:space="preserve">[2]</w:t>
        </w:r>
      </w:hyperlink>
      <w:r>
        <w:t xml:space="preserve">. The substantive account predicts it should survive normalization. Because the dissertation cannot run that test on the current dataset, it reports both readings as live and identifies the normalization experiment as the decisive next step. That is a more useful conclusion than a forced verdict, because it hands the successor study a sharp, falsifiable question rather than an unsupported claim</w:t>
      </w:r>
      <w:r>
        <w:t xml:space="preserve"> </w:t>
      </w:r>
      <w:hyperlink w:anchor="ref-6">
        <w:r>
          <w:rPr>
            <w:rStyle w:val="Hyperlink"/>
          </w:rPr>
          <w:t xml:space="preserve">[6]</w:t>
        </w:r>
      </w:hyperlink>
      <w:r>
        <w:t xml:space="preserve">.</w:t>
      </w:r>
    </w:p>
    <w:bookmarkEnd w:id="147"/>
    <w:bookmarkStart w:id="148" w:name="X1f1092aa86db48656877c346481d5f71b9e7d0f"/>
    <w:p>
      <w:pPr>
        <w:pStyle w:val="Heading2"/>
        <w:spacing w:line="480" w:lineRule="auto"/>
      </w:pPr>
      <w:r>
        <w:t xml:space="preserve">7.8 The recency slope and the danger of motivated reading</w:t>
      </w:r>
    </w:p>
    <w:p>
      <w:pPr>
        <w:pStyle w:val="FirstParagraph"/>
        <w:spacing w:line="480" w:lineRule="auto"/>
      </w:pPr>
      <w:r>
        <w:t xml:space="preserve">The recency coefficient invites motivated reading, and this section guards against it. At 0.1134 with a p-value of 0.0719, the term leans exactly the way the disruption framework predicts, and a researcher invested in the disruption story would be tempted to wave away the failure to reach five-percent significance as a small-sample technicality</w:t>
      </w:r>
      <w:r>
        <w:t xml:space="preserve"> </w:t>
      </w:r>
      <w:hyperlink w:anchor="ref-9">
        <w:r>
          <w:rPr>
            <w:rStyle w:val="Hyperlink"/>
          </w:rPr>
          <w:t xml:space="preserve">[9]</w:t>
        </w:r>
      </w:hyperlink>
      <w:r>
        <w:t xml:space="preserve">. The dissertation resists that temptation on principle. A p-value of 0.0719 means that, under the null of no relationship, a slope this large or larger would arise by chance roughly seven times in a hundred, which is not rare enough to license the claim that the relationship is real.</w:t>
      </w:r>
    </w:p>
    <w:p>
      <w:pPr>
        <w:pStyle w:val="BodyText"/>
        <w:spacing w:line="480" w:lineRule="auto"/>
        <w:ind w:firstLine="720"/>
      </w:pPr>
      <w:r>
        <w:t xml:space="preserve">The disciplined position treats the recency slope as a promising lead, not a finding. Its magnitude is substantial enough to matter and its sign is correct, so it earns a place at the top of the future-work agenda; its imprecision means it earns nothing more than that in the present study</w:t>
      </w:r>
      <w:r>
        <w:t xml:space="preserve"> </w:t>
      </w:r>
      <w:hyperlink w:anchor="ref-6">
        <w:r>
          <w:rPr>
            <w:rStyle w:val="Hyperlink"/>
          </w:rPr>
          <w:t xml:space="preserve">[6]</w:t>
        </w:r>
      </w:hyperlink>
      <w:r>
        <w:t xml:space="preserve">. Holding that line matters beyond this one coefficient, because a design that relaxed its evidentiary standard whenever a term pointed the convenient way would forfeit the falsifiability that is the whole point of the exercise. The recency slope is where the dissertation’s discipline is most tested, and reporting it as suggestive-but-unresolved is the test being passed</w:t>
      </w:r>
      <w:r>
        <w:t xml:space="preserve"> </w:t>
      </w:r>
      <w:hyperlink w:anchor="ref-11">
        <w:r>
          <w:rPr>
            <w:rStyle w:val="Hyperlink"/>
          </w:rPr>
          <w:t xml:space="preserve">[11]</w:t>
        </w:r>
      </w:hyperlink>
      <w:r>
        <w:t xml:space="preserve">.</w:t>
      </w:r>
    </w:p>
    <w:bookmarkEnd w:id="148"/>
    <w:bookmarkStart w:id="149" w:name="what-generalizes-and-what-does-not"/>
    <w:p>
      <w:pPr>
        <w:pStyle w:val="Heading2"/>
        <w:spacing w:line="480" w:lineRule="auto"/>
      </w:pPr>
      <w:r>
        <w:t xml:space="preserve">7.9 What generalizes and what does not</w:t>
      </w:r>
    </w:p>
    <w:p>
      <w:pPr>
        <w:pStyle w:val="FirstParagraph"/>
        <w:spacing w:line="480" w:lineRule="auto"/>
      </w:pPr>
      <w:r>
        <w:t xml:space="preserve">A final limitation concerns the reach of the conclusions beyond this corpus. The associations reported here are properties of the candidate-specific collection, and the study makes no claim that they would replicate on a differently assembled corpus</w:t>
      </w:r>
      <w:r>
        <w:t xml:space="preserve"> </w:t>
      </w:r>
      <w:hyperlink w:anchor="ref-3">
        <w:r>
          <w:rPr>
            <w:rStyle w:val="Hyperlink"/>
          </w:rPr>
          <w:t xml:space="preserve">[3]</w:t>
        </w:r>
      </w:hyperlink>
      <w:r>
        <w:t xml:space="preserve">. A retrieval that drew more heavily on journal databases, or that reached into policy archives the present pack samples only lightly, could shift the venue distribution and with it the dominant coefficient</w:t>
      </w:r>
      <w:r>
        <w:t xml:space="preserve"> </w:t>
      </w:r>
      <w:hyperlink w:anchor="ref-8">
        <w:r>
          <w:rPr>
            <w:rStyle w:val="Hyperlink"/>
          </w:rPr>
          <w:t xml:space="preserve">[8]</w:t>
        </w:r>
      </w:hyperlink>
      <w:r>
        <w:t xml:space="preserve">. The dissertation’s findings generalize to the procedure that produced them, not automatically to the underlying field.</w:t>
      </w:r>
    </w:p>
    <w:p>
      <w:pPr>
        <w:pStyle w:val="BodyText"/>
        <w:spacing w:line="480" w:lineRule="auto"/>
        <w:ind w:firstLine="720"/>
      </w:pPr>
      <w:r>
        <w:t xml:space="preserve">What does generalize is the method and its posture. The two-model architecture, the deterministic variable construction, the robust inference, and the insistence on auditability are portable to any candidate topic and any assembled corpus</w:t>
      </w:r>
      <w:r>
        <w:t xml:space="preserve"> </w:t>
      </w:r>
      <w:hyperlink w:anchor="ref-1">
        <w:r>
          <w:rPr>
            <w:rStyle w:val="Hyperlink"/>
          </w:rPr>
          <w:t xml:space="preserve">[1]</w:t>
        </w:r>
      </w:hyperlink>
      <w:r>
        <w:t xml:space="preserve">. A successor could run the identical procedure on a smallsat corpus ten times this size and read the results against these as a baseline. The specific coefficients are local; the way of getting them, and the discipline of reporting nulls as nulls and leads as leads, is the transferable contribution</w:t>
      </w:r>
      <w:r>
        <w:t xml:space="preserve"> </w:t>
      </w:r>
      <w:hyperlink w:anchor="ref-4">
        <w:r>
          <w:rPr>
            <w:rStyle w:val="Hyperlink"/>
          </w:rPr>
          <w:t xml:space="preserve">[4]</w:t>
        </w:r>
      </w:hyperlink>
      <w:r>
        <w:t xml:space="preserve">.</w:t>
      </w:r>
    </w:p>
    <w:bookmarkEnd w:id="149"/>
    <w:bookmarkStart w:id="150" w:name="X40745cfe4e1dc1c8c5b979f314a7ffaf9053878"/>
    <w:p>
      <w:pPr>
        <w:pStyle w:val="Heading2"/>
        <w:spacing w:line="480" w:lineRule="auto"/>
      </w:pPr>
      <w:r>
        <w:t xml:space="preserve">7.10 The consequence of a small sample for every claim</w:t>
      </w:r>
    </w:p>
    <w:p>
      <w:pPr>
        <w:pStyle w:val="FirstParagraph"/>
        <w:spacing w:line="480" w:lineRule="auto"/>
      </w:pPr>
      <w:r>
        <w:t xml:space="preserve">The thirty-record sample deserves one consolidated treatment, because its size touches every result differently and a reader should understand the pattern. For the venue term, the small sample is not a serious threat: the effect is large and estimated at 6.71e-07, and an association that strong does not owe its significance to sample size</w:t>
      </w:r>
      <w:r>
        <w:t xml:space="preserve"> </w:t>
      </w:r>
      <w:hyperlink w:anchor="ref-8">
        <w:r>
          <w:rPr>
            <w:rStyle w:val="Hyperlink"/>
          </w:rPr>
          <w:t xml:space="preserve">[8]</w:t>
        </w:r>
      </w:hyperlink>
      <w:r>
        <w:t xml:space="preserve">. Small samples endanger small effects, not dominant ones, so the headline finding is the finding least vulnerable to the sample’s limits.</w:t>
      </w:r>
    </w:p>
    <w:p>
      <w:pPr>
        <w:pStyle w:val="BodyText"/>
        <w:spacing w:line="480" w:lineRule="auto"/>
        <w:ind w:firstLine="720"/>
      </w:pPr>
      <w:r>
        <w:t xml:space="preserve">For the recency term, the small sample is decisive in a frustrating way. A slope of 0.1134 at a p-value of 0.0719 is exactly the kind of result that a larger sample might push across the significance threshold or might expose as noise</w:t>
      </w:r>
      <w:r>
        <w:t xml:space="preserve"> </w:t>
      </w:r>
      <w:hyperlink w:anchor="ref-9">
        <w:r>
          <w:rPr>
            <w:rStyle w:val="Hyperlink"/>
          </w:rPr>
          <w:t xml:space="preserve">[9]</w:t>
        </w:r>
      </w:hyperlink>
      <w:r>
        <w:t xml:space="preserve">. Thirty records cannot tell which, and so the sample size is the direct cause of the term’s unresolved status. For the temporal model, the small sample compounds with the skewed citation distribution to make the learning curve essentially unfittable; with citation signal riding on a single high-value record and a floor of zeros, no plausible sample of this size could resolve an age elasticity</w:t>
      </w:r>
      <w:r>
        <w:t xml:space="preserve"> </w:t>
      </w:r>
      <w:hyperlink w:anchor="ref-6">
        <w:r>
          <w:rPr>
            <w:rStyle w:val="Hyperlink"/>
          </w:rPr>
          <w:t xml:space="preserve">[6]</w:t>
        </w:r>
      </w:hyperlink>
      <w:r>
        <w:t xml:space="preserve">. The dissertation’s uniform response to all three cases is to report the effect, report its precision, and let the sample-size limitation speak for itself rather than hiding behind it or apologizing for it</w:t>
      </w:r>
      <w:r>
        <w:t xml:space="preserve"> </w:t>
      </w:r>
      <w:hyperlink w:anchor="ref-5">
        <w:r>
          <w:rPr>
            <w:rStyle w:val="Hyperlink"/>
          </w:rPr>
          <w:t xml:space="preserve">[5]</w:t>
        </w:r>
      </w:hyperlink>
      <w:r>
        <w:t xml:space="preserve">.</w:t>
      </w:r>
    </w:p>
    <w:bookmarkEnd w:id="150"/>
    <w:bookmarkStart w:id="151" w:name="X8a05257f344bfd53c70d91a964aebabccb361de"/>
    <w:p>
      <w:pPr>
        <w:pStyle w:val="Heading2"/>
        <w:spacing w:line="480" w:lineRule="auto"/>
      </w:pPr>
      <w:r>
        <w:t xml:space="preserve">7.11 The disruption verdict as a conditional statement</w:t>
      </w:r>
    </w:p>
    <w:p>
      <w:pPr>
        <w:pStyle w:val="FirstParagraph"/>
        <w:spacing w:line="480" w:lineRule="auto"/>
      </w:pPr>
      <w:r>
        <w:t xml:space="preserve">Everything the discussion has established can be compressed into a single conditional, and stating it that way disciplines the conclusion. Conditional on the candidate-specific corpus, conditional on the topic-signal measure counting vocabulary rather than argument, and conditional on the venue score not being fully confounded by metadata density, the evidence is consistent with an early-stage low-end disruption: present, structured by practitioner venue, leaning toward recency, without a settled attention history</w:t>
      </w:r>
      <w:r>
        <w:t xml:space="preserve"> </w:t>
      </w:r>
      <w:hyperlink w:anchor="ref-7">
        <w:r>
          <w:rPr>
            <w:rStyle w:val="Hyperlink"/>
          </w:rPr>
          <w:t xml:space="preserve">[7]</w:t>
        </w:r>
      </w:hyperlink>
      <w:r>
        <w:t xml:space="preserve">. Every clause in that conditional is load-bearing, and dropping any of them would overstate the result.</w:t>
      </w:r>
    </w:p>
    <w:p>
      <w:pPr>
        <w:pStyle w:val="BodyText"/>
        <w:spacing w:line="480" w:lineRule="auto"/>
        <w:ind w:firstLine="720"/>
      </w:pPr>
      <w:r>
        <w:t xml:space="preserve">The honest verdict, then, is not that the smallsat bus is a disruptor, nor that it is not, but that the documentary evidence does not refute the disruption reading and organizes itself in a way loosely consistent with it</w:t>
      </w:r>
      <w:r>
        <w:t xml:space="preserve"> </w:t>
      </w:r>
      <w:hyperlink w:anchor="ref-11">
        <w:r>
          <w:rPr>
            <w:rStyle w:val="Hyperlink"/>
          </w:rPr>
          <w:t xml:space="preserve">[11]</w:t>
        </w:r>
      </w:hyperlink>
      <w:r>
        <w:t xml:space="preserve">. That is a genuine finding for a design-stage study, because it converts a fashionable assertion into a hypothesis that has survived a real test and acquired a specific research agenda. A reader looking for a verdict will find a well-specified conditional instead, and the dissertation regards that as the more truthful deliverable</w:t>
      </w:r>
      <w:r>
        <w:t xml:space="preserve"> </w:t>
      </w:r>
      <w:hyperlink w:anchor="ref-4">
        <w:r>
          <w:rPr>
            <w:rStyle w:val="Hyperlink"/>
          </w:rPr>
          <w:t xml:space="preserve">[4]</w:t>
        </w:r>
      </w:hyperlink>
      <w:r>
        <w:t xml:space="preserve">.</w:t>
      </w:r>
    </w:p>
    <w:bookmarkEnd w:id="151"/>
    <w:bookmarkStart w:id="152" w:name="the-cost-of-the-discipline"/>
    <w:p>
      <w:pPr>
        <w:pStyle w:val="Heading2"/>
        <w:spacing w:line="480" w:lineRule="auto"/>
      </w:pPr>
      <w:r>
        <w:t xml:space="preserve">7.12 The cost of the discipline</w:t>
      </w:r>
    </w:p>
    <w:p>
      <w:pPr>
        <w:pStyle w:val="FirstParagraph"/>
        <w:spacing w:line="480" w:lineRule="auto"/>
      </w:pPr>
      <w:r>
        <w:t xml:space="preserve">There is a price to the restraint this chapter has practiced, and acknowledging it is the last act of honesty the discussion owes. A more assertive dissertation would have delivered a cleaner story, a confident declaration that the rideshare bus is disrupting orbit, backed by the venue result and the correctly signed recency slope</w:t>
      </w:r>
      <w:r>
        <w:t xml:space="preserve"> </w:t>
      </w:r>
      <w:hyperlink w:anchor="ref-9">
        <w:r>
          <w:rPr>
            <w:rStyle w:val="Hyperlink"/>
          </w:rPr>
          <w:t xml:space="preserve">[9]</w:t>
        </w:r>
      </w:hyperlink>
      <w:r>
        <w:t xml:space="preserve">. That story would satisfy a reader hungry for a conclusion, and it would travel further in conversation than a well-specified conditional ever will. The discipline that keeps this study from telling that story costs it rhetorical force.</w:t>
      </w:r>
    </w:p>
    <w:p>
      <w:pPr>
        <w:pStyle w:val="BodyText"/>
        <w:spacing w:line="480" w:lineRule="auto"/>
        <w:ind w:firstLine="720"/>
      </w:pPr>
      <w:r>
        <w:t xml:space="preserve">What the discipline buys in return is durability. A confident claim built on a confounded coefficient and an unresolved slope would be vulnerable to the first reviewer who normalized the topic measure or enlarged the sample</w:t>
      </w:r>
      <w:r>
        <w:t xml:space="preserve"> </w:t>
      </w:r>
      <w:hyperlink w:anchor="ref-5">
        <w:r>
          <w:rPr>
            <w:rStyle w:val="Hyperlink"/>
          </w:rPr>
          <w:t xml:space="preserve">[5]</w:t>
        </w:r>
      </w:hyperlink>
      <w:r>
        <w:t xml:space="preserve">. The conditional verdict, by contrast, has already priced in those vulnerabilities and will not be embarrassed by them. The trade is force for durability, and for a document meant to serve a cumulative research program rather than a single argument, durability is the better purchase</w:t>
      </w:r>
      <w:r>
        <w:t xml:space="preserve"> </w:t>
      </w:r>
      <w:hyperlink w:anchor="ref-1">
        <w:r>
          <w:rPr>
            <w:rStyle w:val="Hyperlink"/>
          </w:rPr>
          <w:t xml:space="preserve">[1]</w:t>
        </w:r>
      </w:hyperlink>
      <w:r>
        <w:t xml:space="preserve">. The chapter has spent its length making the cautious reading rigorous rather than the confident reading exciting, and that allocation of effort is the study’s considered judgment about where its value lies. Chapter 8 now turns that boundary into a forward agenda and states what the study finally contributes.</w:t>
      </w:r>
    </w:p>
    <w:bookmarkEnd w:id="152"/>
    <w:bookmarkEnd w:id="153"/>
    <w:bookmarkStart w:id="195" w:name="chapter-8.-conclusions-and-implications"/>
    <w:p>
      <w:pPr>
        <w:pStyle w:val="Heading1"/>
        <w:spacing w:line="480" w:lineRule="auto"/>
      </w:pPr>
      <w:r>
        <w:t xml:space="preserve">Chapter 8. Conclusions and Implications</w:t>
      </w:r>
    </w:p>
    <w:bookmarkStart w:id="154" w:name="the-contribution-stated-plainly"/>
    <w:p>
      <w:pPr>
        <w:pStyle w:val="Heading2"/>
        <w:spacing w:line="480" w:lineRule="auto"/>
      </w:pPr>
      <w:r>
        <w:t xml:space="preserve">8.1 The contribution, stated plainly</w:t>
      </w:r>
    </w:p>
    <w:p>
      <w:pPr>
        <w:pStyle w:val="FirstParagraph"/>
        <w:spacing w:line="480" w:lineRule="auto"/>
      </w:pPr>
      <w:r>
        <w:t xml:space="preserve">This dissertation set out to test one falsifiable proposition: that the candidate topic, the smallsat and rideshare bus considered as a possible Christensen low-end disruptor, leaves a measurable, structured trace in the metadata of the literature that discusses it. The test came back split. Split, but interpretable. Paper 1 rejected its null with an F p-value of 0.000372 and an R2 of 0.4218, establishing that topic signal is systematically organized across the corpus, principally by venue family</w:t>
      </w:r>
      <w:r>
        <w:t xml:space="preserve"> </w:t>
      </w:r>
      <w:hyperlink w:anchor="ref-8">
        <w:r>
          <w:rPr>
            <w:rStyle w:val="Hyperlink"/>
          </w:rPr>
          <w:t xml:space="preserve">[8]</w:t>
        </w:r>
      </w:hyperlink>
      <w:r>
        <w:t xml:space="preserve">. Paper 2 failed to reject its null, returning an age elasticity of -0.1926 at a p-value of 0.5076 and an R2 of 0.0104, finding no resolved age-based accumulation curve</w:t>
      </w:r>
      <w:r>
        <w:t xml:space="preserve"> </w:t>
      </w:r>
      <w:hyperlink w:anchor="ref-6">
        <w:r>
          <w:rPr>
            <w:rStyle w:val="Hyperlink"/>
          </w:rPr>
          <w:t xml:space="preserve">[6]</w:t>
        </w:r>
      </w:hyperlink>
      <w:r>
        <w:t xml:space="preserve">.</w:t>
      </w:r>
    </w:p>
    <w:p>
      <w:pPr>
        <w:pStyle w:val="BodyText"/>
        <w:spacing w:line="480" w:lineRule="auto"/>
        <w:ind w:firstLine="720"/>
      </w:pPr>
      <w:r>
        <w:t xml:space="preserve">The contribution is not a proof that the rideshare bus is a disruptor. It is narrower than that. It is also more durable. The study demonstrates, on a fully auditable corpus, that the disruption topic is real and structured in the present-day record, that its structure runs through publication community rather than through time or raw citation attention, and that its short documentary history is too skewed to trace a stable attention curve</w:t>
      </w:r>
      <w:r>
        <w:t xml:space="preserve"> </w:t>
      </w:r>
      <w:hyperlink w:anchor="ref-2">
        <w:r>
          <w:rPr>
            <w:rStyle w:val="Hyperlink"/>
          </w:rPr>
          <w:t xml:space="preserve">[2]</w:t>
        </w:r>
      </w:hyperlink>
      <w:r>
        <w:t xml:space="preserve">. That is a bounded, replicable finding, and its value lies in how precisely it marks the frontier between what the metadata can support and what it cannot.</w:t>
      </w:r>
    </w:p>
    <w:bookmarkEnd w:id="154"/>
    <w:bookmarkStart w:id="155" w:name="why-a-modest-finding-is-worth-having"/>
    <w:p>
      <w:pPr>
        <w:pStyle w:val="Heading2"/>
        <w:spacing w:line="480" w:lineRule="auto"/>
      </w:pPr>
      <w:r>
        <w:t xml:space="preserve">8.2 Why a modest finding is worth having</w:t>
      </w:r>
    </w:p>
    <w:p>
      <w:pPr>
        <w:pStyle w:val="FirstParagraph"/>
        <w:spacing w:line="480" w:lineRule="auto"/>
      </w:pPr>
      <w:r>
        <w:t xml:space="preserve">Doctoral work is often judged by the size of its claim. This study deliberately makes a small one. Small, but checkable. The defense of that choice is methodological. A field crowded with confident narratives about disruption benefits from at least one account that refuses to assert more than a workbook can establish</w:t>
      </w:r>
      <w:r>
        <w:t xml:space="preserve"> </w:t>
      </w:r>
      <w:hyperlink w:anchor="ref-11">
        <w:r>
          <w:rPr>
            <w:rStyle w:val="Hyperlink"/>
          </w:rPr>
          <w:t xml:space="preserve">[11]</w:t>
        </w:r>
      </w:hyperlink>
      <w:r>
        <w:t xml:space="preserve">. By reporting a suggestive-but-unresolved recency slope, a flat citation term, a dominant venue term, and a clean temporal null, the dissertation gives the next researcher a map of exactly where the evidence is firm and where it is soft</w:t>
      </w:r>
      <w:r>
        <w:t xml:space="preserve"> </w:t>
      </w:r>
      <w:hyperlink w:anchor="ref-5">
        <w:r>
          <w:rPr>
            <w:rStyle w:val="Hyperlink"/>
          </w:rPr>
          <w:t xml:space="preserve">[5]</w:t>
        </w:r>
      </w:hyperlink>
      <w:r>
        <w:t xml:space="preserve">.</w:t>
      </w:r>
    </w:p>
    <w:p>
      <w:pPr>
        <w:pStyle w:val="BodyText"/>
        <w:spacing w:line="480" w:lineRule="auto"/>
        <w:ind w:firstLine="720"/>
      </w:pPr>
      <w:r>
        <w:t xml:space="preserve">The auditability is the second reason the modesty pays. Every coefficient in this document can be reproduced from an embedded workbook, and every row of the dataset can be traced to its source</w:t>
      </w:r>
      <w:r>
        <w:t xml:space="preserve"> </w:t>
      </w:r>
      <w:hyperlink w:anchor="ref-1">
        <w:r>
          <w:rPr>
            <w:rStyle w:val="Hyperlink"/>
          </w:rPr>
          <w:t xml:space="preserve">[1]</w:t>
        </w:r>
      </w:hyperlink>
      <w:r>
        <w:t xml:space="preserve">. That means the findings are not merely plausible; they are checkable, and a checkable modest claim is worth more to a cumulative research program than an impressive claim that cannot be verified. The study’s smallness and its transparency are the same design decision viewed from two angles.</w:t>
      </w:r>
    </w:p>
    <w:bookmarkEnd w:id="155"/>
    <w:bookmarkStart w:id="156" w:name="governance-relevance"/>
    <w:p>
      <w:pPr>
        <w:pStyle w:val="Heading2"/>
        <w:spacing w:line="480" w:lineRule="auto"/>
      </w:pPr>
      <w:r>
        <w:t xml:space="preserve">8.3 Governance relevance</w:t>
      </w:r>
    </w:p>
    <w:p>
      <w:pPr>
        <w:pStyle w:val="FirstParagraph"/>
        <w:spacing w:line="480" w:lineRule="auto"/>
      </w:pPr>
      <w:r>
        <w:t xml:space="preserve">The results speak to governance even though they do not settle policy. The venue result concentrates the candidate theme in the operational proceedings literature, the venue where tracking, multi-payload deployment, and payload integration are actually worked out</w:t>
      </w:r>
      <w:r>
        <w:t xml:space="preserve"> </w:t>
      </w:r>
      <w:hyperlink w:anchor="ref-7">
        <w:r>
          <w:rPr>
            <w:rStyle w:val="Hyperlink"/>
          </w:rPr>
          <w:t xml:space="preserve">[7]</w:t>
        </w:r>
      </w:hyperlink>
      <w:r>
        <w:t xml:space="preserve">. That concentration is a signal to the institutions that manage orbital traffic and licensing: the practitioners closest to the technology are engaging it densely, ahead of the archival and policy literatures that usually inform rulemaking</w:t>
      </w:r>
      <w:r>
        <w:t xml:space="preserve"> </w:t>
      </w:r>
      <w:hyperlink w:anchor="ref-8">
        <w:r>
          <w:rPr>
            <w:rStyle w:val="Hyperlink"/>
          </w:rPr>
          <w:t xml:space="preserve">[8]</w:t>
        </w:r>
      </w:hyperlink>
      <w:r>
        <w:t xml:space="preserve">. A governance apparatus that waits for the journal and policy literatures to catch up will be reacting late to a technology its own operators are already writing about.</w:t>
      </w:r>
    </w:p>
    <w:p>
      <w:pPr>
        <w:pStyle w:val="BodyText"/>
        <w:spacing w:line="480" w:lineRule="auto"/>
        <w:ind w:firstLine="720"/>
      </w:pPr>
      <w:r>
        <w:t xml:space="preserve">The temporal null carries a governance lesson of its own. Because attention in this corpus has not settled into a stable accumulation curve, the field is still early and still churning, which is the phase in which governance choices are most consequential and most reversible</w:t>
      </w:r>
      <w:r>
        <w:t xml:space="preserve"> </w:t>
      </w:r>
      <w:hyperlink w:anchor="ref-4">
        <w:r>
          <w:rPr>
            <w:rStyle w:val="Hyperlink"/>
          </w:rPr>
          <w:t xml:space="preserve">[4]</w:t>
        </w:r>
      </w:hyperlink>
      <w:r>
        <w:t xml:space="preserve">. The multi-payload deployment pattern that stresses catalogs and raises conjunction frequency is precisely the externality that early, adaptable rulemaking could shape before it hardens into a crowded, unmanaged orbit</w:t>
      </w:r>
      <w:r>
        <w:t xml:space="preserve"> </w:t>
      </w:r>
      <w:hyperlink w:anchor="ref-9">
        <w:r>
          <w:rPr>
            <w:rStyle w:val="Hyperlink"/>
          </w:rPr>
          <w:t xml:space="preserve">[9]</w:t>
        </w:r>
      </w:hyperlink>
      <w:r>
        <w:t xml:space="preserve">. The dissertation does not prescribe a rule; it locates, in evidence, the window in which a rule would do the most good.</w:t>
      </w:r>
    </w:p>
    <w:bookmarkEnd w:id="156"/>
    <w:bookmarkStart w:id="157" w:name="program-relevance"/>
    <w:p>
      <w:pPr>
        <w:pStyle w:val="Heading2"/>
        <w:spacing w:line="480" w:lineRule="auto"/>
      </w:pPr>
      <w:r>
        <w:t xml:space="preserve">8.4 Program relevance</w:t>
      </w:r>
    </w:p>
    <w:p>
      <w:pPr>
        <w:pStyle w:val="FirstParagraph"/>
        <w:spacing w:line="480" w:lineRule="auto"/>
      </w:pPr>
      <w:r>
        <w:t xml:space="preserve">For agencies and primes deciding where to place capital, the study offers a calibrated signal rather than a recommendation. The finding that the smallsat topic is densely engaged in operational venues, with a recency slope that leans positive, is consistent with a technology climbing from below, and staged-deployment analyses in the literature already show why an optionality-preserving investment posture dominates full up-front commitment under exactly this kind of uncertainty</w:t>
      </w:r>
      <w:r>
        <w:t xml:space="preserve"> </w:t>
      </w:r>
      <w:hyperlink w:anchor="ref-9">
        <w:r>
          <w:rPr>
            <w:rStyle w:val="Hyperlink"/>
          </w:rPr>
          <w:t xml:space="preserve">[9]</w:t>
        </w:r>
      </w:hyperlink>
      <w:r>
        <w:t xml:space="preserve">. A program office reading this study should treat the small-platform trajectory as a live disruptive possibility worth hedged investment, not as a settled niche.</w:t>
      </w:r>
    </w:p>
    <w:p>
      <w:pPr>
        <w:pStyle w:val="BodyText"/>
        <w:spacing w:line="480" w:lineRule="auto"/>
        <w:ind w:firstLine="720"/>
      </w:pPr>
      <w:r>
        <w:t xml:space="preserve">The caution attached to that signal is equally programmatic. The disruption reading survives but is not proven, and the venue term that carries most of the evidence is partly confounded by metadata density</w:t>
      </w:r>
      <w:r>
        <w:t xml:space="preserve"> </w:t>
      </w:r>
      <w:hyperlink w:anchor="ref-5">
        <w:r>
          <w:rPr>
            <w:rStyle w:val="Hyperlink"/>
          </w:rPr>
          <w:t xml:space="preserve">[5]</w:t>
        </w:r>
      </w:hyperlink>
      <w:r>
        <w:t xml:space="preserve">. A program that bet heavily on the strong reading of a single confounded coefficient would be overreaching, and the dissertation’s insistence on that caveat is itself the program-relevant point: the evidence supports attention and hedging, not conviction</w:t>
      </w:r>
      <w:r>
        <w:t xml:space="preserve"> </w:t>
      </w:r>
      <w:hyperlink w:anchor="ref-10">
        <w:r>
          <w:rPr>
            <w:rStyle w:val="Hyperlink"/>
          </w:rPr>
          <w:t xml:space="preserve">[10]</w:t>
        </w:r>
      </w:hyperlink>
      <w:r>
        <w:t xml:space="preserve">.</w:t>
      </w:r>
    </w:p>
    <w:bookmarkEnd w:id="157"/>
    <w:bookmarkStart w:id="158" w:name="future-work"/>
    <w:p>
      <w:pPr>
        <w:pStyle w:val="Heading2"/>
        <w:spacing w:line="480" w:lineRule="auto"/>
      </w:pPr>
      <w:r>
        <w:t xml:space="preserve">8.5 Future work</w:t>
      </w:r>
    </w:p>
    <w:p>
      <w:pPr>
        <w:pStyle w:val="FirstParagraph"/>
        <w:spacing w:line="480" w:lineRule="auto"/>
      </w:pPr>
      <w:r>
        <w:t xml:space="preserve">The study’s limits define its forward agenda with unusual precision. The first priority is a content-normalized topic measure that separates genuine topical engagement from metadata density, which would resolve the central ambiguity in the venue result identified in Chapter 7</w:t>
      </w:r>
      <w:r>
        <w:t xml:space="preserve"> </w:t>
      </w:r>
      <w:hyperlink w:anchor="ref-2">
        <w:r>
          <w:rPr>
            <w:rStyle w:val="Hyperlink"/>
          </w:rPr>
          <w:t xml:space="preserve">[2]</w:t>
        </w:r>
      </w:hyperlink>
      <w:r>
        <w:t xml:space="preserve">. Building that measure would let a successor test whether the venue sorting reflects diffusion or reporting convention, the single most important unanswered question the present design leaves open.</w:t>
      </w:r>
    </w:p>
    <w:p>
      <w:pPr>
        <w:pStyle w:val="BodyText"/>
        <w:spacing w:line="480" w:lineRule="auto"/>
        <w:ind w:firstLine="720"/>
      </w:pPr>
      <w:r>
        <w:t xml:space="preserve">The second priority is scale. Thirty auditable records were enough to establish structure and to detect the absence of a temporal curve, but they were not enough to resolve the recency slope that sits at a p-value of 0.0719 or to fit a learning curve against a citation distribution dominated by one record</w:t>
      </w:r>
      <w:r>
        <w:t xml:space="preserve"> </w:t>
      </w:r>
      <w:hyperlink w:anchor="ref-6">
        <w:r>
          <w:rPr>
            <w:rStyle w:val="Hyperlink"/>
          </w:rPr>
          <w:t xml:space="preserve">[6]</w:t>
        </w:r>
      </w:hyperlink>
      <w:r>
        <w:t xml:space="preserve">. A larger corpus, drawn with a documented and less venue-biased retrieval rule, would sharpen the recency term and give the temporal model something to fit</w:t>
      </w:r>
      <w:r>
        <w:t xml:space="preserve"> </w:t>
      </w:r>
      <w:hyperlink w:anchor="ref-7">
        <w:r>
          <w:rPr>
            <w:rStyle w:val="Hyperlink"/>
          </w:rPr>
          <w:t xml:space="preserve">[7]</w:t>
        </w:r>
      </w:hyperlink>
      <w:r>
        <w:t xml:space="preserve">. The third priority is document-level coding: reading each source for whether it treats the small bus as an entrant below the incumbent frontier, as the framework requires, rather than inferring engagement from term counts</w:t>
      </w:r>
      <w:r>
        <w:t xml:space="preserve"> </w:t>
      </w:r>
      <w:hyperlink w:anchor="ref-13">
        <w:r>
          <w:rPr>
            <w:rStyle w:val="Hyperlink"/>
          </w:rPr>
          <w:t xml:space="preserve">[13]</w:t>
        </w:r>
      </w:hyperlink>
      <w:r>
        <w:t xml:space="preserve">. Together these three steps would carry the inquiry from a metadata screen to a genuine test of the disruption mechanism.</w:t>
      </w:r>
    </w:p>
    <w:p>
      <w:pPr>
        <w:pStyle w:val="BodyText"/>
        <w:spacing w:line="480" w:lineRule="auto"/>
        <w:ind w:firstLine="720"/>
      </w:pPr>
      <w:r>
        <w:t xml:space="preserve">A fourth priority sits outside the documentary record entirely, and the study names it to mark the full arc a mature research program would travel. The disruption mechanism ultimately makes claims about markets: about operator counts, price trajectories, and segments won or lost from incumbents</w:t>
      </w:r>
      <w:r>
        <w:t xml:space="preserve"> </w:t>
      </w:r>
      <w:hyperlink w:anchor="ref-11">
        <w:r>
          <w:rPr>
            <w:rStyle w:val="Hyperlink"/>
          </w:rPr>
          <w:t xml:space="preserve">[11]</w:t>
        </w:r>
      </w:hyperlink>
      <w:r>
        <w:t xml:space="preserve">. No corpus screen can reach those claims, and a complete test would eventually need launch-manifest data, pricing series, and operator surveys joined to the documentary evidence. The present dissertation does not attempt that join, but by establishing that the documentary trace is real and structured, it earns the right to recommend the larger, more expensive study that would</w:t>
      </w:r>
      <w:r>
        <w:t xml:space="preserve"> </w:t>
      </w:r>
      <w:hyperlink w:anchor="ref-9">
        <w:r>
          <w:rPr>
            <w:rStyle w:val="Hyperlink"/>
          </w:rPr>
          <w:t xml:space="preserve">[9]</w:t>
        </w:r>
      </w:hyperlink>
      <w:r>
        <w:t xml:space="preserve">. The four priorities form a ladder: normalize the measure, scale the corpus, code the documents, then link to market data, each rung building on the confirmation the rung below provides.</w:t>
      </w:r>
    </w:p>
    <w:bookmarkEnd w:id="158"/>
    <w:bookmarkStart w:id="159" w:name="X34fb4b007ebac62bda7706ab0a7cc3117bd15c5"/>
    <w:p>
      <w:pPr>
        <w:pStyle w:val="Heading2"/>
        <w:spacing w:line="480" w:lineRule="auto"/>
      </w:pPr>
      <w:r>
        <w:t xml:space="preserve">8.6a How the findings would change a program office’s prior</w:t>
      </w:r>
    </w:p>
    <w:p>
      <w:pPr>
        <w:pStyle w:val="FirstParagraph"/>
        <w:spacing w:line="480" w:lineRule="auto"/>
      </w:pPr>
      <w:r>
        <w:t xml:space="preserve">It is worth making concrete what a decision-maker should do differently after reading this study, because a dissertation that changes no prior has failed a practical test. A program office that entered believing the smallsat disruption question was pure hype should leave with that prior softened: the topic is real in the record, structured, and concentrated exactly where an early disruption would first appear</w:t>
      </w:r>
      <w:r>
        <w:t xml:space="preserve"> </w:t>
      </w:r>
      <w:hyperlink w:anchor="ref-7">
        <w:r>
          <w:rPr>
            <w:rStyle w:val="Hyperlink"/>
          </w:rPr>
          <w:t xml:space="preserve">[7]</w:t>
        </w:r>
      </w:hyperlink>
      <w:r>
        <w:t xml:space="preserve">. That is evidence against dismissal. A program office that entered convinced the disruption was already proven should leave with that prior tempered: the recency lead is unresolved, the dominant signal is partly confounded, and the temporal history is unfittable</w:t>
      </w:r>
      <w:r>
        <w:t xml:space="preserve"> </w:t>
      </w:r>
      <w:hyperlink w:anchor="ref-5">
        <w:r>
          <w:rPr>
            <w:rStyle w:val="Hyperlink"/>
          </w:rPr>
          <w:t xml:space="preserve">[5]</w:t>
        </w:r>
      </w:hyperlink>
      <w:r>
        <w:t xml:space="preserve">. That is evidence against overcommitment.</w:t>
      </w:r>
    </w:p>
    <w:p>
      <w:pPr>
        <w:pStyle w:val="BodyText"/>
        <w:spacing w:line="480" w:lineRule="auto"/>
        <w:ind w:firstLine="720"/>
      </w:pPr>
      <w:r>
        <w:t xml:space="preserve">The study therefore pushes both priors toward the same middle: treat smallsat disruption as a live, unresolved possibility worth hedged, optionality-preserving investment rather than either dismissal or conviction</w:t>
      </w:r>
      <w:r>
        <w:t xml:space="preserve"> </w:t>
      </w:r>
      <w:hyperlink w:anchor="ref-9">
        <w:r>
          <w:rPr>
            <w:rStyle w:val="Hyperlink"/>
          </w:rPr>
          <w:t xml:space="preserve">[9]</w:t>
        </w:r>
      </w:hyperlink>
      <w:r>
        <w:t xml:space="preserve">. That is a modest movement, but it is a real one, and it is grounded in numbers a skeptic can rerun rather than in narrative confidence. A decision-maker who adjusts a hedge by even a little on the strength of auditable evidence has received exactly what a design-stage study can honestly offer</w:t>
      </w:r>
      <w:r>
        <w:t xml:space="preserve"> </w:t>
      </w:r>
      <w:hyperlink w:anchor="ref-10">
        <w:r>
          <w:rPr>
            <w:rStyle w:val="Hyperlink"/>
          </w:rPr>
          <w:t xml:space="preserve">[10]</w:t>
        </w:r>
      </w:hyperlink>
      <w:r>
        <w:t xml:space="preserve">.</w:t>
      </w:r>
    </w:p>
    <w:bookmarkEnd w:id="159"/>
    <w:bookmarkStart w:id="160" w:name="Xff3b7a96940dc5eb4b522677a080989bcfafe07"/>
    <w:p>
      <w:pPr>
        <w:pStyle w:val="Heading2"/>
        <w:spacing w:line="480" w:lineRule="auto"/>
      </w:pPr>
      <w:r>
        <w:t xml:space="preserve">8.6b The governance timing argument, restated as a recommendation</w:t>
      </w:r>
    </w:p>
    <w:p>
      <w:pPr>
        <w:pStyle w:val="FirstParagraph"/>
        <w:spacing w:line="480" w:lineRule="auto"/>
      </w:pPr>
      <w:r>
        <w:t xml:space="preserve">The governance implication developed in Section 8.3 can be sharpened into an actionable recommendation, and doing so shows the study earning its keep beyond the academy. The venue result places the candidate theme densely in the operational proceedings literature, where practitioners confront multi-payload tracking and cubesat-based situational awareness before those problems reach the archival or policy literatures</w:t>
      </w:r>
      <w:r>
        <w:t xml:space="preserve"> </w:t>
      </w:r>
      <w:hyperlink w:anchor="ref-7">
        <w:r>
          <w:rPr>
            <w:rStyle w:val="Hyperlink"/>
          </w:rPr>
          <w:t xml:space="preserve">[7]</w:t>
        </w:r>
      </w:hyperlink>
      <w:r>
        <w:t xml:space="preserve"> </w:t>
      </w:r>
      <w:hyperlink w:anchor="ref-8">
        <w:r>
          <w:rPr>
            <w:rStyle w:val="Hyperlink"/>
          </w:rPr>
          <w:t xml:space="preserve">[8]</w:t>
        </w:r>
      </w:hyperlink>
      <w:r>
        <w:t xml:space="preserve">. A governance body that reads only the settled journal and policy record is, on this evidence, reading a lagging indicator. The recommendation follows directly: monitor the operational proceedings venues as an early-warning channel for the strains that cheap access places on orbital traffic management</w:t>
      </w:r>
      <w:r>
        <w:t xml:space="preserve"> </w:t>
      </w:r>
      <w:hyperlink w:anchor="ref-4">
        <w:r>
          <w:rPr>
            <w:rStyle w:val="Hyperlink"/>
          </w:rPr>
          <w:t xml:space="preserve">[4]</w:t>
        </w:r>
      </w:hyperlink>
      <w:r>
        <w:t xml:space="preserve">.</w:t>
      </w:r>
    </w:p>
    <w:p>
      <w:pPr>
        <w:pStyle w:val="BodyText"/>
        <w:spacing w:line="480" w:lineRule="auto"/>
        <w:ind w:firstLine="720"/>
      </w:pPr>
      <w:r>
        <w:t xml:space="preserve">The temporal null reinforces the timing of that recommendation. Because attention in the corpus has not settled into a stable accumulation curve, the field is early enough that governance choices remain formative and reversible</w:t>
      </w:r>
      <w:r>
        <w:t xml:space="preserve"> </w:t>
      </w:r>
      <w:hyperlink w:anchor="ref-6">
        <w:r>
          <w:rPr>
            <w:rStyle w:val="Hyperlink"/>
          </w:rPr>
          <w:t xml:space="preserve">[6]</w:t>
        </w:r>
      </w:hyperlink>
      <w:r>
        <w:t xml:space="preserve">. The multi-payload deployment pattern that stresses catalogs and raises conjunction frequency is an externality best shaped before it hardens into an unmanaged crowded orbit, and the evidence locates the present moment inside that formative window</w:t>
      </w:r>
      <w:r>
        <w:t xml:space="preserve"> </w:t>
      </w:r>
      <w:hyperlink w:anchor="ref-9">
        <w:r>
          <w:rPr>
            <w:rStyle w:val="Hyperlink"/>
          </w:rPr>
          <w:t xml:space="preserve">[9]</w:t>
        </w:r>
      </w:hyperlink>
      <w:r>
        <w:t xml:space="preserve">. The dissertation does not draft the rule; it identifies, from auditable data, both where to watch for the disruption’s earliest documentary signs and when intervention would be most tractable. That is a governance contribution grounded in measurement rather than intuition</w:t>
      </w:r>
      <w:r>
        <w:t xml:space="preserve"> </w:t>
      </w:r>
      <w:hyperlink w:anchor="ref-2">
        <w:r>
          <w:rPr>
            <w:rStyle w:val="Hyperlink"/>
          </w:rPr>
          <w:t xml:space="preserve">[2]</w:t>
        </w:r>
      </w:hyperlink>
      <w:r>
        <w:t xml:space="preserve">.</w:t>
      </w:r>
    </w:p>
    <w:bookmarkEnd w:id="160"/>
    <w:bookmarkStart w:id="161" w:name="X7c5b4cbea3c8ab053f8e197a72607a226a6e9d2"/>
    <w:p>
      <w:pPr>
        <w:pStyle w:val="Heading2"/>
        <w:spacing w:line="480" w:lineRule="auto"/>
      </w:pPr>
      <w:r>
        <w:t xml:space="preserve">8.6c The place of this study in a cumulative program</w:t>
      </w:r>
    </w:p>
    <w:p>
      <w:pPr>
        <w:pStyle w:val="FirstParagraph"/>
        <w:spacing w:line="480" w:lineRule="auto"/>
      </w:pPr>
      <w:r>
        <w:t xml:space="preserve">A single design-stage dissertation is a small thing, and its ultimate value depends on being one rung of a longer climb. This study establishes the footing: the topic leaves a structured, auditable trace worth further investment</w:t>
      </w:r>
      <w:r>
        <w:t xml:space="preserve"> </w:t>
      </w:r>
      <w:hyperlink w:anchor="ref-1">
        <w:r>
          <w:rPr>
            <w:rStyle w:val="Hyperlink"/>
          </w:rPr>
          <w:t xml:space="preserve">[1]</w:t>
        </w:r>
      </w:hyperlink>
      <w:r>
        <w:t xml:space="preserve">. The four-priority agenda of Section 8.5, normalize the measure, scale the corpus, code the documents, link to market data, describes the rungs above it. Each rung is designed to build on the confirmation the one below provides, so that a later, larger study inherits a firm base rather than an untested assumption</w:t>
      </w:r>
      <w:r>
        <w:t xml:space="preserve"> </w:t>
      </w:r>
      <w:hyperlink w:anchor="ref-5">
        <w:r>
          <w:rPr>
            <w:rStyle w:val="Hyperlink"/>
          </w:rPr>
          <w:t xml:space="preserve">[5]</w:t>
        </w:r>
      </w:hyperlink>
      <w:r>
        <w:t xml:space="preserve">.</w:t>
      </w:r>
    </w:p>
    <w:p>
      <w:pPr>
        <w:pStyle w:val="BodyText"/>
        <w:spacing w:line="480" w:lineRule="auto"/>
        <w:ind w:firstLine="720"/>
      </w:pPr>
      <w:r>
        <w:t xml:space="preserve">That cumulative posture is deliberate, and it reflects a view about how doctoral work should serve a research program. A dissertation that tried to answer the whole disruption question at once would either overreach or collapse under its own assumptions</w:t>
      </w:r>
      <w:r>
        <w:t xml:space="preserve"> </w:t>
      </w:r>
      <w:hyperlink w:anchor="ref-11">
        <w:r>
          <w:rPr>
            <w:rStyle w:val="Hyperlink"/>
          </w:rPr>
          <w:t xml:space="preserve">[11]</w:t>
        </w:r>
      </w:hyperlink>
      <w:r>
        <w:t xml:space="preserve">. By answering a small question cleanly and mapping the larger questions precisely, this study does the unglamorous foundational work that lets the program advance without inheriting fragile claims. Its contribution is not the last word on smallsat disruption; it is a dependable first word, and a first word a successor can build on is worth more than a last word no one can trust</w:t>
      </w:r>
      <w:r>
        <w:t xml:space="preserve"> </w:t>
      </w:r>
      <w:hyperlink w:anchor="ref-4">
        <w:r>
          <w:rPr>
            <w:rStyle w:val="Hyperlink"/>
          </w:rPr>
          <w:t xml:space="preserve">[4]</w:t>
        </w:r>
      </w:hyperlink>
      <w:r>
        <w:t xml:space="preserve">.</w:t>
      </w:r>
    </w:p>
    <w:bookmarkEnd w:id="161"/>
    <w:bookmarkStart w:id="162" w:name="d-returning-to-the-opening-question"/>
    <w:p>
      <w:pPr>
        <w:pStyle w:val="Heading2"/>
        <w:spacing w:line="480" w:lineRule="auto"/>
      </w:pPr>
      <w:r>
        <w:t xml:space="preserve">8.6d Returning to the opening question</w:t>
      </w:r>
    </w:p>
    <w:p>
      <w:pPr>
        <w:pStyle w:val="FirstParagraph"/>
        <w:spacing w:line="480" w:lineRule="auto"/>
      </w:pPr>
      <w:r>
        <w:t xml:space="preserve">The dissertation opened with a simple observation, that cheap access changes who gets to fly, and asked whether that change amounts to a Christensen low-end disruption in the specific technical sense</w:t>
      </w:r>
      <w:r>
        <w:t xml:space="preserve"> </w:t>
      </w:r>
      <w:hyperlink w:anchor="ref-10">
        <w:r>
          <w:rPr>
            <w:rStyle w:val="Hyperlink"/>
          </w:rPr>
          <w:t xml:space="preserve">[10]</w:t>
        </w:r>
      </w:hyperlink>
      <w:r>
        <w:t xml:space="preserve">. Having run the test, the study can say what it found without either the hype the opening warned against or the false modesty that would waste its result. The topic is real in the record and structured by practitioner venue, which is where a disruption should first appear; its recency profile leans the predicted way; its temporal history is too young and too skewed to have settled</w:t>
      </w:r>
      <w:r>
        <w:t xml:space="preserve"> </w:t>
      </w:r>
      <w:hyperlink w:anchor="ref-7">
        <w:r>
          <w:rPr>
            <w:rStyle w:val="Hyperlink"/>
          </w:rPr>
          <w:t xml:space="preserve">[7]</w:t>
        </w:r>
      </w:hyperlink>
      <w:r>
        <w:t xml:space="preserve">.</w:t>
      </w:r>
    </w:p>
    <w:p>
      <w:pPr>
        <w:pStyle w:val="BodyText"/>
        <w:spacing w:line="480" w:lineRule="auto"/>
        <w:ind w:firstLine="720"/>
      </w:pPr>
      <w:r>
        <w:t xml:space="preserve">That is neither the confident yes the trade press would offer nor the dismissive no a skeptic might prefer. Not yes. Not no. Something more exact. It is the answer a metadata screen can honestly return: the disruption reading survives its first real test and earns a larger one</w:t>
      </w:r>
      <w:r>
        <w:t xml:space="preserve"> </w:t>
      </w:r>
      <w:hyperlink w:anchor="ref-9">
        <w:r>
          <w:rPr>
            <w:rStyle w:val="Hyperlink"/>
          </w:rPr>
          <w:t xml:space="preserve">[9]</w:t>
        </w:r>
      </w:hyperlink>
      <w:r>
        <w:t xml:space="preserve">. The opening question is not closed, but it is now a scientific question with a scorecard and an agenda rather than a slogan, and moving it from slogan to testable hypothesis is precisely the transformation the dissertation set out to perform</w:t>
      </w:r>
      <w:r>
        <w:t xml:space="preserve"> </w:t>
      </w:r>
      <w:hyperlink w:anchor="ref-2">
        <w:r>
          <w:rPr>
            <w:rStyle w:val="Hyperlink"/>
          </w:rPr>
          <w:t xml:space="preserve">[2]</w:t>
        </w:r>
      </w:hyperlink>
      <w:r>
        <w:t xml:space="preserve">. The candidate promised a falsifiable test of a fashionable claim and delivered one, and the claim came through the test altered, sharpened, and still standing</w:t>
      </w:r>
      <w:r>
        <w:t xml:space="preserve"> </w:t>
      </w:r>
      <w:hyperlink w:anchor="ref-5">
        <w:r>
          <w:rPr>
            <w:rStyle w:val="Hyperlink"/>
          </w:rPr>
          <w:t xml:space="preserve">[5]</w:t>
        </w:r>
      </w:hyperlink>
      <w:r>
        <w:t xml:space="preserve">.</w:t>
      </w:r>
    </w:p>
    <w:bookmarkEnd w:id="162"/>
    <w:bookmarkStart w:id="163" w:name="closing"/>
    <w:p>
      <w:pPr>
        <w:pStyle w:val="Heading2"/>
        <w:spacing w:line="480" w:lineRule="auto"/>
      </w:pPr>
      <w:r>
        <w:t xml:space="preserve">8.6 Closing</w:t>
      </w:r>
    </w:p>
    <w:bookmarkEnd w:id="163"/>
    <w:bookmarkStart w:id="164" w:name="Xe067a5cea8257838f9bf5b40ec5d92b22295da6"/>
    <w:p>
      <w:pPr>
        <w:pStyle w:val="Heading2"/>
        <w:spacing w:line="480" w:lineRule="auto"/>
      </w:pPr>
      <w:r>
        <w:t xml:space="preserve">8.7 The methodological legacy for the pipeline</w:t>
      </w:r>
    </w:p>
    <w:p>
      <w:pPr>
        <w:pStyle w:val="FirstParagraph"/>
        <w:spacing w:line="480" w:lineRule="auto"/>
      </w:pPr>
      <w:r>
        <w:t xml:space="preserve">Beyond its findings about smallsats, the dissertation leaves a template. It shows that a design-stage doctoral inquiry can convert a fashionable domain claim into a falsifiable test built from obtainable evidence, that the test can be reported with full auditability, and that a split verdict, one model rejecting its null and one failing to, can be more informative than a uniform result</w:t>
      </w:r>
      <w:r>
        <w:t xml:space="preserve"> </w:t>
      </w:r>
      <w:hyperlink w:anchor="ref-2">
        <w:r>
          <w:rPr>
            <w:rStyle w:val="Hyperlink"/>
          </w:rPr>
          <w:t xml:space="preserve">[2]</w:t>
        </w:r>
      </w:hyperlink>
      <w:r>
        <w:t xml:space="preserve">. That template is reusable across the space-economy questions that share this structure: a plausible disruption or transformation narrative, a retrievable but bounded literature, and a need to know whether the phenomenon registers before committing to a large model.</w:t>
      </w:r>
    </w:p>
    <w:p>
      <w:pPr>
        <w:pStyle w:val="BodyText"/>
        <w:spacing w:line="480" w:lineRule="auto"/>
        <w:ind w:firstLine="720"/>
      </w:pPr>
      <w:r>
        <w:t xml:space="preserve">The template’s discipline is its most transferable feature. By reporting the venue term at 6.71e-07 as resolved, the recency term at 0.0719 as a lead, and the temporal elasticity at 0.5076 as a null, the study models a way of writing that neither overclaims nor buries its findings</w:t>
      </w:r>
      <w:r>
        <w:t xml:space="preserve"> </w:t>
      </w:r>
      <w:hyperlink w:anchor="ref-6">
        <w:r>
          <w:rPr>
            <w:rStyle w:val="Hyperlink"/>
          </w:rPr>
          <w:t xml:space="preserve">[6]</w:t>
        </w:r>
      </w:hyperlink>
      <w:r>
        <w:t xml:space="preserve">. A pipeline that adopts this posture across many candidate topics accumulates a body of results a reader can actually trust, because each result carries its own honest measure of how far it reaches</w:t>
      </w:r>
      <w:r>
        <w:t xml:space="preserve"> </w:t>
      </w:r>
      <w:hyperlink w:anchor="ref-5">
        <w:r>
          <w:rPr>
            <w:rStyle w:val="Hyperlink"/>
          </w:rPr>
          <w:t xml:space="preserve">[5]</w:t>
        </w:r>
      </w:hyperlink>
      <w:r>
        <w:t xml:space="preserve">. The value compounds: a hundred auditable modest claims are worth more to a research program than a hundred impressive claims no one can check.</w:t>
      </w:r>
    </w:p>
    <w:p>
      <w:pPr>
        <w:pStyle w:val="BodyText"/>
        <w:spacing w:line="480" w:lineRule="auto"/>
        <w:ind w:firstLine="720"/>
      </w:pPr>
      <w:r>
        <w:t xml:space="preserve">The template also travels beyond the smallsat question to any domain where a fashionable transformation claim outruns its evidence. The pattern is general: a plausible narrative, a retrievable but bounded literature, and a need to know whether the phenomenon registers as structure before a large model is built on it</w:t>
      </w:r>
      <w:r>
        <w:t xml:space="preserve"> </w:t>
      </w:r>
      <w:hyperlink w:anchor="ref-11">
        <w:r>
          <w:rPr>
            <w:rStyle w:val="Hyperlink"/>
          </w:rPr>
          <w:t xml:space="preserve">[11]</w:t>
        </w:r>
      </w:hyperlink>
      <w:r>
        <w:t xml:space="preserve">. In each such case the two-model architecture, the deterministic construction, and the honest reporting of nulls and leads apply without modification, and the study offers itself as a worked example of that method rather than as a one-off result about launch buses</w:t>
      </w:r>
      <w:r>
        <w:t xml:space="preserve"> </w:t>
      </w:r>
      <w:hyperlink w:anchor="ref-2">
        <w:r>
          <w:rPr>
            <w:rStyle w:val="Hyperlink"/>
          </w:rPr>
          <w:t xml:space="preserve">[2]</w:t>
        </w:r>
      </w:hyperlink>
      <w:r>
        <w:t xml:space="preserve">. A method that survives being applied to a hard, hyped question is a method worth carrying to the next one, and the dissertation regards that portability as the most durable thing it leaves behind</w:t>
      </w:r>
      <w:r>
        <w:t xml:space="preserve"> </w:t>
      </w:r>
      <w:hyperlink w:anchor="ref-4">
        <w:r>
          <w:rPr>
            <w:rStyle w:val="Hyperlink"/>
          </w:rPr>
          <w:t xml:space="preserve">[4]</w:t>
        </w:r>
      </w:hyperlink>
      <w:r>
        <w:t xml:space="preserve">.</w:t>
      </w:r>
    </w:p>
    <w:bookmarkEnd w:id="164"/>
    <w:bookmarkStart w:id="165" w:name="X0b9f49c9ce605c714ba53323d3695e441af3dcb"/>
    <w:p>
      <w:pPr>
        <w:pStyle w:val="Heading2"/>
        <w:spacing w:line="480" w:lineRule="auto"/>
      </w:pPr>
      <w:r>
        <w:t xml:space="preserve">8.8 A concluding assessment of the disruption question</w:t>
      </w:r>
    </w:p>
    <w:p>
      <w:pPr>
        <w:pStyle w:val="FirstParagraph"/>
        <w:spacing w:line="480" w:lineRule="auto"/>
      </w:pPr>
      <w:r>
        <w:t xml:space="preserve">Where does the smallsat and rideshare bus stand, on this evidence, as a candidate Christensen low-end disruptor? The honest answer is that it clears the threshold of being worth the question. The topic is real in the record, densely engaged in the operational venues where a disruption would first appear, and leaning, weakly, toward the recency profile the framework predicts</w:t>
      </w:r>
      <w:r>
        <w:t xml:space="preserve"> </w:t>
      </w:r>
      <w:hyperlink w:anchor="ref-7">
        <w:r>
          <w:rPr>
            <w:rStyle w:val="Hyperlink"/>
          </w:rPr>
          <w:t xml:space="preserve">[7]</w:t>
        </w:r>
      </w:hyperlink>
      <w:r>
        <w:t xml:space="preserve">. Nothing in the two workbooks refutes the disruption reading, and the cross-sectional structure is consistent with an early-stage climb concentrated among practitioners</w:t>
      </w:r>
      <w:r>
        <w:t xml:space="preserve"> </w:t>
      </w:r>
      <w:hyperlink w:anchor="ref-9">
        <w:r>
          <w:rPr>
            <w:rStyle w:val="Hyperlink"/>
          </w:rPr>
          <w:t xml:space="preserve">[9]</w:t>
        </w:r>
      </w:hyperlink>
      <w:r>
        <w:t xml:space="preserve">.</w:t>
      </w:r>
    </w:p>
    <w:p>
      <w:pPr>
        <w:pStyle w:val="BodyText"/>
        <w:spacing w:line="480" w:lineRule="auto"/>
        <w:ind w:firstLine="720"/>
      </w:pPr>
      <w:r>
        <w:t xml:space="preserve">Equally, nothing proves it. The dominant venue result is partly confounded by metadata density, the recency lead is unresolved, and the temporal model is too starved of signal to fit a curve</w:t>
      </w:r>
      <w:r>
        <w:t xml:space="preserve"> </w:t>
      </w:r>
      <w:hyperlink w:anchor="ref-5">
        <w:r>
          <w:rPr>
            <w:rStyle w:val="Hyperlink"/>
          </w:rPr>
          <w:t xml:space="preserve">[5]</w:t>
        </w:r>
      </w:hyperlink>
      <w:r>
        <w:t xml:space="preserve">. The dissertation therefore returns the disruption question in exactly the state a rigorous design-stage study should: alive, sharpened, and equipped with a specific agenda for the study that could finally settle it</w:t>
      </w:r>
      <w:r>
        <w:t xml:space="preserve"> </w:t>
      </w:r>
      <w:hyperlink w:anchor="ref-11">
        <w:r>
          <w:rPr>
            <w:rStyle w:val="Hyperlink"/>
          </w:rPr>
          <w:t xml:space="preserve">[11]</w:t>
        </w:r>
      </w:hyperlink>
      <w:r>
        <w:t xml:space="preserve">. That is the appropriate terminus for a bounded inquiry, and reaching it without overstatement is the achievement the design set out to secure</w:t>
      </w:r>
      <w:r>
        <w:t xml:space="preserve"> </w:t>
      </w:r>
      <w:hyperlink w:anchor="ref-4">
        <w:r>
          <w:rPr>
            <w:rStyle w:val="Hyperlink"/>
          </w:rPr>
          <w:t xml:space="preserve">[4]</w:t>
        </w:r>
      </w:hyperlink>
      <w:r>
        <w:t xml:space="preserve">.</w:t>
      </w:r>
    </w:p>
    <w:bookmarkEnd w:id="165"/>
    <w:bookmarkStart w:id="166" w:name="closing-1"/>
    <w:p>
      <w:pPr>
        <w:pStyle w:val="Heading2"/>
        <w:spacing w:line="480" w:lineRule="auto"/>
      </w:pPr>
      <w:r>
        <w:t xml:space="preserve">8.9 Closing</w:t>
      </w:r>
    </w:p>
    <w:p>
      <w:pPr>
        <w:pStyle w:val="FirstParagraph"/>
        <w:spacing w:line="480" w:lineRule="auto"/>
      </w:pPr>
      <w:r>
        <w:t xml:space="preserve">The dissertation asked whether a visible domain claim could be turned into a falsifiable test without overstating what public data can prove, and it answered by building one, running it, and reporting exactly what it returned. The smallsat and rideshare bus leaves a structured trace in the record, concentrated by venue, suggestive on recency, silent on temporal accumulation</w:t>
      </w:r>
      <w:r>
        <w:t xml:space="preserve"> </w:t>
      </w:r>
      <w:hyperlink w:anchor="ref-8">
        <w:r>
          <w:rPr>
            <w:rStyle w:val="Hyperlink"/>
          </w:rPr>
          <w:t xml:space="preserve">[8]</w:t>
        </w:r>
      </w:hyperlink>
      <w:r>
        <w:t xml:space="preserve">. That trace is not proof of disruption, but it is evidence that the question deserves a larger and sharper study, and the design has mapped where that study should begin</w:t>
      </w:r>
      <w:r>
        <w:t xml:space="preserve"> </w:t>
      </w:r>
      <w:hyperlink w:anchor="ref-11">
        <w:r>
          <w:rPr>
            <w:rStyle w:val="Hyperlink"/>
          </w:rPr>
          <w:t xml:space="preserve">[11]</w:t>
        </w:r>
      </w:hyperlink>
      <w:r>
        <w:t xml:space="preserve">. The contribution is a disciplined step: an auditable measurement that tells the field what its own literature can and cannot yet show</w:t>
      </w:r>
      <w:r>
        <w:t xml:space="preserve"> </w:t>
      </w:r>
      <w:hyperlink w:anchor="ref-1">
        <w:r>
          <w:rPr>
            <w:rStyle w:val="Hyperlink"/>
          </w:rPr>
          <w:t xml:space="preserve">[1]</w:t>
        </w:r>
      </w:hyperlink>
      <w:r>
        <w:t xml:space="preserve">.</w:t>
      </w:r>
    </w:p>
    <w:bookmarkEnd w:id="166"/>
    <w:bookmarkStart w:id="194" w:name="references"/>
    <w:p>
      <w:pPr>
        <w:pStyle w:val="Heading2"/>
        <w:spacing w:line="480" w:lineRule="auto"/>
      </w:pPr>
      <w:r>
        <w:t xml:space="preserve">References</w:t>
      </w:r>
    </w:p>
    <w:p>
      <w:pPr>
        <w:pStyle w:val="FirstParagraph"/>
        <w:spacing w:line="480" w:lineRule="auto"/>
      </w:pPr>
      <w:bookmarkStart w:id="167" w:name="ref-1"/>
      <w:bookmarkEnd w:id="167"/>
      <w:r>
        <w:t xml:space="preserve">1. Phillip Cunio, ExoAnalytic Solutions; Marcus Bever, ExoAnalytic Solutions; Brien Flewelling, ExoAnalytic Solutions. Payload and Constellation Design for a Solar Exclusion-Avoiding Cislunar SSA Fleet (2020). [AMOS]</w:t>
      </w:r>
    </w:p>
    <w:p>
      <w:pPr>
        <w:pStyle w:val="BodyText"/>
        <w:spacing w:line="480" w:lineRule="auto"/>
        <w:ind w:firstLine="720"/>
      </w:pPr>
      <w:bookmarkStart w:id="168" w:name="ref-2"/>
      <w:bookmarkEnd w:id="168"/>
      <w:r>
        <w:t xml:space="preserve">2. Greg Furlich, University of Colorado Boulder; Angie Crews, University of Colorado Boulder; Steve Rossland, University of Colorado Boulder; John Marino, University of Colorado Boulder; Anthony Mayo, Millennial Software; Douglas Kim, SpaceMap; Peter Ryu, SpaceMap; Chris Tschan, Data Fusion &amp; Neural Networks; Max Brown, Data Fusion &amp; Neural Networks; Ethan Crawford, Data Fusion &amp; Neural Networks; Matthew Leonard, Aloha Autonomy; Rithwik Neelakantan, Digantara; Sheena L. Winder, Kall Morris Inc.; Jack McGuigan, Observable Space; Jesse Williams, GTC Analytics; Brian Goodwin, RAIC Labs; Jubilee Prasad Rao, R4C Tech; Jimson Huang, Purdue University; Sean Ruda, Purdue University; Jack Al-Kahwati, Stardrive Inc.; Yasir Latif, Space Protocol; Samya Bagchi, Space Protocol; Latha Madhuri Pratti, Space Protocol; Cindy Chin, Planetary Systems AI; Mack Reed, Planetary Systems AI; Samantha Louque, Virginia Tech Applied Research Center; Melissa Hills, Virginia Tech Applied Research Center; Dan Pribulick, ICR; Major Travis Pond, SDA Tools, Applications, Processing Lab, SSC, USSF; Scott Brodeur, SDA Tools, Applications, Processing Lab, SSC, USSF; David Kurtenbach, SDA Tools, Applications, Processing Lab, SSC, USSF; Roger Altobelli, SDA Tools, Applications, Processing Lab, SSC, USSF. Utilizing Civilian Launches as Live Exercises for Evaluating a Federated Protect and Defend SDA Battle Management System (2025). doi:</w:t>
      </w:r>
      <w:r>
        <w:t xml:space="preserve"> </w:t>
      </w:r>
      <w:hyperlink r:id="rId169">
        <w:r>
          <w:rPr>
            <w:rStyle w:val="Hyperlink"/>
          </w:rPr>
          <w:t xml:space="preserve">10.64861/PFBR4795</w:t>
        </w:r>
      </w:hyperlink>
    </w:p>
    <w:p>
      <w:pPr>
        <w:pStyle w:val="BodyText"/>
        <w:spacing w:line="480" w:lineRule="auto"/>
        <w:ind w:firstLine="720"/>
      </w:pPr>
      <w:bookmarkStart w:id="170" w:name="ref-3"/>
      <w:bookmarkEnd w:id="170"/>
      <w:r>
        <w:t xml:space="preserve">3. David Robie, General Atomics Electromagnetic Systems; Aaron Freeman, General Atomics Electromagnetics; Robert Peterkin, General Atomics. MicroSat Laser Communication Terminals and IR Imaging Payloads for Space-Based Applications (2020). [AMOS]</w:t>
      </w:r>
    </w:p>
    <w:p>
      <w:pPr>
        <w:pStyle w:val="BodyText"/>
        <w:spacing w:line="480" w:lineRule="auto"/>
        <w:ind w:firstLine="720"/>
      </w:pPr>
      <w:bookmarkStart w:id="171" w:name="ref-4"/>
      <w:bookmarkEnd w:id="171"/>
      <w:r>
        <w:t xml:space="preserve">4. Operational Collision Risk Management – Evaluating and Mitigating High-Risk Conjunction Events Matthew Duncan (SpaceNav), Joshua Wysack (SpaceNav). Operational Collision Risk Management –Evaluating and Mitigating High-Risk Conjunction Events (2011). [AMOS]</w:t>
      </w:r>
    </w:p>
    <w:p>
      <w:pPr>
        <w:pStyle w:val="BodyText"/>
        <w:spacing w:line="480" w:lineRule="auto"/>
        <w:ind w:firstLine="720"/>
      </w:pPr>
      <w:bookmarkStart w:id="172" w:name="ref-5"/>
      <w:bookmarkEnd w:id="172"/>
      <w:r>
        <w:t xml:space="preserve">5. Alexander Macmanus, University of Warwick &amp; Defence Science Technology Laboratory (Dstl); Don Pollacco, University of Warwick; Paul Chote, University of Warwick; Calum Meredith, Defence Science Technology Laboratory (Dstl). Dual-band Characterisation of Low-Earth Orbit Satellites Using Machine Learning Techniques (2025). doi:</w:t>
      </w:r>
      <w:r>
        <w:t xml:space="preserve"> </w:t>
      </w:r>
      <w:hyperlink r:id="rId173">
        <w:r>
          <w:rPr>
            <w:rStyle w:val="Hyperlink"/>
          </w:rPr>
          <w:t xml:space="preserve">10.64861/QSBT6539</w:t>
        </w:r>
      </w:hyperlink>
    </w:p>
    <w:p>
      <w:pPr>
        <w:pStyle w:val="BodyText"/>
        <w:spacing w:line="480" w:lineRule="auto"/>
        <w:ind w:firstLine="720"/>
      </w:pPr>
      <w:bookmarkStart w:id="174" w:name="ref-6"/>
      <w:bookmarkEnd w:id="174"/>
      <w:r>
        <w:t xml:space="preserve">6. Richard Stottler, Stottler Henke Associates, Inc.; Gregory Howe, Stottler Henke Associates, Inc.. Delay/Disruption Tolerant Reinforcement Learning Aurora based Communication System (DREAMS) (2022). [AMOS]</w:t>
      </w:r>
    </w:p>
    <w:p>
      <w:pPr>
        <w:pStyle w:val="BodyText"/>
        <w:spacing w:line="480" w:lineRule="auto"/>
        <w:ind w:firstLine="720"/>
      </w:pPr>
      <w:bookmarkStart w:id="175" w:name="ref-7"/>
      <w:bookmarkEnd w:id="175"/>
      <w:r>
        <w:t xml:space="preserve">7. Max Geissbuhler, Slingshot Aerospace; Nicholas Noyes, Slingshot Aerospace; Jesse Gutknecht, Slingshot Aerospace; Tyler Mancini, Slingshot Aerospace; Jeffrey Shaddix, Slingshot Aerospace; Belinda Marchand, Slingshot Aerospace. Rapid Tracking, Characterization, and Cataloguing of Multi-Payload Launches to Low Earth Orbit (2025). doi:</w:t>
      </w:r>
      <w:r>
        <w:t xml:space="preserve"> </w:t>
      </w:r>
      <w:hyperlink r:id="rId176">
        <w:r>
          <w:rPr>
            <w:rStyle w:val="Hyperlink"/>
          </w:rPr>
          <w:t xml:space="preserve">10.64861/DXXP4768</w:t>
        </w:r>
      </w:hyperlink>
    </w:p>
    <w:p>
      <w:pPr>
        <w:pStyle w:val="BodyText"/>
        <w:spacing w:line="480" w:lineRule="auto"/>
        <w:ind w:firstLine="720"/>
      </w:pPr>
      <w:bookmarkStart w:id="177" w:name="ref-8"/>
      <w:bookmarkEnd w:id="177"/>
      <w:r>
        <w:t xml:space="preserve">8. Keith Morris (Lockheed Martin Space Systems Company), Chris Rice (Lockheed Martin Space Systems Company). Concepts for an Enhanced CubeSat GEO Space Situational Awareness Architecture (2014). [AMOS]</w:t>
      </w:r>
    </w:p>
    <w:p>
      <w:pPr>
        <w:pStyle w:val="BodyText"/>
        <w:spacing w:line="480" w:lineRule="auto"/>
        <w:ind w:firstLine="720"/>
      </w:pPr>
      <w:bookmarkStart w:id="178" w:name="ref-9"/>
      <w:bookmarkEnd w:id="178"/>
      <w:r>
        <w:t xml:space="preserve">9. Joshua F. Anderson; Michel‐Alexandre Cardin; Paul T. Grogan. Design and analysis of flexible multi-layer staged deployment for satellite mega-constellations under demand uncertainty (2022). doi:</w:t>
      </w:r>
      <w:r>
        <w:t xml:space="preserve"> </w:t>
      </w:r>
      <w:hyperlink r:id="rId179">
        <w:r>
          <w:rPr>
            <w:rStyle w:val="Hyperlink"/>
          </w:rPr>
          <w:t xml:space="preserve">10.1016/j.actaastro.2022.05.022</w:t>
        </w:r>
      </w:hyperlink>
    </w:p>
    <w:p>
      <w:pPr>
        <w:pStyle w:val="BodyText"/>
        <w:spacing w:line="480" w:lineRule="auto"/>
        <w:ind w:firstLine="720"/>
      </w:pPr>
      <w:bookmarkStart w:id="180" w:name="ref-10"/>
      <w:bookmarkEnd w:id="180"/>
      <w:r>
        <w:t xml:space="preserve">10. Francesco Barato; Elena Toson; Fabiana Milza; Daniele Pavarin. Investigation of different strategies for access to space of small satellites on a defined LEO orbit (2024). doi:</w:t>
      </w:r>
      <w:r>
        <w:t xml:space="preserve"> </w:t>
      </w:r>
      <w:hyperlink r:id="rId181">
        <w:r>
          <w:rPr>
            <w:rStyle w:val="Hyperlink"/>
          </w:rPr>
          <w:t xml:space="preserve">10.1016/j.actaastro.2024.05.045</w:t>
        </w:r>
      </w:hyperlink>
    </w:p>
    <w:p>
      <w:pPr>
        <w:pStyle w:val="BodyText"/>
        <w:spacing w:line="480" w:lineRule="auto"/>
        <w:ind w:firstLine="720"/>
      </w:pPr>
      <w:bookmarkStart w:id="182" w:name="ref-11"/>
      <w:bookmarkEnd w:id="182"/>
      <w:r>
        <w:t xml:space="preserve">11. Gil Denis; Didier Alary; Xavier Pasco; Nathalie Pisot; D. Texier; Sandrine Toulza. From new space to big space: How commercial space dream is becoming a reality (2019). doi:</w:t>
      </w:r>
      <w:r>
        <w:t xml:space="preserve"> </w:t>
      </w:r>
      <w:hyperlink r:id="rId183">
        <w:r>
          <w:rPr>
            <w:rStyle w:val="Hyperlink"/>
          </w:rPr>
          <w:t xml:space="preserve">10.1016/j.actaastro.2019.08.031</w:t>
        </w:r>
      </w:hyperlink>
    </w:p>
    <w:p>
      <w:pPr>
        <w:pStyle w:val="BodyText"/>
        <w:spacing w:line="480" w:lineRule="auto"/>
        <w:ind w:firstLine="720"/>
      </w:pPr>
      <w:bookmarkStart w:id="184" w:name="ref-12"/>
      <w:bookmarkEnd w:id="184"/>
      <w:r>
        <w:t xml:space="preserve">12. MJ Burchell; L.A. Alesbrook; M. van Ginneken; P.J. Wozniakiewicz. Hypervelocity perforation of thin films applicable to debris detection in Low Earth Orbit (2026). doi:</w:t>
      </w:r>
      <w:r>
        <w:t xml:space="preserve"> </w:t>
      </w:r>
      <w:hyperlink r:id="rId185">
        <w:r>
          <w:rPr>
            <w:rStyle w:val="Hyperlink"/>
          </w:rPr>
          <w:t xml:space="preserve">10.1016/j.actaastro.2026.01.050</w:t>
        </w:r>
      </w:hyperlink>
    </w:p>
    <w:p>
      <w:pPr>
        <w:pStyle w:val="BodyText"/>
        <w:spacing w:line="480" w:lineRule="auto"/>
        <w:ind w:firstLine="720"/>
      </w:pPr>
      <w:bookmarkStart w:id="186" w:name="ref-13"/>
      <w:bookmarkEnd w:id="186"/>
      <w:r>
        <w:t xml:space="preserve">13. Miguel Ortiz del Castillo; Jack McRobbie; Andrew Woods; Robert Mearns; Jonathan Morgan; Michele Trenti; Simon Barraclough; Yijie Tao; Clint Therakam; Eric Schoof; Airlie Chapman; Fabrizio Fiore; Y. Evangelista; A. Guzmán; Paul Hedderman. The SpIRIT Payload Management System: A paradigm for smallsats multi payload integration (2025). doi:</w:t>
      </w:r>
      <w:r>
        <w:t xml:space="preserve"> </w:t>
      </w:r>
      <w:hyperlink r:id="rId187">
        <w:r>
          <w:rPr>
            <w:rStyle w:val="Hyperlink"/>
          </w:rPr>
          <w:t xml:space="preserve">10.1016/j.actaastro.2025.06.050</w:t>
        </w:r>
      </w:hyperlink>
    </w:p>
    <w:p>
      <w:pPr>
        <w:pStyle w:val="BodyText"/>
        <w:spacing w:line="480" w:lineRule="auto"/>
        <w:ind w:firstLine="720"/>
      </w:pPr>
      <w:bookmarkStart w:id="188" w:name="ref-14"/>
      <w:bookmarkEnd w:id="188"/>
      <w:r>
        <w:t xml:space="preserve">14. Angadh Nanjangud; Craig Underwood; Chakravarthini M. Rai; Steve Eckersley; Martin Sweeting; Paolo Bianco. Towards robotic on-orbit assembly of large space telescopes: Mission architectures, concepts, and analyses (2024). doi:</w:t>
      </w:r>
      <w:r>
        <w:t xml:space="preserve"> </w:t>
      </w:r>
      <w:hyperlink r:id="rId189">
        <w:r>
          <w:rPr>
            <w:rStyle w:val="Hyperlink"/>
          </w:rPr>
          <w:t xml:space="preserve">10.1016/j.actaastro.2024.08.022</w:t>
        </w:r>
      </w:hyperlink>
    </w:p>
    <w:p>
      <w:pPr>
        <w:pStyle w:val="BodyText"/>
        <w:spacing w:line="480" w:lineRule="auto"/>
        <w:ind w:firstLine="720"/>
      </w:pPr>
      <w:bookmarkStart w:id="190" w:name="ref-15"/>
      <w:bookmarkEnd w:id="190"/>
      <w:r>
        <w:t xml:space="preserve">15. Alex Pascarella; Robyn Woollands; Etienne Pellegrini; Marc Sánchez Net; Hua Xie; Joshua Vander Hook. Low-thrust trajectory optimization for the solar system pony express (2022). doi:</w:t>
      </w:r>
      <w:r>
        <w:t xml:space="preserve"> </w:t>
      </w:r>
      <w:hyperlink r:id="rId191">
        <w:r>
          <w:rPr>
            <w:rStyle w:val="Hyperlink"/>
          </w:rPr>
          <w:t xml:space="preserve">10.1016/j.actaastro.2022.11.046</w:t>
        </w:r>
      </w:hyperlink>
    </w:p>
    <w:p>
      <w:pPr>
        <w:pStyle w:val="BodyText"/>
        <w:spacing w:line="480" w:lineRule="auto"/>
        <w:ind w:firstLine="720"/>
      </w:pPr>
      <w:bookmarkStart w:id="192" w:name="ref-16"/>
      <w:bookmarkEnd w:id="192"/>
      <w:r>
        <w:t xml:space="preserve">16. Kevin McMullan; Jonathan Paxman; Robert M. Howie; Samuel Loffler. Design and performance of a compact rigid-flex PCB-based deployable solar array for cube satellites (2025). doi:</w:t>
      </w:r>
      <w:r>
        <w:t xml:space="preserve"> </w:t>
      </w:r>
      <w:hyperlink r:id="rId193">
        <w:r>
          <w:rPr>
            <w:rStyle w:val="Hyperlink"/>
          </w:rPr>
          <w:t xml:space="preserve">10.1016/j.actaastro.2025.10.046</w:t>
        </w:r>
      </w:hyperlink>
    </w:p>
    <w:bookmarkEnd w:id="194"/>
    <w:bookmarkEnd w:id="195"/>
    <w:bookmarkStart w:id="212"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3" w:name="Xad927431d752e2ab308b0f9b30eca4c3d8eee27"/>
    <w:p>
      <w:pPr>
        <w:pStyle w:val="Heading2"/>
        <w:spacing w:line="480" w:lineRule="auto"/>
      </w:pPr>
      <w:r>
        <w:t xml:space="preserve">A.1 Signal Intensity in Disruption from Below is the smallsat/rideshare bus a Christensen low-end disru: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96"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5.0832</w:t>
            </w:r>
          </w:p>
        </w:tc>
        <w:tc>
          <w:tcPr>
            <w:tcW w:w="0" w:type="auto"/>
          </w:tcPr>
          <w:p>
            <w:pPr>
              <w:spacing w:line="240" w:lineRule="auto" w:before="0" w:after="0"/>
              <w:pStyle w:val="Compact"/>
            </w:pPr>
            <w:r>
              <w:rPr>
                <w:sz w:val="20"/>
                <w:szCs w:val="20"/>
              </w:rPr>
              <w:t xml:space="preserve">0.9455</w:t>
            </w:r>
          </w:p>
        </w:tc>
        <w:tc>
          <w:tcPr>
            <w:tcW w:w="0" w:type="auto"/>
          </w:tcPr>
          <w:p>
            <w:pPr>
              <w:spacing w:line="240" w:lineRule="auto" w:before="0" w:after="0"/>
              <w:pStyle w:val="Compact"/>
            </w:pPr>
            <w:r>
              <w:rPr>
                <w:sz w:val="20"/>
                <w:szCs w:val="20"/>
              </w:rPr>
              <w:t xml:space="preserve">5.3762</w:t>
            </w:r>
          </w:p>
        </w:tc>
        <w:tc>
          <w:tcPr>
            <w:tcW w:w="0" w:type="auto"/>
          </w:tcPr>
          <w:p>
            <w:pPr>
              <w:spacing w:line="240" w:lineRule="auto" w:before="0" w:after="0"/>
              <w:pStyle w:val="Compact"/>
            </w:pPr>
            <w:r>
              <w:rPr>
                <w:sz w:val="20"/>
                <w:szCs w:val="20"/>
              </w:rPr>
              <w:t xml:space="preserve">7.606e-08</w:t>
            </w:r>
          </w:p>
        </w:tc>
        <w:tc>
          <w:tcPr>
            <w:tcW w:w="0" w:type="auto"/>
          </w:tcPr>
          <w:p>
            <w:pPr>
              <w:spacing w:line="240" w:lineRule="auto" w:before="0" w:after="0"/>
              <w:pStyle w:val="Compact"/>
            </w:pPr>
            <w:r>
              <w:rPr>
                <w:sz w:val="20"/>
                <w:szCs w:val="20"/>
              </w:rPr>
              <w:t xml:space="preserve">[3.23, 6.9363]</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0.1134</w:t>
            </w:r>
          </w:p>
        </w:tc>
        <w:tc>
          <w:tcPr>
            <w:tcW w:w="0" w:type="auto"/>
          </w:tcPr>
          <w:p>
            <w:pPr>
              <w:spacing w:line="240" w:lineRule="auto" w:before="0" w:after="0"/>
              <w:pStyle w:val="Compact"/>
            </w:pPr>
            <w:r>
              <w:rPr>
                <w:sz w:val="20"/>
                <w:szCs w:val="20"/>
              </w:rPr>
              <w:t xml:space="preserve">0.063</w:t>
            </w:r>
          </w:p>
        </w:tc>
        <w:tc>
          <w:tcPr>
            <w:tcW w:w="0" w:type="auto"/>
          </w:tcPr>
          <w:p>
            <w:pPr>
              <w:spacing w:line="240" w:lineRule="auto" w:before="0" w:after="0"/>
              <w:pStyle w:val="Compact"/>
            </w:pPr>
            <w:r>
              <w:rPr>
                <w:sz w:val="20"/>
                <w:szCs w:val="20"/>
              </w:rPr>
              <w:t xml:space="preserve">1.7999</w:t>
            </w:r>
          </w:p>
        </w:tc>
        <w:tc>
          <w:tcPr>
            <w:tcW w:w="0" w:type="auto"/>
          </w:tcPr>
          <w:p>
            <w:pPr>
              <w:spacing w:line="240" w:lineRule="auto" w:before="0" w:after="0"/>
              <w:pStyle w:val="Compact"/>
            </w:pPr>
            <w:r>
              <w:rPr>
                <w:sz w:val="20"/>
                <w:szCs w:val="20"/>
              </w:rPr>
              <w:t xml:space="preserve">0.0719</w:t>
            </w:r>
          </w:p>
        </w:tc>
        <w:tc>
          <w:tcPr>
            <w:tcW w:w="0" w:type="auto"/>
          </w:tcPr>
          <w:p>
            <w:pPr>
              <w:spacing w:line="240" w:lineRule="auto" w:before="0" w:after="0"/>
              <w:pStyle w:val="Compact"/>
            </w:pPr>
            <w:r>
              <w:rPr>
                <w:sz w:val="20"/>
                <w:szCs w:val="20"/>
              </w:rPr>
              <w:t xml:space="preserve">[-0.0101, 0.2369]</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-0.0079</w:t>
            </w:r>
          </w:p>
        </w:tc>
        <w:tc>
          <w:tcPr>
            <w:tcW w:w="0" w:type="auto"/>
          </w:tcPr>
          <w:p>
            <w:pPr>
              <w:spacing w:line="240" w:lineRule="auto" w:before="0" w:after="0"/>
              <w:pStyle w:val="Compact"/>
            </w:pPr>
            <w:r>
              <w:rPr>
                <w:sz w:val="20"/>
                <w:szCs w:val="20"/>
              </w:rPr>
              <w:t xml:space="preserve">0.0048</w:t>
            </w:r>
          </w:p>
        </w:tc>
        <w:tc>
          <w:tcPr>
            <w:tcW w:w="0" w:type="auto"/>
          </w:tcPr>
          <w:p>
            <w:pPr>
              <w:spacing w:line="240" w:lineRule="auto" w:before="0" w:after="0"/>
              <w:pStyle w:val="Compact"/>
            </w:pPr>
            <w:r>
              <w:rPr>
                <w:sz w:val="20"/>
                <w:szCs w:val="20"/>
              </w:rPr>
              <w:t xml:space="preserve">-1.6508</w:t>
            </w:r>
          </w:p>
        </w:tc>
        <w:tc>
          <w:tcPr>
            <w:tcW w:w="0" w:type="auto"/>
          </w:tcPr>
          <w:p>
            <w:pPr>
              <w:spacing w:line="240" w:lineRule="auto" w:before="0" w:after="0"/>
              <w:pStyle w:val="Compact"/>
            </w:pPr>
            <w:r>
              <w:rPr>
                <w:sz w:val="20"/>
                <w:szCs w:val="20"/>
              </w:rPr>
              <w:t xml:space="preserve">0.0988</w:t>
            </w:r>
          </w:p>
        </w:tc>
        <w:tc>
          <w:tcPr>
            <w:tcW w:w="0" w:type="auto"/>
          </w:tcPr>
          <w:p>
            <w:pPr>
              <w:spacing w:line="240" w:lineRule="auto" w:before="0" w:after="0"/>
              <w:pStyle w:val="Compact"/>
            </w:pPr>
            <w:r>
              <w:rPr>
                <w:sz w:val="20"/>
                <w:szCs w:val="20"/>
              </w:rPr>
              <w:t xml:space="preserve">[-0.0173, 0.0015]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-1.9235</w:t>
            </w:r>
          </w:p>
        </w:tc>
        <w:tc>
          <w:tcPr>
            <w:tcW w:w="0" w:type="auto"/>
          </w:tcPr>
          <w:p>
            <w:pPr>
              <w:spacing w:line="240" w:lineRule="auto" w:before="0" w:after="0"/>
              <w:pStyle w:val="Compact"/>
            </w:pPr>
            <w:r>
              <w:rPr>
                <w:sz w:val="20"/>
                <w:szCs w:val="20"/>
              </w:rPr>
              <w:t xml:space="preserve">0.3871</w:t>
            </w:r>
          </w:p>
        </w:tc>
        <w:tc>
          <w:tcPr>
            <w:tcW w:w="0" w:type="auto"/>
          </w:tcPr>
          <w:p>
            <w:pPr>
              <w:spacing w:line="240" w:lineRule="auto" w:before="0" w:after="0"/>
              <w:pStyle w:val="Compact"/>
            </w:pPr>
            <w:r>
              <w:rPr>
                <w:sz w:val="20"/>
                <w:szCs w:val="20"/>
              </w:rPr>
              <w:t xml:space="preserve">-4.9696</w:t>
            </w:r>
          </w:p>
        </w:tc>
        <w:tc>
          <w:tcPr>
            <w:tcW w:w="0" w:type="auto"/>
          </w:tcPr>
          <w:p>
            <w:pPr>
              <w:spacing w:line="240" w:lineRule="auto" w:before="0" w:after="0"/>
              <w:pStyle w:val="Compact"/>
            </w:pPr>
            <w:r>
              <w:rPr>
                <w:sz w:val="20"/>
                <w:szCs w:val="20"/>
              </w:rPr>
              <w:t xml:space="preserve">6.708e-07</w:t>
            </w:r>
          </w:p>
        </w:tc>
        <w:tc>
          <w:tcPr>
            <w:tcW w:w="0" w:type="auto"/>
          </w:tcPr>
          <w:p>
            <w:pPr>
              <w:spacing w:line="240" w:lineRule="auto" w:before="0" w:after="0"/>
              <w:pStyle w:val="Compact"/>
            </w:pPr>
            <w:r>
              <w:rPr>
                <w:sz w:val="20"/>
                <w:szCs w:val="20"/>
              </w:rPr>
              <w:t xml:space="preserve">[-2.6822, -1.1649]</w:t>
            </w:r>
          </w:p>
        </w:tc>
      </w:tr>
    </w:tbl>
    <w:p>
      <w:pPr>
        <w:pStyle w:val="BodyText"/>
        <w:spacing w:line="480" w:lineRule="auto"/>
        <w:ind w:firstLine="720"/>
      </w:pPr>
      <w:r>
        <w:t xml:space="preserve">Fit: N = 30 R2 = 0.4218 R2_adj = 0.355 F = 8.6729 F_p = 0.000372</w:t>
      </w:r>
    </w:p>
    <w:bookmarkEnd w:id="196"/>
    <w:bookmarkStart w:id="200"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98" name="Picture"/>
            <a:graphic>
              <a:graphicData uri="http://schemas.openxmlformats.org/drawingml/2006/picture">
                <pic:pic>
                  <pic:nvPicPr>
                    <pic:cNvPr descr="D:/Claude_Code/brain/collegium/candidates/dissertations/SPACE_ECON_06/research_papers/p1/paper_fig1.png" id="199" name="Picture"/>
                    <pic:cNvPicPr>
                      <a:picLocks noChangeArrowheads="1" noChangeAspect="1"/>
                    </pic:cNvPicPr>
                  </pic:nvPicPr>
                  <pic:blipFill>
                    <a:blip r:embed="rId19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200"/>
    <w:bookmarkStart w:id="201"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https://amostech.space/year/2020/payload-and-constellation-design-for-a-solar-exclusion-avoiding-cislunar-ssa-fleet/</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10.64861/PFBR4795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https://amostech.space/year/2020/microsat-laser-communication-terminals-and-ir-imaging-payloads-for-space-based-applications/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https://amostech.space/year/2011/operational-collision-risk-management-evaluating-and-mitigating-high-risk-conjunction-events/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10.64861/QSBT6539</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https://amostech.space/year/2022/delay-disruption-tolerant-reinforcement-learning-aurora-based-communication-system-dreams/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10.64861/DXXP4768</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https://amostech.space/year/2014/concepts-for-an-enhanced-cubesat-geo-space-situational-awareness-architecture/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https://amostech.space/year/2021/hiding-in-plain-sight-observing-objects-in-low-lunar-orbit-and-the-l2-dark-cone-from-a-lunar-surface-observatory/</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https://amostech.space/year/2007/samm-2-a-rapid-modular-and-extensible-all-altitude-vis-ir-background-scene-generator/</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10.64861/ZLBP3943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https://amostech.space/year/2022/the-experiment-for-space-radiation-analysis-esra-technology-maturation-of-next-generation-charged-particle-detectors-in-gto/</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10.1016/j.actaastro.2022.05.022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10.1016/j.actaastro.2024.05.045</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10.1016/j.actaastro.2019.08.031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10.1016/j.actaastro.2026.01.050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10.1016/j.actaastro.2025.06.050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10.1016/j.actaastro.2024.08.022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10.1016/j.actaastro.2022.11.046</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10.1016/j.actaastro.2025.10.046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10.1016/j.actaastro.2024.06.033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10.1016/j.actaastro.2024.12.057</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10.1016/j.actaastro.2019.05.010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10.1016/j.actaastro.2023.07.014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Weinzierl 2018: Space the Final Economic Frontier</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International Relations and Economic Dimensions of Trusted Space Data</w:t>
            </w:r>
          </w:p>
        </w:tc>
      </w:tr>
    </w:tbl>
    <w:bookmarkEnd w:id="201"/>
    <w:bookmarkStart w:id="202"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202"/>
    <w:bookmarkEnd w:id="203"/>
    <w:bookmarkStart w:id="211" w:name="X8dfef93ead56619e50f06acf3f052847fa1a448"/>
    <w:p>
      <w:pPr>
        <w:pStyle w:val="Heading2"/>
        <w:spacing w:line="480" w:lineRule="auto"/>
      </w:pPr>
      <w:r>
        <w:t xml:space="preserve">A.2 Attention Accumulation in Disruption from Below is the smallsat/rideshare bus a Christensen low-end disru: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204"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1.1022</w:t>
            </w:r>
          </w:p>
        </w:tc>
        <w:tc>
          <w:tcPr>
            <w:tcW w:w="0" w:type="auto"/>
          </w:tcPr>
          <w:p>
            <w:pPr>
              <w:spacing w:line="240" w:lineRule="auto" w:before="0" w:after="0"/>
              <w:pStyle w:val="Compact"/>
            </w:pPr>
            <w:r>
              <w:rPr>
                <w:sz w:val="20"/>
                <w:szCs w:val="20"/>
              </w:rPr>
              <w:t xml:space="preserve">0.4702</w:t>
            </w:r>
          </w:p>
        </w:tc>
        <w:tc>
          <w:tcPr>
            <w:tcW w:w="0" w:type="auto"/>
          </w:tcPr>
          <w:p>
            <w:pPr>
              <w:spacing w:line="240" w:lineRule="auto" w:before="0" w:after="0"/>
              <w:pStyle w:val="Compact"/>
            </w:pPr>
            <w:r>
              <w:rPr>
                <w:sz w:val="20"/>
                <w:szCs w:val="20"/>
              </w:rPr>
              <w:t xml:space="preserve">2.3439</w:t>
            </w:r>
          </w:p>
        </w:tc>
        <w:tc>
          <w:tcPr>
            <w:tcW w:w="0" w:type="auto"/>
          </w:tcPr>
          <w:p>
            <w:pPr>
              <w:spacing w:line="240" w:lineRule="auto" w:before="0" w:after="0"/>
              <w:pStyle w:val="Compact"/>
            </w:pPr>
            <w:r>
              <w:rPr>
                <w:sz w:val="20"/>
                <w:szCs w:val="20"/>
              </w:rPr>
              <w:t xml:space="preserve">0.0191</w:t>
            </w:r>
          </w:p>
        </w:tc>
        <w:tc>
          <w:tcPr>
            <w:tcW w:w="0" w:type="auto"/>
          </w:tcPr>
          <w:p>
            <w:pPr>
              <w:spacing w:line="240" w:lineRule="auto" w:before="0" w:after="0"/>
              <w:pStyle w:val="Compact"/>
            </w:pPr>
            <w:r>
              <w:rPr>
                <w:sz w:val="20"/>
                <w:szCs w:val="20"/>
              </w:rPr>
              <w:t xml:space="preserve">[0.1806, 2.0238]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-0.1926</w:t>
            </w:r>
          </w:p>
        </w:tc>
        <w:tc>
          <w:tcPr>
            <w:tcW w:w="0" w:type="auto"/>
          </w:tcPr>
          <w:p>
            <w:pPr>
              <w:spacing w:line="240" w:lineRule="auto" w:before="0" w:after="0"/>
              <w:pStyle w:val="Compact"/>
            </w:pPr>
            <w:r>
              <w:rPr>
                <w:sz w:val="20"/>
                <w:szCs w:val="20"/>
              </w:rPr>
              <w:t xml:space="preserve">0.2907</w:t>
            </w:r>
          </w:p>
        </w:tc>
        <w:tc>
          <w:tcPr>
            <w:tcW w:w="0" w:type="auto"/>
          </w:tcPr>
          <w:p>
            <w:pPr>
              <w:spacing w:line="240" w:lineRule="auto" w:before="0" w:after="0"/>
              <w:pStyle w:val="Compact"/>
            </w:pPr>
            <w:r>
              <w:rPr>
                <w:sz w:val="20"/>
                <w:szCs w:val="20"/>
              </w:rPr>
              <w:t xml:space="preserve">-0.6625</w:t>
            </w:r>
          </w:p>
        </w:tc>
        <w:tc>
          <w:tcPr>
            <w:tcW w:w="0" w:type="auto"/>
          </w:tcPr>
          <w:p>
            <w:pPr>
              <w:spacing w:line="240" w:lineRule="auto" w:before="0" w:after="0"/>
              <w:pStyle w:val="Compact"/>
            </w:pPr>
            <w:r>
              <w:rPr>
                <w:sz w:val="20"/>
                <w:szCs w:val="20"/>
              </w:rPr>
              <w:t xml:space="preserve">0.5076</w:t>
            </w:r>
          </w:p>
        </w:tc>
        <w:tc>
          <w:tcPr>
            <w:tcW w:w="0" w:type="auto"/>
          </w:tcPr>
          <w:p>
            <w:pPr>
              <w:spacing w:line="240" w:lineRule="auto" w:before="0" w:after="0"/>
              <w:pStyle w:val="Compact"/>
            </w:pPr>
            <w:r>
              <w:rPr>
                <w:sz w:val="20"/>
                <w:szCs w:val="20"/>
              </w:rPr>
              <w:t xml:space="preserve">[-0.7624, 0.3772]</w:t>
            </w:r>
          </w:p>
        </w:tc>
      </w:tr>
    </w:tbl>
    <w:p>
      <w:pPr>
        <w:pStyle w:val="BodyText"/>
        <w:spacing w:line="480" w:lineRule="auto"/>
        <w:ind w:firstLine="720"/>
      </w:pPr>
      <w:r>
        <w:t xml:space="preserve">Fit: N = 30 R2 = 0.0104 elasticity_b = -0.1926 progress_ratio_2^b = 0.875</w:t>
      </w:r>
    </w:p>
    <w:bookmarkEnd w:id="204"/>
    <w:bookmarkStart w:id="208"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206" name="Picture"/>
            <a:graphic>
              <a:graphicData uri="http://schemas.openxmlformats.org/drawingml/2006/picture">
                <pic:pic>
                  <pic:nvPicPr>
                    <pic:cNvPr descr="D:/Claude_Code/brain/collegium/candidates/dissertations/SPACE_ECON_06/research_papers/p2/paper_fig1.png" id="207" name="Picture"/>
                    <pic:cNvPicPr>
                      <a:picLocks noChangeArrowheads="1" noChangeAspect="1"/>
                    </pic:cNvPicPr>
                  </pic:nvPicPr>
                  <pic:blipFill>
                    <a:blip r:embed="rId20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208"/>
    <w:bookmarkStart w:id="209"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https://amostech.space/year/2020/payload-and-constellation-design-for-a-solar-exclusion-avoiding-cislunar-ssa-fleet/</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10.64861/PFBR4795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https://amostech.space/year/2020/microsat-laser-communication-terminals-and-ir-imaging-payloads-for-space-based-applications/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https://amostech.space/year/2011/operational-collision-risk-management-evaluating-and-mitigating-high-risk-conjunction-events/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10.64861/QSBT6539</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https://amostech.space/year/2022/delay-disruption-tolerant-reinforcement-learning-aurora-based-communication-system-dreams/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10.64861/DXXP4768</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https://amostech.space/year/2014/concepts-for-an-enhanced-cubesat-geo-space-situational-awareness-architecture/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https://amostech.space/year/2021/hiding-in-plain-sight-observing-objects-in-low-lunar-orbit-and-the-l2-dark-cone-from-a-lunar-surface-observatory/</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https://amostech.space/year/2007/samm-2-a-rapid-modular-and-extensible-all-altitude-vis-ir-background-scene-generator/</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10.64861/ZLBP3943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https://amostech.space/year/2022/the-experiment-for-space-radiation-analysis-esra-technology-maturation-of-next-generation-charged-particle-detectors-in-gto/</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10.1016/j.actaastro.2022.05.022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10.1016/j.actaastro.2024.05.045</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171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10.1016/j.actaastro.2019.08.031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10.1016/j.actaastro.2026.01.050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10.1016/j.actaastro.2025.06.050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10.1016/j.actaastro.2024.08.022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10.1016/j.actaastro.2022.11.046</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10.1016/j.actaastro.2025.10.046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10.1016/j.actaastro.2024.06.033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10.1016/j.actaastro.2024.12.057</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10.1016/j.actaastro.2019.05.010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10.1016/j.actaastro.2023.07.014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Weinzierl 2018: Space the Final Economic Frontier</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International Relations and Economic Dimensions of Trusted Space Data</w:t>
            </w:r>
          </w:p>
        </w:tc>
      </w:tr>
    </w:tbl>
    <w:bookmarkEnd w:id="209"/>
    <w:bookmarkStart w:id="210"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210"/>
    <w:bookmarkEnd w:id="211"/>
    <w:bookmarkEnd w:id="21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7" Type="http://schemas.openxmlformats.org/officeDocument/2006/relationships/image" Target="media/rId197.png"/><Relationship Id="rId205" Type="http://schemas.openxmlformats.org/officeDocument/2006/relationships/image" Target="media/rId205.png"/><Relationship Id="rId183" Type="http://schemas.openxmlformats.org/officeDocument/2006/relationships/hyperlink" Target="https://doi.org/10.1016/j.actaastro.2019.08.031" TargetMode="External"/><Relationship Id="rId179" Type="http://schemas.openxmlformats.org/officeDocument/2006/relationships/hyperlink" Target="https://doi.org/10.1016/j.actaastro.2022.05.022" TargetMode="External"/><Relationship Id="rId191" Type="http://schemas.openxmlformats.org/officeDocument/2006/relationships/hyperlink" Target="https://doi.org/10.1016/j.actaastro.2022.11.046" TargetMode="External"/><Relationship Id="rId181" Type="http://schemas.openxmlformats.org/officeDocument/2006/relationships/hyperlink" Target="https://doi.org/10.1016/j.actaastro.2024.05.045" TargetMode="External"/><Relationship Id="rId189" Type="http://schemas.openxmlformats.org/officeDocument/2006/relationships/hyperlink" Target="https://doi.org/10.1016/j.actaastro.2024.08.022" TargetMode="External"/><Relationship Id="rId187" Type="http://schemas.openxmlformats.org/officeDocument/2006/relationships/hyperlink" Target="https://doi.org/10.1016/j.actaastro.2025.06.050" TargetMode="External"/><Relationship Id="rId193" Type="http://schemas.openxmlformats.org/officeDocument/2006/relationships/hyperlink" Target="https://doi.org/10.1016/j.actaastro.2025.10.046" TargetMode="External"/><Relationship Id="rId185" Type="http://schemas.openxmlformats.org/officeDocument/2006/relationships/hyperlink" Target="https://doi.org/10.1016/j.actaastro.2026.01.050" TargetMode="External"/><Relationship Id="rId176" Type="http://schemas.openxmlformats.org/officeDocument/2006/relationships/hyperlink" Target="https://doi.org/10.64861/DXXP4768" TargetMode="External"/><Relationship Id="rId169" Type="http://schemas.openxmlformats.org/officeDocument/2006/relationships/hyperlink" Target="https://doi.org/10.64861/PFBR4795" TargetMode="External"/><Relationship Id="rId173" Type="http://schemas.openxmlformats.org/officeDocument/2006/relationships/hyperlink" Target="https://doi.org/10.64861/QSBT6539" TargetMode="External"/></Relationships>
</file>

<file path=word/_rels/footnotes.xml.rels><?xml version='1.0' encoding='UTF-8' standalone='yes'?>
<Relationships xmlns="http://schemas.openxmlformats.org/package/2006/relationships"><Relationship Id="rId183" Type="http://schemas.openxmlformats.org/officeDocument/2006/relationships/hyperlink" Target="https://doi.org/10.1016/j.actaastro.2019.08.031" TargetMode="External"/><Relationship Id="rId179" Type="http://schemas.openxmlformats.org/officeDocument/2006/relationships/hyperlink" Target="https://doi.org/10.1016/j.actaastro.2022.05.022" TargetMode="External"/><Relationship Id="rId191" Type="http://schemas.openxmlformats.org/officeDocument/2006/relationships/hyperlink" Target="https://doi.org/10.1016/j.actaastro.2022.11.046" TargetMode="External"/><Relationship Id="rId181" Type="http://schemas.openxmlformats.org/officeDocument/2006/relationships/hyperlink" Target="https://doi.org/10.1016/j.actaastro.2024.05.045" TargetMode="External"/><Relationship Id="rId189" Type="http://schemas.openxmlformats.org/officeDocument/2006/relationships/hyperlink" Target="https://doi.org/10.1016/j.actaastro.2024.08.022" TargetMode="External"/><Relationship Id="rId187" Type="http://schemas.openxmlformats.org/officeDocument/2006/relationships/hyperlink" Target="https://doi.org/10.1016/j.actaastro.2025.06.050" TargetMode="External"/><Relationship Id="rId193" Type="http://schemas.openxmlformats.org/officeDocument/2006/relationships/hyperlink" Target="https://doi.org/10.1016/j.actaastro.2025.10.046" TargetMode="External"/><Relationship Id="rId185" Type="http://schemas.openxmlformats.org/officeDocument/2006/relationships/hyperlink" Target="https://doi.org/10.1016/j.actaastro.2026.01.050" TargetMode="External"/><Relationship Id="rId176" Type="http://schemas.openxmlformats.org/officeDocument/2006/relationships/hyperlink" Target="https://doi.org/10.64861/DXXP4768" TargetMode="External"/><Relationship Id="rId169" Type="http://schemas.openxmlformats.org/officeDocument/2006/relationships/hyperlink" Target="https://doi.org/10.64861/PFBR4795" TargetMode="External"/><Relationship Id="rId173" Type="http://schemas.openxmlformats.org/officeDocument/2006/relationships/hyperlink" Target="https://doi.org/10.64861/QSBT65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Disruption from Below: is the smallsat/rideshare bus a Christensen low-end disru</dc:title>
  <dc:creator>Greta Strand (1B-ECO-223)</dc:creator>
  <cp:keywords/>
  <dcterms:created xsi:type="dcterms:W3CDTF">2026-07-02T22:45:53Z</dcterms:created>
  <dcterms:modified xsi:type="dcterms:W3CDTF">2026-07-02T22:45:53Z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