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7c11256c7a9161dce5d076e110a12df7aad098f"/>
    <w:p>
      <w:pPr>
        <w:pStyle w:val="Heading1"/>
      </w:pPr>
      <w:r>
        <w:t xml:space="preserve">Attention Accumulation in Crossing the Chasm in Orbit a market-structure test of whether the smallsat lau: A Learning-Curve Analysis of Citation Growth by Article Age</w:t>
      </w:r>
    </w:p>
    <w:bookmarkStart w:id="61" w:name="introduction"/>
    <w:p>
      <w:pPr>
        <w:pStyle w:val="Heading2"/>
      </w:pPr>
      <w:r>
        <w:t xml:space="preserve">1. Introduction</w:t>
      </w:r>
    </w:p>
    <w:p>
      <w:pPr>
        <w:pStyle w:val="FirstParagraph"/>
      </w:pPr>
      <w:r>
        <w:t xml:space="preserve">This empirical paper supports Zara Patel (1B-ECO-185) and the dissertation project</w:t>
      </w:r>
      <w:r>
        <w:t xml:space="preserve"> </w:t>
      </w:r>
      <w:r>
        <w:rPr>
          <w:i/>
          <w:iCs/>
        </w:rPr>
        <w:t xml:space="preserve">Crossing the Chasm in Orbit: a market-structure test of whether the smallsat lau</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R2=0.026192960481563943, elasticity_b=-0.1665755009341518, progress_ratio_2^b=0.8909550169409641. The exact term summary is: const coef=0.7296931799082396 p=0.007906743693758421; _ln_x coef=-0.1665755009341518 p=0.21122802308154265.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Makena Young, Aerospace Security Project. Trends in Global Space Situational Awareness (2021). [AMOS]</w:t>
      </w:r>
      <w:r>
        <w:t xml:space="preserve"> </w:t>
      </w:r>
      <w:bookmarkStart w:id="68" w:name="ref-2"/>
      <w:bookmarkEnd w:id="68"/>
      <w:r>
        <w:t xml:space="preserve">2. Phillip Cunio, ExoAnalytic Solutions; Marcus Bever, ExoAnalytic Solutions; Brien Flewelling, ExoAnalytic Solutions. Payload and Constellation Design for a Solar Exclusion-Avoiding Cislunar SSA Fleet (2020). [AMOS]</w:t>
      </w:r>
      <w:r>
        <w:t xml:space="preserve"> </w:t>
      </w:r>
      <w:bookmarkStart w:id="69" w:name="ref-3"/>
      <w:bookmarkEnd w:id="69"/>
      <w:r>
        <w:t xml:space="preserve">3. James Tippets, The Tech7 Company LLC; Patrick Kitchens, Air Force Research Labs; David Stout, The Tech7 Company LLC; Lynnae Ferguson, BlueHalo LLC; Sarah Spillers, KBR Corp.; Jackson Jarvie, Parsons. Joint Commercial Operations Common Communications Channel (2025). doi:</w:t>
      </w:r>
      <w:r>
        <w:t xml:space="preserve"> </w:t>
      </w:r>
      <w:hyperlink r:id="rId70">
        <w:r>
          <w:rPr>
            <w:rStyle w:val="Hyperlink"/>
          </w:rPr>
          <w:t xml:space="preserve">10.64861/VZRK7654</w:t>
        </w:r>
      </w:hyperlink>
      <w:r>
        <w:t xml:space="preserve"> </w:t>
      </w:r>
      <w:bookmarkStart w:id="71" w:name="ref-4"/>
      <w:bookmarkEnd w:id="71"/>
      <w:r>
        <w:t xml:space="preserve">4. Kelly Feirstine (Schafer Corporation), J.D. Yarbrough (Schafer Corporation), James Rosprim (Schafer Corporation), Leslie Vaughn (Air Force Research Laboratory, Space Vehicles Directorate), Geoffrey Jenkins (Air Force Research Laboratory, Space Vehicles Directorate), Michael Duggin (Air Force Research Laboratory, Space Vehicles Directorate). A Study of the Effects of Material Type and Configuration on Optical Cross Section (2012). [AMOS]</w:t>
      </w:r>
      <w:r>
        <w:t xml:space="preserve"> </w:t>
      </w:r>
      <w:bookmarkStart w:id="72" w:name="ref-5"/>
      <w:bookmarkEnd w:id="72"/>
      <w:r>
        <w:t xml:space="preserve">5. Oswald Siegmund (University of California). Large Area Flat Panel Imaging Detectors for Astronomy and Night Time Sensing (2013). [AMOS]</w:t>
      </w:r>
      <w:r>
        <w:t xml:space="preserve"> </w:t>
      </w:r>
      <w:bookmarkStart w:id="73" w:name="ref-6"/>
      <w:bookmarkEnd w:id="73"/>
      <w:r>
        <w:t xml:space="preserve">6. Sergei Khatipov (Moscow Engineering Physics Institute (State University). Simulated Aging of Spacecraft External Materials on Orbit (2006). [AMOS]</w:t>
      </w:r>
      <w:r>
        <w:t xml:space="preserve"> </w:t>
      </w:r>
      <w:bookmarkStart w:id="74" w:name="ref-7"/>
      <w:bookmarkEnd w:id="74"/>
      <w:r>
        <w:t xml:space="preserve">7. Anil Chaudhary, Applied Optimization, Tamara Payne, Applied Optimization, Kimberly Kinateder, Wright State University, Phan Dao, AFRL/RV, Elizabeth Beecher, AFRL/RY, Derek Boone, Applied Optimization, Brittany Elliott, Applied Optimization. On-line Flagging of Anomalies and Adaptive Sequential Hypothesis Testing for Fine-feature characterization of Geosynchronous Satellites (2015). [AMOS]</w:t>
      </w:r>
      <w:r>
        <w:t xml:space="preserve"> </w:t>
      </w:r>
      <w:bookmarkStart w:id="75" w:name="ref-8"/>
      <w:bookmarkEnd w:id="75"/>
      <w:r>
        <w:t xml:space="preserve">8. Emma Kerr, Dstl. An Update on the UK Cross-Government SDA Requirements, in Support of the UK’s SDA Strategy (2024). doi:</w:t>
      </w:r>
      <w:r>
        <w:t xml:space="preserve"> </w:t>
      </w:r>
      <w:hyperlink r:id="rId76">
        <w:r>
          <w:rPr>
            <w:rStyle w:val="Hyperlink"/>
          </w:rPr>
          <w:t xml:space="preserve">10.64861/QPJU8378</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0.7297</w:t>
            </w:r>
          </w:p>
        </w:tc>
        <w:tc>
          <w:tcPr>
            <w:tcW w:w="0" w:type="auto"/>
          </w:tcPr>
          <w:p>
            <w:pPr>
              <w:spacing w:line="240" w:lineRule="auto" w:before="0" w:after="0"/>
              <w:pStyle w:val="Compact"/>
            </w:pPr>
            <w:r>
              <w:rPr>
                <w:sz w:val="20"/>
                <w:szCs w:val="20"/>
              </w:rPr>
              <w:t xml:space="preserve">0.2747</w:t>
            </w:r>
          </w:p>
        </w:tc>
        <w:tc>
          <w:tcPr>
            <w:tcW w:w="0" w:type="auto"/>
          </w:tcPr>
          <w:p>
            <w:pPr>
              <w:spacing w:line="240" w:lineRule="auto" w:before="0" w:after="0"/>
              <w:pStyle w:val="Compact"/>
            </w:pPr>
            <w:r>
              <w:rPr>
                <w:sz w:val="20"/>
                <w:szCs w:val="20"/>
              </w:rPr>
              <w:t xml:space="preserve">2.656</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[0.1912, 1.2682]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-0.1666</w:t>
            </w:r>
          </w:p>
        </w:tc>
        <w:tc>
          <w:tcPr>
            <w:tcW w:w="0" w:type="auto"/>
          </w:tcPr>
          <w:p>
            <w:pPr>
              <w:spacing w:line="240" w:lineRule="auto" w:before="0" w:after="0"/>
              <w:pStyle w:val="Compact"/>
            </w:pPr>
            <w:r>
              <w:rPr>
                <w:sz w:val="20"/>
                <w:szCs w:val="20"/>
              </w:rPr>
              <w:t xml:space="preserve">0.1332</w:t>
            </w:r>
          </w:p>
        </w:tc>
        <w:tc>
          <w:tcPr>
            <w:tcW w:w="0" w:type="auto"/>
          </w:tcPr>
          <w:p>
            <w:pPr>
              <w:spacing w:line="240" w:lineRule="auto" w:before="0" w:after="0"/>
              <w:pStyle w:val="Compact"/>
            </w:pPr>
            <w:r>
              <w:rPr>
                <w:sz w:val="20"/>
                <w:szCs w:val="20"/>
              </w:rPr>
              <w:t xml:space="preserve">-1.2502</w:t>
            </w:r>
          </w:p>
        </w:tc>
        <w:tc>
          <w:tcPr>
            <w:tcW w:w="0" w:type="auto"/>
          </w:tcPr>
          <w:p>
            <w:pPr>
              <w:spacing w:line="240" w:lineRule="auto" w:before="0" w:after="0"/>
              <w:pStyle w:val="Compact"/>
            </w:pPr>
            <w:r>
              <w:rPr>
                <w:sz w:val="20"/>
                <w:szCs w:val="20"/>
              </w:rPr>
              <w:t xml:space="preserve">0.2112</w:t>
            </w:r>
          </w:p>
        </w:tc>
        <w:tc>
          <w:tcPr>
            <w:tcW w:w="0" w:type="auto"/>
          </w:tcPr>
          <w:p>
            <w:pPr>
              <w:spacing w:line="240" w:lineRule="auto" w:before="0" w:after="0"/>
              <w:pStyle w:val="Compact"/>
            </w:pPr>
            <w:r>
              <w:rPr>
                <w:sz w:val="20"/>
                <w:szCs w:val="20"/>
              </w:rPr>
              <w:t xml:space="preserve">[-0.4277, 0.0946]</w:t>
            </w:r>
          </w:p>
        </w:tc>
      </w:tr>
    </w:tbl>
    <w:p>
      <w:pPr>
        <w:pStyle w:val="BodyText"/>
      </w:pPr>
      <w:r>
        <w:t xml:space="preserve">Fit: N = 30 R2 = 0.0262 elasticity_b = -0.1666 progress_ratio_2^b = 0.891</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PACE_ECON_05\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https://amostech.space/year/2013/cycle-1-science-status-and-how-to-propose-time-on-sofia/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10.64861/VZRK7654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https://amostech.space/year/2012/a-study-of-the-effects-of-material-type-and-configuration-on-optical-cross-section/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https://amostech.space/year/2013/large-area-flat-panel-imaging-detectors-for-astronomy-and-night-time-sensing/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https://amostech.space/year/2006/simulated-aging-of-spacecraft-external-materials-on-orbit/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https://amostech.space/year/2011/an-update-on-ssa-in-australia/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10.64861/QPJU8378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https://amostech.space/year/2014/spacecraft-orbit-anomaly-representation-using-thrust-fourier-coefficients-with-orbit-determination-toolbox/</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10.1016/j.actaastro.2024.03.074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0.7297</w:t>
            </w:r>
          </w:p>
        </w:tc>
        <w:tc>
          <w:tcPr>
            <w:tcW w:w="0" w:type="auto"/>
          </w:tcPr>
          <w:p>
            <w:pPr>
              <w:spacing w:line="240" w:lineRule="auto" w:before="0" w:after="0"/>
              <w:pStyle w:val="Compact"/>
            </w:pPr>
            <w:r>
              <w:rPr>
                <w:sz w:val="20"/>
                <w:szCs w:val="20"/>
              </w:rPr>
              <w:t xml:space="preserve">0.2747</w:t>
            </w:r>
          </w:p>
        </w:tc>
        <w:tc>
          <w:tcPr>
            <w:tcW w:w="0" w:type="auto"/>
          </w:tcPr>
          <w:p>
            <w:pPr>
              <w:spacing w:line="240" w:lineRule="auto" w:before="0" w:after="0"/>
              <w:pStyle w:val="Compact"/>
            </w:pPr>
            <w:r>
              <w:rPr>
                <w:sz w:val="20"/>
                <w:szCs w:val="20"/>
              </w:rPr>
              <w:t xml:space="preserve">2.656</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[0.1912, 1.2682]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-0.1666</w:t>
            </w:r>
          </w:p>
        </w:tc>
        <w:tc>
          <w:tcPr>
            <w:tcW w:w="0" w:type="auto"/>
          </w:tcPr>
          <w:p>
            <w:pPr>
              <w:spacing w:line="240" w:lineRule="auto" w:before="0" w:after="0"/>
              <w:pStyle w:val="Compact"/>
            </w:pPr>
            <w:r>
              <w:rPr>
                <w:sz w:val="20"/>
                <w:szCs w:val="20"/>
              </w:rPr>
              <w:t xml:space="preserve">0.1332</w:t>
            </w:r>
          </w:p>
        </w:tc>
        <w:tc>
          <w:tcPr>
            <w:tcW w:w="0" w:type="auto"/>
          </w:tcPr>
          <w:p>
            <w:pPr>
              <w:spacing w:line="240" w:lineRule="auto" w:before="0" w:after="0"/>
              <w:pStyle w:val="Compact"/>
            </w:pPr>
            <w:r>
              <w:rPr>
                <w:sz w:val="20"/>
                <w:szCs w:val="20"/>
              </w:rPr>
              <w:t xml:space="preserve">-1.2502</w:t>
            </w:r>
          </w:p>
        </w:tc>
        <w:tc>
          <w:tcPr>
            <w:tcW w:w="0" w:type="auto"/>
          </w:tcPr>
          <w:p>
            <w:pPr>
              <w:spacing w:line="240" w:lineRule="auto" w:before="0" w:after="0"/>
              <w:pStyle w:val="Compact"/>
            </w:pPr>
            <w:r>
              <w:rPr>
                <w:sz w:val="20"/>
                <w:szCs w:val="20"/>
              </w:rPr>
              <w:t xml:space="preserve">0.2112</w:t>
            </w:r>
          </w:p>
        </w:tc>
        <w:tc>
          <w:tcPr>
            <w:tcW w:w="0" w:type="auto"/>
          </w:tcPr>
          <w:p>
            <w:pPr>
              <w:spacing w:line="240" w:lineRule="auto" w:before="0" w:after="0"/>
              <w:pStyle w:val="Compact"/>
            </w:pPr>
            <w:r>
              <w:rPr>
                <w:sz w:val="20"/>
                <w:szCs w:val="20"/>
              </w:rPr>
              <w:t xml:space="preserve">[-0.4277, 0.0946]</w:t>
            </w:r>
          </w:p>
        </w:tc>
      </w:tr>
    </w:tbl>
    <w:p>
      <w:pPr>
        <w:pStyle w:val="BodyText"/>
      </w:pPr>
      <w:r>
        <w:t xml:space="preserve">Fit: N = 30 R2 = 0.0262 elasticity_b = -0.1666 progress_ratio_2^b = 0.891</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6" Target="https://doi.org/10.64861/QPJU8378" TargetMode="External" /><Relationship Type="http://schemas.openxmlformats.org/officeDocument/2006/relationships/hyperlink" Id="rId70" Target="https://doi.org/10.64861/VZRK7654"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QPJU8378" TargetMode="External" /><Relationship Type="http://schemas.openxmlformats.org/officeDocument/2006/relationships/hyperlink" Id="rId70" Target="https://doi.org/10.64861/VZRK765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2026-06-28T19:57:09Z</dcterms:created>
  <dcterms:modified xsi:type="dcterms:W3CDTF">2026-06-28T19:57:09Z</dcterms:modified>
</cp:coreProperties>
</file>

<file path=docProps/custom.xml><?xml version="1.0" encoding="utf-8"?>
<Properties xmlns="http://schemas.openxmlformats.org/officeDocument/2006/custom-properties" xmlns:vt="http://schemas.openxmlformats.org/officeDocument/2006/docPropsVTypes"/>
</file>