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CROSSING THE CHASM IN ORBIT: A MARKET-STRUCTURE TEST OF WHETHER THE SMALLSAT LAU</w:t>
      </w:r>
    </w:p>
    <w:p>
      <w:pPr>
        <w:jc w:val="center"/>
      </w:pPr>
    </w:p>
    <w:p>
      <w:pPr>
        <w:jc w:val="center"/>
      </w:pPr>
      <w:r>
        <w:rPr>
          <w:rFonts w:ascii="Times New Roman" w:hAnsi="Times New Roman"/>
          <w:sz w:val="24"/>
        </w:rPr>
        <w:t>by</w:t>
      </w:r>
    </w:p>
    <w:p>
      <w:pPr>
        <w:jc w:val="center"/>
      </w:pPr>
      <w:r>
        <w:rPr>
          <w:rFonts w:ascii="Times New Roman" w:hAnsi="Times New Roman"/>
          <w:b/>
          <w:sz w:val="28"/>
        </w:rPr>
        <w:t>Zara Patel</w:t>
      </w:r>
    </w:p>
    <w:p>
      <w:pPr>
        <w:jc w:val="center"/>
      </w:pPr>
      <w:r>
        <w:rPr>
          <w:rFonts w:ascii="Times New Roman" w:hAnsi="Times New Roman"/>
          <w:sz w:val="24"/>
        </w:rPr>
        <w:t>1B-ECO-185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Space governance problems tend to arrive early and get named late. A hazard becomes visible in an engineering paper, a launch manifest, or a conference abstract years before any institution agrees on the operating rule that should govern it. The small-satellite launch sector is a case where that lag is easy to see and hard to price. Constellations grow. Rideshare cadence accelerates. The literature that tracks the market moves faster than the governance vocabulary that would discipline it. This dissertation asks a bounded and testable version of the larger question: when a market like smallsat launch is said to be crossing the chasm from niche demonstration to routine commercial activity, does that transition leave a measurable trace in the structure of the literature that documents it?</w:t>
      </w:r>
    </w:p>
    <w:p>
      <w:pPr>
        <w:pStyle w:val="BodyText"/>
        <w:spacing w:line="480" w:lineRule="auto"/>
        <w:ind w:firstLine="720"/>
      </w:pPr>
      <w:r>
        <w:t xml:space="preserve">The framing is deliberately modest. Grand claims about market maturity are common in space-policy writing, and they are rarely falsifiable. A reader is told that a sector has turned a corner, that commercialization is now inevitable, or that a governance regime is overdue, and the reader has no independent way to check the claim against evidence that another analyst could reproduce. This project takes the opposite posture. It treats the retrieved corpus itself as data. It builds deterministic features from the source records that document the smallsat and space-situational-awareness domain, and it runs two transparent estimators over those features to ask whether topic visibility and citation attention are structured by time, by attention, and by the kind of venue where the work appears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61" w:name="the-problem"/>
    <w:p>
      <w:pPr>
        <w:pStyle w:val="Heading2"/>
        <w:spacing w:line="480" w:lineRule="auto"/>
      </w:pPr>
      <w:r>
        <w:t xml:space="preserve">1.1 The problem</w:t>
      </w:r>
    </w:p>
    <w:p>
      <w:pPr>
        <w:pStyle w:val="FirstParagraph"/>
        <w:spacing w:line="480" w:lineRule="auto"/>
      </w:pPr>
      <w:r>
        <w:t xml:space="preserve">The problem has two faces. The first is substantive. Smallsat launch is often described using the language of technology adoption, and the phrase crossing the chasm carries a specific meaning borrowed from that literature: the difficult passage between early adopters and a mainstream market, where many promising technologies stall. Whether orbital launch has actually made that passage is an economic question with governance consequences. If the market has crossed, then the institutions that authorize launches, manage orbital traffic, and price liability need to plan for a mature, high-cadence sector</w:t>
      </w:r>
      <w:r>
        <w:t xml:space="preserve"> </w:t>
      </w:r>
      <w:hyperlink w:anchor="ref-1">
        <w:r>
          <w:rPr>
            <w:rStyle w:val="Hyperlink"/>
          </w:rPr>
          <w:t xml:space="preserve">[1]</w:t>
        </w:r>
      </w:hyperlink>
      <w:r>
        <w:t xml:space="preserve"> </w:t>
      </w:r>
      <w:hyperlink w:anchor="ref-3">
        <w:r>
          <w:rPr>
            <w:rStyle w:val="Hyperlink"/>
          </w:rPr>
          <w:t xml:space="preserve">[3]</w:t>
        </w:r>
      </w:hyperlink>
      <w:r>
        <w:t xml:space="preserve">. If it has not, then the same institutions risk overbuilding for a demand curve that has not materialized. The stakes are asymmetric. The usual evidence is anecdotal.</w:t>
      </w:r>
    </w:p>
    <w:p>
      <w:pPr>
        <w:pStyle w:val="BodyText"/>
        <w:spacing w:line="480" w:lineRule="auto"/>
        <w:ind w:firstLine="720"/>
      </w:pPr>
      <w:r>
        <w:t xml:space="preserve">The second face is methodological. Space economics as a field has a chronic evidence problem. Reliable launch-cost series are proprietary, fragmentary, or contested. Firm-level financials are thin. Government and commercial numbers use incompatible accounting. An honest doctoral project in this area cannot pretend to have a clean panel of transaction prices that it does not have. What it can do is work with the evidence that is actually available and auditable: the documentary record of the field, its timing, its citation behavior, and the venue families through which the work travels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record is a real object. It can be retrieved, coded deterministically, and analyzed with estimators whose every step is inspectable.</w:t>
      </w:r>
    </w:p>
    <w:p>
      <w:pPr>
        <w:pStyle w:val="BodyText"/>
        <w:spacing w:line="480" w:lineRule="auto"/>
        <w:ind w:firstLine="720"/>
      </w:pPr>
      <w:r>
        <w:t xml:space="preserve">Consider how the market question usually gets argued. An analyst points to a rideshare mission that flew eighty payloads, cites a headline price per kilogram, and declares the chasm crossed. Another points to a bankrupt launch startup and declares the opposite. Both are reasoning from selected instances. Neither offers a procedure that a disinterested third party could rerun to reach the same conclusion. The gap this project fills is not a gap in narrative. It is a gap in reproducible inference</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61"/>
    <w:bookmarkStart w:id="62" w:name="Xb3aecafc530cc3033efee9d2cb26741e82ffb42"/>
    <w:p>
      <w:pPr>
        <w:pStyle w:val="Heading2"/>
        <w:spacing w:line="480" w:lineRule="auto"/>
      </w:pPr>
      <w:r>
        <w:t xml:space="preserve">1.2 Why the documentary record is a legitimate object of study</w:t>
      </w:r>
    </w:p>
    <w:p>
      <w:pPr>
        <w:pStyle w:val="FirstParagraph"/>
        <w:spacing w:line="480" w:lineRule="auto"/>
      </w:pPr>
      <w:r>
        <w:t xml:space="preserve">A skeptic might object that the literature about a market is not the market. That objection is correct and is taken seriously throughout this dissertation. The corpus is a proxy, not the phenomenon. But proxies are legitimate when their relationship to the phenomenon is theorized and their limits are stated. Bibliometric structure has a long history as an indicator of where a field is putting its attention, and attention is not free. Researchers, program managers, and firms allocate scarce effort toward problems they judge to be either newly tractable or newly urgent</w:t>
      </w:r>
      <w:r>
        <w:t xml:space="preserve"> </w:t>
      </w:r>
      <w:hyperlink w:anchor="ref-2">
        <w:r>
          <w:rPr>
            <w:rStyle w:val="Hyperlink"/>
          </w:rPr>
          <w:t xml:space="preserve">[2]</w:t>
        </w:r>
      </w:hyperlink>
      <w:r>
        <w:t xml:space="preserve"> </w:t>
      </w:r>
      <w:hyperlink w:anchor="ref-6">
        <w:r>
          <w:rPr>
            <w:rStyle w:val="Hyperlink"/>
          </w:rPr>
          <w:t xml:space="preserve">[6]</w:t>
        </w:r>
      </w:hyperlink>
      <w:r>
        <w:t xml:space="preserve">. When a topic moves from the periphery to the center of a field, the movement typically shows up in the timing of publications, in the venues that begin to carry the work, and in the citations that accumulate around it.</w:t>
      </w:r>
    </w:p>
    <w:p>
      <w:pPr>
        <w:pStyle w:val="BodyText"/>
        <w:spacing w:line="480" w:lineRule="auto"/>
        <w:ind w:firstLine="720"/>
      </w:pPr>
      <w:r>
        <w:t xml:space="preserve">The design rests on that logic. If smallsat launch were genuinely crossing the chasm during the observation window, one plausible signature would be rising topic-signal intensity in more recent records, a tilt toward higher-attention venues, and citation accumulation consistent with a field investing in a maturing problem. The absence of those signatures would be informative in the other direction. It would suggest either that the transition has not yet registered in the documentary record or that the record is too noisy to carry the claim. Both outcomes are scientifically useful, and both are reportable without embarrassment</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corpus assembled here spans three venue families that behave differently. Conference proceedings from the space-surveillance community publish quickly and cite loosely</w:t>
      </w:r>
      <w:r>
        <w:t xml:space="preserve"> </w:t>
      </w:r>
      <w:hyperlink w:anchor="ref-1">
        <w:r>
          <w:rPr>
            <w:rStyle w:val="Hyperlink"/>
          </w:rPr>
          <w:t xml:space="preserve">[1]</w:t>
        </w:r>
      </w:hyperlink>
      <w:r>
        <w:t xml:space="preserve"> </w:t>
      </w:r>
      <w:hyperlink w:anchor="ref-7">
        <w:r>
          <w:rPr>
            <w:rStyle w:val="Hyperlink"/>
          </w:rPr>
          <w:t xml:space="preserve">[7]</w:t>
        </w:r>
      </w:hyperlink>
      <w:r>
        <w:t xml:space="preserve">. Peer-reviewed journal articles in the smallsat and astrodynamics literature move more slowly and accumulate citations over longer horizons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Policy and space-economy writing sits apart again, driven by governance debates rather than by technical priority</w:t>
      </w:r>
      <w:r>
        <w:t xml:space="preserve"> </w:t>
      </w:r>
      <w:hyperlink w:anchor="ref-11">
        <w:r>
          <w:rPr>
            <w:rStyle w:val="Hyperlink"/>
          </w:rPr>
          <w:t xml:space="preserve">[11]</w:t>
        </w:r>
      </w:hyperlink>
      <w:r>
        <w:t xml:space="preserve">. Reading market maturation off a mixed corpus therefore requires the analyst to hold venue family constant, which is exactly what one of the two estimators is built to do.</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makes one falsifiable claim and refuses to smuggle in others. The claim is stated as a null and an alternative.</w:t>
      </w:r>
    </w:p>
    <w:p>
      <w:pPr>
        <w:pStyle w:val="BodyText"/>
        <w:spacing w:line="480" w:lineRule="auto"/>
        <w:ind w:firstLine="720"/>
      </w:pPr>
      <w:r>
        <w:t xml:space="preserve">H0: within the retrieved source corpus, the topic-signal score is unrelated to publication recency, citation attention, and venue family.</w:t>
      </w:r>
    </w:p>
    <w:p>
      <w:pPr>
        <w:pStyle w:val="BodyText"/>
        <w:spacing w:line="480" w:lineRule="auto"/>
        <w:ind w:firstLine="720"/>
      </w:pPr>
      <w:r>
        <w:t xml:space="preserve">H1: within the retrieved source corpus, the topic-signal score is systematically related to publication recency, citation attention, and venue family, with the market-maturation reading predicting positive association with recency and attention.</w:t>
      </w:r>
    </w:p>
    <w:p>
      <w:pPr>
        <w:pStyle w:val="BodyText"/>
        <w:spacing w:line="480" w:lineRule="auto"/>
        <w:ind w:firstLine="720"/>
      </w:pPr>
      <w:r>
        <w:t xml:space="preserve">A companion prediction concerns citation dynamics. If attention accumulates in the way a maturing field would predict, then citation counts should rise with the age of a document along a measurable curve. That prediction is tested with a separate log-log estimator so that the two questions, cross-sectional signal structure and age-based accumulation, are not confounded</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contribution is the test, not a predetermined answer. A doctoral project earns its keep by specifying in advance what evidence would change its mind, and then reporting the estimator output honestly whether or not it flatters the motivating intuition. That discipline is the spine of everything that follows. It also sets the tone for the reporting standard used in Chapter 6, where every coefficient, standard error, and p-value is stated exactly as the workbook produced it, with no rounding toward a preferred story</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63"/>
    <w:bookmarkStart w:id="64" w:name="what-this-dissertation-is-not"/>
    <w:p>
      <w:pPr>
        <w:pStyle w:val="Heading2"/>
        <w:spacing w:line="480" w:lineRule="auto"/>
      </w:pPr>
      <w:r>
        <w:t xml:space="preserve">1.4 What this dissertation is not</w:t>
      </w:r>
    </w:p>
    <w:p>
      <w:pPr>
        <w:pStyle w:val="FirstParagraph"/>
        <w:spacing w:line="480" w:lineRule="auto"/>
      </w:pPr>
      <w:r>
        <w:t xml:space="preserve">It is worth being explicit about the boundaries. This is not a causal study of launch prices. It does not estimate a demand elasticity for orbital access. It does not forecast constellation growth or firm survival. It does not claim that bibliometric structure causes market maturity or that market maturity causes bibliometric structure. The estimators are screens. They characterize the retrieved corpus and ask whether its structure is consistent with a maturation reading. They do not adjudicate the deeper causal story, and the concluding chapters are careful to say so</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restraint is a feature. Space-policy discourse is crowded with confident narratives that cannot be checked. A dissertation that delivers a smaller, reproducible result, with its data provenance intact and its estimator output stated to the decimal, contributes something the confident narratives do not: a claim another researcher can falsify</w:t>
      </w:r>
      <w:r>
        <w:t xml:space="preserve"> </w:t>
      </w:r>
      <w:hyperlink w:anchor="ref-4">
        <w:r>
          <w:rPr>
            <w:rStyle w:val="Hyperlink"/>
          </w:rPr>
          <w:t xml:space="preserve">[4]</w:t>
        </w:r>
      </w:hyperlink>
      <w:r>
        <w:t xml:space="preserve"> </w:t>
      </w:r>
      <w:hyperlink w:anchor="ref-7">
        <w:r>
          <w:rPr>
            <w:rStyle w:val="Hyperlink"/>
          </w:rPr>
          <w:t xml:space="preserve">[7]</w:t>
        </w:r>
      </w:hyperlink>
      <w:r>
        <w:t xml:space="preserve">. When the results turn out to be weak, as Chapter 6 shows they largely are, the weakness is itself a finding. It marks the boundary between what the documentary record can currently support and what a richer transaction-level dataset would be needed to establish</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eight chapters. Chapter 2 situates the project against prior work, drawing on the space-situational-awareness, smallsat systems, and space-economy literatures that populate the source corpus, and identifies the specific gap the design addresses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Chapter 3 develops the theory and states the mechanism that links market maturation to documentary structure, then derives the testable predictions</w:t>
      </w:r>
      <w:r>
        <w:t xml:space="preserve"> </w:t>
      </w:r>
      <w:hyperlink w:anchor="ref-6">
        <w:r>
          <w:rPr>
            <w:rStyle w:val="Hyperlink"/>
          </w:rPr>
          <w:t xml:space="preserve">[6]</w:t>
        </w:r>
      </w:hyperlink>
      <w:r>
        <w:t xml:space="preserve"> </w:t>
      </w:r>
      <w:hyperlink w:anchor="ref-11">
        <w:r>
          <w:rPr>
            <w:rStyle w:val="Hyperlink"/>
          </w:rPr>
          <w:t xml:space="preserve">[11]</w:t>
        </w:r>
      </w:hyperlink>
      <w:r>
        <w:t xml:space="preserve">. Chapter 4 explains the two estimators, an ordinary least squares model of topic-signal intensity and a log-log learning-curve model of citation accumulation, and why each identifies the corpus feature it targets</w:t>
      </w:r>
      <w:r>
        <w:t xml:space="preserve"> </w:t>
      </w:r>
      <w:hyperlink w:anchor="ref-4">
        <w:r>
          <w:rPr>
            <w:rStyle w:val="Hyperlink"/>
          </w:rPr>
          <w:t xml:space="preserve">[4]</w:t>
        </w:r>
      </w:hyperlink>
      <w:r>
        <w:t xml:space="preserve"> </w:t>
      </w:r>
      <w:hyperlink w:anchor="ref-8">
        <w:r>
          <w:rPr>
            <w:rStyle w:val="Hyperlink"/>
          </w:rPr>
          <w:t xml:space="preserve">[8]</w:t>
        </w:r>
      </w:hyperlink>
      <w:r>
        <w:t xml:space="preserve">. Chapter 5 describes the dataset in detail: the thirty retrieved records, the deterministic construction of every variable, the venue-family coding, and the provenance discipline that keeps each row auditable</w:t>
      </w:r>
      <w:r>
        <w:t xml:space="preserve"> </w:t>
      </w:r>
      <w:hyperlink w:anchor="ref-5">
        <w:r>
          <w:rPr>
            <w:rStyle w:val="Hyperlink"/>
          </w:rPr>
          <w:t xml:space="preserve">[5]</w:t>
        </w:r>
      </w:hyperlink>
      <w:r>
        <w:t xml:space="preserve">. Chapter 6 reports the real estimator output exactly as the workbooks produced it, coefficient by coefficient, and interprets the signs and magnitudes without inflating them</w:t>
      </w:r>
      <w:r>
        <w:t xml:space="preserve"> </w:t>
      </w:r>
      <w:hyperlink w:anchor="ref-1">
        <w:r>
          <w:rPr>
            <w:rStyle w:val="Hyperlink"/>
          </w:rPr>
          <w:t xml:space="preserve">[1]</w:t>
        </w:r>
      </w:hyperlink>
      <w:r>
        <w:t xml:space="preserve"> </w:t>
      </w:r>
      <w:hyperlink w:anchor="ref-3">
        <w:r>
          <w:rPr>
            <w:rStyle w:val="Hyperlink"/>
          </w:rPr>
          <w:t xml:space="preserve">[3]</w:t>
        </w:r>
      </w:hyperlink>
      <w:r>
        <w:t xml:space="preserve">. Chapter 7 discusses what the findings mean, catalogs the threats to validity, and states plainly what the data cannot show</w:t>
      </w:r>
      <w:r>
        <w:t xml:space="preserve"> </w:t>
      </w:r>
      <w:hyperlink w:anchor="ref-2">
        <w:r>
          <w:rPr>
            <w:rStyle w:val="Hyperlink"/>
          </w:rPr>
          <w:t xml:space="preserve">[2]</w:t>
        </w:r>
      </w:hyperlink>
      <w:r>
        <w:t xml:space="preserve"> </w:t>
      </w:r>
      <w:hyperlink w:anchor="ref-6">
        <w:r>
          <w:rPr>
            <w:rStyle w:val="Hyperlink"/>
          </w:rPr>
          <w:t xml:space="preserve">[6]</w:t>
        </w:r>
      </w:hyperlink>
      <w:r>
        <w:t xml:space="preserve">. Chapter 8 draws the conclusions, connects them to governance and program relevance, and lays out the more direct document-coding design that a follow-on study would need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reader who finishes the dissertation should be able to trace an unbroken path from source selection, through variable construction, to estimator output, and finally to interpretation, with no step taken on faith. That traceability is the standard the project sets for itself, and it is the standard against which the concluding chapter asks to be judged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5"/>
    <w:bookmarkStart w:id="66" w:name="the-intellectual-wager"/>
    <w:p>
      <w:pPr>
        <w:pStyle w:val="Heading2"/>
        <w:spacing w:line="480" w:lineRule="auto"/>
      </w:pPr>
      <w:r>
        <w:t xml:space="preserve">1.6 The intellectual wager</w:t>
      </w:r>
    </w:p>
    <w:p>
      <w:pPr>
        <w:pStyle w:val="FirstParagraph"/>
        <w:spacing w:line="480" w:lineRule="auto"/>
      </w:pPr>
      <w:r>
        <w:t xml:space="preserve">Every dissertation makes a wager about where the interesting risk lies. Many space-economics projects wager that the hard part is modeling: that if one only had the right structural equation or the right forecasting technique, the market question would yield. This project wagers the opposite. It holds that the binding constraint in space economics is not modeling sophistication but evidentiary discipline, and that the field has too many elaborate models resting on data nobody can inspect</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two estimators used here are deliberately plain, an ordinary least squares regression and a log-log curve that any first-year graduate student could run. The novelty is not in the machinery. It is in the insistence that the machinery be pointed only at data whose every value can be traced to a named source and reconstructed by a stranger</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wager has a cost. A plain estimator on a small, honest corpus will often return a weak or null result, and this one does. A researcher who wanted a striking finding could get one by choosing a richer model, a hand-curated sample, or a proxy tuned until it cooperated. The discipline that forbids those moves is the same discipline that produces the modest result. The bet of this dissertation is that the modest, checkable result is worth more to the field than the striking, uncheckable one, because only the former can be built upon</w:t>
      </w:r>
      <w:r>
        <w:t xml:space="preserve"> </w:t>
      </w:r>
      <w:hyperlink w:anchor="ref-3">
        <w:r>
          <w:rPr>
            <w:rStyle w:val="Hyperlink"/>
          </w:rPr>
          <w:t xml:space="preserve">[3]</w:t>
        </w:r>
      </w:hyperlink>
      <w:r>
        <w:t xml:space="preserve"> </w:t>
      </w:r>
      <w:hyperlink w:anchor="ref-6">
        <w:r>
          <w:rPr>
            <w:rStyle w:val="Hyperlink"/>
          </w:rPr>
          <w:t xml:space="preserve">[6]</w:t>
        </w:r>
      </w:hyperlink>
      <w:r>
        <w:t xml:space="preserve">. Whether that bet pays off is something the reader will judge by the end, but it is stated here at the outset so that no one mistakes the plainness of the tools for a lack of ambition.</w:t>
      </w:r>
    </w:p>
    <w:bookmarkEnd w:id="66"/>
    <w:bookmarkStart w:id="67" w:name="Xe9dcef31345b80d96d0968fba628e8e83188517"/>
    <w:p>
      <w:pPr>
        <w:pStyle w:val="Heading2"/>
        <w:spacing w:line="480" w:lineRule="auto"/>
      </w:pPr>
      <w:r>
        <w:t xml:space="preserve">1.7 Why smallsat launch and not another market</w:t>
      </w:r>
    </w:p>
    <w:p>
      <w:pPr>
        <w:pStyle w:val="FirstParagraph"/>
        <w:spacing w:line="480" w:lineRule="auto"/>
      </w:pPr>
      <w:r>
        <w:t xml:space="preserve">The choice of smallsat launch as the test case is not arbitrary, and it is worth a moment to justify. Among space markets, launch is the one where the crossing-the-chasm language is used most freely and checked least often. It is also the market with the densest surrounding technical literature, because the small satellites that ride to orbit are the subject of a large and active engineering community whose output populates the corpus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That density is an advantage for a documentary study: a market with a thin literature would offer the estimators almost nothing to read, while smallsat launch offers a genuine spread of records across venues, years, and thematic intensity</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5">
        <w:r>
          <w:rPr>
            <w:rStyle w:val="Hyperlink"/>
          </w:rPr>
          <w:t xml:space="preserve">[15]</w:t>
        </w:r>
      </w:hyperlink>
      <w:r>
        <w:t xml:space="preserve">. The case therefore gives the design its fairest chance. If a maturation signal were detectable in any space market’s documentary record, smallsat launch would be a leading candidate, which makes the null result reported later more informative than it would be for a thinly documented sector</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A further consideration is temporal. The two-decade window the corpus spans, from 2006 to 2026, brackets exactly the period in which the small-satellite market is usually said to have transformed, from a curiosity of universities and hobbyists into a segment that anchors commercial constellations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If the transition is real and if it left a documentary trace, the trace should fall inside this window rather than before or after it. The case selection and the observation window are thus matched to the hypothesis, which is a small but important piece of design hygiene: a study that looked for maturation in a window that predated the market’s growth would be testing nothing at all</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67"/>
    <w:bookmarkStart w:id="68" w:name="Xab2542c86de8be911ebdb35d32534d5903eee62"/>
    <w:p>
      <w:pPr>
        <w:pStyle w:val="Heading2"/>
        <w:spacing w:line="480" w:lineRule="auto"/>
      </w:pPr>
      <w:r>
        <w:t xml:space="preserve">1.8 Standards of evidence and the reporting posture</w:t>
      </w:r>
    </w:p>
    <w:p>
      <w:pPr>
        <w:pStyle w:val="FirstParagraph"/>
        <w:spacing w:line="480" w:lineRule="auto"/>
      </w:pPr>
      <w:r>
        <w:t xml:space="preserve">One more matter belongs in the introduction, because it governs how every later chapter is written. The reporting posture of this dissertation is that a number is only as good as its provenance and its stated uncertainty. That posture has three practical rules. First, no estimate appears in the prose without the standard error or p-value that qualifies it, so that the reader never has to guess how much confidence a coefficient can bear</w:t>
      </w:r>
      <w:r>
        <w:t xml:space="preserve"> </w:t>
      </w:r>
      <w:hyperlink w:anchor="ref-4">
        <w:r>
          <w:rPr>
            <w:rStyle w:val="Hyperlink"/>
          </w:rPr>
          <w:t xml:space="preserve">[4]</w:t>
        </w:r>
      </w:hyperlink>
      <w:r>
        <w:t xml:space="preserve"> </w:t>
      </w:r>
      <w:hyperlink w:anchor="ref-8">
        <w:r>
          <w:rPr>
            <w:rStyle w:val="Hyperlink"/>
          </w:rPr>
          <w:t xml:space="preserve">[8]</w:t>
        </w:r>
      </w:hyperlink>
      <w:r>
        <w:t xml:space="preserve">. Second, no interpretation reaches beyond the sign and precision of a specific, named coefficient, so that the argument cannot quietly inflate a suggestive result into a settled one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Third, every variable is defined in a configuration file that travels with the data, so that the meaning of each number is fixed before any modeling begins and cannot be renegotiated after the fact</w:t>
      </w:r>
      <w:r>
        <w:t xml:space="preserve"> </w:t>
      </w:r>
      <w:hyperlink w:anchor="ref-5">
        <w:r>
          <w:rPr>
            <w:rStyle w:val="Hyperlink"/>
          </w:rPr>
          <w:t xml:space="preserve">[5]</w:t>
        </w:r>
      </w:hyperlink>
      <w:r>
        <w:t xml:space="preserve">. These rules are unremarkable in careful empirical work and rare in space-policy writing, and the gap between the two is much of what motivates the project.</w:t>
      </w:r>
    </w:p>
    <w:p>
      <w:pPr>
        <w:pStyle w:val="BodyText"/>
        <w:spacing w:line="480" w:lineRule="auto"/>
        <w:ind w:firstLine="720"/>
      </w:pPr>
      <w:r>
        <w:t xml:space="preserve">The posture also shapes how the null result in Chapter 6 is handled. A weaker discipline would bury a null under qualifications or quietly search for a specification that produced significance. This dissertation does neither. It pre-commits to two estimators in the configuration files, runs them once, and reports whatever they return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When the return is weak, as it is, the weakness is presented as the finding and diagnosed rather than hidden. That is the difference between a study that tests a hypothesis and a study that decorates a conclusion, and the introduction states the difference so that the reader can hold the later chapters to it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Taken together, the problem, the wager, the case, the window, and the reporting posture define a compact and demanding project. It asks one falsifiable question, points two transparent estimators at a fully documented corpus, and reports the answer without embellishment. The chapters that follow carry out that plan and, in the end, invite the reader to check every step</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There is a second reason. Smallsat launch sits at the intersection of the three literatures the corpus draws on. It is an engineering problem, a surveillance problem once the satellites are on orbit, and a governance problem as cadence rises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A test case that touches all three lets the venue-family structure of the corpus do real work, because the same market question is being asked of records that behave very differently in how they publish and cite. The dissertation exploits that heterogeneity rather than wishing it away, and the venue-family control in the first estimator is the direct expression of that choice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68"/>
    <w:bookmarkEnd w:id="69"/>
    <w:bookmarkStart w:id="80" w:name="chapter-2-literature-review"/>
    <w:p>
      <w:pPr>
        <w:pStyle w:val="Heading1"/>
        <w:spacing w:line="480" w:lineRule="auto"/>
      </w:pPr>
      <w:r>
        <w:t xml:space="preserve">Chapter 2: Literature Review</w:t>
      </w:r>
    </w:p>
    <w:p>
      <w:pPr>
        <w:pStyle w:val="FirstParagraph"/>
        <w:spacing w:line="480" w:lineRule="auto"/>
      </w:pPr>
      <w:r>
        <w:t xml:space="preserve">The literatures that bear on this project rarely sit at the same table. One tradition writes about the space market as an economic system, arguing over cost curves, demand, and the conditions for commercial viability. A second tradition writes about the space environment as an engineering and surveillance problem, cataloging objects, tracking maneuvers, and characterizing hardware</w:t>
      </w:r>
      <w:r>
        <w:t xml:space="preserve"> </w:t>
      </w:r>
      <w:hyperlink w:anchor="ref-1">
        <w:r>
          <w:rPr>
            <w:rStyle w:val="Hyperlink"/>
          </w:rPr>
          <w:t xml:space="preserve">[1]</w:t>
        </w:r>
      </w:hyperlink>
      <w:r>
        <w:t xml:space="preserve"> </w:t>
      </w:r>
      <w:hyperlink w:anchor="ref-7">
        <w:r>
          <w:rPr>
            <w:rStyle w:val="Hyperlink"/>
          </w:rPr>
          <w:t xml:space="preserve">[7]</w:t>
        </w:r>
      </w:hyperlink>
      <w:r>
        <w:t xml:space="preserve">. A third writes about governance, norms, and sustainability, and treats the market and the environment as things to be regulated rather than measured</w:t>
      </w:r>
      <w:r>
        <w:t xml:space="preserve"> </w:t>
      </w:r>
      <w:hyperlink w:anchor="ref-11">
        <w:r>
          <w:rPr>
            <w:rStyle w:val="Hyperlink"/>
          </w:rPr>
          <w:t xml:space="preserve">[11]</w:t>
        </w:r>
      </w:hyperlink>
      <w:r>
        <w:t xml:space="preserve">. This chapter reads across all three, because the corpus this dissertation analyzes is drawn from all three, and because the gap the project fills lies precisely in the seams between them.</w:t>
      </w:r>
    </w:p>
    <w:bookmarkStart w:id="70" w:name="the-market-maturation-frame"/>
    <w:p>
      <w:pPr>
        <w:pStyle w:val="Heading2"/>
        <w:spacing w:line="480" w:lineRule="auto"/>
      </w:pPr>
      <w:r>
        <w:t xml:space="preserve">2.1 The market-maturation frame</w:t>
      </w:r>
    </w:p>
    <w:p>
      <w:pPr>
        <w:pStyle w:val="FirstParagraph"/>
        <w:spacing w:line="480" w:lineRule="auto"/>
      </w:pPr>
      <w:r>
        <w:t xml:space="preserve">The organizing metaphor of the dissertation, crossing the chasm, comes from the technology-adoption literature, where it names the failure-prone gap between early enthusiasts and a self-sustaining mainstream market. Applied to orbital launch, the metaphor asks whether smallsat access has moved from a fragile early market into a durable one. The economic writing on space resources gives the question analytic content. Recent work on how potential space-resource markets should be evaluated insists that market claims be tied to explicit valuation criteria rather than to booster rhetoric, and it warns against treating demonstration activity as proof of a functioning market</w:t>
      </w:r>
      <w:r>
        <w:t xml:space="preserve"> </w:t>
      </w:r>
      <w:hyperlink w:anchor="ref-11">
        <w:r>
          <w:rPr>
            <w:rStyle w:val="Hyperlink"/>
          </w:rPr>
          <w:t xml:space="preserve">[11]</w:t>
        </w:r>
      </w:hyperlink>
      <w:r>
        <w:t xml:space="preserve">. That caution is the intellectual backbone of this project. If a market claim cannot be evaluated against a stated procedure, it is not yet a scientific claim.</w:t>
      </w:r>
    </w:p>
    <w:p>
      <w:pPr>
        <w:pStyle w:val="BodyText"/>
        <w:spacing w:line="480" w:lineRule="auto"/>
        <w:ind w:firstLine="720"/>
      </w:pPr>
      <w:r>
        <w:t xml:space="preserve">The space-economy literature also supplies the governance stakes. Work on space sustainability and on whole-of-nation coordination argues that commercial, civil, and military uses of orbit share a common set of externalities, and that a maturing launch market raises the pressure on norms for traffic, debris, and authorization</w:t>
      </w:r>
      <w:r>
        <w:t xml:space="preserve"> </w:t>
      </w:r>
      <w:hyperlink w:anchor="ref-11">
        <w:r>
          <w:rPr>
            <w:rStyle w:val="Hyperlink"/>
          </w:rPr>
          <w:t xml:space="preserve">[11]</w:t>
        </w:r>
      </w:hyperlink>
      <w:r>
        <w:t xml:space="preserve">. The maturation question is therefore not academic. Whether the chasm has been crossed changes how urgently these coordination problems must be solved. The literature states the stakes clearly. What it does not do is offer a reproducible measurement of where the transition actually stands.</w:t>
      </w:r>
    </w:p>
    <w:bookmarkEnd w:id="70"/>
    <w:bookmarkStart w:id="71" w:name="the-smallsat-systems-literature"/>
    <w:p>
      <w:pPr>
        <w:pStyle w:val="Heading2"/>
        <w:spacing w:line="480" w:lineRule="auto"/>
      </w:pPr>
      <w:r>
        <w:t xml:space="preserve">2.2 The smallsat systems literature</w:t>
      </w:r>
    </w:p>
    <w:p>
      <w:pPr>
        <w:pStyle w:val="FirstParagraph"/>
        <w:spacing w:line="480" w:lineRule="auto"/>
      </w:pPr>
      <w:r>
        <w:t xml:space="preserve">Underneath the economic frame sits a large body of engineering work on the small satellites themselves, and this literature is the physical substrate of the market. Advances in propulsion, power, and integration are what make high-cadence smallsat deployment feasible in the first place. Endurance testing of novel CubeSat thrusters shows the field pushing toward propulsion systems that extend mission life and enable formation keeping</w:t>
      </w:r>
      <w:r>
        <w:t xml:space="preserve"> </w:t>
      </w:r>
      <w:hyperlink w:anchor="ref-12">
        <w:r>
          <w:rPr>
            <w:rStyle w:val="Hyperlink"/>
          </w:rPr>
          <w:t xml:space="preserve">[12]</w:t>
        </w:r>
      </w:hyperlink>
      <w:r>
        <w:t xml:space="preserve">. Deployable solar-array designs on rigid-flex boards address the power constraints that limit what a small platform can do</w:t>
      </w:r>
      <w:r>
        <w:t xml:space="preserve"> </w:t>
      </w:r>
      <w:hyperlink w:anchor="ref-14">
        <w:r>
          <w:rPr>
            <w:rStyle w:val="Hyperlink"/>
          </w:rPr>
          <w:t xml:space="preserve">[14]</w:t>
        </w:r>
      </w:hyperlink>
      <w:r>
        <w:t xml:space="preserve">. Payload-management architectures for multi-payload smallsats reflect a field learning to industrialize integration rather than hand-build each spacecraft</w:t>
      </w:r>
      <w:r>
        <w:t xml:space="preserve"> </w:t>
      </w:r>
      <w:hyperlink w:anchor="ref-13">
        <w:r>
          <w:rPr>
            <w:rStyle w:val="Hyperlink"/>
          </w:rPr>
          <w:t xml:space="preserve">[13]</w:t>
        </w:r>
      </w:hyperlink>
      <w:r>
        <w:t xml:space="preserve">. Precise impact sensors and resistive sensing architectures show the same maturation in the sensing subsystems that constellations depend on</w:t>
      </w:r>
      <w:r>
        <w:t xml:space="preserve"> </w:t>
      </w:r>
      <w:hyperlink w:anchor="ref-15">
        <w:r>
          <w:rPr>
            <w:rStyle w:val="Hyperlink"/>
          </w:rPr>
          <w:t xml:space="preserve">[15]</w:t>
        </w:r>
      </w:hyperlink>
      <w:r>
        <w:t xml:space="preserve">.</w:t>
      </w:r>
    </w:p>
    <w:p>
      <w:pPr>
        <w:pStyle w:val="BodyText"/>
        <w:spacing w:line="480" w:lineRule="auto"/>
        <w:ind w:firstLine="720"/>
      </w:pPr>
      <w:r>
        <w:t xml:space="preserve">These are the papers of a field getting better at building the product. They matter to the maturation question because a market cannot cross the chasm while its underlying hardware is still bespoke. Reading the timing and attention structure of this literature is one way to ask whether the engineering base has settled into the kind of repeatable practice that a mainstream market requires</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corpus for this dissertation deliberately includes these records so that the estimators can test whether recent, technically dense work carries a stronger topic signal than older work.</w:t>
      </w:r>
    </w:p>
    <w:bookmarkEnd w:id="71"/>
    <w:bookmarkStart w:id="72" w:name="Xce3b81bbe89d011656980b045b880a833efda64"/>
    <w:p>
      <w:pPr>
        <w:pStyle w:val="Heading2"/>
        <w:spacing w:line="480" w:lineRule="auto"/>
      </w:pPr>
      <w:r>
        <w:t xml:space="preserve">2.3 Navigation, formation flight, and constellation operations</w:t>
      </w:r>
    </w:p>
    <w:p>
      <w:pPr>
        <w:pStyle w:val="FirstParagraph"/>
        <w:spacing w:line="480" w:lineRule="auto"/>
      </w:pPr>
      <w:r>
        <w:t xml:space="preserve">A market of many small satellites is a market of coordinated small satellites, and a distinct strand of the literature addresses how such fleets fly together. Formation flying using differential-drag control demonstrates that clusters can hold relative geometry without propellant-hungry maneuvers, a capability that lowers the operating cost of a constellation</w:t>
      </w:r>
      <w:r>
        <w:t xml:space="preserve"> </w:t>
      </w:r>
      <w:hyperlink w:anchor="ref-9">
        <w:r>
          <w:rPr>
            <w:rStyle w:val="Hyperlink"/>
          </w:rPr>
          <w:t xml:space="preserve">[9]</w:t>
        </w:r>
      </w:hyperlink>
      <w:r>
        <w:t xml:space="preserve">. Work on relative navigation for CubeSat rendezvous, framed around integer-ambiguity resolution in carrier-phase positioning, shows the field solving the precise-positioning problems that servicing and proximity operations require</w:t>
      </w:r>
      <w:r>
        <w:t xml:space="preserve"> </w:t>
      </w:r>
      <w:hyperlink w:anchor="ref-10">
        <w:r>
          <w:rPr>
            <w:rStyle w:val="Hyperlink"/>
          </w:rPr>
          <w:t xml:space="preserve">[10]</w:t>
        </w:r>
      </w:hyperlink>
      <w:r>
        <w:t xml:space="preserve">. Studies of unstable resonant orbits and their interconnections extend the same operational sophistication into the cislunar regime, where the next round of market expansion is often projected to occur</w:t>
      </w:r>
      <w:r>
        <w:t xml:space="preserve"> </w:t>
      </w:r>
      <w:hyperlink w:anchor="ref-16">
        <w:r>
          <w:rPr>
            <w:rStyle w:val="Hyperlink"/>
          </w:rPr>
          <w:t xml:space="preserve">[16]</w:t>
        </w:r>
      </w:hyperlink>
      <w:r>
        <w:t xml:space="preserve">.</w:t>
      </w:r>
    </w:p>
    <w:p>
      <w:pPr>
        <w:pStyle w:val="BodyText"/>
        <w:spacing w:line="480" w:lineRule="auto"/>
        <w:ind w:firstLine="720"/>
      </w:pPr>
      <w:r>
        <w:t xml:space="preserve">This strand matters because operational maturity is a leading indicator of market maturity. A field that has learned to fly formations, resolve relative position, and exploit resonant structure is a field whose products can be deployed at scale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presence of such work in the recent corpus is exactly the kind of signature the maturation reading predicts. Whether that signature is strong enough to register in the estimators is an empirical question, and the answer, reported later, is more sobering than the qualitative reading would suggest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72"/>
    <w:bookmarkStart w:id="73" w:name="Xc125ebc4ec8590d41923ca94f97cc75100040fd"/>
    <w:p>
      <w:pPr>
        <w:pStyle w:val="Heading2"/>
        <w:spacing w:line="480" w:lineRule="auto"/>
      </w:pPr>
      <w:r>
        <w:t xml:space="preserve">2.4 The space-situational-awareness and surveillance literature</w:t>
      </w:r>
    </w:p>
    <w:p>
      <w:pPr>
        <w:pStyle w:val="FirstParagraph"/>
        <w:spacing w:line="480" w:lineRule="auto"/>
      </w:pPr>
      <w:r>
        <w:t xml:space="preserve">The oldest and densest part of the corpus is the space-surveillance literature, much of it from the conference community that tracks resident space objects and characterizes their behavior. Trend surveys of global space-situational-awareness activity document a field that has grown steadily as orbital traffic has increased</w:t>
      </w:r>
      <w:r>
        <w:t xml:space="preserve"> </w:t>
      </w:r>
      <w:hyperlink w:anchor="ref-1">
        <w:r>
          <w:rPr>
            <w:rStyle w:val="Hyperlink"/>
          </w:rPr>
          <w:t xml:space="preserve">[1]</w:t>
        </w:r>
      </w:hyperlink>
      <w:r>
        <w:t xml:space="preserve">. Constellation and payload designs for cislunar surveillance show the surveillance community anticipating the same expansion the market literature projects</w:t>
      </w:r>
      <w:r>
        <w:t xml:space="preserve"> </w:t>
      </w:r>
      <w:hyperlink w:anchor="ref-2">
        <w:r>
          <w:rPr>
            <w:rStyle w:val="Hyperlink"/>
          </w:rPr>
          <w:t xml:space="preserve">[2]</w:t>
        </w:r>
      </w:hyperlink>
      <w:r>
        <w:t xml:space="preserve">. Work on joint commercial operations and shared communications channels reflects an operational community learning to coordinate across firms and agencies</w:t>
      </w:r>
      <w:r>
        <w:t xml:space="preserve"> </w:t>
      </w:r>
      <w:hyperlink w:anchor="ref-3">
        <w:r>
          <w:rPr>
            <w:rStyle w:val="Hyperlink"/>
          </w:rPr>
          <w:t xml:space="preserve">[3]</w:t>
        </w:r>
      </w:hyperlink>
      <w:r>
        <w:t xml:space="preserve">. Studies on anomaly flagging and adaptive hypothesis testing for characterizing geosynchronous satellites show the field building the analytic tooling to keep pace with a busier sky</w:t>
      </w:r>
      <w:r>
        <w:t xml:space="preserve"> </w:t>
      </w:r>
      <w:hyperlink w:anchor="ref-7">
        <w:r>
          <w:rPr>
            <w:rStyle w:val="Hyperlink"/>
          </w:rPr>
          <w:t xml:space="preserve">[7]</w:t>
        </w:r>
      </w:hyperlink>
      <w:r>
        <w:t xml:space="preserve">.</w:t>
      </w:r>
    </w:p>
    <w:p>
      <w:pPr>
        <w:pStyle w:val="BodyText"/>
        <w:spacing w:line="480" w:lineRule="auto"/>
        <w:ind w:firstLine="720"/>
      </w:pPr>
      <w:r>
        <w:t xml:space="preserve">Complementary hardware and materials studies round out the surveillance record. Analyses of optical cross section as a function of material and configuration inform how objects are detected and identified</w:t>
      </w:r>
      <w:r>
        <w:t xml:space="preserve"> </w:t>
      </w:r>
      <w:hyperlink w:anchor="ref-4">
        <w:r>
          <w:rPr>
            <w:rStyle w:val="Hyperlink"/>
          </w:rPr>
          <w:t xml:space="preserve">[4]</w:t>
        </w:r>
      </w:hyperlink>
      <w:r>
        <w:t xml:space="preserve">. Work on large-area imaging detectors addresses the sensor side of the same problem</w:t>
      </w:r>
      <w:r>
        <w:t xml:space="preserve"> </w:t>
      </w:r>
      <w:hyperlink w:anchor="ref-5">
        <w:r>
          <w:rPr>
            <w:rStyle w:val="Hyperlink"/>
          </w:rPr>
          <w:t xml:space="preserve">[5]</w:t>
        </w:r>
      </w:hyperlink>
      <w:r>
        <w:t xml:space="preserve">. Studies of on-orbit material aging speak to how object signatures change over time</w:t>
      </w:r>
      <w:r>
        <w:t xml:space="preserve"> </w:t>
      </w:r>
      <w:hyperlink w:anchor="ref-6">
        <w:r>
          <w:rPr>
            <w:rStyle w:val="Hyperlink"/>
          </w:rPr>
          <w:t xml:space="preserve">[6]</w:t>
        </w:r>
      </w:hyperlink>
      <w:r>
        <w:t xml:space="preserve">. National surveillance strategy documents, such as updates on cross-government requirements, show governments formalizing what was once ad hoc practice</w:t>
      </w:r>
      <w:r>
        <w:t xml:space="preserve"> </w:t>
      </w:r>
      <w:hyperlink w:anchor="ref-8">
        <w:r>
          <w:rPr>
            <w:rStyle w:val="Hyperlink"/>
          </w:rPr>
          <w:t xml:space="preserve">[8]</w:t>
        </w:r>
      </w:hyperlink>
      <w:r>
        <w:t xml:space="preserve">.</w:t>
      </w:r>
    </w:p>
    <w:p>
      <w:pPr>
        <w:pStyle w:val="BodyText"/>
        <w:spacing w:line="480" w:lineRule="auto"/>
        <w:ind w:firstLine="720"/>
      </w:pPr>
      <w:r>
        <w:t xml:space="preserve">This literature is indispensable to the corpus but also introduces the central measurement hazard. Surveillance proceedings publish fast and cite loosely, which means their citation counts understate their influence and their recency overstates their novelty relative to slower journal venues</w:t>
      </w:r>
      <w:r>
        <w:t xml:space="preserve"> </w:t>
      </w:r>
      <w:hyperlink w:anchor="ref-1">
        <w:r>
          <w:rPr>
            <w:rStyle w:val="Hyperlink"/>
          </w:rPr>
          <w:t xml:space="preserve">[1]</w:t>
        </w:r>
      </w:hyperlink>
      <w:r>
        <w:t xml:space="preserve"> </w:t>
      </w:r>
      <w:hyperlink w:anchor="ref-7">
        <w:r>
          <w:rPr>
            <w:rStyle w:val="Hyperlink"/>
          </w:rPr>
          <w:t xml:space="preserve">[7]</w:t>
        </w:r>
      </w:hyperlink>
      <w:r>
        <w:t xml:space="preserve">. Any estimator that reads market maturation off citation and timing structure must reckon with this venue heterogeneity, and Chapter 4 explains how the venue-family control is meant to do so.</w:t>
      </w:r>
    </w:p>
    <w:bookmarkEnd w:id="73"/>
    <w:bookmarkStart w:id="74" w:name="the-gap"/>
    <w:p>
      <w:pPr>
        <w:pStyle w:val="Heading2"/>
        <w:spacing w:line="480" w:lineRule="auto"/>
      </w:pPr>
      <w:r>
        <w:t xml:space="preserve">2.5 The gap</w:t>
      </w:r>
    </w:p>
    <w:p>
      <w:pPr>
        <w:pStyle w:val="FirstParagraph"/>
        <w:spacing w:line="480" w:lineRule="auto"/>
      </w:pPr>
      <w:r>
        <w:t xml:space="preserve">Two gaps organize the contribution. The first is between technical visibility and institutional explanation. The surveillance and systems literatures document operational risk and capability in detail, but they do not explain why governance language around the market hardens or stays loose, and the economic literature that would supply that explanation rarely engages the technical record directly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The second gap is between policy salience and measurement. Citation attention, publication recency, and venue family plainly carry information about how a topic is distributed across a field, yet the space-economy literature treats these signals impressionistically rather than estimating them</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dissertation responds by converting the literature into an auditable design. Source records become rows. Variables are constructed from observable metadata fields. Interpretation is held inside the estimator output rather than projected beyond it. This is a narrow response to a broad problem, and it is offered as a first, reproducible step rather than as a finished account of market maturation</w:t>
      </w:r>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chapters that follow build the theory that justifies the design, specify the estimators, describe the data, and report what the estimators actually found.</w:t>
      </w:r>
    </w:p>
    <w:bookmarkEnd w:id="74"/>
    <w:bookmarkStart w:id="75" w:name="bibliometrics-as-an-economic-instrument"/>
    <w:p>
      <w:pPr>
        <w:pStyle w:val="Heading2"/>
        <w:spacing w:line="480" w:lineRule="auto"/>
      </w:pPr>
      <w:r>
        <w:t xml:space="preserve">2.6 Bibliometrics as an economic instrument</w:t>
      </w:r>
    </w:p>
    <w:p>
      <w:pPr>
        <w:pStyle w:val="FirstParagraph"/>
        <w:spacing w:line="480" w:lineRule="auto"/>
      </w:pPr>
      <w:r>
        <w:t xml:space="preserve">The move that makes this dissertation possible is treating the literature as an economic instrument rather than as background reading, and that move has a lineage worth naming. In fields where transaction data are scarce, analysts have long read publication and citation patterns as revealed indicators of where scarce research effort is being spent. The logic is that effort follows expected return, whether that return is scientific, commercial, or reputational, and that the documentary trail therefore encodes a distributed judgment about which problems the field considers worth solving</w:t>
      </w:r>
      <w:r>
        <w:t xml:space="preserve"> </w:t>
      </w:r>
      <w:hyperlink w:anchor="ref-2">
        <w:r>
          <w:rPr>
            <w:rStyle w:val="Hyperlink"/>
          </w:rPr>
          <w:t xml:space="preserve">[2]</w:t>
        </w:r>
      </w:hyperlink>
      <w:r>
        <w:t xml:space="preserve"> </w:t>
      </w:r>
      <w:hyperlink w:anchor="ref-6">
        <w:r>
          <w:rPr>
            <w:rStyle w:val="Hyperlink"/>
          </w:rPr>
          <w:t xml:space="preserve">[6]</w:t>
        </w:r>
      </w:hyperlink>
      <w:r>
        <w:t xml:space="preserve">. Space is a nearly ideal setting for this substitution, because its transaction data are unusually poor while its documentary record is unusually rich, thanks to an active conference and journal ecosystem that publishes prolifically</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instrument is imperfect, and the literature that uses it is candid about the imperfections. Citation counts lag the work they measure, they favor accessible venues, and they reward review articles over primary contributions in ways that distort any simple reading</w:t>
      </w:r>
      <w:r>
        <w:t xml:space="preserve"> </w:t>
      </w:r>
      <w:hyperlink w:anchor="ref-5">
        <w:r>
          <w:rPr>
            <w:rStyle w:val="Hyperlink"/>
          </w:rPr>
          <w:t xml:space="preserve">[5]</w:t>
        </w:r>
      </w:hyperlink>
      <w:r>
        <w:t xml:space="preserve"> </w:t>
      </w:r>
      <w:hyperlink w:anchor="ref-7">
        <w:r>
          <w:rPr>
            <w:rStyle w:val="Hyperlink"/>
          </w:rPr>
          <w:t xml:space="preserve">[7]</w:t>
        </w:r>
      </w:hyperlink>
      <w:r>
        <w:t xml:space="preserve">. Recency can reflect a burst of hype as easily as a genuine shift in the field’s center of gravity. Venue coding compresses a continuous reality into a few categories. This dissertation does not claim to have solved these problems. It claims only to have made them explicit and to have built the estimators so that each imperfection maps onto a stated limitation rather than onto a hidden bias</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contribution is not a cleaner instrument. It is a more honest accounting of a dirty one.</w:t>
      </w:r>
    </w:p>
    <w:bookmarkEnd w:id="75"/>
    <w:bookmarkStart w:id="76" w:name="Xa580402404345476ab59d6b9428759d97a590fa"/>
    <w:p>
      <w:pPr>
        <w:pStyle w:val="Heading2"/>
        <w:spacing w:line="480" w:lineRule="auto"/>
      </w:pPr>
      <w:r>
        <w:t xml:space="preserve">2.7 What the smallsat literature reveals about industrialization</w:t>
      </w:r>
    </w:p>
    <w:p>
      <w:pPr>
        <w:pStyle w:val="FirstParagraph"/>
        <w:spacing w:line="480" w:lineRule="auto"/>
      </w:pPr>
      <w:r>
        <w:t xml:space="preserve">Reading the smallsat systems papers together, a pattern emerges that bears directly on the maturation question, even if the estimators later fail to certify it. The papers describe a field moving from bespoke construction toward repeatable production. Payload-management architectures treat integration as a standardizable process rather than a per-mission craft</w:t>
      </w:r>
      <w:r>
        <w:t xml:space="preserve"> </w:t>
      </w:r>
      <w:hyperlink w:anchor="ref-13">
        <w:r>
          <w:rPr>
            <w:rStyle w:val="Hyperlink"/>
          </w:rPr>
          <w:t xml:space="preserve">[13]</w:t>
        </w:r>
      </w:hyperlink>
      <w:r>
        <w:t xml:space="preserve">. Deployable-array and propulsion work targets the subsystems that most constrain how many satellites a program can field and how long they last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Sensing architectures aim at precision at low cost, which is the signature of a product being engineered for volume rather than for a single flagship</w:t>
      </w:r>
      <w:r>
        <w:t xml:space="preserve"> </w:t>
      </w:r>
      <w:hyperlink w:anchor="ref-15">
        <w:r>
          <w:rPr>
            <w:rStyle w:val="Hyperlink"/>
          </w:rPr>
          <w:t xml:space="preserve">[15]</w:t>
        </w:r>
      </w:hyperlink>
      <w:r>
        <w:t xml:space="preserve">. Each of these is, in isolation, a technical advance. Together they read like the industrialization of a product class.</w:t>
      </w:r>
    </w:p>
    <w:p>
      <w:pPr>
        <w:pStyle w:val="BodyText"/>
        <w:spacing w:line="480" w:lineRule="auto"/>
        <w:ind w:firstLine="720"/>
      </w:pPr>
      <w:r>
        <w:t xml:space="preserve">Industrialization is the physical correlate of crossing the chasm. A market cannot become mainstream while its product is hand-built, because hand-building caps volume and holds cost high. The presence of industrialization-oriented work in the recent corpus is therefore exactly what the maturation reading would predict, and it is why the qualitative literature so often asserts that the chasm has been crossed</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tension this dissertation surfaces is that the qualitative reading and the quantitative screen disagree. The papers describe industrialization; the estimators cannot detect a corresponding maturation signal in the metadata. Resolving that tension, rather than choosing a side by assertion, is precisely the work the design forces into the open</w:t>
      </w:r>
      <w:r>
        <w:t xml:space="preserve"> </w:t>
      </w:r>
      <w:hyperlink w:anchor="ref-7">
        <w:r>
          <w:rPr>
            <w:rStyle w:val="Hyperlink"/>
          </w:rPr>
          <w:t xml:space="preserve">[7]</w:t>
        </w:r>
      </w:hyperlink>
      <w:r>
        <w:t xml:space="preserve"> </w:t>
      </w:r>
      <w:hyperlink w:anchor="ref-15">
        <w:r>
          <w:rPr>
            <w:rStyle w:val="Hyperlink"/>
          </w:rPr>
          <w:t xml:space="preserve">[15]</w:t>
        </w:r>
      </w:hyperlink>
      <w:r>
        <w:t xml:space="preserve">.</w:t>
      </w:r>
    </w:p>
    <w:bookmarkEnd w:id="76"/>
    <w:bookmarkStart w:id="77" w:name="X84213b12fd48ae5e2b1e9fb70df0c3277d10083"/>
    <w:p>
      <w:pPr>
        <w:pStyle w:val="Heading2"/>
        <w:spacing w:line="480" w:lineRule="auto"/>
      </w:pPr>
      <w:r>
        <w:t xml:space="preserve">2.8 The governance literature and the timing problem</w:t>
      </w:r>
    </w:p>
    <w:p>
      <w:pPr>
        <w:pStyle w:val="FirstParagraph"/>
        <w:spacing w:line="480" w:lineRule="auto"/>
      </w:pPr>
      <w:r>
        <w:t xml:space="preserve">The governance strand of the corpus adds a temporal dimension that the technical strands lack. Sustainability and coordination writing is concerned less with whether capability exists than with whether institutions are ready for the capability’s consequences, and its central anxiety is timing: the fear that governance will lag the market and that the lag will be paid for in debris, congestion, and conflict</w:t>
      </w:r>
      <w:r>
        <w:t xml:space="preserve"> </w:t>
      </w:r>
      <w:hyperlink w:anchor="ref-11">
        <w:r>
          <w:rPr>
            <w:rStyle w:val="Hyperlink"/>
          </w:rPr>
          <w:t xml:space="preserve">[11]</w:t>
        </w:r>
      </w:hyperlink>
      <w:r>
        <w:t xml:space="preserve">. This literature treats the maturation question as urgent precisely because the answer sets the clock on a set of hard coordination problems. If the market has crossed, the clock is already running.</w:t>
      </w:r>
    </w:p>
    <w:p>
      <w:pPr>
        <w:pStyle w:val="BodyText"/>
        <w:spacing w:line="480" w:lineRule="auto"/>
        <w:ind w:firstLine="720"/>
      </w:pPr>
      <w:r>
        <w:t xml:space="preserve">The governance writing also supplies the clearest statement of why a checkable maturation test matters. Institutions cannot afford to build capacity on rumor, but they also cannot afford to wait for certainty that never arrives in a fast-moving sector</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 reproducible screen that says, honestly, what the documentary evidence can and cannot certify is worth more to a governance body than either a confident forecast or a counsel of paralysis. This dissertation positions itself as a contribution to that middle path: not a prediction of when the chasm will be crossed, but a disciplined report on what the current record can and cannot show about whether it has been</w:t>
      </w:r>
      <w:r>
        <w:t xml:space="preserve"> </w:t>
      </w:r>
      <w:hyperlink w:anchor="ref-8">
        <w:r>
          <w:rPr>
            <w:rStyle w:val="Hyperlink"/>
          </w:rPr>
          <w:t xml:space="preserve">[8]</w:t>
        </w:r>
      </w:hyperlink>
      <w:r>
        <w:t xml:space="preserve"> </w:t>
      </w:r>
      <w:hyperlink w:anchor="ref-16">
        <w:r>
          <w:rPr>
            <w:rStyle w:val="Hyperlink"/>
          </w:rPr>
          <w:t xml:space="preserve">[16]</w:t>
        </w:r>
      </w:hyperlink>
      <w:r>
        <w:t xml:space="preserve">. The literature review thus closes where the theory chapter opens, with the claim that the field’s real need is not another confident narrative but a way to test the narratives it already has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77"/>
    <w:bookmarkStart w:id="78" w:name="X26964468d08ad9217e81709f9b4aac27ac80366"/>
    <w:p>
      <w:pPr>
        <w:pStyle w:val="Heading2"/>
        <w:spacing w:line="480" w:lineRule="auto"/>
      </w:pPr>
      <w:r>
        <w:t xml:space="preserve">2.9 Cislunar expansion and the frontier of the market</w:t>
      </w:r>
    </w:p>
    <w:p>
      <w:pPr>
        <w:pStyle w:val="FirstParagraph"/>
        <w:spacing w:line="480" w:lineRule="auto"/>
      </w:pPr>
      <w:r>
        <w:t xml:space="preserve">A forward-looking strand of the corpus points past current orbits toward the cislunar regime, and it deserves separate attention because it is where the maturation narrative most often projects the market’s next chapter. Work on detecting interconnections between unstable resonant orbits shows the astrodynamics community mapping the highways along which cislunar traffic would move, using techniques that treat the chaotic dynamics of the Earth-Moon system as a structure to be exploited rather than avoided</w:t>
      </w:r>
      <w:r>
        <w:t xml:space="preserve"> </w:t>
      </w:r>
      <w:hyperlink w:anchor="ref-16">
        <w:r>
          <w:rPr>
            <w:rStyle w:val="Hyperlink"/>
          </w:rPr>
          <w:t xml:space="preserve">[16]</w:t>
        </w:r>
      </w:hyperlink>
      <w:r>
        <w:t xml:space="preserve">. Constellation and payload designs for cislunar surveillance show the surveillance community preparing to watch a volume of space that is currently almost unmonitored</w:t>
      </w:r>
      <w:r>
        <w:t xml:space="preserve"> </w:t>
      </w:r>
      <w:hyperlink w:anchor="ref-2">
        <w:r>
          <w:rPr>
            <w:rStyle w:val="Hyperlink"/>
          </w:rPr>
          <w:t xml:space="preserve">[2]</w:t>
        </w:r>
      </w:hyperlink>
      <w:r>
        <w:t xml:space="preserve">. Together these records sketch a frontier that is technically anticipated well before it is commercially populated.</w:t>
      </w:r>
    </w:p>
    <w:p>
      <w:pPr>
        <w:pStyle w:val="BodyText"/>
        <w:spacing w:line="480" w:lineRule="auto"/>
        <w:ind w:firstLine="720"/>
      </w:pPr>
      <w:r>
        <w:t xml:space="preserve">For the maturation question this frontier work is double-edged. Read one way, its presence in the recent corpus is evidence of a field confident enough in the near-Earth market to invest attention in the next one, which is the behavior of a maturing sector</w:t>
      </w:r>
      <w:r>
        <w:t xml:space="preserve"> </w:t>
      </w:r>
      <w:hyperlink w:anchor="ref-9">
        <w:r>
          <w:rPr>
            <w:rStyle w:val="Hyperlink"/>
          </w:rPr>
          <w:t xml:space="preserve">[9]</w:t>
        </w:r>
      </w:hyperlink>
      <w:r>
        <w:t xml:space="preserve"> </w:t>
      </w:r>
      <w:hyperlink w:anchor="ref-16">
        <w:r>
          <w:rPr>
            <w:rStyle w:val="Hyperlink"/>
          </w:rPr>
          <w:t xml:space="preserve">[16]</w:t>
        </w:r>
      </w:hyperlink>
      <w:r>
        <w:t xml:space="preserve">. Read another way, the frontier work is aspirational, describing capabilities for a market that does not yet exist, and its thematic density may reflect enthusiasm rather than transition</w:t>
      </w:r>
      <w:r>
        <w:t xml:space="preserve"> </w:t>
      </w:r>
      <w:hyperlink w:anchor="ref-11">
        <w:r>
          <w:rPr>
            <w:rStyle w:val="Hyperlink"/>
          </w:rPr>
          <w:t xml:space="preserve">[11]</w:t>
        </w:r>
      </w:hyperlink>
      <w:r>
        <w:t xml:space="preserve">. The dissertation does not resolve which reading is correct, but it notes that cislunar records enter the corpus and therefore enter the estimators, contributing to the recency and venue structure the models read. Their presence is one more reason the venue-family control matters, since frontier journal work behaves differently from established conference practice</w:t>
      </w:r>
      <w:r>
        <w:t xml:space="preserve"> </w:t>
      </w:r>
      <w:hyperlink w:anchor="ref-7">
        <w:r>
          <w:rPr>
            <w:rStyle w:val="Hyperlink"/>
          </w:rPr>
          <w:t xml:space="preserve">[7]</w:t>
        </w:r>
      </w:hyperlink>
      <w:r>
        <w:t xml:space="preserve"> </w:t>
      </w:r>
      <w:hyperlink w:anchor="ref-15">
        <w:r>
          <w:rPr>
            <w:rStyle w:val="Hyperlink"/>
          </w:rPr>
          <w:t xml:space="preserve">[15]</w:t>
        </w:r>
      </w:hyperlink>
      <w:r>
        <w:t xml:space="preserve">.</w:t>
      </w:r>
    </w:p>
    <w:bookmarkEnd w:id="78"/>
    <w:bookmarkStart w:id="79" w:name="X1f0d9ac05bcd50f050e8c3f72b5ed0a3396fa6a"/>
    <w:p>
      <w:pPr>
        <w:pStyle w:val="Heading2"/>
        <w:spacing w:line="480" w:lineRule="auto"/>
      </w:pPr>
      <w:r>
        <w:t xml:space="preserve">2.10 The measurement literature on venue effects</w:t>
      </w:r>
    </w:p>
    <w:p>
      <w:pPr>
        <w:pStyle w:val="FirstParagraph"/>
        <w:spacing w:line="480" w:lineRule="auto"/>
      </w:pPr>
      <w:r>
        <w:t xml:space="preserve">A final body of work informs the single most important control in the design: the treatment of venue family. The measurement tradition has long warned that publication and citation behavior differ systematically across venue types, so that comparing a conference paper to a journal article on raw citation counts compares two things measured on different scales</w:t>
      </w:r>
      <w:r>
        <w:t xml:space="preserve"> </w:t>
      </w:r>
      <w:hyperlink w:anchor="ref-1">
        <w:r>
          <w:rPr>
            <w:rStyle w:val="Hyperlink"/>
          </w:rPr>
          <w:t xml:space="preserve">[1]</w:t>
        </w:r>
      </w:hyperlink>
      <w:r>
        <w:t xml:space="preserve"> </w:t>
      </w:r>
      <w:hyperlink w:anchor="ref-7">
        <w:r>
          <w:rPr>
            <w:rStyle w:val="Hyperlink"/>
          </w:rPr>
          <w:t xml:space="preserve">[7]</w:t>
        </w:r>
      </w:hyperlink>
      <w:r>
        <w:t xml:space="preserve">. Conference proceedings in the space-surveillance community publish quickly, circulate widely in practice, and are cited sparingly in the formal record, so their citation counts understate their influence</w:t>
      </w:r>
      <w:r>
        <w:t xml:space="preserve"> </w:t>
      </w:r>
      <w:hyperlink w:anchor="ref-1">
        <w:r>
          <w:rPr>
            <w:rStyle w:val="Hyperlink"/>
          </w:rPr>
          <w:t xml:space="preserve">[1]</w:t>
        </w:r>
      </w:hyperlink>
      <w:r>
        <w:t xml:space="preserve"> </w:t>
      </w:r>
      <w:hyperlink w:anchor="ref-4">
        <w:r>
          <w:rPr>
            <w:rStyle w:val="Hyperlink"/>
          </w:rPr>
          <w:t xml:space="preserve">[4]</w:t>
        </w:r>
      </w:hyperlink>
      <w:r>
        <w:t xml:space="preserve">. Journal articles accumulate citations more slowly but more completely, so their counts are more faithful but lag the work by years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Policy and economics venues follow yet another pattern, driven by debate cycles rather than by technical priority</w:t>
      </w:r>
      <w:r>
        <w:t xml:space="preserve"> </w:t>
      </w:r>
      <w:hyperlink w:anchor="ref-11">
        <w:r>
          <w:rPr>
            <w:rStyle w:val="Hyperlink"/>
          </w:rPr>
          <w:t xml:space="preserve">[11]</w:t>
        </w:r>
      </w:hyperlink>
      <w:r>
        <w:t xml:space="preserve">.</w:t>
      </w:r>
    </w:p>
    <w:p>
      <w:pPr>
        <w:pStyle w:val="BodyText"/>
        <w:spacing w:line="480" w:lineRule="auto"/>
        <w:ind w:firstLine="720"/>
      </w:pPr>
      <w:r>
        <w:t xml:space="preserve">This literature is why the first estimator includes a venue-family term at all. Without it, any apparent relationship between citation attention and topic signal would be confounded by the simple fact that the corpus mixes venue types with incompatible citation cultures</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control is coarse, as later chapters concede, but the measurement literature establishes that some control is essential, and that omitting it would be a more serious error than including an imperfect one. The dissertation’s engagement with this literature is therefore not incidental. It is the source of the design choice that most distinguishes the first estimator from a naive regression, and it is the reason the venue coefficient, however imprecise it turns out to be, earns its place in the model</w:t>
      </w:r>
      <w:r>
        <w:t xml:space="preserve"> </w:t>
      </w:r>
      <w:hyperlink w:anchor="ref-8">
        <w:r>
          <w:rPr>
            <w:rStyle w:val="Hyperlink"/>
          </w:rPr>
          <w:t xml:space="preserve">[8]</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Reading these strands together yields a coherent picture of a literature that is rich, active, and internally uneven. The technical strands document real capability and real industrialization; the governance strand documents real urgency; the measurement strand supplies the cautions that keep both from being overread</w:t>
      </w:r>
      <w:r>
        <w:t xml:space="preserve"> </w:t>
      </w:r>
      <w:hyperlink w:anchor="ref-1">
        <w:r>
          <w:rPr>
            <w:rStyle w:val="Hyperlink"/>
          </w:rPr>
          <w:t xml:space="preserve">[1]</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What no strand supplies is a reproducible verdict on the maturation question, and that absence is the gap the design fills. The dissertation does not add a new claim to the pile. It adds a way to test the claims already there, which is a different and, for a field this crowded with confident assertion, more useful kind of contribution</w:t>
      </w:r>
      <w:r>
        <w:t xml:space="preserve"> </w:t>
      </w:r>
      <w:hyperlink w:anchor="ref-3">
        <w:r>
          <w:rPr>
            <w:rStyle w:val="Hyperlink"/>
          </w:rPr>
          <w:t xml:space="preserve">[3]</w:t>
        </w:r>
      </w:hyperlink>
      <w:r>
        <w:t xml:space="preserve"> </w:t>
      </w:r>
      <w:hyperlink w:anchor="ref-8">
        <w:r>
          <w:rPr>
            <w:rStyle w:val="Hyperlink"/>
          </w:rPr>
          <w:t xml:space="preserve">[8]</w:t>
        </w:r>
      </w:hyperlink>
      <w:r>
        <w:t xml:space="preserve"> </w:t>
      </w:r>
      <w:hyperlink w:anchor="ref-15">
        <w:r>
          <w:rPr>
            <w:rStyle w:val="Hyperlink"/>
          </w:rPr>
          <w:t xml:space="preserve">[15]</w:t>
        </w:r>
      </w:hyperlink>
      <w:r>
        <w:t xml:space="preserve">.</w:t>
      </w:r>
    </w:p>
    <w:bookmarkEnd w:id="79"/>
    <w:bookmarkEnd w:id="80"/>
    <w:bookmarkStart w:id="93" w:name="X4278fcd22e64b581a7f6894c30bdb3ba9a20257"/>
    <w:p>
      <w:pPr>
        <w:pStyle w:val="Heading1"/>
        <w:spacing w:line="480" w:lineRule="auto"/>
      </w:pPr>
      <w:r>
        <w:t xml:space="preserve">Chapter 3: Theoretical Framework and Hypotheses</w:t>
      </w:r>
    </w:p>
    <w:p>
      <w:pPr>
        <w:pStyle w:val="FirstParagraph"/>
        <w:spacing w:line="480" w:lineRule="auto"/>
      </w:pPr>
      <w:r>
        <w:t xml:space="preserve">A test needs a theory behind it, or it is only a computation. This chapter states the mechanism that would connect a maturing market to the structure of the documentary record, derives the predictions that follow from that mechanism, and names the rival explanations that could produce the same patterns for reasons that have nothing to do with maturation. The theory is intentionally small. Its virtue is that it says, in advance, what each possible result would mean.</w:t>
      </w:r>
    </w:p>
    <w:bookmarkStart w:id="81" w:name="X8f50f2190cce3514b971987140567c20d227240"/>
    <w:p>
      <w:pPr>
        <w:pStyle w:val="Heading2"/>
        <w:spacing w:line="480" w:lineRule="auto"/>
      </w:pPr>
      <w:r>
        <w:t xml:space="preserve">3.1 The core mechanism: attention as a scarce, allocated resource</w:t>
      </w:r>
    </w:p>
    <w:p>
      <w:pPr>
        <w:pStyle w:val="FirstParagraph"/>
        <w:spacing w:line="480" w:lineRule="auto"/>
      </w:pPr>
      <w:r>
        <w:t xml:space="preserve">The mechanism begins with a simple economic premise. Attention in a technical field is scarce and it is allocated. Researchers, engineers, program managers, and firms decide where to spend limited effort, and they spend it on problems they judge to be newly tractable, newly urgent, or newly profitable</w:t>
      </w:r>
      <w:r>
        <w:t xml:space="preserve"> </w:t>
      </w:r>
      <w:hyperlink w:anchor="ref-2">
        <w:r>
          <w:rPr>
            <w:rStyle w:val="Hyperlink"/>
          </w:rPr>
          <w:t xml:space="preserve">[2]</w:t>
        </w:r>
      </w:hyperlink>
      <w:r>
        <w:t xml:space="preserve"> </w:t>
      </w:r>
      <w:hyperlink w:anchor="ref-6">
        <w:r>
          <w:rPr>
            <w:rStyle w:val="Hyperlink"/>
          </w:rPr>
          <w:t xml:space="preserve">[6]</w:t>
        </w:r>
      </w:hyperlink>
      <w:r>
        <w:t xml:space="preserve">. A market crossing the chasm is, by construction, a market becoming more tractable and more profitable at once. The passage from early adopters to a mainstream market is the passage from a problem that a few enthusiasts pursue to a problem that the field as a whole invests in.</w:t>
      </w:r>
    </w:p>
    <w:p>
      <w:pPr>
        <w:pStyle w:val="BodyText"/>
        <w:spacing w:line="480" w:lineRule="auto"/>
        <w:ind w:firstLine="720"/>
      </w:pPr>
      <w:r>
        <w:t xml:space="preserve">If that premise holds, then the reallocation of attention should be observable in the documentary record. Three observable channels follow. Publication timing should tilt toward the present as the field commits more effort to the problem. Venue structure should shift as the work migrates from niche outlets toward higher-attention journals and formal proceedings. Citation accumulation should follow the age-graded pattern of a field that is building on its own recent output rather than rediscovering old results</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3">
        <w:r>
          <w:rPr>
            <w:rStyle w:val="Hyperlink"/>
          </w:rPr>
          <w:t xml:space="preserve">[13]</w:t>
        </w:r>
      </w:hyperlink>
      <w:r>
        <w:t xml:space="preserve">. None of these channels is the market itself. Each is a downstream trace of the same underlying reallocation, and each can be measured from metadata that another analyst could retrieve and recode.</w:t>
      </w:r>
    </w:p>
    <w:bookmarkEnd w:id="81"/>
    <w:bookmarkStart w:id="82" w:name="Xda21e509d463d039a21f4bb13eb52b0ee93c49b"/>
    <w:p>
      <w:pPr>
        <w:pStyle w:val="Heading2"/>
        <w:spacing w:line="480" w:lineRule="auto"/>
      </w:pPr>
      <w:r>
        <w:t xml:space="preserve">3.2 From mechanism to the topic-signal construct</w:t>
      </w:r>
    </w:p>
    <w:p>
      <w:pPr>
        <w:pStyle w:val="FirstParagraph"/>
        <w:spacing w:line="480" w:lineRule="auto"/>
      </w:pPr>
      <w:r>
        <w:t xml:space="preserve">To test the mechanism, the abstract idea of topic visibility has to become a number. The construct used here is a topic-signal score built deterministically from term hits in each record’s title, snippet, keyword field, and author metadata. The score is high when a record is densely about the candidate theme and low when the theme appears only in passing. This construction deliberately avoids human judgment at the coding step, because a maturation claim that depends on a coder’s discretion is not reproducible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mechanism makes a directional prediction about this construct. If the market is maturing, then topic-signal intensity should be higher in more recent records, higher where citation attention is greater, and structured across venue families in a way consistent with migration toward higher-attention outlets. The prediction is directional, not merely associational, which matters for how the null is written. A maturation reading is not confirmed by any association; it is confirmed by association with the right signs.</w:t>
      </w:r>
    </w:p>
    <w:bookmarkEnd w:id="82"/>
    <w:bookmarkStart w:id="83" w:name="Xd9f01e41d6815cf8ad55f5e7644493930a413a4"/>
    <w:p>
      <w:pPr>
        <w:pStyle w:val="Heading2"/>
        <w:spacing w:line="480" w:lineRule="auto"/>
      </w:pPr>
      <w:r>
        <w:t xml:space="preserve">3.3 Hypothesis 1: cross-sectional signal structure</w:t>
      </w:r>
    </w:p>
    <w:p>
      <w:pPr>
        <w:pStyle w:val="FirstParagraph"/>
        <w:spacing w:line="480" w:lineRule="auto"/>
      </w:pPr>
      <w:r>
        <w:t xml:space="preserve">The first hypothesis concerns the cross section of the corpus at the record level.</w:t>
      </w:r>
    </w:p>
    <w:p>
      <w:pPr>
        <w:pStyle w:val="BodyText"/>
        <w:spacing w:line="480" w:lineRule="auto"/>
        <w:ind w:firstLine="720"/>
      </w:pPr>
      <w:r>
        <w:t xml:space="preserve">H0: the topic-signal score is unrelated to publication recency, citation attention, and venue family.</w:t>
      </w:r>
    </w:p>
    <w:p>
      <w:pPr>
        <w:pStyle w:val="BodyText"/>
        <w:spacing w:line="480" w:lineRule="auto"/>
        <w:ind w:firstLine="720"/>
      </w:pPr>
      <w:r>
        <w:t xml:space="preserve">H1: the topic-signal score is systematically related to these predictors, with the maturation reading predicting a positive coefficient on recency and on citation attention.</w:t>
      </w:r>
    </w:p>
    <w:p>
      <w:pPr>
        <w:pStyle w:val="BodyText"/>
        <w:spacing w:line="480" w:lineRule="auto"/>
        <w:ind w:firstLine="720"/>
      </w:pPr>
      <w:r>
        <w:t xml:space="preserve">This hypothesis is estimated with an ordinary least squares model whose specification is stated in Chapter 4 and whose output is reported in Chapter 6. The theoretical payoff is clean. A positive, precise recency coefficient would be consistent with a field concentrating recent effort on the theme. A positive, precise citation coefficient would be consistent with attention flowing toward theme-dense work. A venue coefficient would show whether the theme is carried disproportionately by higher-attention venues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The theory does not require all three to move together, but it does tell us how to read each one.</w:t>
      </w:r>
    </w:p>
    <w:bookmarkEnd w:id="83"/>
    <w:bookmarkStart w:id="84" w:name="X536911da2ee01c07767fb61e48a89cb51704134"/>
    <w:p>
      <w:pPr>
        <w:pStyle w:val="Heading2"/>
        <w:spacing w:line="480" w:lineRule="auto"/>
      </w:pPr>
      <w:r>
        <w:t xml:space="preserve">3.4 Hypothesis 2: age-graded citation accumulation</w:t>
      </w:r>
    </w:p>
    <w:p>
      <w:pPr>
        <w:pStyle w:val="FirstParagraph"/>
        <w:spacing w:line="480" w:lineRule="auto"/>
      </w:pPr>
      <w:r>
        <w:t xml:space="preserve">The second hypothesis concerns dynamics rather than cross-sectional structure, and it is deliberately separated so that the two questions do not contaminate each other.</w:t>
      </w:r>
    </w:p>
    <w:p>
      <w:pPr>
        <w:pStyle w:val="BodyText"/>
        <w:spacing w:line="480" w:lineRule="auto"/>
        <w:ind w:firstLine="720"/>
      </w:pPr>
      <w:r>
        <w:t xml:space="preserve">H0: citation accumulation is unrelated to article age in the retrieved topic literature.</w:t>
      </w:r>
    </w:p>
    <w:p>
      <w:pPr>
        <w:pStyle w:val="BodyText"/>
        <w:spacing w:line="480" w:lineRule="auto"/>
        <w:ind w:firstLine="720"/>
      </w:pPr>
      <w:r>
        <w:t xml:space="preserve">H1: citation accumulation follows a measurable age-based curve.</w:t>
      </w:r>
    </w:p>
    <w:p>
      <w:pPr>
        <w:pStyle w:val="BodyText"/>
        <w:spacing w:line="480" w:lineRule="auto"/>
        <w:ind w:firstLine="720"/>
      </w:pPr>
      <w:r>
        <w:t xml:space="preserve">The functional form is a log-log learning curve, which expresses the elasticity of citation accumulation with respect to document age. A learning-curve form is appropriate because citation growth, like production learning, is expected to be multiplicative rather than additive: each additional year of exposure scales accumulated attention by a proportion rather than adding a constant</w:t>
      </w:r>
      <w:r>
        <w:t xml:space="preserve"> </w:t>
      </w:r>
      <w:hyperlink w:anchor="ref-6">
        <w:r>
          <w:rPr>
            <w:rStyle w:val="Hyperlink"/>
          </w:rPr>
          <w:t xml:space="preserve">[6]</w:t>
        </w:r>
      </w:hyperlink>
      <w:r>
        <w:t xml:space="preserve"> </w:t>
      </w:r>
      <w:hyperlink w:anchor="ref-12">
        <w:r>
          <w:rPr>
            <w:rStyle w:val="Hyperlink"/>
          </w:rPr>
          <w:t xml:space="preserve">[12]</w:t>
        </w:r>
      </w:hyperlink>
      <w:r>
        <w:t xml:space="preserve">. The elasticity that the model returns has a direct interpretation. A positive elasticity would say older documents have accumulated more citations, the ordinary pattern for a field where attention compounds with exposure. A negative elasticity would say the opposite, that recent documents already carry the attention, which would be the surprising signature of a field whose center of gravity has shifted abruptly toward the present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84"/>
    <w:bookmarkStart w:id="85" w:name="rival-explanations"/>
    <w:p>
      <w:pPr>
        <w:pStyle w:val="Heading2"/>
        <w:spacing w:line="480" w:lineRule="auto"/>
      </w:pPr>
      <w:r>
        <w:t xml:space="preserve">3.5 Rival explanations</w:t>
      </w:r>
    </w:p>
    <w:p>
      <w:pPr>
        <w:pStyle w:val="FirstParagraph"/>
        <w:spacing w:line="480" w:lineRule="auto"/>
      </w:pPr>
      <w:r>
        <w:t xml:space="preserve">A responsible framework names the ways it could be fooled. Four rivals stand out.</w:t>
      </w:r>
    </w:p>
    <w:p>
      <w:pPr>
        <w:pStyle w:val="BodyText"/>
        <w:spacing w:line="480" w:lineRule="auto"/>
        <w:ind w:firstLine="720"/>
      </w:pPr>
      <w:r>
        <w:t xml:space="preserve">The first rival is venue heterogeneity. Conference proceedings and journals differ systematically in how fast they publish and how they are cited, so an apparent maturation signal could be an artifact of which venues happen to populate the corpus</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venue-family control is the design response, but a control on three ordinal categories cannot fully absorb the difference.</w:t>
      </w:r>
    </w:p>
    <w:p>
      <w:pPr>
        <w:pStyle w:val="BodyText"/>
        <w:spacing w:line="480" w:lineRule="auto"/>
        <w:ind w:firstLine="720"/>
      </w:pPr>
      <w:r>
        <w:t xml:space="preserve">The second rival is coverage bias in the citation index. The local index reports zero citations for many records, including recent journal articles that will accrue citations later and conference papers that are influential but seldom formally cited</w:t>
      </w:r>
      <w:r>
        <w:t xml:space="preserve"> </w:t>
      </w:r>
      <w:hyperlink w:anchor="ref-5">
        <w:r>
          <w:rPr>
            <w:rStyle w:val="Hyperlink"/>
          </w:rPr>
          <w:t xml:space="preserve">[5]</w:t>
        </w:r>
      </w:hyperlink>
      <w:r>
        <w:t xml:space="preserve"> </w:t>
      </w:r>
      <w:hyperlink w:anchor="ref-7">
        <w:r>
          <w:rPr>
            <w:rStyle w:val="Hyperlink"/>
          </w:rPr>
          <w:t xml:space="preserve">[7]</w:t>
        </w:r>
      </w:hyperlink>
      <w:r>
        <w:t xml:space="preserve">. If uncited records are not missing at random, the citation coefficient and the age elasticity will be biased in ways the model cannot diagnose from within.</w:t>
      </w:r>
    </w:p>
    <w:p>
      <w:pPr>
        <w:pStyle w:val="BodyText"/>
        <w:spacing w:line="480" w:lineRule="auto"/>
        <w:ind w:firstLine="720"/>
      </w:pPr>
      <w:r>
        <w:t xml:space="preserve">The third rival is age confounding recency. Recency and age are near-mirror transformations of publication year, so any pattern attributed to one could be a repackaging of the other. Separating the two hypotheses into two estimators reduces but does not eliminate this hazard</w:t>
      </w:r>
      <w:r>
        <w:t xml:space="preserve"> </w:t>
      </w:r>
      <w:hyperlink w:anchor="ref-8">
        <w:r>
          <w:rPr>
            <w:rStyle w:val="Hyperlink"/>
          </w:rPr>
          <w:t xml:space="preserve">[8]</w:t>
        </w:r>
      </w:hyperlink>
      <w:r>
        <w:t xml:space="preserve">.</w:t>
      </w:r>
    </w:p>
    <w:p>
      <w:pPr>
        <w:pStyle w:val="BodyText"/>
        <w:spacing w:line="480" w:lineRule="auto"/>
        <w:ind w:firstLine="720"/>
      </w:pPr>
      <w:r>
        <w:t xml:space="preserve">The fourth rival is construct simplification. The topic-signal score compresses a complex idea into a term-hit count, and a term-hit count can be high for reasons unrelated to genuine thematic centrality, such as boilerplate or keyword stuffing</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5"/>
    <w:bookmarkStart w:id="86" w:name="the-evidence-ladder"/>
    <w:p>
      <w:pPr>
        <w:pStyle w:val="Heading2"/>
        <w:spacing w:line="480" w:lineRule="auto"/>
      </w:pPr>
      <w:r>
        <w:t xml:space="preserve">3.6 The evidence ladder</w:t>
      </w:r>
    </w:p>
    <w:p>
      <w:pPr>
        <w:pStyle w:val="FirstParagraph"/>
        <w:spacing w:line="480" w:lineRule="auto"/>
      </w:pPr>
      <w:r>
        <w:t xml:space="preserve">The framework yields an evidence ladder rather than a single pass-fail gate. A precise coefficient with the predicted sign climbs one rung: it shows structure inside the retained corpus consistent with maturation. A stable overall fit climbs another: it supports treating the corpus as a usable measurement base. A weak or imprecise coefficient is not a failure of the design; it is a rung of its own, because it tells future work that the available metadata cannot sustain the broader claim and that a more direct measurement is needed</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The chapters that follow specify the estimators, describe the data that feed them, and then report which rungs the actual results reach. As Chapter 6 will show, the corpus climbs the lowest rungs and no higher, which is exactly the kind of disciplined, falsifiable outcome the theory was built to deliver</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86"/>
    <w:bookmarkStart w:id="87" w:name="Xbdc9971a264852f6e441824d3b36b9aecda0d87"/>
    <w:p>
      <w:pPr>
        <w:pStyle w:val="Heading2"/>
        <w:spacing w:line="480" w:lineRule="auto"/>
      </w:pPr>
      <w:r>
        <w:t xml:space="preserve">3.7 Formalizing the attention-allocation premise</w:t>
      </w:r>
    </w:p>
    <w:p>
      <w:pPr>
        <w:pStyle w:val="FirstParagraph"/>
        <w:spacing w:line="480" w:lineRule="auto"/>
      </w:pPr>
      <w:r>
        <w:t xml:space="preserve">It helps to state the attention-allocation premise a little more formally, because the precision clarifies what the estimators are testing. Let the effort a field spends on a theme in a given year be a function of the theme’s expected return, and let expected return rise as a market moves toward maturity. Publications are a lagged, noisy output of that effort. Under those assumptions, the density of theme-related content in the documentary record is a monotone increasing function of accumulated field effort, and accumulated effort is itself increasing over the maturation window</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topic-signal score is the empirical shadow of that density. The recency coefficient in the first estimator is, in this framing, an estimate of the slope of the effort function against time, filtered through the noise of publication and the coarseness of the term-hit proxy</w:t>
      </w:r>
      <w:r>
        <w:t xml:space="preserve"> </w:t>
      </w:r>
      <w:hyperlink w:anchor="ref-4">
        <w:r>
          <w:rPr>
            <w:rStyle w:val="Hyperlink"/>
          </w:rPr>
          <w:t xml:space="preserve">[4]</w:t>
        </w:r>
      </w:hyperlink>
      <w:r>
        <w:t xml:space="preserve">.</w:t>
      </w:r>
    </w:p>
    <w:p>
      <w:pPr>
        <w:pStyle w:val="BodyText"/>
        <w:spacing w:line="480" w:lineRule="auto"/>
        <w:ind w:firstLine="720"/>
      </w:pPr>
      <w:r>
        <w:t xml:space="preserve">Two consequences follow from stating the premise this way. The first is that a null recency coefficient does not falsify the premise; it is consistent with an effort function whose slope is real but small relative to the noise the proxy introduces</w:t>
      </w:r>
      <w:r>
        <w:t xml:space="preserve"> </w:t>
      </w:r>
      <w:hyperlink w:anchor="ref-8">
        <w:r>
          <w:rPr>
            <w:rStyle w:val="Hyperlink"/>
          </w:rPr>
          <w:t xml:space="preserve">[8]</w:t>
        </w:r>
      </w:hyperlink>
      <w:r>
        <w:t xml:space="preserve">. The second is that the sign of the recency coefficient is more informative than its magnitude, because the noise degrades magnitude estimates more than it flips signs. This is why Chapter 6 pays close attention to the direction of the recency lean even when its precision is poor: the direction is the part of the signal most likely to survive the proxy’s degradation</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 formalization does not add machinery to the estimators. It disciplines how their output should be read.</w:t>
      </w:r>
    </w:p>
    <w:bookmarkEnd w:id="87"/>
    <w:bookmarkStart w:id="88" w:name="X7ebf54f930f06c30cc8f12aa1943c867d1a14e1"/>
    <w:p>
      <w:pPr>
        <w:pStyle w:val="Heading2"/>
        <w:spacing w:line="480" w:lineRule="auto"/>
      </w:pPr>
      <w:r>
        <w:t xml:space="preserve">3.8 The learning curve as a theory, not just a functional form</w:t>
      </w:r>
    </w:p>
    <w:p>
      <w:pPr>
        <w:pStyle w:val="FirstParagraph"/>
        <w:spacing w:line="480" w:lineRule="auto"/>
      </w:pPr>
      <w:r>
        <w:t xml:space="preserve">The log-log form in the second hypothesis is often treated as a convenient transformation, but here it carries a genuine theoretical claim about how attention accumulates. A learning or experience curve says that the marginal cost of an activity falls by a constant proportion each time cumulative volume doubles, and the same multiplicative logic applies to attention: each doubling of a document’s exposure time should scale its accumulated citations by a fixed factor if attention compounds in the ordinary way</w:t>
      </w:r>
      <w:r>
        <w:t xml:space="preserve"> </w:t>
      </w:r>
      <w:hyperlink w:anchor="ref-6">
        <w:r>
          <w:rPr>
            <w:rStyle w:val="Hyperlink"/>
          </w:rPr>
          <w:t xml:space="preserve">[6]</w:t>
        </w:r>
      </w:hyperlink>
      <w:r>
        <w:t xml:space="preserve"> </w:t>
      </w:r>
      <w:hyperlink w:anchor="ref-12">
        <w:r>
          <w:rPr>
            <w:rStyle w:val="Hyperlink"/>
          </w:rPr>
          <w:t xml:space="preserve">[12]</w:t>
        </w:r>
      </w:hyperlink>
      <w:r>
        <w:t xml:space="preserve">. The elasticity the model returns is that factor’s logarithm, and the progress-ratio summary translates it back into the intuitive language of doubling.</w:t>
      </w:r>
    </w:p>
    <w:p>
      <w:pPr>
        <w:pStyle w:val="BodyText"/>
        <w:spacing w:line="480" w:lineRule="auto"/>
        <w:ind w:firstLine="720"/>
      </w:pPr>
      <w:r>
        <w:t xml:space="preserve">Framing citation accumulation as a learning curve makes a falsifiable commitment. It predicts that, absent distortions, the elasticity should be positive, because older documents have doubled their exposure more times than younger ones and should carry proportionally more citations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positive elasticity would confirm that attention in the field compounds normally, which is a precondition for reading citation structure as a maturation indicator at all. A negative or null elasticity would signal that something is interfering with normal accumulation, and the theory names the prime suspect in advance: a citation index that fails to credit older records, so that the raw data invert the expected age relationship for reasons of coverage rather than substance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theory thus tells the reader, before any number is seen, exactly how to diagnose an anomalous result rather than being surprised by it.</w:t>
      </w:r>
    </w:p>
    <w:bookmarkEnd w:id="88"/>
    <w:bookmarkStart w:id="89" w:name="X977a890b5545f19dbc5f9e75b314e5f6a1650ac"/>
    <w:p>
      <w:pPr>
        <w:pStyle w:val="Heading2"/>
        <w:spacing w:line="480" w:lineRule="auto"/>
      </w:pPr>
      <w:r>
        <w:t xml:space="preserve">3.9 Why the framework treats a null as a finding</w:t>
      </w:r>
    </w:p>
    <w:p>
      <w:pPr>
        <w:pStyle w:val="FirstParagraph"/>
        <w:spacing w:line="480" w:lineRule="auto"/>
      </w:pPr>
      <w:r>
        <w:t xml:space="preserve">The most consequential feature of the framework is its symmetric treatment of null and positive results, and this deserves an explicit defense because it runs against a common instinct. In much applied work, a null is a disappointment to be minimized or a specification to be searched around until significance appears. The framework here forbids that move by committing in advance to what each result would mean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A precise, correctly signed coefficient supports the maturation reading. A null or wrong-signed coefficient supports the conclusion that the documentary record, as currently measured, cannot certify the maturation reading, and it points to the specific measurement that would be needed to try again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Both outcomes advance knowledge, and neither is a failure of the design, because the design’s purpose was never to confirm maturation but to test it</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symmetry is what makes the project falsifiable in the strict sense. A study that could only ever return a confirmation would be testing nothing; a study that treats confirmation and refutation as equally reportable is testing something real</w:t>
      </w:r>
      <w:r>
        <w:t xml:space="preserve"> </w:t>
      </w:r>
      <w:hyperlink w:anchor="ref-15">
        <w:r>
          <w:rPr>
            <w:rStyle w:val="Hyperlink"/>
          </w:rPr>
          <w:t xml:space="preserve">[15]</w:t>
        </w:r>
      </w:hyperlink>
      <w:r>
        <w:t xml:space="preserve">. The framework’s willingness to publish a null with the same care it would lavish on a positive result is therefore not modesty for its own sake. It is the property that gives the whole exercise its scientific standing, and it is the property the concluding chapter asks the reader to weigh most heavily</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89"/>
    <w:bookmarkStart w:id="90" w:name="X72688b38ff44977c5da89d5167aa6a95a3684c0"/>
    <w:p>
      <w:pPr>
        <w:pStyle w:val="Heading2"/>
        <w:spacing w:line="480" w:lineRule="auto"/>
      </w:pPr>
      <w:r>
        <w:t xml:space="preserve">3.10 Mapping predictions to observable coefficients</w:t>
      </w:r>
    </w:p>
    <w:p>
      <w:pPr>
        <w:pStyle w:val="FirstParagraph"/>
        <w:spacing w:line="480" w:lineRule="auto"/>
      </w:pPr>
      <w:r>
        <w:t xml:space="preserve">To keep the theory honest, it helps to write down, in advance, the exact mapping from each prediction to the coefficient that would confirm or deny it, so that the results chapter has no room to reinterpret after the fact. The maturation reading makes three cross-sectional predictions and one dynamic one. The first cross-sectional prediction is that recency raises signal intensity, which would appear as a positive and precise coefficient on the recency index</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second is that citation attention flows toward theme-dense work, which would appear as a positive and precise coefficient on citation count</w:t>
      </w:r>
      <w:r>
        <w:t xml:space="preserve"> </w:t>
      </w:r>
      <w:hyperlink w:anchor="ref-5">
        <w:r>
          <w:rPr>
            <w:rStyle w:val="Hyperlink"/>
          </w:rPr>
          <w:t xml:space="preserve">[5]</w:t>
        </w:r>
      </w:hyperlink>
      <w:r>
        <w:t xml:space="preserve">. The third is agnostic in sign but requires structure: venue family should carry some detectable relationship to signal intensity if the theme is migrating across outlets, which would appear as a venue coefficient distinguishable from zero</w:t>
      </w:r>
      <w:r>
        <w:t xml:space="preserve"> </w:t>
      </w:r>
      <w:hyperlink w:anchor="ref-11">
        <w:r>
          <w:rPr>
            <w:rStyle w:val="Hyperlink"/>
          </w:rPr>
          <w:t xml:space="preserve">[11]</w:t>
        </w:r>
      </w:hyperlink>
      <w:r>
        <w:t xml:space="preserve">.</w:t>
      </w:r>
    </w:p>
    <w:p>
      <w:pPr>
        <w:pStyle w:val="BodyText"/>
        <w:spacing w:line="480" w:lineRule="auto"/>
        <w:ind w:firstLine="720"/>
      </w:pPr>
      <w:r>
        <w:t xml:space="preserve">The dynamic prediction is a positive age elasticity in the second estimator, reflecting normal compounding of attention with exposure</w:t>
      </w:r>
      <w:r>
        <w:t xml:space="preserve"> </w:t>
      </w:r>
      <w:hyperlink w:anchor="ref-6">
        <w:r>
          <w:rPr>
            <w:rStyle w:val="Hyperlink"/>
          </w:rPr>
          <w:t xml:space="preserve">[6]</w:t>
        </w:r>
      </w:hyperlink>
      <w:r>
        <w:t xml:space="preserve"> </w:t>
      </w:r>
      <w:hyperlink w:anchor="ref-9">
        <w:r>
          <w:rPr>
            <w:rStyle w:val="Hyperlink"/>
          </w:rPr>
          <w:t xml:space="preserve">[9]</w:t>
        </w:r>
      </w:hyperlink>
      <w:r>
        <w:t xml:space="preserve">. Committing to these four mappings before estimation is the pre-registration discipline in miniature: it fixes what would count as confirmation and what would count as refutation, so that whatever the estimators return, the reading is settled in advance</w:t>
      </w:r>
      <w:r>
        <w:t xml:space="preserve"> </w:t>
      </w:r>
      <w:hyperlink w:anchor="ref-8">
        <w:r>
          <w:rPr>
            <w:rStyle w:val="Hyperlink"/>
          </w:rPr>
          <w:t xml:space="preserve">[8]</w:t>
        </w:r>
      </w:hyperlink>
      <w:r>
        <w:t xml:space="preserve">. The results chapter honors this mapping exactly, reporting each coefficient against the prediction it was meant to test, and the honesty of that reporting is only possible because the mapping was laid down here first</w:t>
      </w:r>
      <w:r>
        <w:t xml:space="preserve"> </w:t>
      </w:r>
      <w:hyperlink w:anchor="ref-3">
        <w:r>
          <w:rPr>
            <w:rStyle w:val="Hyperlink"/>
          </w:rPr>
          <w:t xml:space="preserve">[3]</w:t>
        </w:r>
      </w:hyperlink>
      <w:r>
        <w:t xml:space="preserve"> </w:t>
      </w:r>
      <w:hyperlink w:anchor="ref-15">
        <w:r>
          <w:rPr>
            <w:rStyle w:val="Hyperlink"/>
          </w:rPr>
          <w:t xml:space="preserve">[15]</w:t>
        </w:r>
      </w:hyperlink>
      <w:r>
        <w:t xml:space="preserve">.</w:t>
      </w:r>
    </w:p>
    <w:bookmarkEnd w:id="90"/>
    <w:bookmarkStart w:id="91" w:name="the-mechanisms-silence-on-causation"/>
    <w:p>
      <w:pPr>
        <w:pStyle w:val="Heading2"/>
        <w:spacing w:line="480" w:lineRule="auto"/>
      </w:pPr>
      <w:r>
        <w:t xml:space="preserve">3.11 The mechanism’s silence on causation</w:t>
      </w:r>
    </w:p>
    <w:p>
      <w:pPr>
        <w:pStyle w:val="FirstParagraph"/>
        <w:spacing w:line="480" w:lineRule="auto"/>
      </w:pPr>
      <w:r>
        <w:t xml:space="preserve">The framework makes a directional claim about association, and it is important to state clearly what it does not claim, because the boundary is easy to blur. The mechanism says that if a market matures, then, through the reallocation of scarce attention, the documentary record should acquire certain structure. It does not say that documentary structure causes maturation, nor that observing the structure would prove maturation caused it</w:t>
      </w:r>
      <w:r>
        <w:t xml:space="preserve"> </w:t>
      </w:r>
      <w:hyperlink w:anchor="ref-6">
        <w:r>
          <w:rPr>
            <w:rStyle w:val="Hyperlink"/>
          </w:rPr>
          <w:t xml:space="preserve">[6]</w:t>
        </w:r>
      </w:hyperlink>
      <w:r>
        <w:t xml:space="preserve"> </w:t>
      </w:r>
      <w:hyperlink w:anchor="ref-8">
        <w:r>
          <w:rPr>
            <w:rStyle w:val="Hyperlink"/>
          </w:rPr>
          <w:t xml:space="preserve">[8]</w:t>
        </w:r>
      </w:hyperlink>
      <w:r>
        <w:t xml:space="preserve">. Attention could reallocate for reasons unrelated to any market, such as a funding fashion or a methodological breakthrough, and produce the same documentary signature without any underlying market transition</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is why the estimators are described throughout as screens rather than as tests of a causal effect. A confirmed prediction would establish that the corpus is consistent with maturation, raising the plausibility of the maturation reading without proving it; a refuted prediction would establish that the corpus does not support the reading, lowering its plausibility</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mechanism is deliberately silent on causation because the design has no instrument for identifying causal direction, and a framework that promised more than the design could deliver would undermine the credibility the rest of the project works to earn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theory is strong enough to generate falsifiable predictions and modest enough to disclaim the causal story, and that combination is exactly what a corpus screen should rest on</w:t>
      </w:r>
      <w:r>
        <w:t xml:space="preserve"> </w:t>
      </w:r>
      <w:hyperlink w:anchor="ref-8">
        <w:r>
          <w:rPr>
            <w:rStyle w:val="Hyperlink"/>
          </w:rPr>
          <w:t xml:space="preserve">[8]</w:t>
        </w:r>
      </w:hyperlink>
      <w:r>
        <w:t xml:space="preserve"> </w:t>
      </w:r>
      <w:hyperlink w:anchor="ref-16">
        <w:r>
          <w:rPr>
            <w:rStyle w:val="Hyperlink"/>
          </w:rPr>
          <w:t xml:space="preserve">[16]</w:t>
        </w:r>
      </w:hyperlink>
      <w:r>
        <w:t xml:space="preserve">.</w:t>
      </w:r>
    </w:p>
    <w:bookmarkEnd w:id="91"/>
    <w:bookmarkStart w:id="92" w:name="X6cf3d9b04599ccefd195a46b9ad6fe3dab901bf"/>
    <w:p>
      <w:pPr>
        <w:pStyle w:val="Heading2"/>
        <w:spacing w:line="480" w:lineRule="auto"/>
      </w:pPr>
      <w:r>
        <w:t xml:space="preserve">3.12 The framework as the spine of the empirical chapters</w:t>
      </w:r>
    </w:p>
    <w:p>
      <w:pPr>
        <w:pStyle w:val="FirstParagraph"/>
        <w:spacing w:line="480" w:lineRule="auto"/>
      </w:pPr>
      <w:r>
        <w:t xml:space="preserve">Everything in the chapters that follow hangs from this framework, and it is worth making the dependencies explicit so the reader can see the argument as a single structure rather than a sequence of separate exercises. The methodology chapter specifies the two estimators that operationalize the two hypotheses, and it inherits from this chapter the requirement that each estimator answer one question cleanly rather than blend the cross-sectional and dynamic questions together</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data chapter constructs the variables the mechanism named, the topic-signal score, the recency and age indices, the citation and venue measures, and it inherits the requirement that each be reproducible so that the falsifiability the framework promises is real rather than nominal</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results chapter then reports the coefficients against the pre-committed mapping laid out above, and the discussion chapter evaluates the outcome against the evidence ladder and the catalog of rivals this chapter specified</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framework is thus not a preliminary that the empirical work leaves behind; it is the spine the empirical work rests on, and every later judgment about what a coefficient means traces back to a commitment made here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A reader who wants to contest the study’s conclusions has a clean target: contest the mechanism, the mapping, or the rivals stated in this chapter, and the rest of the argument moves with them. That is the transparency the framework is designed to provide</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92"/>
    <w:bookmarkEnd w:id="93"/>
    <w:bookmarkStart w:id="105" w:name="chapter-4-methodology-and-identification"/>
    <w:p>
      <w:pPr>
        <w:pStyle w:val="Heading1"/>
        <w:spacing w:line="480" w:lineRule="auto"/>
      </w:pPr>
      <w:r>
        <w:t xml:space="preserve">Chapter 4: Methodology and Identification</w:t>
      </w:r>
    </w:p>
    <w:p>
      <w:pPr>
        <w:pStyle w:val="FirstParagraph"/>
        <w:spacing w:line="480" w:lineRule="auto"/>
      </w:pPr>
      <w:r>
        <w:t xml:space="preserve">This chapter specifies the two estimators, states the exact functional forms recorded in the configuration files, and explains why each estimator identifies the corpus feature it is meant to isolate. It also lays out the identification logic honestly, including what these models can and cannot claim to identify. The design is not an attempt to recover a causal parameter from observational metadata. It is a pair of screens, each built to answer a narrow, reproducible question about the structure of the retrieved corpus.</w:t>
      </w:r>
    </w:p>
    <w:bookmarkStart w:id="94" w:name="Xb231d62d8938df0d6b3f0bf9041132464ae46fe"/>
    <w:p>
      <w:pPr>
        <w:pStyle w:val="Heading2"/>
        <w:spacing w:line="480" w:lineRule="auto"/>
      </w:pPr>
      <w:r>
        <w:t xml:space="preserve">4.1 Estimator one: ordinary least squares on topic-signal intensity</w:t>
      </w:r>
    </w:p>
    <w:p>
      <w:pPr>
        <w:pStyle w:val="FirstParagraph"/>
        <w:spacing w:line="480" w:lineRule="auto"/>
      </w:pPr>
      <w:r>
        <w:t xml:space="preserve">The first estimator is an ordinary least squares regression of the topic-signal score on three predictors. The specification recorded in the configuration file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dependent variable is the composite topic-signal score for record i. The predictors are the recency index, the reported citation count, and the ordinal venue-family score. Standard errors are computed with the HC1 heteroskedasticity-consistent correction, which is the appropriate choice when the error variance is likely to differ across records of different venue families and citation levels</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Ordinary least squares is the correct tool for the first question for three reasons. The outcome is a bounded but effectively continuous count that varies across records, so a linear conditional-mean model is a defensible first approximation. The question is explicitly about partial association: whether recency predicts signal intensity holding citation attention and venue family fixed, and likewise for the other predictors. And the small sample rewards a parsimonious specification, because each additional parameter estimated from thirty observations costs precision that the design cannot spare</w:t>
      </w:r>
      <w:r>
        <w:t xml:space="preserve"> </w:t>
      </w:r>
      <w:hyperlink w:anchor="ref-4">
        <w:r>
          <w:rPr>
            <w:rStyle w:val="Hyperlink"/>
          </w:rPr>
          <w:t xml:space="preserve">[4]</w:t>
        </w:r>
      </w:hyperlink>
      <w:r>
        <w:t xml:space="preserve"> </w:t>
      </w:r>
      <w:hyperlink w:anchor="ref-5">
        <w:r>
          <w:rPr>
            <w:rStyle w:val="Hyperlink"/>
          </w:rPr>
          <w:t xml:space="preserve">[5]</w:t>
        </w:r>
      </w:hyperlink>
      <w:r>
        <w:t xml:space="preserve">. A more elaborate model would overfit a corpus this size and would trade interpretability for a spurious appearance of sophistication.</w:t>
      </w:r>
    </w:p>
    <w:p>
      <w:pPr>
        <w:pStyle w:val="BodyText"/>
        <w:spacing w:line="480" w:lineRule="auto"/>
        <w:ind w:firstLine="720"/>
      </w:pPr>
      <w:r>
        <w:t xml:space="preserve">The identification claim for this estimator is deliberately limited. Under the model, each slope coefficient identifies the average change in topic-signal score associated with a one-unit change in its predictor, conditional on the other two predictors, within this corpus. That is a within-corpus partial association, not a causal effect and not a population parameter. The robust standard errors let the reader judge how precisely each association is estimated, and the overall F test lets the reader judge whether the three predictors jointly explain more variation than chance</w:t>
      </w:r>
      <w:r>
        <w:t xml:space="preserve"> </w:t>
      </w:r>
      <w:hyperlink w:anchor="ref-3">
        <w:r>
          <w:rPr>
            <w:rStyle w:val="Hyperlink"/>
          </w:rPr>
          <w:t xml:space="preserve">[3]</w:t>
        </w:r>
      </w:hyperlink>
      <w:r>
        <w:t xml:space="preserve"> </w:t>
      </w:r>
      <w:hyperlink w:anchor="ref-8">
        <w:r>
          <w:rPr>
            <w:rStyle w:val="Hyperlink"/>
          </w:rPr>
          <w:t xml:space="preserve">[8]</w:t>
        </w:r>
      </w:hyperlink>
      <w:r>
        <w:t xml:space="preserve">. Nothing in the specification licenses a claim about the space market outside the retrieved records, and Chapter 6 keeps the interpretation inside that boundary.</w:t>
      </w:r>
    </w:p>
    <w:bookmarkEnd w:id="94"/>
    <w:bookmarkStart w:id="95" w:name="X594ebab766596c227c5990a6744e60e40d6fefd"/>
    <w:p>
      <w:pPr>
        <w:pStyle w:val="Heading2"/>
        <w:spacing w:line="480" w:lineRule="auto"/>
      </w:pPr>
      <w:r>
        <w:t xml:space="preserve">4.2 Why HC1 rather than classical standard errors</w:t>
      </w:r>
    </w:p>
    <w:p>
      <w:pPr>
        <w:pStyle w:val="FirstParagraph"/>
        <w:spacing w:line="480" w:lineRule="auto"/>
      </w:pPr>
      <w:r>
        <w:t xml:space="preserve">The choice of robust standard errors deserves a word, because it is where a careless analyst would overstate precision. Classical ordinary least squares standard errors assume the error variance is constant across observations. In this corpus that assumption is implausible. Conference records and journal records differ in how their signal scores are generated, and high-citation records are few and unusual</w:t>
      </w:r>
      <w:r>
        <w:t xml:space="preserve"> </w:t>
      </w:r>
      <w:hyperlink w:anchor="ref-1">
        <w:r>
          <w:rPr>
            <w:rStyle w:val="Hyperlink"/>
          </w:rPr>
          <w:t xml:space="preserve">[1]</w:t>
        </w:r>
      </w:hyperlink>
      <w:r>
        <w:t xml:space="preserve"> </w:t>
      </w:r>
      <w:hyperlink w:anchor="ref-7">
        <w:r>
          <w:rPr>
            <w:rStyle w:val="Hyperlink"/>
          </w:rPr>
          <w:t xml:space="preserve">[7]</w:t>
        </w:r>
      </w:hyperlink>
      <w:r>
        <w:t xml:space="preserve">. Heteroskedasticity of this kind does not bias the coefficients, but it corrupts the standard errors and therefore the p-values. The HC1 correction rescales the variance estimate to remain valid under heteroskedasticity of unknown form, at a modest cost in finite-sample efficiency. Given that the substantive conclusions turn on precision, using the robust variance estimator is the conservative and honest choice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95"/>
    <w:bookmarkStart w:id="96" w:name="X6b105c33b14e86534e3ac47f0ed453df8beec0c"/>
    <w:p>
      <w:pPr>
        <w:pStyle w:val="Heading2"/>
        <w:spacing w:line="480" w:lineRule="auto"/>
      </w:pPr>
      <w:r>
        <w:t xml:space="preserve">4.3 Estimator two: the log-log learning curve on citation accumulation</w:t>
      </w:r>
    </w:p>
    <w:p>
      <w:pPr>
        <w:pStyle w:val="FirstParagraph"/>
        <w:spacing w:line="480" w:lineRule="auto"/>
      </w:pPr>
      <w:r>
        <w:t xml:space="preserve">The second estimator addresses dynamics. Its specification, recorded in the second configuration file,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dependent variable is the natural log of the citation count plus one, where the plus-one transformation keeps the logarithm defined for the many records the local index reports as uncited. The single predictor is the natural log of the document age index. Standard errors again use the HC1 correction</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log-log form is not decorative. It is the canonical functional form for a learning or experience curve, and it is chosen because it makes the slope coefficient a dimensionless elasticity. In this application the elasticity answers a precise question: by what percentage does accumulated citation attention change for a one-percent increase in document age? A learning-curve form assumes the process is multiplicative, which fits citation accumulation better than a linear form, because attention tends to compound proportionally with exposure rather than accruing at a fixed rate per year</w:t>
      </w:r>
      <w:r>
        <w:t xml:space="preserve"> </w:t>
      </w:r>
      <w:hyperlink w:anchor="ref-6">
        <w:r>
          <w:rPr>
            <w:rStyle w:val="Hyperlink"/>
          </w:rPr>
          <w:t xml:space="preserve">[6]</w:t>
        </w:r>
      </w:hyperlink>
      <w:r>
        <w:t xml:space="preserve"> </w:t>
      </w:r>
      <w:hyperlink w:anchor="ref-12">
        <w:r>
          <w:rPr>
            <w:rStyle w:val="Hyperlink"/>
          </w:rPr>
          <w:t xml:space="preserve">[12]</w:t>
        </w:r>
      </w:hyperlink>
      <w:r>
        <w:t xml:space="preserve">. The model also yields a progress-ratio-style summary, the factor by which citations scale as age doubles, which gives the elasticity an intuitive reading</w:t>
      </w:r>
      <w:r>
        <w:t xml:space="preserve"> </w:t>
      </w:r>
      <w:hyperlink w:anchor="ref-13">
        <w:r>
          <w:rPr>
            <w:rStyle w:val="Hyperlink"/>
          </w:rPr>
          <w:t xml:space="preserve">[13]</w:t>
        </w:r>
      </w:hyperlink>
      <w:r>
        <w:t xml:space="preserve">.</w:t>
      </w:r>
    </w:p>
    <w:p>
      <w:pPr>
        <w:pStyle w:val="BodyText"/>
        <w:spacing w:line="480" w:lineRule="auto"/>
        <w:ind w:firstLine="720"/>
      </w:pPr>
      <w:r>
        <w:t xml:space="preserve">The identification claim here is again narrow. The elasticity identifies the average proportional relationship between age and accumulated citations across the corpus, under the maintained assumptions that the plus-one transformation does not distort the many zero-citation records too severely and that the age index is measured without error, which it very nearly is, being a deterministic function of publication year</w:t>
      </w:r>
      <w:r>
        <w:t xml:space="preserve"> </w:t>
      </w:r>
      <w:hyperlink w:anchor="ref-8">
        <w:r>
          <w:rPr>
            <w:rStyle w:val="Hyperlink"/>
          </w:rPr>
          <w:t xml:space="preserve">[8]</w:t>
        </w:r>
      </w:hyperlink>
      <w:r>
        <w:t xml:space="preserve"> </w:t>
      </w:r>
      <w:hyperlink w:anchor="ref-10">
        <w:r>
          <w:rPr>
            <w:rStyle w:val="Hyperlink"/>
          </w:rPr>
          <w:t xml:space="preserve">[10]</w:t>
        </w:r>
      </w:hyperlink>
      <w:r>
        <w:t xml:space="preserve">. What the estimator cannot identify is the causal effect of age on attention, because age is confounded with everything else that changed in the field over the same years, including venue composition and indexing coverage</w:t>
      </w:r>
      <w:r>
        <w:t xml:space="preserve"> </w:t>
      </w:r>
      <w:hyperlink w:anchor="ref-7">
        <w:r>
          <w:rPr>
            <w:rStyle w:val="Hyperlink"/>
          </w:rPr>
          <w:t xml:space="preserve">[7]</w:t>
        </w:r>
      </w:hyperlink>
      <w:r>
        <w:t xml:space="preserve"> </w:t>
      </w:r>
      <w:hyperlink w:anchor="ref-15">
        <w:r>
          <w:rPr>
            <w:rStyle w:val="Hyperlink"/>
          </w:rPr>
          <w:t xml:space="preserve">[15]</w:t>
        </w:r>
      </w:hyperlink>
      <w:r>
        <w:t xml:space="preserve">.</w:t>
      </w:r>
    </w:p>
    <w:bookmarkEnd w:id="96"/>
    <w:bookmarkStart w:id="97" w:name="why-two-estimators-rather-than-one"/>
    <w:p>
      <w:pPr>
        <w:pStyle w:val="Heading2"/>
        <w:spacing w:line="480" w:lineRule="auto"/>
      </w:pPr>
      <w:r>
        <w:t xml:space="preserve">4.4 Why two estimators rather than one</w:t>
      </w:r>
    </w:p>
    <w:p>
      <w:pPr>
        <w:pStyle w:val="FirstParagraph"/>
        <w:spacing w:line="480" w:lineRule="auto"/>
      </w:pPr>
      <w:r>
        <w:t xml:space="preserve">Separating the two questions into two estimators is a design decision with a purpose. Recency and age are near-mirror transformations of the same underlying variable, publication year, so putting both a cross-sectional recency term and a dynamic age term into a single model would invite collinearity and make the coefficients uninterpretable</w:t>
      </w:r>
      <w:r>
        <w:t xml:space="preserve"> </w:t>
      </w:r>
      <w:hyperlink w:anchor="ref-8">
        <w:r>
          <w:rPr>
            <w:rStyle w:val="Hyperlink"/>
          </w:rPr>
          <w:t xml:space="preserve">[8]</w:t>
        </w:r>
      </w:hyperlink>
      <w:r>
        <w:t xml:space="preserve">. The two-estimator design keeps the cross-sectional question, does signal intensity vary with recency, attention, and venue, cleanly apart from the dynamic question, does citation attention accumulate with age. Each model answers one question in a form that another analyst can reproduce exactly from the configuration files and the data</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97"/>
    <w:bookmarkStart w:id="98" w:name="Xd97a9fbf9f7dfb46a1f6658fb23e1d03f20c9f6"/>
    <w:p>
      <w:pPr>
        <w:pStyle w:val="Heading2"/>
        <w:spacing w:line="480" w:lineRule="auto"/>
      </w:pPr>
      <w:r>
        <w:t xml:space="preserve">4.5 What identification means in a design like this</w:t>
      </w:r>
    </w:p>
    <w:p>
      <w:pPr>
        <w:pStyle w:val="FirstParagraph"/>
        <w:spacing w:line="480" w:lineRule="auto"/>
      </w:pPr>
      <w:r>
        <w:t xml:space="preserve">It is worth stating plainly what identification does and does not mean here, because the phrase carries heavier connotations in experimental work. These estimators do not identify treatment effects. There is no treatment, no assignment mechanism, and no counterfactual. What they identify are conditional associations and an accumulation elasticity within a fixed, fully documented corpus. That is a real and testable object. It supports statements of the form the retained records do or do not exhibit the structure a maturation reading predicts, and it supports them with stated precision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It does not support statements about the space launch market as a whole, and the design earns its credibility precisely by refusing to make them. The threats to that limited form of identification, source selection, proxy measurement, coverage bias, and overinterpretation, are the subject of Chapter 7, and they are catalogued there rather than buried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measurement inputs to both estimators, the deterministic construction of every variable and the provenance discipline that keeps each record auditable, are described next.</w:t>
      </w:r>
    </w:p>
    <w:bookmarkEnd w:id="98"/>
    <w:bookmarkStart w:id="99" w:name="why-not-a-richer-model"/>
    <w:p>
      <w:pPr>
        <w:pStyle w:val="Heading2"/>
        <w:spacing w:line="480" w:lineRule="auto"/>
      </w:pPr>
      <w:r>
        <w:t xml:space="preserve">4.6 Why not a richer model</w:t>
      </w:r>
    </w:p>
    <w:p>
      <w:pPr>
        <w:pStyle w:val="FirstParagraph"/>
        <w:spacing w:line="480" w:lineRule="auto"/>
      </w:pPr>
      <w:r>
        <w:t xml:space="preserve">A reviewer might reasonably ask why the design stops at two plain estimators when the literature offers count models, penalized regression, or machine-learning alternatives that could squeeze more from the same records. The answer is a matter of sample size and honesty rather than ignorance of the alternatives. With thirty observations, every additional degree of freedom spent on a more flexible functional form is a degree of freedom subtracted from the precision of the estimates that matter</w:t>
      </w:r>
      <w:r>
        <w:t xml:space="preserve"> </w:t>
      </w:r>
      <w:hyperlink w:anchor="ref-4">
        <w:r>
          <w:rPr>
            <w:rStyle w:val="Hyperlink"/>
          </w:rPr>
          <w:t xml:space="preserve">[4]</w:t>
        </w:r>
      </w:hyperlink>
      <w:r>
        <w:t xml:space="preserve"> </w:t>
      </w:r>
      <w:hyperlink w:anchor="ref-8">
        <w:r>
          <w:rPr>
            <w:rStyle w:val="Hyperlink"/>
          </w:rPr>
          <w:t xml:space="preserve">[8]</w:t>
        </w:r>
      </w:hyperlink>
      <w:r>
        <w:t xml:space="preserve">. A Poisson or negative-binomial count model for the signal score would be defensible on distributional grounds, but at this sample size its coefficients would carry standard errors so wide that the choice would buy statistical propriety at the cost of any usable inference</w:t>
      </w:r>
      <w:r>
        <w:t xml:space="preserve"> </w:t>
      </w:r>
      <w:hyperlink w:anchor="ref-5">
        <w:r>
          <w:rPr>
            <w:rStyle w:val="Hyperlink"/>
          </w:rPr>
          <w:t xml:space="preserve">[5]</w:t>
        </w:r>
      </w:hyperlink>
      <w:r>
        <w:t xml:space="preserve">. A penalized or cross-validated method would import tuning decisions that are themselves hard to make reproducibly on thirty rows, reintroducing exactly the analyst discretion the design is built to exclude</w:t>
      </w:r>
      <w:r>
        <w:t xml:space="preserve"> </w:t>
      </w:r>
      <w:hyperlink w:anchor="ref-6">
        <w:r>
          <w:rPr>
            <w:rStyle w:val="Hyperlink"/>
          </w:rPr>
          <w:t xml:space="preserve">[6]</w:t>
        </w:r>
      </w:hyperlink>
      <w:r>
        <w:t xml:space="preserve">.</w:t>
      </w:r>
    </w:p>
    <w:p>
      <w:pPr>
        <w:pStyle w:val="BodyText"/>
        <w:spacing w:line="480" w:lineRule="auto"/>
        <w:ind w:firstLine="720"/>
      </w:pPr>
      <w:r>
        <w:t xml:space="preserve">There is also a communicative reason. The purpose of the estimators is not to extract the maximum possible signal but to provide a transparent test that a stranger can rerun and a governance reader can understand</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An ordinary least squares slope and a log-log elasticity are objects whose meaning is fixed and widely shared. A regularized coefficient from a tuned model is not, and its interpretation would depend on choices buried in the fitting procedure. The design trades a small amount of potential power for a large amount of interpretability and reproducibility, and given the modest ambitions of a corpus screen, that trade is the right one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99"/>
    <w:bookmarkStart w:id="100" w:name="the-joint-test-and-what-it-adjudicates"/>
    <w:p>
      <w:pPr>
        <w:pStyle w:val="Heading2"/>
        <w:spacing w:line="480" w:lineRule="auto"/>
      </w:pPr>
      <w:r>
        <w:t xml:space="preserve">4.7 The joint test and what it adjudicates</w:t>
      </w:r>
    </w:p>
    <w:p>
      <w:pPr>
        <w:pStyle w:val="FirstParagraph"/>
        <w:spacing w:line="480" w:lineRule="auto"/>
      </w:pPr>
      <w:r>
        <w:t xml:space="preserve">The first estimator produces not only three slope coefficients but a joint F statistic that tests whether all three slopes are simultaneously zero, and this joint test carries more weight in the design than any single coefficient. The reason is that individual coefficients in a small multiple regression can be pushed around by collinearity and by the particular composition of the sample, so reading any one of them in isolation risks over-reacting to noise</w:t>
      </w:r>
      <w:r>
        <w:t xml:space="preserve"> </w:t>
      </w:r>
      <w:hyperlink w:anchor="ref-8">
        <w:r>
          <w:rPr>
            <w:rStyle w:val="Hyperlink"/>
          </w:rPr>
          <w:t xml:space="preserve">[8]</w:t>
        </w:r>
      </w:hyperlink>
      <w:r>
        <w:t xml:space="preserve">. The joint test asks the cleaner question: taken together, do recency, citation attention, and venue family explain more of the variation in signal intensity than would be expected by chance? A design that hunted through the three individual p-values for the smallest one, then reported that, would be practicing exactly the kind of selective reading the framework forbids</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joint test therefore functions as a guard against the temptation to cherry-pick. If the joint test fails to reject, as Chapter 6 reports it does, then the honest reading is that the model as a whole has not detected structure, and the individual coefficients should be read only as descriptive leans rather than as findings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ordering, joint test first and individual coefficients second, is a deliberate part of the identification logic, and it is stated here so that the results chapter’s restraint is understood as principled rather than merely cautious</w:t>
      </w:r>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End w:id="100"/>
    <w:bookmarkStart w:id="101" w:name="Xf333eab16142522da41818c449dfb25f26a9f7e"/>
    <w:p>
      <w:pPr>
        <w:pStyle w:val="Heading2"/>
        <w:spacing w:line="480" w:lineRule="auto"/>
      </w:pPr>
      <w:r>
        <w:t xml:space="preserve">4.8 Reproducibility as an identification property</w:t>
      </w:r>
    </w:p>
    <w:p>
      <w:pPr>
        <w:pStyle w:val="FirstParagraph"/>
        <w:spacing w:line="480" w:lineRule="auto"/>
      </w:pPr>
      <w:r>
        <w:t xml:space="preserve">It is unusual to describe reproducibility as an identification property, but in a design like this it belongs in that category. Identification, in the broad sense, is about being able to attach a definite meaning to an estimate. Here that meaning is guaranteed not by an experimental design but by the fact that every input to every estimate is fixed and documented before estimation begins</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outcome variables, the predictors, the functional forms, and the standard-error corrections are all recorded in configuration files that travel with the data, so the mapping from raw records to reported coefficients has no free parameters and no undocumented steps</w:t>
      </w:r>
      <w:r>
        <w:t xml:space="preserve"> </w:t>
      </w:r>
      <w:hyperlink w:anchor="ref-4">
        <w:r>
          <w:rPr>
            <w:rStyle w:val="Hyperlink"/>
          </w:rPr>
          <w:t xml:space="preserve">[4]</w:t>
        </w:r>
      </w:hyperlink>
      <w:r>
        <w:t xml:space="preserve">. Anyone with the files can regenerate the exact numbers in Chapter 6, down to the last decimal.</w:t>
      </w:r>
    </w:p>
    <w:p>
      <w:pPr>
        <w:pStyle w:val="BodyText"/>
        <w:spacing w:line="480" w:lineRule="auto"/>
        <w:ind w:firstLine="720"/>
      </w:pPr>
      <w:r>
        <w:t xml:space="preserve">That property does two things for the credibility of the results. It removes the possibility that the reported estimates were selected, post hoc, from a larger set of specifications that were quietly tried and discarded, because the specifications were committed in advance</w:t>
      </w:r>
      <w:r>
        <w:t xml:space="preserve"> </w:t>
      </w:r>
      <w:hyperlink w:anchor="ref-11">
        <w:r>
          <w:rPr>
            <w:rStyle w:val="Hyperlink"/>
          </w:rPr>
          <w:t xml:space="preserve">[11]</w:t>
        </w:r>
      </w:hyperlink>
      <w:r>
        <w:t xml:space="preserve">. And it lets a skeptical reader do more than trust the prose: it lets them check it, which is the strongest form of verification a purely observational design can offer</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estimators identify within-corpus associations and an accumulation elasticity, and the reproducibility discipline identifies those objects as the only ones the study ever estimated, with no hidden garden of forking paths behind them</w:t>
      </w:r>
      <w:r>
        <w:t xml:space="preserve"> </w:t>
      </w:r>
      <w:hyperlink w:anchor="ref-8">
        <w:r>
          <w:rPr>
            <w:rStyle w:val="Hyperlink"/>
          </w:rPr>
          <w:t xml:space="preserve">[8]</w:t>
        </w:r>
      </w:hyperlink>
      <w:r>
        <w:t xml:space="preserve"> </w:t>
      </w:r>
      <w:hyperlink w:anchor="ref-15">
        <w:r>
          <w:rPr>
            <w:rStyle w:val="Hyperlink"/>
          </w:rPr>
          <w:t xml:space="preserve">[15]</w:t>
        </w:r>
      </w:hyperlink>
      <w:r>
        <w:t xml:space="preserve">.</w:t>
      </w:r>
    </w:p>
    <w:bookmarkEnd w:id="101"/>
    <w:bookmarkStart w:id="102" w:name="Xa08aafeacd687323349ded482593620ea624a53"/>
    <w:p>
      <w:pPr>
        <w:pStyle w:val="Heading2"/>
        <w:spacing w:line="480" w:lineRule="auto"/>
      </w:pPr>
      <w:r>
        <w:t xml:space="preserve">4.9 Standard errors, sample size, and the honest reading of precision</w:t>
      </w:r>
    </w:p>
    <w:p>
      <w:pPr>
        <w:pStyle w:val="FirstParagraph"/>
        <w:spacing w:line="480" w:lineRule="auto"/>
      </w:pPr>
      <w:r>
        <w:t xml:space="preserve">The relationship between sample size and precision deserves explicit treatment, because it governs how every coefficient in Chapter 6 should be read. With thirty observations, the sampling distribution of each estimate is wide, and the robust standard errors report that width faithfully rather than disguising it</w:t>
      </w:r>
      <w:r>
        <w:t xml:space="preserve"> </w:t>
      </w:r>
      <w:hyperlink w:anchor="ref-4">
        <w:r>
          <w:rPr>
            <w:rStyle w:val="Hyperlink"/>
          </w:rPr>
          <w:t xml:space="preserve">[4]</w:t>
        </w:r>
      </w:hyperlink>
      <w:r>
        <w:t xml:space="preserve"> </w:t>
      </w:r>
      <w:hyperlink w:anchor="ref-8">
        <w:r>
          <w:rPr>
            <w:rStyle w:val="Hyperlink"/>
          </w:rPr>
          <w:t xml:space="preserve">[8]</w:t>
        </w:r>
      </w:hyperlink>
      <w:r>
        <w:t xml:space="preserve">. A reader accustomed to large-sample work might see a point estimate with the predicted sign and be tempted to treat it as a finding, but at this sample size a correctly signed point estimate is entirely compatible with a true effect of zero. The p-value is the discipline that prevents that temptation from becoming a claim</w:t>
      </w:r>
      <w:r>
        <w:t xml:space="preserve"> </w:t>
      </w:r>
      <w:hyperlink w:anchor="ref-5">
        <w:r>
          <w:rPr>
            <w:rStyle w:val="Hyperlink"/>
          </w:rPr>
          <w:t xml:space="preserve">[5]</w:t>
        </w:r>
      </w:hyperlink>
      <w:r>
        <w:t xml:space="preserve">.</w:t>
      </w:r>
    </w:p>
    <w:p>
      <w:pPr>
        <w:pStyle w:val="BodyText"/>
        <w:spacing w:line="480" w:lineRule="auto"/>
        <w:ind w:firstLine="720"/>
      </w:pPr>
      <w:r>
        <w:t xml:space="preserve">This is not a weakness the design tries to hide; it is a condition the design is built to report honestly. The alternative, running the estimators on a larger but less carefully provenanced corpus, would trade the width of the confidence intervals for a loss of auditability, and the project judges auditability to be the more valuable property at this stage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consequence is that the study is well positioned to make one kind of statement, that the corpus does or does not exhibit a certain structure with stated precision, and poorly positioned to make another, that a small true effect definitely exists or definitely does not. Chapter 6 confines itself to the first kind of statement, and this section explains why that confinement is a principled response to the sample size rather than a failure of nerve</w:t>
      </w:r>
      <w:r>
        <w:t xml:space="preserve"> </w:t>
      </w:r>
      <w:hyperlink w:anchor="ref-7">
        <w:r>
          <w:rPr>
            <w:rStyle w:val="Hyperlink"/>
          </w:rPr>
          <w:t xml:space="preserve">[7]</w:t>
        </w:r>
      </w:hyperlink>
      <w:r>
        <w:t xml:space="preserve"> </w:t>
      </w:r>
      <w:hyperlink w:anchor="ref-15">
        <w:r>
          <w:rPr>
            <w:rStyle w:val="Hyperlink"/>
          </w:rPr>
          <w:t xml:space="preserve">[15]</w:t>
        </w:r>
      </w:hyperlink>
      <w:r>
        <w:t xml:space="preserve">.</w:t>
      </w:r>
    </w:p>
    <w:bookmarkEnd w:id="102"/>
    <w:bookmarkStart w:id="103" w:name="the-role-of-the-constant-terms"/>
    <w:p>
      <w:pPr>
        <w:pStyle w:val="Heading2"/>
        <w:spacing w:line="480" w:lineRule="auto"/>
      </w:pPr>
      <w:r>
        <w:t xml:space="preserve">4.10 The role of the constant terms</w:t>
      </w:r>
    </w:p>
    <w:p>
      <w:pPr>
        <w:pStyle w:val="FirstParagraph"/>
        <w:spacing w:line="480" w:lineRule="auto"/>
      </w:pPr>
      <w:r>
        <w:t xml:space="preserve">Both estimators return a constant, and a careful reader might wonder why the results chapter treats these precisely estimated constants as substantively empty. The reason is worth stating, because it guards against a common misreading of regression output. In the first model, the constant is the fitted signal score for a hypothetical record at zero on recency, citations, and venue, a combination that does not correspond to any real record and that lies outside the observed range of the predictors</w:t>
      </w:r>
      <w:r>
        <w:t xml:space="preserve"> </w:t>
      </w:r>
      <w:hyperlink w:anchor="ref-4">
        <w:r>
          <w:rPr>
            <w:rStyle w:val="Hyperlink"/>
          </w:rPr>
          <w:t xml:space="preserve">[4]</w:t>
        </w:r>
      </w:hyperlink>
      <w:r>
        <w:t xml:space="preserve"> </w:t>
      </w:r>
      <w:hyperlink w:anchor="ref-8">
        <w:r>
          <w:rPr>
            <w:rStyle w:val="Hyperlink"/>
          </w:rPr>
          <w:t xml:space="preserve">[8]</w:t>
        </w:r>
      </w:hyperlink>
      <w:r>
        <w:t xml:space="preserve">. Its precision reflects only that the average signal score in the corpus is reliably positive, which is a fact about the outcome’s location, not about any relationship of interest</w:t>
      </w:r>
      <w:r>
        <w:t xml:space="preserve"> </w:t>
      </w:r>
      <w:hyperlink w:anchor="ref-1">
        <w:r>
          <w:rPr>
            <w:rStyle w:val="Hyperlink"/>
          </w:rPr>
          <w:t xml:space="preserve">[1]</w:t>
        </w:r>
      </w:hyperlink>
      <w:r>
        <w:t xml:space="preserve">.</w:t>
      </w:r>
    </w:p>
    <w:p>
      <w:pPr>
        <w:pStyle w:val="BodyText"/>
        <w:spacing w:line="480" w:lineRule="auto"/>
        <w:ind w:firstLine="720"/>
      </w:pPr>
      <w:r>
        <w:t xml:space="preserve">The same logic applies to the constant in the learning-curve model, which locates the baseline level of logged citations-plus-one for the youngest records and is precisely estimated for the same uninteresting reason</w:t>
      </w:r>
      <w:r>
        <w:t xml:space="preserve"> </w:t>
      </w:r>
      <w:hyperlink w:anchor="ref-6">
        <w:r>
          <w:rPr>
            <w:rStyle w:val="Hyperlink"/>
          </w:rPr>
          <w:t xml:space="preserve">[6]</w:t>
        </w:r>
      </w:hyperlink>
      <w:r>
        <w:t xml:space="preserve">. Reporting these constants and their small p-values, then declining to build any argument on them, is part of the honest reading of the output. A study that pointed to a significant constant as evidence for its thesis would be misusing the arithmetic, and the results chapter is careful to distinguish the constants, which are precise but empty, from the slopes, which carry whatever substantive information the models contain</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This distinction is stated here so that the results chapter’s handling of the constants is understood as deliberate rather than dismissive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03"/>
    <w:bookmarkStart w:id="104" w:name="summary-of-the-identification-claims"/>
    <w:p>
      <w:pPr>
        <w:pStyle w:val="Heading2"/>
        <w:spacing w:line="480" w:lineRule="auto"/>
      </w:pPr>
      <w:r>
        <w:t xml:space="preserve">4.11 Summary of the identification claims</w:t>
      </w:r>
    </w:p>
    <w:p>
      <w:pPr>
        <w:pStyle w:val="FirstParagraph"/>
        <w:spacing w:line="480" w:lineRule="auto"/>
      </w:pPr>
      <w:r>
        <w:t xml:space="preserve">It helps to gather the identification claims in one place, because the design makes several narrow claims rather than one broad one, and their sum is the whole of what the study asserts it can identify. The first estimator identifies, within the thirty-record corpus, the average partial association between each of recency, citation attention, and venue family and the topic-signal score, with precision reported through robust standard errors and a joint test</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second estimator identifies, within the same corpus, the average proportional relationship between document age and accumulated citations, expressed as an elasticity</w:t>
      </w:r>
      <w:r>
        <w:t xml:space="preserve"> </w:t>
      </w:r>
      <w:hyperlink w:anchor="ref-6">
        <w:r>
          <w:rPr>
            <w:rStyle w:val="Hyperlink"/>
          </w:rPr>
          <w:t xml:space="preserve">[6]</w:t>
        </w:r>
      </w:hyperlink>
      <w:r>
        <w:t xml:space="preserve">. Both claims are conditional on the maintained assumptions stated above, and neither reaches beyond the retrieved records to the market itself</w:t>
      </w:r>
      <w:r>
        <w:t xml:space="preserve"> </w:t>
      </w:r>
      <w:hyperlink w:anchor="ref-11">
        <w:r>
          <w:rPr>
            <w:rStyle w:val="Hyperlink"/>
          </w:rPr>
          <w:t xml:space="preserve">[11]</w:t>
        </w:r>
      </w:hyperlink>
      <w:r>
        <w:t xml:space="preserve">.</w:t>
      </w:r>
    </w:p>
    <w:p>
      <w:pPr>
        <w:pStyle w:val="BodyText"/>
        <w:spacing w:line="480" w:lineRule="auto"/>
        <w:ind w:firstLine="720"/>
      </w:pPr>
      <w:r>
        <w:t xml:space="preserve">What the design does not claim to identify is as important as what it does. It does not identify a causal effect, a population parameter, a price, a volume, or a demand relationship, because none of those objects is present in the data or recoverable from an observational metadata corpus of this kind</w:t>
      </w:r>
      <w:r>
        <w:t xml:space="preserve"> </w:t>
      </w:r>
      <w:hyperlink w:anchor="ref-3">
        <w:r>
          <w:rPr>
            <w:rStyle w:val="Hyperlink"/>
          </w:rPr>
          <w:t xml:space="preserve">[3]</w:t>
        </w:r>
      </w:hyperlink>
      <w:r>
        <w:t xml:space="preserve"> </w:t>
      </w:r>
      <w:hyperlink w:anchor="ref-7">
        <w:r>
          <w:rPr>
            <w:rStyle w:val="Hyperlink"/>
          </w:rPr>
          <w:t xml:space="preserve">[7]</w:t>
        </w:r>
      </w:hyperlink>
      <w:r>
        <w:t xml:space="preserve">. Stating the identification claims this narrowly is what lets the results chapter interpret the coefficients honestly and lets the discussion chapter catalog the threats without contradiction</w:t>
      </w:r>
      <w:r>
        <w:t xml:space="preserve"> </w:t>
      </w:r>
      <w:hyperlink w:anchor="ref-15">
        <w:r>
          <w:rPr>
            <w:rStyle w:val="Hyperlink"/>
          </w:rPr>
          <w:t xml:space="preserve">[15]</w:t>
        </w:r>
      </w:hyperlink>
      <w:r>
        <w:t xml:space="preserve">. A design that claimed to identify more would have to explain away the threats; a design that claims only these narrow within-corpus objects can name the threats openly, because they bound an already modest claim rather than undermining an inflated one</w:t>
      </w:r>
      <w:r>
        <w:t xml:space="preserve"> </w:t>
      </w:r>
      <w:hyperlink w:anchor="ref-8">
        <w:r>
          <w:rPr>
            <w:rStyle w:val="Hyperlink"/>
          </w:rPr>
          <w:t xml:space="preserve">[8]</w:t>
        </w:r>
      </w:hyperlink>
      <w:r>
        <w:t xml:space="preserve"> </w:t>
      </w:r>
      <w:hyperlink w:anchor="ref-16">
        <w:r>
          <w:rPr>
            <w:rStyle w:val="Hyperlink"/>
          </w:rPr>
          <w:t xml:space="preserve">[16]</w:t>
        </w:r>
      </w:hyperlink>
      <w:r>
        <w:t xml:space="preserve">.</w:t>
      </w:r>
    </w:p>
    <w:bookmarkEnd w:id="104"/>
    <w:bookmarkEnd w:id="105"/>
    <w:bookmarkStart w:id="117" w:name="chapter-5-data-and-measurement"/>
    <w:p>
      <w:pPr>
        <w:pStyle w:val="Heading1"/>
        <w:spacing w:line="480" w:lineRule="auto"/>
      </w:pPr>
      <w:r>
        <w:t xml:space="preserve">Chapter 5: Data and Measurement</w:t>
      </w:r>
    </w:p>
    <w:p>
      <w:pPr>
        <w:pStyle w:val="FirstParagraph"/>
        <w:spacing w:line="480" w:lineRule="auto"/>
      </w:pPr>
      <w:r>
        <w:t xml:space="preserve">Everything the estimators can say is bounded by the data they are given. This chapter describes that data in full: where the thirty records come from, how each variable is constructed from observable metadata, how the venue families are coded, and how provenance is preserved so that any reader can trace a dissertation claim back to a specific source row and forward again. The discipline is simple to state and unglamorous to maintain. Every number is a workbook result, and every row carries the source it was built from.</w:t>
      </w:r>
    </w:p>
    <w:bookmarkStart w:id="106" w:name="the-corpus-and-its-size"/>
    <w:p>
      <w:pPr>
        <w:pStyle w:val="Heading2"/>
        <w:spacing w:line="480" w:lineRule="auto"/>
      </w:pPr>
      <w:r>
        <w:t xml:space="preserve">5.1 The corpus and its size</w:t>
      </w:r>
    </w:p>
    <w:p>
      <w:pPr>
        <w:pStyle w:val="FirstParagraph"/>
        <w:spacing w:line="480" w:lineRule="auto"/>
      </w:pPr>
      <w:r>
        <w:t xml:space="preserve">The estimation file contains thirty retrieved source records. Thirty is a small sample, and the dissertation does not hide that fact; it builds the entire inferential posture around it. The records were retrieved from the candidate’s local source collection, which draws on three venue families relevant to the smallsat launch and space-situational-awareness domain. Each record is a real document with a resolvable source identifier, either a conference-proceedings URL or a digital object identifier, preserved in the source column of the dataset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corpus spans publication years from 2006 to 2026, a two-decade window that is wide enough to let recency and age vary meaningfully while remaining narrow enough that the field’s basic vocabulary is stable across it</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oldest record is a 2006 study of on-orbit material aging</w:t>
      </w:r>
      <w:r>
        <w:t xml:space="preserve"> </w:t>
      </w:r>
      <w:hyperlink w:anchor="ref-6">
        <w:r>
          <w:rPr>
            <w:rStyle w:val="Hyperlink"/>
          </w:rPr>
          <w:t xml:space="preserve">[6]</w:t>
        </w:r>
      </w:hyperlink>
      <w:r>
        <w:t xml:space="preserve">. The newest are 2026 journal articles on space-resource market evaluation and on formation flying</w:t>
      </w:r>
      <w:r>
        <w:t xml:space="preserve"> </w:t>
      </w:r>
      <w:hyperlink w:anchor="ref-9">
        <w:r>
          <w:rPr>
            <w:rStyle w:val="Hyperlink"/>
          </w:rPr>
          <w:t xml:space="preserve">[9]</w:t>
        </w:r>
      </w:hyperlink>
      <w:r>
        <w:t xml:space="preserve"> </w:t>
      </w:r>
      <w:hyperlink w:anchor="ref-11">
        <w:r>
          <w:rPr>
            <w:rStyle w:val="Hyperlink"/>
          </w:rPr>
          <w:t xml:space="preserve">[11]</w:t>
        </w:r>
      </w:hyperlink>
      <w:r>
        <w:t xml:space="preserve">. Between them sit surveillance trend surveys, smallsat systems papers, navigation studies, and policy documents, each contributing a row to the estimation file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06"/>
    <w:bookmarkStart w:id="107" w:name="Xd1be25c254600eb40c314e24986c47dca48a2f3"/>
    <w:p>
      <w:pPr>
        <w:pStyle w:val="Heading2"/>
        <w:spacing w:line="480" w:lineRule="auto"/>
      </w:pPr>
      <w:r>
        <w:t xml:space="preserve">5.2 The outcome variable in estimator one: topic-signal score</w:t>
      </w:r>
    </w:p>
    <w:p>
      <w:pPr>
        <w:pStyle w:val="FirstParagraph"/>
        <w:spacing w:line="480" w:lineRule="auto"/>
      </w:pPr>
      <w:r>
        <w:t xml:space="preserve">The dependent variable for the first estimator is the composite topic-signal score. It is a deterministic count built from the number of candidate-theme term hits found in four metadata fields of each record: the title, the snippet, the keyword field, and the author metadata. A record that is densely about the smallsat launch theme scores high; a record where the theme appears only glancingly scores low. Because the score is a mechanical count with no human coding step, two analysts running the same procedure over the same records would produce identical scores, which is the reproducibility property the design requires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construction has a known limitation, stated here rather than in a footnote. A term-hit count can be high for reasons unrelated to genuine thematic centrality, such as keyword-dense abstracts or repeated boilerplate, and it can be low for a genuinely on-theme paper that happens to use different vocabulary</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score is therefore a proxy for topic visibility, not a direct measure of it, and Chapter 6 reports the results as evidence about the proxy.</w:t>
      </w:r>
    </w:p>
    <w:bookmarkEnd w:id="107"/>
    <w:bookmarkStart w:id="108" w:name="the-predictors-in-estimator-one"/>
    <w:p>
      <w:pPr>
        <w:pStyle w:val="Heading2"/>
        <w:spacing w:line="480" w:lineRule="auto"/>
      </w:pPr>
      <w:r>
        <w:t xml:space="preserve">5.3 The predictors in estimator one</w:t>
      </w:r>
    </w:p>
    <w:p>
      <w:pPr>
        <w:pStyle w:val="FirstParagraph"/>
        <w:spacing w:line="480" w:lineRule="auto"/>
      </w:pPr>
      <w:r>
        <w:t xml:space="preserve">Three predictors enter the first model. The recency index is computed as the publication year minus the minimum publication year in the sample plus one, so the earliest record takes the value one and later records take larger values. This transformation puts recency on a simple positive integer scale that is easy to interpret and free of arbitrary origin</w:t>
      </w:r>
      <w:r>
        <w:t xml:space="preserve"> </w:t>
      </w:r>
      <w:hyperlink w:anchor="ref-8">
        <w:r>
          <w:rPr>
            <w:rStyle w:val="Hyperlink"/>
          </w:rPr>
          <w:t xml:space="preserve">[8]</w:t>
        </w:r>
      </w:hyperlink>
      <w:r>
        <w:t xml:space="preserve">.</w:t>
      </w:r>
    </w:p>
    <w:p>
      <w:pPr>
        <w:pStyle w:val="BodyText"/>
        <w:spacing w:line="480" w:lineRule="auto"/>
        <w:ind w:firstLine="720"/>
      </w:pPr>
      <w:r>
        <w:t xml:space="preserve">The citation count is the reported citation figure parsed from the local brain index, set to zero when the index reports no count. This variable carries the heaviest measurement burden in the dataset. The local index reports zero citations for a large share of records, including recent journal articles that have not yet accrued citations and conference papers that are influential in practice but rarely formally cited</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zeros are therefore a mix of genuine non-citation and index coverage gaps, and they cannot be told apart from within the data. This is the single most important caveat attached to any citation result, and it recurs in the discussion of validity</w:t>
      </w:r>
      <w:r>
        <w:t xml:space="preserve"> </w:t>
      </w:r>
      <w:hyperlink w:anchor="ref-7">
        <w:r>
          <w:rPr>
            <w:rStyle w:val="Hyperlink"/>
          </w:rPr>
          <w:t xml:space="preserve">[7]</w:t>
        </w:r>
      </w:hyperlink>
      <w:r>
        <w:t xml:space="preserve">.</w:t>
      </w:r>
    </w:p>
    <w:p>
      <w:pPr>
        <w:pStyle w:val="BodyText"/>
        <w:spacing w:line="480" w:lineRule="auto"/>
        <w:ind w:firstLine="720"/>
      </w:pPr>
      <w:r>
        <w:t xml:space="preserve">The venue-family score is an ordinal code: AMOS conference proceedings take the value one, Acta Astronautica journal articles take two, and space-economy sources take three. The ordering is meant to track, roughly, the shift from fast-publishing niche proceedings toward slower, higher-attention outlets, but it is ordinal and should not be read as a cardinal scale</w:t>
      </w:r>
      <w:r>
        <w:t xml:space="preserve"> </w:t>
      </w:r>
      <w:hyperlink w:anchor="ref-1">
        <w:r>
          <w:rPr>
            <w:rStyle w:val="Hyperlink"/>
          </w:rPr>
          <w:t xml:space="preserve">[1]</w:t>
        </w:r>
      </w:hyperlink>
      <w:r>
        <w:t xml:space="preserve"> </w:t>
      </w:r>
      <w:hyperlink w:anchor="ref-11">
        <w:r>
          <w:rPr>
            <w:rStyle w:val="Hyperlink"/>
          </w:rPr>
          <w:t xml:space="preserve">[11]</w:t>
        </w:r>
      </w:hyperlink>
      <w:r>
        <w:t xml:space="preserve">. A one-unit change from AMOS to Acta is not claimed to be equal in substantive size to a one-unit change from Acta to space-economy.</w:t>
      </w:r>
    </w:p>
    <w:bookmarkEnd w:id="108"/>
    <w:bookmarkStart w:id="109" w:name="X6cd7a4114e45b5cb6b4a3669dcf6a54b8ff7135"/>
    <w:p>
      <w:pPr>
        <w:pStyle w:val="Heading2"/>
        <w:spacing w:line="480" w:lineRule="auto"/>
      </w:pPr>
      <w:r>
        <w:t xml:space="preserve">5.4 The variables in estimator two: citation accumulation and age</w:t>
      </w:r>
    </w:p>
    <w:p>
      <w:pPr>
        <w:pStyle w:val="FirstParagraph"/>
        <w:spacing w:line="480" w:lineRule="auto"/>
      </w:pPr>
      <w:r>
        <w:t xml:space="preserve">The second estimator uses two variables. The outcome is the citation count plus one, transformed to its natural log. The plus-one is a standard device that keeps the logarithm defined for the many uncited records; without it, every zero-citation document would drop out of the model and the sample would shrink to the handful of cited records, destroying what little power the design has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predictor is the document age index, computed as 2026 minus the publication year plus one, then logged. A record from 2026 takes an age index of one; the 2006 record takes an age index of twenty-one. Age and recency are near-mirror transformations of publication year, which is exactly why the two estimators are kept separate rather than combined, as Chapter 4 explains</w:t>
      </w:r>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109"/>
    <w:bookmarkStart w:id="110" w:name="venue-composition-and-what-it-implies"/>
    <w:p>
      <w:pPr>
        <w:pStyle w:val="Heading2"/>
        <w:spacing w:line="480" w:lineRule="auto"/>
      </w:pPr>
      <w:r>
        <w:t xml:space="preserve">5.5 Venue composition and what it implies</w:t>
      </w:r>
    </w:p>
    <w:p>
      <w:pPr>
        <w:pStyle w:val="FirstParagraph"/>
        <w:spacing w:line="480" w:lineRule="auto"/>
      </w:pPr>
      <w:r>
        <w:t xml:space="preserve">The three venue families are not evenly represented, and their composition shapes what the estimators can see. The AMOS proceedings supply the surveillance and characterization records, which are numerous, older on average, and reported by the local index as uncited almost across the board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The Acta Astronautica journal articles supply the smallsat systems and navigation records, which are recent and carry most of the corpus’s nonzero citation counts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space-economy sources supply the policy and market-evaluation records, which are few, recent, and again largely uncited in the local index</w:t>
      </w:r>
      <w:r>
        <w:t xml:space="preserve"> </w:t>
      </w:r>
      <w:hyperlink w:anchor="ref-11">
        <w:r>
          <w:rPr>
            <w:rStyle w:val="Hyperlink"/>
          </w:rPr>
          <w:t xml:space="preserve">[11]</w:t>
        </w:r>
      </w:hyperlink>
      <w:r>
        <w:t xml:space="preserve">.</w:t>
      </w:r>
    </w:p>
    <w:p>
      <w:pPr>
        <w:pStyle w:val="BodyText"/>
        <w:spacing w:line="480" w:lineRule="auto"/>
        <w:ind w:firstLine="720"/>
      </w:pPr>
      <w:r>
        <w:t xml:space="preserve">This composition has a direct consequence for interpretation. Citation attention in the corpus is concentrated in the journal family, and thematic density is distributed unevenly across families, so any coefficient on citation count or venue is partly a statement about the mix of venues rather than about the theme in the abstract</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venue-family control is meant to hold this mix fixed, but with only three ordinal categories and thirty records, the control is coarse. The honest reading, developed in the results and discussion, is that the corpus can reveal gross structure but not fine structure.</w:t>
      </w:r>
    </w:p>
    <w:bookmarkEnd w:id="110"/>
    <w:bookmarkStart w:id="111" w:name="provenance-and-auditability"/>
    <w:p>
      <w:pPr>
        <w:pStyle w:val="Heading2"/>
        <w:spacing w:line="480" w:lineRule="auto"/>
      </w:pPr>
      <w:r>
        <w:t xml:space="preserve">5.6 Provenance and auditability</w:t>
      </w:r>
    </w:p>
    <w:p>
      <w:pPr>
        <w:pStyle w:val="FirstParagraph"/>
        <w:spacing w:line="480" w:lineRule="auto"/>
      </w:pPr>
      <w:r>
        <w:t xml:space="preserve">The data strategy is built for inspection. Each row in each estimation file preserves a source column that names the exact document it was built from, whether a proceedings URL or a digital object identifier</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configuration files record the outcome, the predictors, the functional form, and the definition of every variable, so a reader can move from a dissertation claim to the paper specification to the individual data row and back without any undocumented step</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workbooks reproduce the estimator output from the same rows, which means the numbers reported in Chapter 6 are not transcribed by hand but generated from the data and can be regenerated by anyone with the files.</w:t>
      </w:r>
    </w:p>
    <w:p>
      <w:pPr>
        <w:pStyle w:val="BodyText"/>
        <w:spacing w:line="480" w:lineRule="auto"/>
        <w:ind w:firstLine="720"/>
      </w:pPr>
      <w:r>
        <w:t xml:space="preserve">This reproducible hierarchy is the point. Bibliography and source metadata establish the universe of records. The estimation files define the rows. The configuration files define the variables and formulas. The workbooks reproduce the output. The dissertation narrative sits downstream of all of it, never upstream, so that no claim in the prose can outrun the artifacts that support it</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The next chapter reports what those artifacts actually produced, stated exactly, and interprets the signs and magnitudes without inflating them.</w:t>
      </w:r>
    </w:p>
    <w:bookmarkEnd w:id="111"/>
    <w:bookmarkStart w:id="112" w:name="the-distribution-of-the-key-variables"/>
    <w:p>
      <w:pPr>
        <w:pStyle w:val="Heading2"/>
        <w:spacing w:line="480" w:lineRule="auto"/>
      </w:pPr>
      <w:r>
        <w:t xml:space="preserve">5.7 The distribution of the key variables</w:t>
      </w:r>
    </w:p>
    <w:p>
      <w:pPr>
        <w:pStyle w:val="FirstParagraph"/>
        <w:spacing w:line="480" w:lineRule="auto"/>
      </w:pPr>
      <w:r>
        <w:t xml:space="preserve">Before the estimators run, it is worth looking at how the variables actually distribute across the thirty records, because the shape of the data explains much of what Chapter 6 finds. The signal score ranges from a floor of one, for records where the candidate theme barely appears, up to eight, for the most thematically dense records, with most records clustered at the low end</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right-skew matters: a heavily skewed outcome with a long thin tail gives an ordinary least squares model little leverage, because most of the variation the model must explain lives in a handful of high-scoring records that the predictors may not distinguish</w:t>
      </w:r>
      <w:r>
        <w:t xml:space="preserve"> </w:t>
      </w:r>
      <w:hyperlink w:anchor="ref-8">
        <w:r>
          <w:rPr>
            <w:rStyle w:val="Hyperlink"/>
          </w:rPr>
          <w:t xml:space="preserve">[8]</w:t>
        </w:r>
      </w:hyperlink>
      <w:r>
        <w:t xml:space="preserve">.</w:t>
      </w:r>
    </w:p>
    <w:p>
      <w:pPr>
        <w:pStyle w:val="BodyText"/>
        <w:spacing w:line="480" w:lineRule="auto"/>
        <w:ind w:firstLine="720"/>
      </w:pPr>
      <w:r>
        <w:t xml:space="preserve">The citation variable is more extreme still. A clear majority of the thirty records carry a reported citation count of zero, and the nonzero counts, when they occur, sit almost entirely among the recent Acta Astronautica journal articles, one of which reaches nineteen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AMOS proceedings and the space-economy sources are reported as uncited almost uniformly</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1">
        <w:r>
          <w:rPr>
            <w:rStyle w:val="Hyperlink"/>
          </w:rPr>
          <w:t xml:space="preserve">[11]</w:t>
        </w:r>
      </w:hyperlink>
      <w:r>
        <w:t xml:space="preserve">. This is not a smooth distribution of attention; it is a spike at zero with a thin scatter of positive values concentrated in one venue family. Any coefficient the estimators attach to citations is therefore describing the difference between that one cited cluster and everything else, rather than a general relationship, and Chapter 6 reads the citation results with that fact in front of it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recency and age indices, by contrast, are well behaved, because they are deterministic transformations of publication year and inherit its clean spread across the two-decade window</w:t>
      </w:r>
      <w:r>
        <w:t xml:space="preserve"> </w:t>
      </w:r>
      <w:hyperlink w:anchor="ref-8">
        <w:r>
          <w:rPr>
            <w:rStyle w:val="Hyperlink"/>
          </w:rPr>
          <w:t xml:space="preserve">[8]</w:t>
        </w:r>
      </w:hyperlink>
      <w:r>
        <w:t xml:space="preserve">. The venue-family variable takes only three values, and the three are unevenly populated, with the AMOS and journal families carrying most of the records and the space-economy family a smaller set</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upshot of these distributions is that the corpus offers the estimators clean variation on time and coarse, spiky variation on attention and venue, which foreshadows why the recency lean is the most legible result and the citation and venue results the least</w:t>
      </w:r>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End w:id="112"/>
    <w:bookmarkStart w:id="113" w:name="X086e6abdb28e7946b49c940fee71c2eeb25b071"/>
    <w:p>
      <w:pPr>
        <w:pStyle w:val="Heading2"/>
        <w:spacing w:line="480" w:lineRule="auto"/>
      </w:pPr>
      <w:r>
        <w:t xml:space="preserve">5.8 Provenance in practice: three worked examples</w:t>
      </w:r>
    </w:p>
    <w:p>
      <w:pPr>
        <w:pStyle w:val="FirstParagraph"/>
        <w:spacing w:line="480" w:lineRule="auto"/>
      </w:pPr>
      <w:r>
        <w:t xml:space="preserve">Provenance is easier to trust when it is shown rather than asserted, so consider three records and how each traces back to a named source. The first is a 2021 surveillance trend survey, retrieved from an AMOS proceedings URL, coded venue-family one, reported as uncited by the local index, and assigned a signal score in the middle of the range because its title and keywords hit the candidate theme several times</w:t>
      </w:r>
      <w:r>
        <w:t xml:space="preserve"> </w:t>
      </w:r>
      <w:hyperlink w:anchor="ref-1">
        <w:r>
          <w:rPr>
            <w:rStyle w:val="Hyperlink"/>
          </w:rPr>
          <w:t xml:space="preserve">[1]</w:t>
        </w:r>
      </w:hyperlink>
      <w:r>
        <w:t xml:space="preserve">. The second is a 2024 journal article on a novel CubeSat thruster, retrieved by digital object identifier, coded venue-family two, credited with a nonzero citation count, and assigned a low signal score because the theme terms appear only sparsely in its metadata despite its technical relevance</w:t>
      </w:r>
      <w:r>
        <w:t xml:space="preserve"> </w:t>
      </w:r>
      <w:hyperlink w:anchor="ref-12">
        <w:r>
          <w:rPr>
            <w:rStyle w:val="Hyperlink"/>
          </w:rPr>
          <w:t xml:space="preserve">[12]</w:t>
        </w:r>
      </w:hyperlink>
      <w:r>
        <w:t xml:space="preserve">. The third is a space-economy market-evaluation article, retrieved by digital object identifier, coded venue-family three, reported as uncited, and scored according to its theme-term density</w:t>
      </w:r>
      <w:r>
        <w:t xml:space="preserve"> </w:t>
      </w:r>
      <w:hyperlink w:anchor="ref-11">
        <w:r>
          <w:rPr>
            <w:rStyle w:val="Hyperlink"/>
          </w:rPr>
          <w:t xml:space="preserve">[11]</w:t>
        </w:r>
      </w:hyperlink>
      <w:r>
        <w:t xml:space="preserve">.</w:t>
      </w:r>
    </w:p>
    <w:p>
      <w:pPr>
        <w:pStyle w:val="BodyText"/>
        <w:spacing w:line="480" w:lineRule="auto"/>
        <w:ind w:firstLine="720"/>
      </w:pPr>
      <w:r>
        <w:t xml:space="preserve">Each of these records occupies one row in each estimation file, and each row carries the source identifier that generated it, so a reader who doubts any coded value can open the named source and check it</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examples also illustrate the venue heterogeneity discussed above: the surveillance record publishes fast and is uncited, the journal record is cited but thematically sparse in its metadata, and the policy record is recent and uncited. Three records, three venue families, three quite different profiles, all feeding the same estimators. The design does not smooth over this heterogeneity; it exposes it and asks the venue-family control to absorb what it can</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13"/>
    <w:bookmarkStart w:id="114" w:name="Xf347b67cbef09f21c87abb5458dfe5ab38d1a66"/>
    <w:p>
      <w:pPr>
        <w:pStyle w:val="Heading2"/>
        <w:spacing w:line="480" w:lineRule="auto"/>
      </w:pPr>
      <w:r>
        <w:t xml:space="preserve">5.9 What the measurement strategy deliberately excludes</w:t>
      </w:r>
    </w:p>
    <w:p>
      <w:pPr>
        <w:pStyle w:val="FirstParagraph"/>
        <w:spacing w:line="480" w:lineRule="auto"/>
      </w:pPr>
      <w:r>
        <w:t xml:space="preserve">A measurement strategy is defined as much by what it leaves out as by what it captures, and honesty requires naming the exclusions. The dataset contains no price variable, no volume or manifest variable, no firm-level financial variable, and no direct measure of demand</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These are the variables an economist would most want for a maturation study, and their absence is not an oversight but a consequence of the design’s commitment to auditable, retrievable records: such data are proprietary, inconsistent, or simply unavailable in a form that preserves provenance</w:t>
      </w:r>
      <w:r>
        <w:t xml:space="preserve"> </w:t>
      </w:r>
      <w:hyperlink w:anchor="ref-5">
        <w:r>
          <w:rPr>
            <w:rStyle w:val="Hyperlink"/>
          </w:rPr>
          <w:t xml:space="preserve">[5]</w:t>
        </w:r>
      </w:hyperlink>
      <w:r>
        <w:t xml:space="preserve">. The dataset also excludes any human-coded judgment of thematic centrality, substituting the mechanical term-hit count precisely to keep the coding reproducible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exclusions bound the study’s reach in a way the concluding chapters take seriously. A corpus built from metadata can speak about the documentary shadow of a market but not about the market’s prices or volumes directly</w:t>
      </w:r>
      <w:r>
        <w:t xml:space="preserve"> </w:t>
      </w:r>
      <w:hyperlink w:anchor="ref-8">
        <w:r>
          <w:rPr>
            <w:rStyle w:val="Hyperlink"/>
          </w:rPr>
          <w:t xml:space="preserve">[8]</w:t>
        </w:r>
      </w:hyperlink>
      <w:r>
        <w:t xml:space="preserve"> </w:t>
      </w:r>
      <w:hyperlink w:anchor="ref-15">
        <w:r>
          <w:rPr>
            <w:rStyle w:val="Hyperlink"/>
          </w:rPr>
          <w:t xml:space="preserve">[15]</w:t>
        </w:r>
      </w:hyperlink>
      <w:r>
        <w:t xml:space="preserve">. The measurement strategy is therefore best understood as the most rigorous thing that can be said from the evidence that is actually inspectable, offered as a first step rather than a last word, with the missing variables named so that the follow-on design knows exactly what it must add</w:t>
      </w:r>
      <w:r>
        <w:t xml:space="preserve"> </w:t>
      </w:r>
      <w:hyperlink w:anchor="ref-7">
        <w:r>
          <w:rPr>
            <w:rStyle w:val="Hyperlink"/>
          </w:rPr>
          <w:t xml:space="preserve">[7]</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4"/>
    <w:bookmarkStart w:id="115" w:name="Xf8dbb16e761ba547d34522f1c4f2ec06419ebb0"/>
    <w:p>
      <w:pPr>
        <w:pStyle w:val="Heading2"/>
        <w:spacing w:line="480" w:lineRule="auto"/>
      </w:pPr>
      <w:r>
        <w:t xml:space="preserve">5.10 The zero-citation problem examined closely</w:t>
      </w:r>
    </w:p>
    <w:p>
      <w:pPr>
        <w:pStyle w:val="FirstParagraph"/>
        <w:spacing w:line="480" w:lineRule="auto"/>
      </w:pPr>
      <w:r>
        <w:t xml:space="preserve">The concentration of zero-citation records is the dataset’s defining feature, and it repays a closer look because it drives the most surprising result in the study. Of the thirty records, the majority carry a reported count of zero, and those zeros arise from at least three distinct causes that the data cannot separate</w:t>
      </w:r>
      <w:r>
        <w:t xml:space="preserve"> </w:t>
      </w:r>
      <w:hyperlink w:anchor="ref-5">
        <w:r>
          <w:rPr>
            <w:rStyle w:val="Hyperlink"/>
          </w:rPr>
          <w:t xml:space="preserve">[5]</w:t>
        </w:r>
      </w:hyperlink>
      <w:r>
        <w:t xml:space="preserve"> </w:t>
      </w:r>
      <w:hyperlink w:anchor="ref-7">
        <w:r>
          <w:rPr>
            <w:rStyle w:val="Hyperlink"/>
          </w:rPr>
          <w:t xml:space="preserve">[7]</w:t>
        </w:r>
      </w:hyperlink>
      <w:r>
        <w:t xml:space="preserve">. Some are genuine: a record that has simply not been cited. Some are latency zeros: recent journal articles that will accrue citations but have not had time to do so within the index window</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And some are coverage zeros: influential conference proceedings whose real-world impact the local index does not track, so that a paper widely used in practice reads as uncited in the data</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Because these three kinds of zero are pooled into a single value, any model that uses the citation variable is implicitly treating a latency zero, a coverage zero, and a genuine zero as identical, which they are not</w:t>
      </w:r>
      <w:r>
        <w:t xml:space="preserve"> </w:t>
      </w:r>
      <w:hyperlink w:anchor="ref-5">
        <w:r>
          <w:rPr>
            <w:rStyle w:val="Hyperlink"/>
          </w:rPr>
          <w:t xml:space="preserve">[5]</w:t>
        </w:r>
      </w:hyperlink>
      <w:r>
        <w:t xml:space="preserve">. The plus-one transformation keeps all of them in the sample for the learning-curve model, but it cannot distinguish them, and the age relationship the second estimator recovers is shaped as much by which venues happen to be old as by any real accumulation dynamic</w:t>
      </w:r>
      <w:r>
        <w:t xml:space="preserve"> </w:t>
      </w:r>
      <w:hyperlink w:anchor="ref-6">
        <w:r>
          <w:rPr>
            <w:rStyle w:val="Hyperlink"/>
          </w:rPr>
          <w:t xml:space="preserve">[6]</w:t>
        </w:r>
      </w:hyperlink>
      <w:r>
        <w:t xml:space="preserve"> </w:t>
      </w:r>
      <w:hyperlink w:anchor="ref-8">
        <w:r>
          <w:rPr>
            <w:rStyle w:val="Hyperlink"/>
          </w:rPr>
          <w:t xml:space="preserve">[8]</w:t>
        </w:r>
      </w:hyperlink>
      <w:r>
        <w:t xml:space="preserve">. This is the single most important reason the study treats the citation results as diagnostics of the index rather than as findings about the field, and it is why the concluding chapter puts citation-source repair at the top of the follow-on agenda</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15"/>
    <w:bookmarkStart w:id="116" w:name="X40c8ccfdce8efb9c609b27a41078b8b67ec0189"/>
    <w:p>
      <w:pPr>
        <w:pStyle w:val="Heading2"/>
        <w:spacing w:line="480" w:lineRule="auto"/>
      </w:pPr>
      <w:r>
        <w:t xml:space="preserve">5.11 Why thirty records, and what that number permits</w:t>
      </w:r>
    </w:p>
    <w:p>
      <w:pPr>
        <w:pStyle w:val="FirstParagraph"/>
        <w:spacing w:line="480" w:lineRule="auto"/>
      </w:pPr>
      <w:r>
        <w:t xml:space="preserve">The corpus size is small enough to warrant a direct defense, because a reader is entitled to ask why the study did not simply gather more records. The answer is that the design prioritizes provenance over volume, and every record in the corpus was retained only because its source could be named and its variables reconstructed from documented metadata</w:t>
      </w:r>
      <w:r>
        <w:t xml:space="preserve"> </w:t>
      </w:r>
      <w:hyperlink w:anchor="ref-3">
        <w:r>
          <w:rPr>
            <w:rStyle w:val="Hyperlink"/>
          </w:rPr>
          <w:t xml:space="preserve">[3]</w:t>
        </w:r>
      </w:hyperlink>
      <w:r>
        <w:t xml:space="preserve"> </w:t>
      </w:r>
      <w:hyperlink w:anchor="ref-5">
        <w:r>
          <w:rPr>
            <w:rStyle w:val="Hyperlink"/>
          </w:rPr>
          <w:t xml:space="preserve">[5]</w:t>
        </w:r>
      </w:hyperlink>
      <w:r>
        <w:t xml:space="preserve">. Expanding the corpus by relaxing that standard would have been easy and would have been a mistake, because the whole credibility of the exercise rests on the claim that any value can be traced to a source and rechecked</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Thirty auditable records are worth more to this design than three hundred unauditable ones.</w:t>
      </w:r>
    </w:p>
    <w:p>
      <w:pPr>
        <w:pStyle w:val="BodyText"/>
        <w:spacing w:line="480" w:lineRule="auto"/>
        <w:ind w:firstLine="720"/>
      </w:pPr>
      <w:r>
        <w:t xml:space="preserve">What thirty records permit is a descriptive characterization of a real, inspectable corpus and a falsifiable screen with honestly wide confidence intervals</w:t>
      </w:r>
      <w:r>
        <w:t xml:space="preserve"> </w:t>
      </w:r>
      <w:hyperlink w:anchor="ref-8">
        <w:r>
          <w:rPr>
            <w:rStyle w:val="Hyperlink"/>
          </w:rPr>
          <w:t xml:space="preserve">[8]</w:t>
        </w:r>
      </w:hyperlink>
      <w:r>
        <w:t xml:space="preserve">. What they do not permit is the detection of small effects or the stress-testing of results through subsample analysis, both of which require more data than the design has</w:t>
      </w:r>
      <w:r>
        <w:t xml:space="preserve"> </w:t>
      </w:r>
      <w:hyperlink w:anchor="ref-7">
        <w:r>
          <w:rPr>
            <w:rStyle w:val="Hyperlink"/>
          </w:rPr>
          <w:t xml:space="preserve">[7]</w:t>
        </w:r>
      </w:hyperlink>
      <w:r>
        <w:t xml:space="preserve"> </w:t>
      </w:r>
      <w:hyperlink w:anchor="ref-15">
        <w:r>
          <w:rPr>
            <w:rStyle w:val="Hyperlink"/>
          </w:rPr>
          <w:t xml:space="preserve">[15]</w:t>
        </w:r>
      </w:hyperlink>
      <w:r>
        <w:t xml:space="preserve">. The number is therefore a deliberate constraint rather than an accident of retrieval, and it is the constraint that the concluding chapter’s first recommendation, a larger and better-targeted corpus, is designed to relax once the citation source has been repaired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Stating the tradeoff plainly here is part of the measurement chapter’s job: the reader should finish it knowing not only what the data are but why they are small and what that smallness costs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6"/>
    <w:bookmarkEnd w:id="117"/>
    <w:bookmarkStart w:id="126"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workbooks produced it and interprets the signs and magnitudes without inflating them. Nothing here is rounded toward a preferred conclusion. Where a coefficient is imprecise, the chapter says so plainly and treats the imprecision as a finding in its own right, because a weak result honestly reported is worth more than a strong result manufactured by wishful reading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19" w:name="X7ed8f2a802249a2307cd9293a26c693cc4e8e2e"/>
    <w:p>
      <w:pPr>
        <w:pStyle w:val="Heading2"/>
        <w:spacing w:line="480" w:lineRule="auto"/>
      </w:pPr>
      <w:r>
        <w:t xml:space="preserve">6.1 Estimator one: ordinary least squares on topic-signal intensity</w:t>
      </w:r>
    </w:p>
    <w:p>
      <w:pPr>
        <w:pStyle w:val="FirstParagraph"/>
        <w:spacing w:line="480" w:lineRule="auto"/>
      </w:pPr>
      <w:r>
        <w:t xml:space="preserve">The first model regresses the topic-signal score on the recency index, the citation count, and the venue-family score, with HC1 robust standard errors. The sample is thirty records. The exact fit is:</w:t>
      </w:r>
    </w:p>
    <w:p>
      <w:pPr>
        <w:pStyle w:val="BodyText"/>
        <w:spacing w:line="480" w:lineRule="auto"/>
        <w:ind w:firstLine="720"/>
      </w:pPr>
      <w:r>
        <w:t xml:space="preserve">N = 30, R2 = 0.0241772494309771, adjusted R2 = -0.08841768332698718, F = 0.3461545388207868, F p-value = 0.7921860047387722.</w:t>
      </w:r>
    </w:p>
    <w:p>
      <w:pPr>
        <w:pStyle w:val="BodyText"/>
        <w:spacing w:line="480" w:lineRule="auto"/>
        <w:ind w:firstLine="720"/>
      </w:pPr>
      <w:r>
        <w:t xml:space="preserve">The exact term estimates are:</w:t>
      </w:r>
    </w:p>
    <w:p>
      <w:pPr>
        <w:pStyle w:val="Compact"/>
        <w:spacing w:line="480" w:lineRule="auto"/>
        <w:numPr>
          <w:ilvl w:val="0"/>
          <w:numId w:val="1001"/>
        </w:numPr>
      </w:pPr>
      <w:r>
        <w:t xml:space="preserve">constant: coefficient 2.4964067895176822, p = 0.00641502140937906</w:t>
      </w:r>
    </w:p>
    <w:p>
      <w:pPr>
        <w:pStyle w:val="Compact"/>
        <w:spacing w:line="480" w:lineRule="auto"/>
        <w:numPr>
          <w:ilvl w:val="0"/>
          <w:numId w:val="1001"/>
        </w:numPr>
      </w:pPr>
      <w:r>
        <w:t xml:space="preserve">recency_index: coefficient 0.044792539630616066, p = 0.5890473931533363</w:t>
      </w:r>
    </w:p>
    <w:p>
      <w:pPr>
        <w:pStyle w:val="Compact"/>
        <w:spacing w:line="480" w:lineRule="auto"/>
        <w:numPr>
          <w:ilvl w:val="0"/>
          <w:numId w:val="1001"/>
        </w:numPr>
      </w:pPr>
      <w:r>
        <w:t xml:space="preserve">cites_num: coefficient -0.06016449366792802, p = 0.3294437618444337</w:t>
      </w:r>
    </w:p>
    <w:p>
      <w:pPr>
        <w:pStyle w:val="Compact"/>
        <w:spacing w:line="480" w:lineRule="auto"/>
        <w:numPr>
          <w:ilvl w:val="0"/>
          <w:numId w:val="1001"/>
        </w:numPr>
      </w:pPr>
      <w:r>
        <w:t xml:space="preserve">venue_score: coefficient -0.04577503621664536, p = 0.9446600880195387</w:t>
      </w:r>
    </w:p>
    <w:p>
      <w:pPr>
        <w:pStyle w:val="FirstParagraph"/>
        <w:spacing w:line="480" w:lineRule="auto"/>
      </w:pPr>
      <w:r>
        <w:t xml:space="preserve">Begin with the overall fit, because it governs how much weight any single coefficient can bear. The R2 of 0.0242 means the three predictors together account for roughly two percent of the variation in topic-signal score across the thirty records. The adjusted R2 is negative, at -0.0884, which is the model’s way of reporting that once the estimation cost of three parameters is charged against a sample of thirty, the predictors explain less than a model with no predictors at all would be expected to explain by chance. The joint F statistic of 0.346 carries a p-value of 0.792, so the null that all three slopes are jointly zero cannot be rejected at any conventional level. Taken together, these fit statistics say that the model does not detect systematic cross-sectional structure in topic-signal intensity within this corpus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Now the individual terms, read in light of that overall verdict. The constant, 2.496, is precisely estimated with a p-value of 0.006, but it carries no substantive claim; it is simply the fitted signal score for a hypothetical record at zero on every predictor, and its precision reflects only that the average signal score is reliably positive. The recency coefficient is 0.045 and positive, which is the direction the maturation reading predicts, but its p-value of 0.589 places it well inside the range attributable to noise. The point estimate suggests a record one unit more recent scores about four-hundredths of a point higher on the signal scale, a magnitude so small relative to its uncertainty that it cannot be distinguished from zero</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citation coefficient is -0.060, and its sign runs against the maturation prediction: within this corpus, higher reported citation counts are associated, if anything, with slightly lower topic-signal scores. The p-value of 0.329 means this negative association is not statistically reliable either, so the prudent reading is not that citations depress signal but that the corpus provides no dependable link between the two</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venue coefficient is -0.046 with a p-value of 0.945, the least precise estimate in the model and effectively indistinguishable from zero; venue family, as coded, carries no detectable relationship to signal intensity once recency and citations are held fixed</w:t>
      </w:r>
      <w:r>
        <w:t xml:space="preserve"> </w:t>
      </w:r>
      <w:hyperlink w:anchor="ref-11">
        <w:r>
          <w:rPr>
            <w:rStyle w:val="Hyperlink"/>
          </w:rPr>
          <w:t xml:space="preserve">[11]</w:t>
        </w:r>
      </w:hyperlink>
      <w:r>
        <w:t xml:space="preserve">.</w:t>
      </w:r>
    </w:p>
    <w:p>
      <w:pPr>
        <w:pStyle w:val="BodyText"/>
        <w:spacing w:line="480" w:lineRule="auto"/>
        <w:ind w:firstLine="720"/>
      </w:pPr>
      <w:r>
        <w:t xml:space="preserve">The first hypothesis is therefore not supported. H0, that topic-signal score is unrelated to recency, citation attention, and venue family, cannot be rejected. The recency coefficient points in the predicted direction but without the precision the maturation reading would require, and the citation and venue coefficients offer no support at all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Start w:id="118" w:name="magnitude-in-context"/>
    <w:p>
      <w:pPr>
        <w:pStyle w:val="Heading3"/>
        <w:spacing w:line="480" w:lineRule="auto"/>
      </w:pPr>
      <w:r>
        <w:t xml:space="preserve">6.1.1 Magnitude in context</w:t>
      </w:r>
    </w:p>
    <w:p>
      <w:pPr>
        <w:pStyle w:val="FirstParagraph"/>
        <w:spacing w:line="480" w:lineRule="auto"/>
      </w:pPr>
      <w:r>
        <w:t xml:space="preserve">It is worth pausing on the magnitude of the recency coefficient rather than dismissing it on significance alone, because point estimates carry information even when they fail a significance threshold. The signal score ranges from one to eight across the corpus, a span of seven points. A recency coefficient of 0.045 implies that moving across the full twenty-unit range of the recency index, from the oldest record to the newest, would raise the predicted signal score by roughly nine-tenths of a point, or about one-eighth of the outcome’s full range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is not nothing as a descriptive lean, but it is small, and with a standard error large enough to produce a p-value of 0.589, the interval around it comfortably includes zero and includes negative values as well. The prudent conclusion is that the corpus hints at a faint tilt toward higher signal in recent records without being able to establish it, which is precisely the situation an underpowered screen on a noisy proxy would be expected to produce</w:t>
      </w:r>
      <w:r>
        <w:t xml:space="preserve"> </w:t>
      </w:r>
      <w:hyperlink w:anchor="ref-8">
        <w:r>
          <w:rPr>
            <w:rStyle w:val="Hyperlink"/>
          </w:rPr>
          <w:t xml:space="preserve">[8]</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negative adjusted R2 deserves one further word, because it is easy to misread as an error. It is not. It is the honest arithmetic consequence of fitting three predictors to thirty records when those predictors carry almost no explanatory power: the adjustment penalty for parameters exceeds the raw variance explained, so the corrected figure drops below zero</w:t>
      </w:r>
      <w:r>
        <w:t xml:space="preserve"> </w:t>
      </w:r>
      <w:hyperlink w:anchor="ref-4">
        <w:r>
          <w:rPr>
            <w:rStyle w:val="Hyperlink"/>
          </w:rPr>
          <w:t xml:space="preserve">[4]</w:t>
        </w:r>
      </w:hyperlink>
      <w:r>
        <w:t xml:space="preserve">. Reported plainly, it tells the reader that this model, on this corpus, would predict signal score no better than the sample mean, and arguably worse once its complexity is charged against it</w:t>
      </w:r>
      <w:r>
        <w:t xml:space="preserve"> </w:t>
      </w:r>
      <w:hyperlink w:anchor="ref-7">
        <w:r>
          <w:rPr>
            <w:rStyle w:val="Hyperlink"/>
          </w:rPr>
          <w:t xml:space="preserve">[7]</w:t>
        </w:r>
      </w:hyperlink>
      <w:r>
        <w:t xml:space="preserve">.</w:t>
      </w:r>
    </w:p>
    <w:bookmarkEnd w:id="118"/>
    <w:bookmarkEnd w:id="119"/>
    <w:bookmarkStart w:id="121" w:name="X07848c5df1e3fb0b14c54dfefd9690d74942dcd"/>
    <w:p>
      <w:pPr>
        <w:pStyle w:val="Heading2"/>
        <w:spacing w:line="480" w:lineRule="auto"/>
      </w:pPr>
      <w:r>
        <w:t xml:space="preserve">6.2 Estimator two: the log-log learning curve on citation accumulation</w:t>
      </w:r>
    </w:p>
    <w:p>
      <w:pPr>
        <w:pStyle w:val="FirstParagraph"/>
        <w:spacing w:line="480" w:lineRule="auto"/>
      </w:pPr>
      <w:r>
        <w:t xml:space="preserve">The second model regresses the log of citations-plus-one on the log of the document age index, again with HC1 robust standard errors and the same thirty records. The exact fit is:</w:t>
      </w:r>
    </w:p>
    <w:p>
      <w:pPr>
        <w:pStyle w:val="BodyText"/>
        <w:spacing w:line="480" w:lineRule="auto"/>
        <w:ind w:firstLine="720"/>
      </w:pPr>
      <w:r>
        <w:t xml:space="preserve">N = 30, R2 = 0.026192960481563943, elasticity (b) = -0.1665755009341518, progress ratio (2^b) = 0.8909550169409641.</w:t>
      </w:r>
    </w:p>
    <w:p>
      <w:pPr>
        <w:pStyle w:val="BodyText"/>
        <w:spacing w:line="480" w:lineRule="auto"/>
        <w:ind w:firstLine="720"/>
      </w:pPr>
      <w:r>
        <w:t xml:space="preserve">The exact term estimates are:</w:t>
      </w:r>
    </w:p>
    <w:p>
      <w:pPr>
        <w:pStyle w:val="Compact"/>
        <w:spacing w:line="480" w:lineRule="auto"/>
        <w:numPr>
          <w:ilvl w:val="0"/>
          <w:numId w:val="1002"/>
        </w:numPr>
      </w:pPr>
      <w:r>
        <w:t xml:space="preserve">constant: coefficient 0.7296931799082396, p = 0.007906743693758421</w:t>
      </w:r>
    </w:p>
    <w:p>
      <w:pPr>
        <w:pStyle w:val="Compact"/>
        <w:spacing w:line="480" w:lineRule="auto"/>
        <w:numPr>
          <w:ilvl w:val="0"/>
          <w:numId w:val="1002"/>
        </w:numPr>
      </w:pPr>
      <w:r>
        <w:t xml:space="preserve">ln(age): coefficient -0.1665755009341518, p = 0.21122802308154265</w:t>
      </w:r>
    </w:p>
    <w:p>
      <w:pPr>
        <w:pStyle w:val="FirstParagraph"/>
        <w:spacing w:line="480" w:lineRule="auto"/>
      </w:pPr>
      <w:r>
        <w:t xml:space="preserve">The overall fit is again modest. The R2 of 0.0262 means document age accounts for under three percent of the variation in logged citation accumulation across the corpus. The constant, 0.730, is precisely estimated with a p-value of 0.008, and it locates the baseline level of logged citations-plus-one for the youngest records; as with the first model, its precision is real but substantively empty</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coefficient of interest is the age elasticity, -0.167. Its sign is the notable feature. A conventional learning or attention-accumulation pattern would produce a positive elasticity, with older documents having had more time to accrue citations. The corpus returns the opposite sign: older documents, in these thirty records, carry slightly fewer citations than younger ones, other things equal. The associated progress ratio of 0.891 expresses the same fact in scaling terms, indicating that a doubling of document age is associated with citation attention falling to roughly eighty-nine percent of its prior level rather than rising</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elasticity’s p-value, however, is 0.211, which does not clear conventional significance thresholds. The negative sign is real in the point estimate but not statistically reliable in this sample, so the second hypothesis is also not supported in its intended form. H0, that citation accumulation is unrelated to article age, cannot be rejected</w:t>
      </w:r>
      <w:r>
        <w:t xml:space="preserve"> </w:t>
      </w:r>
      <w:hyperlink w:anchor="ref-8">
        <w:r>
          <w:rPr>
            <w:rStyle w:val="Hyperlink"/>
          </w:rPr>
          <w:t xml:space="preserve">[8]</w:t>
        </w:r>
      </w:hyperlink>
      <w:r>
        <w:t xml:space="preserve"> </w:t>
      </w:r>
      <w:hyperlink w:anchor="ref-15">
        <w:r>
          <w:rPr>
            <w:rStyle w:val="Hyperlink"/>
          </w:rPr>
          <w:t xml:space="preserve">[15]</w:t>
        </w:r>
      </w:hyperlink>
      <w:r>
        <w:t xml:space="preserve">. The most defensible interpretation is not that the field runs its attention backward in time, but that the citation record in this corpus is dominated by the coverage problem described in Chapter 5: the many zero-citation records, concentrated among older conference proceedings that the local index does not credit with citations, pull the age relationship into a weak negative that reflects indexing practice more than field dynamics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Start w:id="120" w:name="the-theory-predicted-anomaly"/>
    <w:p>
      <w:pPr>
        <w:pStyle w:val="Heading3"/>
        <w:spacing w:line="480" w:lineRule="auto"/>
      </w:pPr>
      <w:r>
        <w:t xml:space="preserve">6.2.1 The theory-predicted anomaly</w:t>
      </w:r>
    </w:p>
    <w:p>
      <w:pPr>
        <w:pStyle w:val="FirstParagraph"/>
        <w:spacing w:line="480" w:lineRule="auto"/>
      </w:pPr>
      <w:r>
        <w:t xml:space="preserve">Chapter 3 committed, before any number was seen, to a specific diagnosis for a wrong-signed elasticity: that a citation index failing to credit older records would invert the expected age relationship for reasons of coverage rather than substance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estimator returned exactly that wrong sign, and the corpus composition described in Chapter 5 supplies exactly the predicted mechanism. The oldest records in the sample are AMOS proceedings that the local index reports as uncited almost uniformly, while the nonzero citation counts cluster among recent journal articles</w:t>
      </w:r>
      <w:r>
        <w:t xml:space="preserve"> </w:t>
      </w:r>
      <w:hyperlink w:anchor="ref-1">
        <w:r>
          <w:rPr>
            <w:rStyle w:val="Hyperlink"/>
          </w:rPr>
          <w:t xml:space="preserve">[1]</w:t>
        </w:r>
      </w:hyperlink>
      <w:r>
        <w:t xml:space="preserve"> </w:t>
      </w:r>
      <w:hyperlink w:anchor="ref-9">
        <w:r>
          <w:rPr>
            <w:rStyle w:val="Hyperlink"/>
          </w:rPr>
          <w:t xml:space="preserve">[9]</w:t>
        </w:r>
      </w:hyperlink>
      <w:r>
        <w:t xml:space="preserve">. When the log of citations-plus-one is regressed on the log of age under that composition, the fitted line must slope gently downward, not because attention decays with age in the field but because the index systematically withholds citations from the oldest, most conference-heavy stratum</w:t>
      </w:r>
      <w:r>
        <w:t xml:space="preserve"> </w:t>
      </w:r>
      <w:hyperlink w:anchor="ref-6">
        <w:r>
          <w:rPr>
            <w:rStyle w:val="Hyperlink"/>
          </w:rPr>
          <w:t xml:space="preserve">[6]</w:t>
        </w:r>
      </w:hyperlink>
      <w:r>
        <w:t xml:space="preserve">.</w:t>
      </w:r>
    </w:p>
    <w:p>
      <w:pPr>
        <w:pStyle w:val="BodyText"/>
        <w:spacing w:line="480" w:lineRule="auto"/>
        <w:ind w:firstLine="720"/>
      </w:pPr>
      <w:r>
        <w:t xml:space="preserve">This is a case where a null, wrong-signed result is more informative than a clean confirmation would have been, because it validates the diagnostic logic the framework set out in advance. The elasticity of -0.167 and its progress ratio of 0.891 are best read not as facts about how citations accumulate in space research but as a measurement of how much the coverage bias distorts the raw age relationship</w:t>
      </w:r>
      <w:r>
        <w:t xml:space="preserve"> </w:t>
      </w:r>
      <w:hyperlink w:anchor="ref-5">
        <w:r>
          <w:rPr>
            <w:rStyle w:val="Hyperlink"/>
          </w:rPr>
          <w:t xml:space="preserve">[5]</w:t>
        </w:r>
      </w:hyperlink>
      <w:r>
        <w:t xml:space="preserve"> </w:t>
      </w:r>
      <w:hyperlink w:anchor="ref-15">
        <w:r>
          <w:rPr>
            <w:rStyle w:val="Hyperlink"/>
          </w:rPr>
          <w:t xml:space="preserve">[15]</w:t>
        </w:r>
      </w:hyperlink>
      <w:r>
        <w:t xml:space="preserve">. A follow-on study that repaired the citation source would expect the sign to flip toward the positive elasticity the learning-curve theory predicts, and that expectation is a concrete, testable prediction the present null hands to the next design</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20"/>
    <w:bookmarkEnd w:id="121"/>
    <w:bookmarkStart w:id="122" w:name="reading-the-two-results-together"/>
    <w:p>
      <w:pPr>
        <w:pStyle w:val="Heading2"/>
        <w:spacing w:line="480" w:lineRule="auto"/>
      </w:pPr>
      <w:r>
        <w:t xml:space="preserve">6.3 Reading the two results together</w:t>
      </w:r>
    </w:p>
    <w:p>
      <w:pPr>
        <w:pStyle w:val="FirstParagraph"/>
        <w:spacing w:line="480" w:lineRule="auto"/>
      </w:pPr>
      <w:r>
        <w:t xml:space="preserve">The two estimators tell a consistent and sobering story. Neither the cross-sectional model nor the dynamic model detects the structure that a market crossing the chasm would leave in the documentary record. The recency coefficient leans in the predicted direction but without precision; the citation and venue coefficients do not cooperate at all; the age elasticity carries an unexpected negative sign that is itself statistically indistinct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8">
        <w:r>
          <w:rPr>
            <w:rStyle w:val="Hyperlink"/>
          </w:rPr>
          <w:t xml:space="preserve">[8]</w:t>
        </w:r>
      </w:hyperlink>
      <w:r>
        <w:t xml:space="preserve">. On the evidence ladder set out in Chapter 3, the corpus reaches only the lowest rung: it can be assembled, coded deterministically, and estimated, but it does not sustain the maturation reading.</w:t>
      </w:r>
    </w:p>
    <w:p>
      <w:pPr>
        <w:pStyle w:val="BodyText"/>
        <w:spacing w:line="480" w:lineRule="auto"/>
        <w:ind w:firstLine="720"/>
      </w:pPr>
      <w:r>
        <w:t xml:space="preserve">That outcome is not a failure of the design. It is the design working as intended. The estimators were built to be falsifiable, and they returned a falsification of the strong hypotheses rather than a flattering confirmation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result tells a follow-on study exactly where the present data give out: the citation variable is too corrupted by coverage gaps to carry dynamic inference, the venue coding is too coarse to isolate migration across outlets, and the thirty-record sample is too small to detect the modest recency tilt that the point estimate hints at. What the corpus can support is the narrow, honest claim that market maturation is not visible in this documentary record at a level the metadata can certify, and that a more direct, transaction-level or document-coded design would be required to test the claim with power</w:t>
      </w:r>
      <w:r>
        <w:t xml:space="preserve"> </w:t>
      </w:r>
      <w:hyperlink w:anchor="ref-7">
        <w:r>
          <w:rPr>
            <w:rStyle w:val="Hyperlink"/>
          </w:rPr>
          <w:t xml:space="preserve">[7]</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22"/>
    <w:bookmarkStart w:id="123" w:name="a-summary-of-the-estimator-output"/>
    <w:p>
      <w:pPr>
        <w:pStyle w:val="Heading2"/>
        <w:spacing w:line="480" w:lineRule="auto"/>
      </w:pPr>
      <w:r>
        <w:t xml:space="preserve">6.4 A summary of the estimator output</w:t>
      </w:r>
    </w:p>
    <w:p>
      <w:pPr>
        <w:pStyle w:val="FirstParagraph"/>
        <w:spacing w:line="480" w:lineRule="auto"/>
      </w:pPr>
      <w:r>
        <w:t xml:space="preserve">For clarity, the full set of reported statistics is collected here in one place. The first model, ordinary least squares on the topic-signal score with HC1 robust standard errors over thirty records, returned R2 = 0.0242, adjusted R2 = -0.0884, F = 0.346, and F p-value = 0.792, with a constant of 2.4964 at p = 0.006, a recency coefficient of 0.0448 at p = 0.589, a citation coefficient of -0.0602 at p = 0.329, and a venue coefficient of -0.0458 at p = 0.945. The second model, the log-log learning curve on citations-plus-one against age with HC1 robust standard errors over the same thirty records, returned R2 = 0.0262, an age elasticity of -0.1666, and a progress ratio of 0.891, with a constant of 0.7297 at p = 0.008 and an age coefficient of -0.1666 at p = 0.211</w:t>
      </w:r>
      <w:r>
        <w:t xml:space="preserve"> </w:t>
      </w:r>
      <w:hyperlink w:anchor="ref-1">
        <w:r>
          <w:rPr>
            <w:rStyle w:val="Hyperlink"/>
          </w:rPr>
          <w:t xml:space="preserve">[1]</w:t>
        </w:r>
      </w:hyperlink>
      <w:r>
        <w:t xml:space="preserve"> </w:t>
      </w:r>
      <w:hyperlink w:anchor="ref-6">
        <w:r>
          <w:rPr>
            <w:rStyle w:val="Hyperlink"/>
          </w:rPr>
          <w:t xml:space="preserve">[6]</w:t>
        </w:r>
      </w:hyperlink>
      <w:r>
        <w:t xml:space="preserve">. Every one of these figures is reproduced directly from the workbook output and can be regenerated from the estimation files and configuration files described in Chapters 4 and 5.</w:t>
      </w:r>
    </w:p>
    <w:p>
      <w:pPr>
        <w:pStyle w:val="BodyText"/>
        <w:spacing w:line="480" w:lineRule="auto"/>
        <w:ind w:firstLine="720"/>
      </w:pPr>
      <w:r>
        <w:t xml:space="preserve">Read against the hypotheses, the verdict is uniform. H0 in the first model is not rejected; H0 in the second model is not rejected. The maturation reading, which required positive and precise associations with recency and attention in the first model and a positive age elasticity in the second, finds no support that clears conventional thresholds</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only element pointing in the predicted direction, the recency lean, is too imprecise to certify, and the only element with a decisive sign, the age elasticity, points the wrong way for reasons the framework anticipated and attributed to coverage bias rather than to field dynamics</w:t>
      </w:r>
      <w:r>
        <w:t xml:space="preserve"> </w:t>
      </w:r>
      <w:hyperlink w:anchor="ref-5">
        <w:r>
          <w:rPr>
            <w:rStyle w:val="Hyperlink"/>
          </w:rPr>
          <w:t xml:space="preserve">[5]</w:t>
        </w:r>
      </w:hyperlink>
      <w:r>
        <w:t xml:space="preserve"> </w:t>
      </w:r>
      <w:hyperlink w:anchor="ref-15">
        <w:r>
          <w:rPr>
            <w:rStyle w:val="Hyperlink"/>
          </w:rPr>
          <w:t xml:space="preserve">[15]</w:t>
        </w:r>
      </w:hyperlink>
      <w:r>
        <w:t xml:space="preserve">. The corpus has been assembled, coded, and estimated with full transparency, and the transparent answer is that it does not certify the crossing of the chasm. That answer, and its precise diagnosis, is what the study contributes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23"/>
    <w:bookmarkStart w:id="124" w:name="X36eeeca8fba17d0eda2c27133c437b95a2cf231"/>
    <w:p>
      <w:pPr>
        <w:pStyle w:val="Heading2"/>
        <w:spacing w:line="480" w:lineRule="auto"/>
      </w:pPr>
      <w:r>
        <w:t xml:space="preserve">6.5 What the results rule out and what they leave open</w:t>
      </w:r>
    </w:p>
    <w:p>
      <w:pPr>
        <w:pStyle w:val="FirstParagraph"/>
        <w:spacing w:line="480" w:lineRule="auto"/>
      </w:pPr>
      <w:r>
        <w:t xml:space="preserve">A null result is often criticized for saying nothing, but a well-specified null rules out specific claims, and it is worth stating which claims these results foreclose. The first model, with its negative adjusted R2 and its joint F p-value of 0.792, rules out the claim that recency, citation attention, and venue family, as measured here, jointly explain a meaningful share of variation in topic-signal intensity</w:t>
      </w:r>
      <w:r>
        <w:t xml:space="preserve"> </w:t>
      </w:r>
      <w:hyperlink w:anchor="ref-1">
        <w:r>
          <w:rPr>
            <w:rStyle w:val="Hyperlink"/>
          </w:rPr>
          <w:t xml:space="preserve">[1]</w:t>
        </w:r>
      </w:hyperlink>
      <w:r>
        <w:t xml:space="preserve"> </w:t>
      </w:r>
      <w:hyperlink w:anchor="ref-4">
        <w:r>
          <w:rPr>
            <w:rStyle w:val="Hyperlink"/>
          </w:rPr>
          <w:t xml:space="preserve">[4]</w:t>
        </w:r>
      </w:hyperlink>
      <w:r>
        <w:t xml:space="preserve">. Anyone asserting that the corpus’s signal structure is strongly organized by these three metadata dimensions is contradicted by the output. The second model, with its wrong-signed and imprecise age elasticity, rules out the claim that citation attention in this corpus accumulates with age in the ordinary compounding pattern; whatever the age relationship is, it is not the clean positive elasticity a normally accumulating field would show</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What the results leave open is equally specific. They leave open the possibility of a small, real recency effect that the sample is too small to detect, since the point estimate leans in the predicted direction</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They leave open the possibility that a repaired citation source would reveal the positive age elasticity the theory predicts, since the observed negative sign is plausibly an index artifact rather than a field property</w:t>
      </w:r>
      <w:r>
        <w:t xml:space="preserve"> </w:t>
      </w:r>
      <w:hyperlink w:anchor="ref-5">
        <w:r>
          <w:rPr>
            <w:rStyle w:val="Hyperlink"/>
          </w:rPr>
          <w:t xml:space="preserve">[5]</w:t>
        </w:r>
      </w:hyperlink>
      <w:r>
        <w:t xml:space="preserve"> </w:t>
      </w:r>
      <w:hyperlink w:anchor="ref-7">
        <w:r>
          <w:rPr>
            <w:rStyle w:val="Hyperlink"/>
          </w:rPr>
          <w:t xml:space="preserve">[7]</w:t>
        </w:r>
      </w:hyperlink>
      <w:r>
        <w:t xml:space="preserve">. And they leave entirely open the substantive question of whether the market has matured, because the documentary evidence is simply not decisive either way</w:t>
      </w:r>
      <w:r>
        <w:t xml:space="preserve"> </w:t>
      </w:r>
      <w:hyperlink w:anchor="ref-11">
        <w:r>
          <w:rPr>
            <w:rStyle w:val="Hyperlink"/>
          </w:rPr>
          <w:t xml:space="preserve">[11]</w:t>
        </w:r>
      </w:hyperlink>
      <w:r>
        <w:t xml:space="preserve">. A null that distinguishes so cleanly between what it forecloses and what it leaves open is doing real inferential work, and the distinction is the reason the study treats its own weakness as a result rather than an apology</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24"/>
    <w:bookmarkStart w:id="125" w:name="X7078c7bac28f988fb01a5f687c54b3ceb235fa7"/>
    <w:p>
      <w:pPr>
        <w:pStyle w:val="Heading2"/>
        <w:spacing w:line="480" w:lineRule="auto"/>
      </w:pPr>
      <w:r>
        <w:t xml:space="preserve">6.6 The internal consistency of the two nulls</w:t>
      </w:r>
    </w:p>
    <w:p>
      <w:pPr>
        <w:pStyle w:val="FirstParagraph"/>
        <w:spacing w:line="480" w:lineRule="auto"/>
      </w:pPr>
      <w:r>
        <w:t xml:space="preserve">The two estimators were built to answer different questions, cross-sectional structure and dynamic accumulation, yet their nulls tell a consistent story, and that consistency is itself worth noting as a check on the results. If the first model had found strong cross-sectional structure while the second found none, or vice versa, the analyst would face a puzzle requiring reconciliation</w:t>
      </w:r>
      <w:r>
        <w:t xml:space="preserve"> </w:t>
      </w:r>
      <w:hyperlink w:anchor="ref-4">
        <w:r>
          <w:rPr>
            <w:rStyle w:val="Hyperlink"/>
          </w:rPr>
          <w:t xml:space="preserve">[4]</w:t>
        </w:r>
      </w:hyperlink>
      <w:r>
        <w:t xml:space="preserve"> </w:t>
      </w:r>
      <w:hyperlink w:anchor="ref-8">
        <w:r>
          <w:rPr>
            <w:rStyle w:val="Hyperlink"/>
          </w:rPr>
          <w:t xml:space="preserve">[8]</w:t>
        </w:r>
      </w:hyperlink>
      <w:r>
        <w:t xml:space="preserve">. Instead both models return weak fits, both fail to reject their nulls, and both are explicable by the same underlying features of the corpus: a small sample, a right-skewed signal outcome, and a citation variable dominated by a spike of pooled zeros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coherence matters because it argues against the possibility that either null is a fluke of one model’s specification. Two estimators with different outcomes, different predictors, and different functional forms arrived at compatible verdicts, which is more reassuring than a single null would be</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 convergence does not make the maturation reading true or false; it makes the study’s report of the evidence more credible, because the two independent screens agree on what the corpus can and cannot support</w:t>
      </w:r>
      <w:r>
        <w:t xml:space="preserve"> </w:t>
      </w:r>
      <w:hyperlink w:anchor="ref-3">
        <w:r>
          <w:rPr>
            <w:rStyle w:val="Hyperlink"/>
          </w:rPr>
          <w:t xml:space="preserve">[3]</w:t>
        </w:r>
      </w:hyperlink>
      <w:r>
        <w:t xml:space="preserve"> </w:t>
      </w:r>
      <w:hyperlink w:anchor="ref-11">
        <w:r>
          <w:rPr>
            <w:rStyle w:val="Hyperlink"/>
          </w:rPr>
          <w:t xml:space="preserve">[11]</w:t>
        </w:r>
      </w:hyperlink>
      <w:r>
        <w:t xml:space="preserve">. Read together, they say the same disciplined thing: the documentary record, measured this way, does not certify the market’s crossing, and the reasons it cannot are visible in the data rather than hidden in the models</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25"/>
    <w:bookmarkEnd w:id="126"/>
    <w:bookmarkStart w:id="140"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weak, and the honest thing to do with weak results is to say what they mean, why they came out that way, and what they cannot be stretched to support. This chapter does three things. It interprets the null findings for the market-maturation question. It catalogs the threats to validity that shaped those findings. And it states, without hedging, the boundary between what the documentary record shows and what it simply cannot show.</w:t>
      </w:r>
    </w:p>
    <w:bookmarkStart w:id="127" w:name="what-a-null-result-means-here"/>
    <w:p>
      <w:pPr>
        <w:pStyle w:val="Heading2"/>
        <w:spacing w:line="480" w:lineRule="auto"/>
      </w:pPr>
      <w:r>
        <w:t xml:space="preserve">7.1 What a null result means here</w:t>
      </w:r>
    </w:p>
    <w:p>
      <w:pPr>
        <w:pStyle w:val="FirstParagraph"/>
        <w:spacing w:line="480" w:lineRule="auto"/>
      </w:pPr>
      <w:r>
        <w:t xml:space="preserve">A null result is not the same as no result. The two estimators returned coefficients that were either imprecise or wrong-signed relative to the maturation prediction, and the joint tests could not reject the nulls</w:t>
      </w:r>
      <w:r>
        <w:t xml:space="preserve"> </w:t>
      </w:r>
      <w:hyperlink w:anchor="ref-1">
        <w:r>
          <w:rPr>
            <w:rStyle w:val="Hyperlink"/>
          </w:rPr>
          <w:t xml:space="preserve">[1]</w:t>
        </w:r>
      </w:hyperlink>
      <w:r>
        <w:t xml:space="preserve"> </w:t>
      </w:r>
      <w:hyperlink w:anchor="ref-3">
        <w:r>
          <w:rPr>
            <w:rStyle w:val="Hyperlink"/>
          </w:rPr>
          <w:t xml:space="preserve">[3]</w:t>
        </w:r>
      </w:hyperlink>
      <w:r>
        <w:t xml:space="preserve">. Read carelessly, that could be taken to mean the smallsat launch market has not crossed the chasm. Read carefully, it means something narrower and more defensible: the transition, if it is occurring, does not register in this corpus at a level the metadata can certify. Those are different statements. The first is a claim about the world; the second is a claim about the evidence. This dissertation makes only the second</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distinction matters because absence of evidence in a small, noisy corpus is weak evidence of absence. The recency coefficient in the first model pointed in the predicted direction, and the point estimate of the age elasticity in the second model, while negative and imprecise, is exactly what one would expect if a coverage-biased citation index were masking a real accumulation pattern</w:t>
      </w:r>
      <w:r>
        <w:t xml:space="preserve"> </w:t>
      </w:r>
      <w:hyperlink w:anchor="ref-5">
        <w:r>
          <w:rPr>
            <w:rStyle w:val="Hyperlink"/>
          </w:rPr>
          <w:t xml:space="preserve">[5]</w:t>
        </w:r>
      </w:hyperlink>
      <w:r>
        <w:t xml:space="preserve"> </w:t>
      </w:r>
      <w:hyperlink w:anchor="ref-7">
        <w:r>
          <w:rPr>
            <w:rStyle w:val="Hyperlink"/>
          </w:rPr>
          <w:t xml:space="preserve">[7]</w:t>
        </w:r>
      </w:hyperlink>
      <w:r>
        <w:t xml:space="preserve">. A larger, cleaner dataset could plausibly turn the recency lean into a detectable signal. The present data cannot, and the dissertation reports that limit rather than papering over it</w:t>
      </w:r>
      <w:r>
        <w:t xml:space="preserve"> </w:t>
      </w:r>
      <w:hyperlink w:anchor="ref-8">
        <w:r>
          <w:rPr>
            <w:rStyle w:val="Hyperlink"/>
          </w:rPr>
          <w:t xml:space="preserve">[8]</w:t>
        </w:r>
      </w:hyperlink>
      <w:r>
        <w:t xml:space="preserve"> </w:t>
      </w:r>
      <w:hyperlink w:anchor="ref-15">
        <w:r>
          <w:rPr>
            <w:rStyle w:val="Hyperlink"/>
          </w:rPr>
          <w:t xml:space="preserve">[15]</w:t>
        </w:r>
      </w:hyperlink>
      <w:r>
        <w:t xml:space="preserve">.</w:t>
      </w:r>
    </w:p>
    <w:bookmarkEnd w:id="127"/>
    <w:bookmarkStart w:id="128" w:name="threat-one-source-selection"/>
    <w:p>
      <w:pPr>
        <w:pStyle w:val="Heading2"/>
        <w:spacing w:line="480" w:lineRule="auto"/>
      </w:pPr>
      <w:r>
        <w:t xml:space="preserve">7.2 Threat one: source selection</w:t>
      </w:r>
    </w:p>
    <w:p>
      <w:pPr>
        <w:pStyle w:val="FirstParagraph"/>
        <w:spacing w:line="480" w:lineRule="auto"/>
      </w:pPr>
      <w:r>
        <w:t xml:space="preserve">The corpus is a retrieved sample, not a census, and retrieval is never neutral. The thirty records reflect what the local source collection contained and what the retrieval surfaced, which means any systematic omission propagates directly into the estimates</w:t>
      </w:r>
      <w:r>
        <w:t xml:space="preserve"> </w:t>
      </w:r>
      <w:hyperlink w:anchor="ref-1">
        <w:r>
          <w:rPr>
            <w:rStyle w:val="Hyperlink"/>
          </w:rPr>
          <w:t xml:space="preserve">[1]</w:t>
        </w:r>
      </w:hyperlink>
      <w:r>
        <w:t xml:space="preserve"> </w:t>
      </w:r>
      <w:hyperlink w:anchor="ref-2">
        <w:r>
          <w:rPr>
            <w:rStyle w:val="Hyperlink"/>
          </w:rPr>
          <w:t xml:space="preserve">[2]</w:t>
        </w:r>
      </w:hyperlink>
      <w:r>
        <w:t xml:space="preserve">. If the retrieval favored surveillance proceedings and journal systems papers over, say, launch-provider financial disclosures or manifest records, then the corpus is structurally unable to see the market variables most relevant to a maturation claim, no matter how the estimators are specified</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design cannot correct for a variable that never entered the sample. This is the most fundamental limit, and it sits upstream of everything else.</w:t>
      </w:r>
    </w:p>
    <w:bookmarkEnd w:id="128"/>
    <w:bookmarkStart w:id="129" w:name="threat-two-proxy-measurement"/>
    <w:p>
      <w:pPr>
        <w:pStyle w:val="Heading2"/>
        <w:spacing w:line="480" w:lineRule="auto"/>
      </w:pPr>
      <w:r>
        <w:t xml:space="preserve">7.3 Threat two: proxy measurement</w:t>
      </w:r>
    </w:p>
    <w:p>
      <w:pPr>
        <w:pStyle w:val="FirstParagraph"/>
        <w:spacing w:line="480" w:lineRule="auto"/>
      </w:pPr>
      <w:r>
        <w:t xml:space="preserve">Every variable in the study is a proxy, and each proxy has slack. The topic-signal score is a term-hit count that stands in for genuine thematic centrality, and it can be inflated by keyword-dense abstracts or deflated by unconventional vocabulary</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venue-family score is an ordinal code that stands in for the migration of work toward higher-attention outlets, but its three categories cannot capture the continuous reality of how venues differ</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recency and age indices are clean, being deterministic functions of publication year, but they stand in for the passage of the market through its adoption stages, which is a far richer process than a single integer can represent</w:t>
      </w:r>
      <w:r>
        <w:t xml:space="preserve"> </w:t>
      </w:r>
      <w:hyperlink w:anchor="ref-8">
        <w:r>
          <w:rPr>
            <w:rStyle w:val="Hyperlink"/>
          </w:rPr>
          <w:t xml:space="preserve">[8]</w:t>
        </w:r>
      </w:hyperlink>
      <w:r>
        <w:t xml:space="preserve">. None of these proxies is illegitimate. Each simply carries less information than the concept it represents, and the estimators can only ever speak about the proxies</w:t>
      </w:r>
      <w:r>
        <w:t xml:space="preserve"> </w:t>
      </w:r>
      <w:hyperlink w:anchor="ref-5">
        <w:r>
          <w:rPr>
            <w:rStyle w:val="Hyperlink"/>
          </w:rPr>
          <w:t xml:space="preserve">[5]</w:t>
        </w:r>
      </w:hyperlink>
      <w:r>
        <w:t xml:space="preserve">.</w:t>
      </w:r>
    </w:p>
    <w:bookmarkEnd w:id="129"/>
    <w:bookmarkStart w:id="130" w:name="threat-three-citation-coverage-bias"/>
    <w:p>
      <w:pPr>
        <w:pStyle w:val="Heading2"/>
        <w:spacing w:line="480" w:lineRule="auto"/>
      </w:pPr>
      <w:r>
        <w:t xml:space="preserve">7.4 Threat three: citation coverage bias</w:t>
      </w:r>
    </w:p>
    <w:p>
      <w:pPr>
        <w:pStyle w:val="FirstParagraph"/>
        <w:spacing w:line="480" w:lineRule="auto"/>
      </w:pPr>
      <w:r>
        <w:t xml:space="preserve">The citation variable is the weakest link, and it deserves its own treatment because it drives the surprising sign in the second model. The local index reports zero citations for a large share of records, and those zeros are not missing at random. Older AMOS proceedings are influential in the surveillance community but are seldom formally cited, so the index credits them with nothing</w:t>
      </w:r>
      <w:r>
        <w:t xml:space="preserve"> </w:t>
      </w:r>
      <w:hyperlink w:anchor="ref-1">
        <w:r>
          <w:rPr>
            <w:rStyle w:val="Hyperlink"/>
          </w:rPr>
          <w:t xml:space="preserve">[1]</w:t>
        </w:r>
      </w:hyperlink>
      <w:r>
        <w:t xml:space="preserve"> </w:t>
      </w:r>
      <w:hyperlink w:anchor="ref-7">
        <w:r>
          <w:rPr>
            <w:rStyle w:val="Hyperlink"/>
          </w:rPr>
          <w:t xml:space="preserve">[7]</w:t>
        </w:r>
      </w:hyperlink>
      <w:r>
        <w:t xml:space="preserve">. Recent journal articles have not yet had time to accrue citations, so they too read as zero or near-zero for reasons that have nothing to do with their eventual influence</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result is a citation variable whose zeros conflate genuine non-citation with indexing gaps and publication lag. When such a variable is regressed against age, the wrong-signed, imprecise elasticity reported in Chapter 6 is close to what one would predict mechanically, and it should be read as a diagnostic of the index rather than as a statement about how attention accumulates in the field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0"/>
    <w:bookmarkStart w:id="131" w:name="threat-four-small-sample-and-low-power"/>
    <w:p>
      <w:pPr>
        <w:pStyle w:val="Heading2"/>
        <w:spacing w:line="480" w:lineRule="auto"/>
      </w:pPr>
      <w:r>
        <w:t xml:space="preserve">7.5 Threat four: small sample and low power</w:t>
      </w:r>
    </w:p>
    <w:p>
      <w:pPr>
        <w:pStyle w:val="FirstParagraph"/>
        <w:spacing w:line="480" w:lineRule="auto"/>
      </w:pPr>
      <w:r>
        <w:t xml:space="preserve">Thirty records is a small sample for a three-predictor model, and the negative adjusted R2 in the first estimator is the arithmetic signature of that constraint</w:t>
      </w:r>
      <w:r>
        <w:t xml:space="preserve"> </w:t>
      </w:r>
      <w:hyperlink w:anchor="ref-4">
        <w:r>
          <w:rPr>
            <w:rStyle w:val="Hyperlink"/>
          </w:rPr>
          <w:t xml:space="preserve">[4]</w:t>
        </w:r>
      </w:hyperlink>
      <w:r>
        <w:t xml:space="preserve">. Low power has a specific consequence that must not be misread: it means the study is poorly positioned to detect a true effect of modest size, so a null finding is partly a statement about the design’s sensitivity and not only about the world</w:t>
      </w:r>
      <w:r>
        <w:t xml:space="preserve"> </w:t>
      </w:r>
      <w:hyperlink w:anchor="ref-8">
        <w:r>
          <w:rPr>
            <w:rStyle w:val="Hyperlink"/>
          </w:rPr>
          <w:t xml:space="preserve">[8]</w:t>
        </w:r>
      </w:hyperlink>
      <w:r>
        <w:t xml:space="preserve">. The recency coefficient illustrates the point. Its point estimate is positive and in the predicted direction, but with thirty records and robust standard errors, an effect of that magnitude would need a far larger sample to clear a conventional significance bar</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 dissertation does not treat the null as strong evidence against maturation; it treats it as the expected output of an underpowered screen run on a noisy proxy corpus.</w:t>
      </w:r>
    </w:p>
    <w:bookmarkEnd w:id="131"/>
    <w:bookmarkStart w:id="132" w:name="threat-five-overinterpretation"/>
    <w:p>
      <w:pPr>
        <w:pStyle w:val="Heading2"/>
        <w:spacing w:line="480" w:lineRule="auto"/>
      </w:pPr>
      <w:r>
        <w:t xml:space="preserve">7.6 Threat five: overinterpretation</w:t>
      </w:r>
    </w:p>
    <w:p>
      <w:pPr>
        <w:pStyle w:val="FirstParagraph"/>
        <w:spacing w:line="480" w:lineRule="auto"/>
      </w:pPr>
      <w:r>
        <w:t xml:space="preserve">The final threat is the one the analyst controls directly. Prose can outrun evidence effortlessly, and space-policy writing is full of examples where a suggestive coefficient becomes, three paragraphs later, a confident forecast</w:t>
      </w:r>
      <w:r>
        <w:t xml:space="preserve"> </w:t>
      </w:r>
      <w:hyperlink w:anchor="ref-11">
        <w:r>
          <w:rPr>
            <w:rStyle w:val="Hyperlink"/>
          </w:rPr>
          <w:t xml:space="preserve">[11]</w:t>
        </w:r>
      </w:hyperlink>
      <w:r>
        <w:t xml:space="preserve">. The guard against this is structural. Every result in Chapter 6 was reported with its exact standard error or p-value, every interpretation was tied to the sign and precision of a specific coefficient, and no claim was made about the market outside the retrieved records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discipline is deliberately conservative, and it costs the dissertation the satisfying narrative it might otherwise have told. That cost is the price of a claim another researcher can check</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32"/>
    <w:bookmarkStart w:id="133" w:name="what-the-data-cannot-show"/>
    <w:p>
      <w:pPr>
        <w:pStyle w:val="Heading2"/>
        <w:spacing w:line="480" w:lineRule="auto"/>
      </w:pPr>
      <w:r>
        <w:t xml:space="preserve">7.7 What the data cannot show</w:t>
      </w:r>
    </w:p>
    <w:p>
      <w:pPr>
        <w:pStyle w:val="FirstParagraph"/>
        <w:spacing w:line="480" w:lineRule="auto"/>
      </w:pPr>
      <w:r>
        <w:t xml:space="preserve">It is worth closing the discussion with an explicit list of questions this design cannot answer, so that no reader mistakes its silence for a negative answer. The data cannot show whether launch prices have fallen, because no price variable is in the corpus</w:t>
      </w:r>
      <w:r>
        <w:t xml:space="preserve"> </w:t>
      </w:r>
      <w:hyperlink w:anchor="ref-11">
        <w:r>
          <w:rPr>
            <w:rStyle w:val="Hyperlink"/>
          </w:rPr>
          <w:t xml:space="preserve">[11]</w:t>
        </w:r>
      </w:hyperlink>
      <w:r>
        <w:t xml:space="preserve">. They cannot show whether demand for orbital access has become self-sustaining, because no demand measure is present</w:t>
      </w:r>
      <w:r>
        <w:t xml:space="preserve"> </w:t>
      </w:r>
      <w:hyperlink w:anchor="ref-3">
        <w:r>
          <w:rPr>
            <w:rStyle w:val="Hyperlink"/>
          </w:rPr>
          <w:t xml:space="preserve">[3]</w:t>
        </w:r>
      </w:hyperlink>
      <w:r>
        <w:t xml:space="preserve">. They cannot show whether the engineering base has industrialized, only whether papers about it are thematically dense and recent, which is a faint shadow of the real question</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And they cannot establish any causal relationship, because there is no treatment, no assignment, and no counterfactual anywhere in the design</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These are not defects to be apologized for. They are the boundary of a deliberately narrow study, and naming them precisely is what makes the study’s positive claims trustworthy</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33"/>
    <w:bookmarkStart w:id="134" w:name="X51560f069ac4658cfb691c30f3601f50c194a22"/>
    <w:p>
      <w:pPr>
        <w:pStyle w:val="Heading2"/>
        <w:spacing w:line="480" w:lineRule="auto"/>
      </w:pPr>
      <w:r>
        <w:t xml:space="preserve">7.8 The gap between the qualitative and quantitative readings</w:t>
      </w:r>
    </w:p>
    <w:p>
      <w:pPr>
        <w:pStyle w:val="FirstParagraph"/>
        <w:spacing w:line="480" w:lineRule="auto"/>
      </w:pPr>
      <w:r>
        <w:t xml:space="preserve">The most intellectually interesting feature of the results is a disagreement the study surfaces rather than resolves. Read qualitatively, the smallsat systems literature in the corpus tells a clear story of industrialization: propulsion, power, integration, and sensing are all being engineered toward volume production, which is the physical hallmark of a market approaching maturity</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Read quantitatively, the estimators detect no corresponding maturation signal in the metadata. The two readings point in different directions, and the honest response is not to pick the flattering one but to ask why they diverge</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Several explanations are compatible with the evidence. It may be that industrialization is real but has not yet propagated into the bibliometric structure the estimators read, so the quantitative signal simply lags the qualitative one</w:t>
      </w:r>
      <w:r>
        <w:t xml:space="preserve"> </w:t>
      </w:r>
      <w:hyperlink w:anchor="ref-6">
        <w:r>
          <w:rPr>
            <w:rStyle w:val="Hyperlink"/>
          </w:rPr>
          <w:t xml:space="preserve">[6]</w:t>
        </w:r>
      </w:hyperlink>
      <w:r>
        <w:t xml:space="preserve"> </w:t>
      </w:r>
      <w:hyperlink w:anchor="ref-9">
        <w:r>
          <w:rPr>
            <w:rStyle w:val="Hyperlink"/>
          </w:rPr>
          <w:t xml:space="preserve">[9]</w:t>
        </w:r>
      </w:hyperlink>
      <w:r>
        <w:t xml:space="preserve">. It may be that the term-hit proxy is too crude to register industrialization, which shows up in the substance of papers rather than in their theme-term density</w:t>
      </w:r>
      <w:r>
        <w:t xml:space="preserve"> </w:t>
      </w:r>
      <w:hyperlink w:anchor="ref-4">
        <w:r>
          <w:rPr>
            <w:rStyle w:val="Hyperlink"/>
          </w:rPr>
          <w:t xml:space="preserve">[4]</w:t>
        </w:r>
      </w:hyperlink>
      <w:r>
        <w:t xml:space="preserve">. Or it may be that the qualitative reading is itself a form of the confident, unfalsifiable narrative the whole project was built to discipline, and that the market’s maturity is being inferred from capability in a way the reproducible evidence does not support</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study cannot adjudicate among these, and it does not pretend to. What it does is convert a comfortable agreement, the assumption that visible capability means a mature market, into a visible disagreement that a better-powered design can resolve</w:t>
      </w:r>
      <w:r>
        <w:t xml:space="preserve"> </w:t>
      </w:r>
      <w:hyperlink w:anchor="ref-8">
        <w:r>
          <w:rPr>
            <w:rStyle w:val="Hyperlink"/>
          </w:rPr>
          <w:t xml:space="preserve">[8]</w:t>
        </w:r>
      </w:hyperlink>
      <w:r>
        <w:t xml:space="preserve"> </w:t>
      </w:r>
      <w:hyperlink w:anchor="ref-15">
        <w:r>
          <w:rPr>
            <w:rStyle w:val="Hyperlink"/>
          </w:rPr>
          <w:t xml:space="preserve">[15]</w:t>
        </w:r>
      </w:hyperlink>
      <w:r>
        <w:t xml:space="preserve">.</w:t>
      </w:r>
    </w:p>
    <w:bookmarkEnd w:id="134"/>
    <w:bookmarkStart w:id="135" w:name="Xb4afb2efecebc7dc474037798a02f5580b5e8b5"/>
    <w:p>
      <w:pPr>
        <w:pStyle w:val="Heading2"/>
        <w:spacing w:line="480" w:lineRule="auto"/>
      </w:pPr>
      <w:r>
        <w:t xml:space="preserve">7.9 Robustness and the limits of what could be checked</w:t>
      </w:r>
    </w:p>
    <w:p>
      <w:pPr>
        <w:pStyle w:val="FirstParagraph"/>
        <w:spacing w:line="480" w:lineRule="auto"/>
      </w:pPr>
      <w:r>
        <w:t xml:space="preserve">A robustness section is conventional, and here it must be candid about how little robustness checking a thirty-record corpus can bear. The two estimators were pre-specified in the configuration files and run once, which protects against specification search but also means there is no large battery of alternative specifications to report</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natural checks, dropping the highest-citation record to see whether it drives the citation coefficient, or re-estimating within a single venue family to remove venue heterogeneity, would each shrink an already small sample to the point where the resulting estimates would be too imprecise to interpret</w:t>
      </w:r>
      <w:r>
        <w:t xml:space="preserve"> </w:t>
      </w:r>
      <w:hyperlink w:anchor="ref-5">
        <w:r>
          <w:rPr>
            <w:rStyle w:val="Hyperlink"/>
          </w:rPr>
          <w:t xml:space="preserve">[5]</w:t>
        </w:r>
      </w:hyperlink>
      <w:r>
        <w:t xml:space="preserve"> </w:t>
      </w:r>
      <w:hyperlink w:anchor="ref-7">
        <w:r>
          <w:rPr>
            <w:rStyle w:val="Hyperlink"/>
          </w:rPr>
          <w:t xml:space="preserve">[7]</w:t>
        </w:r>
      </w:hyperlink>
      <w:r>
        <w:t xml:space="preserve">. Reporting such fragile checks as if they were reassuring would itself be a form of overinterpretation, and the design declines to do it.</w:t>
      </w:r>
    </w:p>
    <w:p>
      <w:pPr>
        <w:pStyle w:val="BodyText"/>
        <w:spacing w:line="480" w:lineRule="auto"/>
        <w:ind w:firstLine="720"/>
      </w:pPr>
      <w:r>
        <w:t xml:space="preserve">What can be said about robustness is structural rather than statistical. The results are robust in the sense that they follow deterministically from documented inputs, so anyone who reruns the estimators gets the same numbers, and the direction of each finding, the faint positive recency lean and the coverage-driven negative age elasticity, is stable in its interpretation because it is explained by corpus features that are visible in the data rather than by a fragile fit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honest summary is that the findings are reproducible but not stress-tested, and that stress-testing awaits the larger sample the concluding chapter calls for</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Claiming more robustness than a thirty-record corpus can deliver would betray the discipline that gives the rest of the study its credibility</w:t>
      </w:r>
      <w:r>
        <w:t xml:space="preserve"> </w:t>
      </w:r>
      <w:hyperlink w:anchor="ref-15">
        <w:r>
          <w:rPr>
            <w:rStyle w:val="Hyperlink"/>
          </w:rPr>
          <w:t xml:space="preserve">[15]</w:t>
        </w:r>
      </w:hyperlink>
      <w:r>
        <w:t xml:space="preserve">.</w:t>
      </w:r>
    </w:p>
    <w:bookmarkEnd w:id="135"/>
    <w:bookmarkStart w:id="136" w:name="X2d18c18be0bedd875887c2f219f38c1f437ad39"/>
    <w:p>
      <w:pPr>
        <w:pStyle w:val="Heading2"/>
        <w:spacing w:line="480" w:lineRule="auto"/>
      </w:pPr>
      <w:r>
        <w:t xml:space="preserve">7.10 What a decision maker should take from a null</w:t>
      </w:r>
    </w:p>
    <w:p>
      <w:pPr>
        <w:pStyle w:val="FirstParagraph"/>
        <w:spacing w:line="480" w:lineRule="auto"/>
      </w:pPr>
      <w:r>
        <w:t xml:space="preserve">Because this dissertation is written inside a program that feeds governance and program questions, it owes a plain statement of what a practitioner should do with a null. The wrong response is to treat the null as proof that the market has not matured and to stand down accordingly, because the study’s low power makes it a weak basis for that inference</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right response has two parts. First, treat the maturation claim as unverified by cheap documentary evidence, and therefore as an assumption to be flagged rather than a fact to be planned around, wherever it appears in a program justification</w:t>
      </w:r>
      <w:r>
        <w:t xml:space="preserve"> </w:t>
      </w:r>
      <w:hyperlink w:anchor="ref-11">
        <w:r>
          <w:rPr>
            <w:rStyle w:val="Hyperlink"/>
          </w:rPr>
          <w:t xml:space="preserve">[11]</w:t>
        </w:r>
      </w:hyperlink>
      <w:r>
        <w:t xml:space="preserve">. Second, recognize that the study has priced the cost of resolving the question: the missing variables are named, the corrupted variable is diagnosed, and the sample-size shortfall is quantified, so a decision maker knows exactly what a definitive answer would require and can weigh that cost against the value of the answer</w:t>
      </w:r>
      <w:r>
        <w:t xml:space="preserve"> </w:t>
      </w:r>
      <w:hyperlink w:anchor="ref-7">
        <w:r>
          <w:rPr>
            <w:rStyle w:val="Hyperlink"/>
          </w:rPr>
          <w:t xml:space="preserve">[7]</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 null that comes with a bill of materials for the next study is a useful null, and that is the form this one takes.</w:t>
      </w:r>
    </w:p>
    <w:bookmarkEnd w:id="136"/>
    <w:bookmarkStart w:id="137" w:name="X2aa4848fb87af7d6bd33a254f49a84f87d9cefb"/>
    <w:p>
      <w:pPr>
        <w:pStyle w:val="Heading2"/>
        <w:spacing w:line="480" w:lineRule="auto"/>
      </w:pPr>
      <w:r>
        <w:t xml:space="preserve">7.11 External validity and the corpus as a sample of a sample</w:t>
      </w:r>
    </w:p>
    <w:p>
      <w:pPr>
        <w:pStyle w:val="FirstParagraph"/>
        <w:spacing w:line="480" w:lineRule="auto"/>
      </w:pPr>
      <w:r>
        <w:t xml:space="preserve">A threat that deserves separate treatment is external validity, the question of whether anything found in this corpus would generalize beyond it. The corpus is a retrieved set drawn from a local source collection, which is itself a partial slice of the full literature on smallsat launch and space-situational-awareness</w:t>
      </w:r>
      <w:r>
        <w:t xml:space="preserve"> </w:t>
      </w:r>
      <w:hyperlink w:anchor="ref-1">
        <w:r>
          <w:rPr>
            <w:rStyle w:val="Hyperlink"/>
          </w:rPr>
          <w:t xml:space="preserve">[1]</w:t>
        </w:r>
      </w:hyperlink>
      <w:r>
        <w:t xml:space="preserve"> </w:t>
      </w:r>
      <w:hyperlink w:anchor="ref-2">
        <w:r>
          <w:rPr>
            <w:rStyle w:val="Hyperlink"/>
          </w:rPr>
          <w:t xml:space="preserve">[2]</w:t>
        </w:r>
      </w:hyperlink>
      <w:r>
        <w:t xml:space="preserve">. Findings in such a sample of a sample generalize only under assumptions that cannot be verified from within the data: that the retrieval was representative of the collection, and that the collection was representative of the field</w:t>
      </w:r>
      <w:r>
        <w:t xml:space="preserve"> </w:t>
      </w:r>
      <w:hyperlink w:anchor="ref-3">
        <w:r>
          <w:rPr>
            <w:rStyle w:val="Hyperlink"/>
          </w:rPr>
          <w:t xml:space="preserve">[3]</w:t>
        </w:r>
      </w:hyperlink>
      <w:r>
        <w:t xml:space="preserve">. Neither assumption is guaranteed, and the honest posture is to treat the results as statements about this corpus first and about the field only tentatively</w:t>
      </w:r>
      <w:r>
        <w:t xml:space="preserve"> </w:t>
      </w:r>
      <w:hyperlink w:anchor="ref-11">
        <w:r>
          <w:rPr>
            <w:rStyle w:val="Hyperlink"/>
          </w:rPr>
          <w:t xml:space="preserve">[11]</w:t>
        </w:r>
      </w:hyperlink>
      <w:r>
        <w:t xml:space="preserve">.</w:t>
      </w:r>
    </w:p>
    <w:p>
      <w:pPr>
        <w:pStyle w:val="BodyText"/>
        <w:spacing w:line="480" w:lineRule="auto"/>
        <w:ind w:firstLine="720"/>
      </w:pPr>
      <w:r>
        <w:t xml:space="preserve">This is not a fatal objection, but it is a real limit on how far the conclusions travel. A positive result in this corpus would have warranted a cautious hypothesis about the field, to be confirmed on a broader sample; a null result warrants an even more cautious reading, because a null in an unrepresentative sample could coexist with a real effect in the field</w:t>
      </w:r>
      <w:r>
        <w:t xml:space="preserve"> </w:t>
      </w:r>
      <w:hyperlink w:anchor="ref-8">
        <w:r>
          <w:rPr>
            <w:rStyle w:val="Hyperlink"/>
          </w:rPr>
          <w:t xml:space="preserve">[8]</w:t>
        </w:r>
      </w:hyperlink>
      <w:r>
        <w:t xml:space="preserve"> </w:t>
      </w:r>
      <w:hyperlink w:anchor="ref-15">
        <w:r>
          <w:rPr>
            <w:rStyle w:val="Hyperlink"/>
          </w:rPr>
          <w:t xml:space="preserve">[15]</w:t>
        </w:r>
      </w:hyperlink>
      <w:r>
        <w:t xml:space="preserve">. The dissertation therefore frames its findings as characterizing the retrieved record rather than the market, and it treats external validity as a question the follow-on design must address by broadening and documenting the sampling frame, not as a property the present study can claim</w:t>
      </w:r>
      <w:r>
        <w:t xml:space="preserve"> </w:t>
      </w:r>
      <w:hyperlink w:anchor="ref-7">
        <w:r>
          <w:rPr>
            <w:rStyle w:val="Hyperlink"/>
          </w:rPr>
          <w:t xml:space="preserve">[7]</w:t>
        </w:r>
      </w:hyperlink>
      <w:r>
        <w:t xml:space="preserve"> </w:t>
      </w:r>
      <w:hyperlink w:anchor="ref-16">
        <w:r>
          <w:rPr>
            <w:rStyle w:val="Hyperlink"/>
          </w:rPr>
          <w:t xml:space="preserve">[16]</w:t>
        </w:r>
      </w:hyperlink>
      <w:r>
        <w:t xml:space="preserve">. Naming this limit precisely is preferable to the alternative, common in the surrounding literature, of quietly generalizing from a convenient sample as though it were a census</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bookmarkEnd w:id="137"/>
    <w:bookmarkStart w:id="138" w:name="Xcf625b4c09bc6e90ae8bd3105f5cf4fcfde1461"/>
    <w:p>
      <w:pPr>
        <w:pStyle w:val="Heading2"/>
        <w:spacing w:line="480" w:lineRule="auto"/>
      </w:pPr>
      <w:r>
        <w:t xml:space="preserve">7.12 The tension between reproducibility and richness</w:t>
      </w:r>
    </w:p>
    <w:p>
      <w:pPr>
        <w:pStyle w:val="FirstParagraph"/>
        <w:spacing w:line="480" w:lineRule="auto"/>
      </w:pPr>
      <w:r>
        <w:t xml:space="preserve">A deeper methodological tension runs through the whole design, and the discussion would be incomplete without naming it. The study buys reproducibility by using mechanical, deterministic measures: a term-hit signal score, an ordinal venue code, indices that are clean functions of publication year</w:t>
      </w:r>
      <w:r>
        <w:t xml:space="preserve"> </w:t>
      </w:r>
      <w:hyperlink w:anchor="ref-4">
        <w:r>
          <w:rPr>
            <w:rStyle w:val="Hyperlink"/>
          </w:rPr>
          <w:t xml:space="preserve">[4]</w:t>
        </w:r>
      </w:hyperlink>
      <w:r>
        <w:t xml:space="preserve"> </w:t>
      </w:r>
      <w:hyperlink w:anchor="ref-5">
        <w:r>
          <w:rPr>
            <w:rStyle w:val="Hyperlink"/>
          </w:rPr>
          <w:t xml:space="preserve">[5]</w:t>
        </w:r>
      </w:hyperlink>
      <w:r>
        <w:t xml:space="preserve">. Those same choices cost the study richness, because a mechanical measure captures less of a concept than a careful human reading would</w:t>
      </w:r>
      <w:r>
        <w:t xml:space="preserve"> </w:t>
      </w:r>
      <w:hyperlink w:anchor="ref-6">
        <w:r>
          <w:rPr>
            <w:rStyle w:val="Hyperlink"/>
          </w:rPr>
          <w:t xml:space="preserve">[6]</w:t>
        </w:r>
      </w:hyperlink>
      <w:r>
        <w:t xml:space="preserve">. The topic-signal score is perfectly reproducible and only roughly valid; a human-coded centrality measure would be more valid and less reproducible. The design chose the reproducible pole of that tradeoff deliberately, judging that at the corpus-screen stage, a measure a stranger can recompute is worth more than a measure that is richer but contestable</w:t>
      </w:r>
      <w:r>
        <w:t xml:space="preserve"> </w:t>
      </w:r>
      <w:hyperlink w:anchor="ref-8">
        <w:r>
          <w:rPr>
            <w:rStyle w:val="Hyperlink"/>
          </w:rPr>
          <w:t xml:space="preserve">[8]</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tension is not resolvable in the abstract; it is a genuine tradeoff that different research stages should resolve differently. Early screening work, like this study, is right to favor reproducibility, because its job is to establish whether a signal exists at all using measures no one can dispute</w:t>
      </w:r>
      <w:r>
        <w:t xml:space="preserve"> </w:t>
      </w:r>
      <w:hyperlink w:anchor="ref-3">
        <w:r>
          <w:rPr>
            <w:rStyle w:val="Hyperlink"/>
          </w:rPr>
          <w:t xml:space="preserve">[3]</w:t>
        </w:r>
      </w:hyperlink>
      <w:r>
        <w:t xml:space="preserve"> </w:t>
      </w:r>
      <w:hyperlink w:anchor="ref-15">
        <w:r>
          <w:rPr>
            <w:rStyle w:val="Hyperlink"/>
          </w:rPr>
          <w:t xml:space="preserve">[15]</w:t>
        </w:r>
      </w:hyperlink>
      <w:r>
        <w:t xml:space="preserve">. Confirmatory work, once a signal is plausible, is right to favor richness, accepting some loss of mechanical reproducibility in exchange for constructs that capture the concept more faithfully, with inter-coder reliability reported to discipline the added subjectivity</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dissertation belongs to the first stage and makes the first stage’s choice, and it flags the tension so that the follow-on design knows it must make the second stage’s choice instead. Pretending the mechanical measures were fully valid would be the error; disclosing that they trade validity for reproducibility, on purpose, is the honest accounting</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38"/>
    <w:bookmarkStart w:id="139" w:name="X7824479564658c717182eac881c76c918257b70"/>
    <w:p>
      <w:pPr>
        <w:pStyle w:val="Heading2"/>
        <w:spacing w:line="480" w:lineRule="auto"/>
      </w:pPr>
      <w:r>
        <w:t xml:space="preserve">7.13 Weighing the threats against the contribution</w:t>
      </w:r>
    </w:p>
    <w:p>
      <w:pPr>
        <w:pStyle w:val="FirstParagraph"/>
        <w:spacing w:line="480" w:lineRule="auto"/>
      </w:pPr>
      <w:r>
        <w:t xml:space="preserve">Having catalogued the threats at length, the discussion should not leave the reader with the impression that they cancel the contribution, because they do not. The threats bound what the study can claim; they do not erase what it did</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study assembled a fully provenanced corpus, coded every variable reproducibly, pre-committed to two estimators, ran them once, and reported the output to the decimal with its uncertainty attached</w:t>
      </w:r>
      <w:r>
        <w:t xml:space="preserve"> </w:t>
      </w:r>
      <w:hyperlink w:anchor="ref-5">
        <w:r>
          <w:rPr>
            <w:rStyle w:val="Hyperlink"/>
          </w:rPr>
          <w:t xml:space="preserve">[5]</w:t>
        </w:r>
      </w:hyperlink>
      <w:r>
        <w:t xml:space="preserve"> </w:t>
      </w:r>
      <w:hyperlink w:anchor="ref-8">
        <w:r>
          <w:rPr>
            <w:rStyle w:val="Hyperlink"/>
          </w:rPr>
          <w:t xml:space="preserve">[8]</w:t>
        </w:r>
      </w:hyperlink>
      <w:r>
        <w:t xml:space="preserve">. That chain is intact regardless of the threats, and it is the chain, not any single coefficient, that constitutes the contribution. A threat to external validity does not undo the internal discipline of the design; it only limits how far the design’s conclusions travel</w:t>
      </w:r>
      <w:r>
        <w:t xml:space="preserve"> </w:t>
      </w:r>
      <w:hyperlink w:anchor="ref-3">
        <w:r>
          <w:rPr>
            <w:rStyle w:val="Hyperlink"/>
          </w:rPr>
          <w:t xml:space="preserve">[3]</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right way to hold the threats and the contribution together is to see the threats as the study’s own honest specification of its reach. Each threat named here corresponds to a boundary the concluding chapter turns into a next step, so the catalog of limitations doubles as the outline of the follow-on research program</w:t>
      </w:r>
      <w:r>
        <w:t xml:space="preserve"> </w:t>
      </w:r>
      <w:hyperlink w:anchor="ref-7">
        <w:r>
          <w:rPr>
            <w:rStyle w:val="Hyperlink"/>
          </w:rPr>
          <w:t xml:space="preserve">[7]</w:t>
        </w:r>
      </w:hyperlink>
      <w:r>
        <w:t xml:space="preserve"> </w:t>
      </w:r>
      <w:hyperlink w:anchor="ref-16">
        <w:r>
          <w:rPr>
            <w:rStyle w:val="Hyperlink"/>
          </w:rPr>
          <w:t xml:space="preserve">[16]</w:t>
        </w:r>
      </w:hyperlink>
      <w:r>
        <w:t xml:space="preserve">. A study that hid its threats would look stronger and be weaker, because its conclusions would rest on assumptions it never examined. This study examined them, stated them, and priced them, and that examination is part of why its modest positive claims can be trusted</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bookmarkEnd w:id="139"/>
    <w:bookmarkEnd w:id="140"/>
    <w:bookmarkStart w:id="179"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common but unfalsifiable claim, that the smallsat launch market is crossing the chasm from niche demonstration to mainstream commerce, into a bounded empirical test that another researcher could reproduce and reject. It succeeded at the conversion and, on the evidence, the strong version of the claim did not survive the test. That combination, a reproducible design and a null result honestly reported, is the contribution. This closing chapter states that contribution precisely, draws out its relevance for governance and program planning, and specifies the follow-on design that would test the claim with the power the present data lack.</w:t>
      </w:r>
    </w:p>
    <w:bookmarkStart w:id="141" w:name="the-contribution-restated"/>
    <w:p>
      <w:pPr>
        <w:pStyle w:val="Heading2"/>
        <w:spacing w:line="480" w:lineRule="auto"/>
      </w:pPr>
      <w:r>
        <w:t xml:space="preserve">8.1 The contribution restated</w:t>
      </w:r>
    </w:p>
    <w:p>
      <w:pPr>
        <w:pStyle w:val="FirstParagraph"/>
        <w:spacing w:line="480" w:lineRule="auto"/>
      </w:pPr>
      <w:r>
        <w:t xml:space="preserve">The substantive contribution is a clear negative finding, carefully bounded. Within a thirty-record corpus spanning 2006 to 2026, neither an ordinary least squares model of topic-signal intensity nor a log-log learning-curve model of citation accumulation detected the structure that a maturing market would leave in the documentary record</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first model returned an R2 of 0.0242, a negative adjusted R2, and a joint F p-value of 0.792, with a recency coefficient of 0.045 that leaned in the predicted direction but at a p-value of 0.589. The second returned an R2 of 0.0262 and an age elasticity of -0.167 at a p-value of 0.211, wrong-signed relative to the maturation prediction and statistically indistinct</w:t>
      </w:r>
      <w:r>
        <w:t xml:space="preserve"> </w:t>
      </w:r>
      <w:hyperlink w:anchor="ref-6">
        <w:r>
          <w:rPr>
            <w:rStyle w:val="Hyperlink"/>
          </w:rPr>
          <w:t xml:space="preserve">[6]</w:t>
        </w:r>
      </w:hyperlink>
      <w:r>
        <w:t xml:space="preserve"> </w:t>
      </w:r>
      <w:hyperlink w:anchor="ref-8">
        <w:r>
          <w:rPr>
            <w:rStyle w:val="Hyperlink"/>
          </w:rPr>
          <w:t xml:space="preserve">[8]</w:t>
        </w:r>
      </w:hyperlink>
      <w:r>
        <w:t xml:space="preserve">. Both nulls stood. The corpus reached only the lowest rung of the evidence ladder.</w:t>
      </w:r>
    </w:p>
    <w:p>
      <w:pPr>
        <w:pStyle w:val="BodyText"/>
        <w:spacing w:line="480" w:lineRule="auto"/>
        <w:ind w:firstLine="720"/>
      </w:pPr>
      <w:r>
        <w:t xml:space="preserve">The methodological contribution is larger than the substantive one, and it is the part most worth carrying forward. The project demonstrates a way to take a space-domain market claim and render it testable end to end: retrieve real records, code every variable deterministically, preserve provenance so each row is auditable, estimate with transparent models, and report the output to the decimal without rounding toward a preferred story</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pathway is reusable. Many space-economy and space-governance questions begin exactly where this one did, with partial records and confident narratives rather than clean datasets, and the pathway shows how to make disciplined progress from that starting point</w:t>
      </w:r>
      <w:r>
        <w:t xml:space="preserve"> </w:t>
      </w:r>
      <w:hyperlink w:anchor="ref-11">
        <w:r>
          <w:rPr>
            <w:rStyle w:val="Hyperlink"/>
          </w:rPr>
          <w:t xml:space="preserve">[11]</w:t>
        </w:r>
      </w:hyperlink>
      <w:r>
        <w:t xml:space="preserve">.</w:t>
      </w:r>
    </w:p>
    <w:bookmarkEnd w:id="141"/>
    <w:bookmarkStart w:id="142" w:name="X90ff306284f967513d60d24d204b7675c6e8ccf"/>
    <w:p>
      <w:pPr>
        <w:pStyle w:val="Heading2"/>
        <w:spacing w:line="480" w:lineRule="auto"/>
      </w:pPr>
      <w:r>
        <w:t xml:space="preserve">8.2 Why a null result is useful to decision makers</w:t>
      </w:r>
    </w:p>
    <w:p>
      <w:pPr>
        <w:pStyle w:val="FirstParagraph"/>
        <w:spacing w:line="480" w:lineRule="auto"/>
      </w:pPr>
      <w:r>
        <w:t xml:space="preserve">Program managers and policy staff often treat null results as non-events, which is a mistake this dissertation is positioned to correct. A null with a stated design and stated power tells a decision maker two actionable things. It tells them that the cheap evidence, the documentary and bibliometric record, does not yet certify the maturation claim, so any plan that assumes a crossed chasm is running ahead of the reproducible evidence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And it tells them exactly which more expensive evidence would settle the question, namely transaction-level pricing, manifest records, or document-coded operational data, so that the next data-collection dollar is spent where it will actually move the inference</w:t>
      </w:r>
      <w:r>
        <w:t xml:space="preserve"> </w:t>
      </w:r>
      <w:hyperlink w:anchor="ref-7">
        <w:r>
          <w:rPr>
            <w:rStyle w:val="Hyperlink"/>
          </w:rPr>
          <w:t xml:space="preserve">[7]</w:t>
        </w:r>
      </w:hyperlink>
      <w:r>
        <w:t xml:space="preserve"> </w:t>
      </w:r>
      <w:hyperlink w:anchor="ref-15">
        <w:r>
          <w:rPr>
            <w:rStyle w:val="Hyperlink"/>
          </w:rPr>
          <w:t xml:space="preserve">[15]</w:t>
        </w:r>
      </w:hyperlink>
      <w:r>
        <w:t xml:space="preserve">. A confident but unfalsifiable narrative offers neither of those services.</w:t>
      </w:r>
    </w:p>
    <w:bookmarkEnd w:id="142"/>
    <w:bookmarkStart w:id="143" w:name="governance-and-program-relevance"/>
    <w:p>
      <w:pPr>
        <w:pStyle w:val="Heading2"/>
        <w:spacing w:line="480" w:lineRule="auto"/>
      </w:pPr>
      <w:r>
        <w:t xml:space="preserve">8.3 Governance and program relevance</w:t>
      </w:r>
    </w:p>
    <w:p>
      <w:pPr>
        <w:pStyle w:val="FirstParagraph"/>
        <w:spacing w:line="480" w:lineRule="auto"/>
      </w:pPr>
      <w:r>
        <w:t xml:space="preserve">The governance stakes are real even though the finding is null, and the two facts are compatible. If the market has in fact crossed the chasm, the coordination problems that a high-cadence launch sector creates, orbital traffic, debris, liability, and authorization throughput, become urgent quickly, and the space-economy literature is right to press them</w:t>
      </w:r>
      <w:r>
        <w:t xml:space="preserve"> </w:t>
      </w:r>
      <w:hyperlink w:anchor="ref-11">
        <w:r>
          <w:rPr>
            <w:rStyle w:val="Hyperlink"/>
          </w:rPr>
          <w:t xml:space="preserve">[11]</w:t>
        </w:r>
      </w:hyperlink>
      <w:r>
        <w:t xml:space="preserve">. The value of a reproducible maturation test is that it disciplines the timing of that urgency. Institutions that build capacity on the strength of a checkable signal are on firmer ground than institutions that build it on the strength of a headline mission or a bankrupt startup</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dissertation does not tell those institutions that the chasm has or has not been crossed. It tells them that the documentary evidence does not yet certify either, and that the honest posture is to fund the measurement that would</w:t>
      </w:r>
      <w:r>
        <w:t xml:space="preserve"> </w:t>
      </w:r>
      <w:hyperlink w:anchor="ref-8">
        <w:r>
          <w:rPr>
            <w:rStyle w:val="Hyperlink"/>
          </w:rPr>
          <w:t xml:space="preserve">[8]</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surveillance and systems literatures that populate the corpus reinforce the point from the technical side. The field is plainly advancing in propulsion, power, integration, formation flight, and relative navigation, and those advances are the physical precondition for a mainstream launch market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That the advances do not yet resolve into a detectable maturation signal in the bibliometric record is a statement about the limits of bibliometric measurement, not a denial of the engineering progress the same records describe</w:t>
      </w:r>
      <w:r>
        <w:t xml:space="preserve"> </w:t>
      </w:r>
      <w:hyperlink w:anchor="ref-7">
        <w:r>
          <w:rPr>
            <w:rStyle w:val="Hyperlink"/>
          </w:rPr>
          <w:t xml:space="preserve">[7]</w:t>
        </w:r>
      </w:hyperlink>
      <w:r>
        <w:t xml:space="preserve"> </w:t>
      </w:r>
      <w:hyperlink w:anchor="ref-15">
        <w:r>
          <w:rPr>
            <w:rStyle w:val="Hyperlink"/>
          </w:rPr>
          <w:t xml:space="preserve">[15]</w:t>
        </w:r>
      </w:hyperlink>
      <w:r>
        <w:t xml:space="preserve">.</w:t>
      </w:r>
    </w:p>
    <w:bookmarkEnd w:id="143"/>
    <w:bookmarkStart w:id="144" w:name="the-follow-on-design"/>
    <w:p>
      <w:pPr>
        <w:pStyle w:val="Heading2"/>
        <w:spacing w:line="480" w:lineRule="auto"/>
      </w:pPr>
      <w:r>
        <w:t xml:space="preserve">8.4 The follow-on design</w:t>
      </w:r>
    </w:p>
    <w:p>
      <w:pPr>
        <w:pStyle w:val="FirstParagraph"/>
        <w:spacing w:line="480" w:lineRule="auto"/>
      </w:pPr>
      <w:r>
        <w:t xml:space="preserve">The clearest product of a null result is a sharp specification of the study that should come next. Three changes would give the maturation test real power.</w:t>
      </w:r>
    </w:p>
    <w:p>
      <w:pPr>
        <w:pStyle w:val="BodyText"/>
        <w:spacing w:line="480" w:lineRule="auto"/>
        <w:ind w:firstLine="720"/>
      </w:pPr>
      <w:r>
        <w:t xml:space="preserve">First, replace the coverage-biased citation variable with a citation source that credits conference proceedings and applies a consistent window, or drop citation dynamics entirely in favor of a direct measure of field investment such as funded-program counts</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second model’s wrong-signed elasticity was largely an artifact of the index, and no amount of sample expansion fixes a corrupted variable.</w:t>
      </w:r>
    </w:p>
    <w:p>
      <w:pPr>
        <w:pStyle w:val="BodyText"/>
        <w:spacing w:line="480" w:lineRule="auto"/>
        <w:ind w:firstLine="720"/>
      </w:pPr>
      <w:r>
        <w:t xml:space="preserve">Second, enlarge and diversify the corpus far beyond thirty records, and include the market-bearing document types the present sample lacks, such as launch manifests, provider disclosures, and pricing announcements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 larger, better-targeted sample would give the modest recency lean the statistical room it needs to become detectable if it is real.</w:t>
      </w:r>
    </w:p>
    <w:p>
      <w:pPr>
        <w:pStyle w:val="BodyText"/>
        <w:spacing w:line="480" w:lineRule="auto"/>
        <w:ind w:firstLine="720"/>
      </w:pPr>
      <w:r>
        <w:t xml:space="preserve">Third, move from metadata proxies to document-level coding for the topic-signal construct, so that thematic centrality is measured against read content rather than term hits, with inter-coder reliability reported</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change trades the mechanical reproducibility of a term count for a richer, human-validated measure, and at a larger sample the trade is worth making.</w:t>
      </w:r>
    </w:p>
    <w:bookmarkEnd w:id="144"/>
    <w:bookmarkStart w:id="145" w:name="the-design-agenda-as-a-research-program"/>
    <w:p>
      <w:pPr>
        <w:pStyle w:val="Heading2"/>
        <w:spacing w:line="480" w:lineRule="auto"/>
      </w:pPr>
      <w:r>
        <w:t xml:space="preserve">8.5 The design agenda as a research program</w:t>
      </w:r>
    </w:p>
    <w:p>
      <w:pPr>
        <w:pStyle w:val="FirstParagraph"/>
        <w:spacing w:line="480" w:lineRule="auto"/>
      </w:pPr>
      <w:r>
        <w:t xml:space="preserve">The three changes just named are not a wish list; they compose a staged research program with a clear sequence. The first stage repairs the citation variable, because that repair is cheap relative to its payoff and because the framework already predicts what a repaired variable would show, giving the stage a sharp, falsifiable target</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second stage enlarges the corpus and adds the market-bearing document types the present sample lacks, which is more costly but is what gives the recency lean the statistical room to declare itself if it is real</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third stage moves from term-hit proxies to validated document coding, the most expensive change and the one best deferred until the sample is large enough to justify it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Sequencing the changes this way matters, because doing them out of order wastes effort. Enlarging the corpus before repairing the citation variable would only add more coverage-biased zeros; validating document coding before enlarging the sample would lavish careful coding on a corpus too small to reward it</w:t>
      </w:r>
      <w:r>
        <w:t xml:space="preserve"> </w:t>
      </w:r>
      <w:hyperlink w:anchor="ref-8">
        <w:r>
          <w:rPr>
            <w:rStyle w:val="Hyperlink"/>
          </w:rPr>
          <w:t xml:space="preserve">[8]</w:t>
        </w:r>
      </w:hyperlink>
      <w:r>
        <w:t xml:space="preserve"> </w:t>
      </w:r>
      <w:hyperlink w:anchor="ref-15">
        <w:r>
          <w:rPr>
            <w:rStyle w:val="Hyperlink"/>
          </w:rPr>
          <w:t xml:space="preserve">[15]</w:t>
        </w:r>
      </w:hyperlink>
      <w:r>
        <w:t xml:space="preserve">. The staged agenda is the practical residue of the null result: a null that has been diagnosed hands the next researcher not just a verdict but an ordered list of what to fix first, and that ordering is itself a contribution the confident narrative could never provide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45"/>
    <w:bookmarkStart w:id="146" w:name="situating-the-contribution-in-the-field"/>
    <w:p>
      <w:pPr>
        <w:pStyle w:val="Heading2"/>
        <w:spacing w:line="480" w:lineRule="auto"/>
      </w:pPr>
      <w:r>
        <w:t xml:space="preserve">8.6 Situating the contribution in the field</w:t>
      </w:r>
    </w:p>
    <w:p>
      <w:pPr>
        <w:pStyle w:val="FirstParagraph"/>
        <w:spacing w:line="480" w:lineRule="auto"/>
      </w:pPr>
      <w:r>
        <w:t xml:space="preserve">It is worth locating this dissertation’s contribution against the two traditions it draws on, because the placement clarifies what kind of advance it is. Against the space-economy literature, which is rich in argument and poor in reproducible measurement, the contribution is a working example of how a market claim can be rendered testable end to end, provenance intact</w:t>
      </w:r>
      <w:r>
        <w:t xml:space="preserve"> </w:t>
      </w:r>
      <w:hyperlink w:anchor="ref-11">
        <w:r>
          <w:rPr>
            <w:rStyle w:val="Hyperlink"/>
          </w:rPr>
          <w:t xml:space="preserve">[11]</w:t>
        </w:r>
      </w:hyperlink>
      <w:r>
        <w:t xml:space="preserve">. Against the bibliometric tradition, which is rich in measurement technique but often applied to fields with cleaner citation data, the contribution is an honest demonstration of how that technique behaves when the citation source is coverage-biased and the sample is small, which is the ordinary condition of space research rather than an aberration</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dissertation sits at the intersection and shows what each tradition looks like when it is held to the other’s standard.</w:t>
      </w:r>
    </w:p>
    <w:p>
      <w:pPr>
        <w:pStyle w:val="BodyText"/>
        <w:spacing w:line="480" w:lineRule="auto"/>
        <w:ind w:firstLine="720"/>
      </w:pPr>
      <w:r>
        <w:t xml:space="preserve">The null result strengthens rather than weakens this placement. A positive result would have been a single data point about smallsat launch. The null, with its diagnosis, is a more general lesson about the limits of documentary inference in space markets, and that lesson transfers to any space-economy question where an analyst is tempted to read maturity off a metadata trail</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methodological pathway is the durable object; the substantive null is the first application that reveals the pathway’s boundaries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46"/>
    <w:bookmarkStart w:id="147" w:name="X6fd7b32d2ab51645ad45cff9ff5c5f98b21d9b3"/>
    <w:p>
      <w:pPr>
        <w:pStyle w:val="Heading2"/>
        <w:spacing w:line="480" w:lineRule="auto"/>
      </w:pPr>
      <w:r>
        <w:t xml:space="preserve">8.7 A candid accounting of what remains uncertain</w:t>
      </w:r>
    </w:p>
    <w:p>
      <w:pPr>
        <w:pStyle w:val="FirstParagraph"/>
        <w:spacing w:line="480" w:lineRule="auto"/>
      </w:pPr>
      <w:r>
        <w:t xml:space="preserve">Doctoral work should end by stating what it does not know, and here the list is specific. It remains uncertain whether the faint positive recency lean in the first estimator is a real, small maturation signal or pure noise, because the sample cannot separate the two</w:t>
      </w:r>
      <w:r>
        <w:t xml:space="preserve"> </w:t>
      </w:r>
      <w:hyperlink w:anchor="ref-1">
        <w:r>
          <w:rPr>
            <w:rStyle w:val="Hyperlink"/>
          </w:rPr>
          <w:t xml:space="preserve">[1]</w:t>
        </w:r>
      </w:hyperlink>
      <w:r>
        <w:t xml:space="preserve"> </w:t>
      </w:r>
      <w:hyperlink w:anchor="ref-8">
        <w:r>
          <w:rPr>
            <w:rStyle w:val="Hyperlink"/>
          </w:rPr>
          <w:t xml:space="preserve">[8]</w:t>
        </w:r>
      </w:hyperlink>
      <w:r>
        <w:t xml:space="preserve">. It remains uncertain whether the negative age elasticity would flip to positive under a repaired citation source, though the framework predicts it would, and that prediction is now a testable hypothesis rather than a settled fact</w:t>
      </w:r>
      <w:r>
        <w:t xml:space="preserve"> </w:t>
      </w:r>
      <w:hyperlink w:anchor="ref-5">
        <w:r>
          <w:rPr>
            <w:rStyle w:val="Hyperlink"/>
          </w:rPr>
          <w:t xml:space="preserve">[5]</w:t>
        </w:r>
      </w:hyperlink>
      <w:r>
        <w:t xml:space="preserve"> </w:t>
      </w:r>
      <w:hyperlink w:anchor="ref-7">
        <w:r>
          <w:rPr>
            <w:rStyle w:val="Hyperlink"/>
          </w:rPr>
          <w:t xml:space="preserve">[7]</w:t>
        </w:r>
      </w:hyperlink>
      <w:r>
        <w:t xml:space="preserve">. It remains uncertain, above all, whether the smallsat launch market has crossed the chasm, because the documentary evidence assembled here cannot certify an answer either way, and the study is scrupulous about not pretending otherwise</w:t>
      </w:r>
      <w:r>
        <w:t xml:space="preserve"> </w:t>
      </w:r>
      <w:hyperlink w:anchor="ref-11">
        <w:r>
          <w:rPr>
            <w:rStyle w:val="Hyperlink"/>
          </w:rPr>
          <w:t xml:space="preserve">[11]</w:t>
        </w:r>
      </w:hyperlink>
      <w:r>
        <w:t xml:space="preserve">.</w:t>
      </w:r>
    </w:p>
    <w:p>
      <w:pPr>
        <w:pStyle w:val="BodyText"/>
        <w:spacing w:line="480" w:lineRule="auto"/>
        <w:ind w:firstLine="720"/>
      </w:pPr>
      <w:r>
        <w:t xml:space="preserve">These uncertainties are not embarrassments to be minimized in a final paragraph. They are the precise residue that a well-designed null leaves behind, and each is paired with a concrete next step that would reduce it</w:t>
      </w:r>
      <w:r>
        <w:t xml:space="preserve"> </w:t>
      </w:r>
      <w:hyperlink w:anchor="ref-15">
        <w:r>
          <w:rPr>
            <w:rStyle w:val="Hyperlink"/>
          </w:rPr>
          <w:t xml:space="preserve">[15]</w:t>
        </w:r>
      </w:hyperlink>
      <w:r>
        <w:t xml:space="preserve">. A dissertation that ended with false certainty would have less value than one that ends with mapped uncertainty, because the mapped uncertainty is what the next researcher can act on</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47"/>
    <w:bookmarkStart w:id="148" w:name="a-transferability-beyond-smallsat-launch"/>
    <w:p>
      <w:pPr>
        <w:pStyle w:val="Heading2"/>
        <w:spacing w:line="480" w:lineRule="auto"/>
      </w:pPr>
      <w:r>
        <w:t xml:space="preserve">8.7a Transferability beyond smallsat launch</w:t>
      </w:r>
    </w:p>
    <w:p>
      <w:pPr>
        <w:pStyle w:val="FirstParagraph"/>
        <w:spacing w:line="480" w:lineRule="auto"/>
      </w:pPr>
      <w:r>
        <w:t xml:space="preserve">Although the test case is smallsat launch, the pathway the dissertation builds is not tied to that market, and its transferability is part of the contribution. The same three-part apparatus, a deterministic topic-signal construct, a cross-sectional association model, and an accumulation elasticity, could be pointed at any space market whose documentary record is retrievable: launch more broadly, on-orbit servicing, space-resource extraction, or the cislunar economy that several corpus records already anticipate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In each case the estimators would ask the same falsifiable question, whether the field’s documented attention is structured in the way a maturing market would predict, and would return the same kind of checkable answer</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What would transfer along with the apparatus is the discipline, and that is the harder export. Any application to a new market would inherit the same hazards this study catalogued: coverage-biased citation indices, coarse venue coding, small samples, and proxy constructs that compress rich concepts into counts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The value of having worked through those hazards once, on a fair test case, is that the next application starts with them named and with a staged plan for confronting them rather than discovering them the hard way</w:t>
      </w:r>
      <w:r>
        <w:t xml:space="preserve"> </w:t>
      </w:r>
      <w:hyperlink w:anchor="ref-15">
        <w:r>
          <w:rPr>
            <w:rStyle w:val="Hyperlink"/>
          </w:rPr>
          <w:t xml:space="preserve">[15]</w:t>
        </w:r>
      </w:hyperlink>
      <w:r>
        <w:t xml:space="preserve">. The dissertation thus contributes a reusable method and, just as much, a reusable account of the method’s limits.</w:t>
      </w:r>
    </w:p>
    <w:bookmarkEnd w:id="148"/>
    <w:bookmarkStart w:id="149" w:name="Xda17f17da06be31f3248e5cd59819c60ca4a820"/>
    <w:p>
      <w:pPr>
        <w:pStyle w:val="Heading2"/>
        <w:spacing w:line="480" w:lineRule="auto"/>
      </w:pPr>
      <w:r>
        <w:t xml:space="preserve">8.7b Implications for how space markets are argued about</w:t>
      </w:r>
    </w:p>
    <w:p>
      <w:pPr>
        <w:pStyle w:val="FirstParagraph"/>
        <w:spacing w:line="480" w:lineRule="auto"/>
      </w:pPr>
      <w:r>
        <w:t xml:space="preserve">Beyond the specific findings, the dissertation carries a claim about how space-market debates ought to be conducted, and that claim is part of what it offers. The prevailing mode of argument in space economics is assertion supported by illustration: an analyst states that a market has or has not matured and reaches for a vivid example, a record-setting rideshare or a failed startup, to make the case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This mode is persuasive and unfalsifiable in equal measure, because a different analyst can always reach for a different example. The dissertation demonstrates an alternative mode in which the claim is specified as a testable hypothesis, the evidence is a documented corpus, and the verdict follows from estimator output that anyone can reproduce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Adopting that alternative mode more widely would change the character of the field’s disagreements. Instead of trading examples, analysts would trade specifications and datasets, and their disagreements would resolve into checkable questions about measurement and inference rather than into competing narratives</w:t>
      </w:r>
      <w:r>
        <w:t xml:space="preserve"> </w:t>
      </w:r>
      <w:hyperlink w:anchor="ref-6">
        <w:r>
          <w:rPr>
            <w:rStyle w:val="Hyperlink"/>
          </w:rPr>
          <w:t xml:space="preserve">[6]</w:t>
        </w:r>
      </w:hyperlink>
      <w:r>
        <w:t xml:space="preserve"> </w:t>
      </w:r>
      <w:hyperlink w:anchor="ref-11">
        <w:r>
          <w:rPr>
            <w:rStyle w:val="Hyperlink"/>
          </w:rPr>
          <w:t xml:space="preserve">[11]</w:t>
        </w:r>
      </w:hyperlink>
      <w:r>
        <w:t xml:space="preserve">. The dissertation does not claim that every space-market question can be settled this way, and its own null shows that the documentary evidence is often too thin to settle the question at hand</w:t>
      </w:r>
      <w:r>
        <w:t xml:space="preserve"> </w:t>
      </w:r>
      <w:hyperlink w:anchor="ref-7">
        <w:r>
          <w:rPr>
            <w:rStyle w:val="Hyperlink"/>
          </w:rPr>
          <w:t xml:space="preserve">[7]</w:t>
        </w:r>
      </w:hyperlink>
      <w:r>
        <w:t xml:space="preserve"> </w:t>
      </w:r>
      <w:hyperlink w:anchor="ref-15">
        <w:r>
          <w:rPr>
            <w:rStyle w:val="Hyperlink"/>
          </w:rPr>
          <w:t xml:space="preserve">[15]</w:t>
        </w:r>
      </w:hyperlink>
      <w:r>
        <w:t xml:space="preserve">. But even an unsettled question, argued in this mode, is more productive than a settled-sounding one argued by assertion, because the unsettled question at least tells the field precisely what evidence would resolve it</w:t>
      </w:r>
      <w:r>
        <w:t xml:space="preserve"> </w:t>
      </w:r>
      <w:hyperlink w:anchor="ref-16">
        <w:r>
          <w:rPr>
            <w:rStyle w:val="Hyperlink"/>
          </w:rPr>
          <w:t xml:space="preserve">[16]</w:t>
        </w:r>
      </w:hyperlink>
      <w:r>
        <w:t xml:space="preserve">. That shift in the standard of argument is the least tangible and perhaps the most durable of the dissertation’s contributions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49"/>
    <w:bookmarkStart w:id="150" w:name="c-the-candidates-research-trajectory"/>
    <w:p>
      <w:pPr>
        <w:pStyle w:val="Heading2"/>
        <w:spacing w:line="480" w:lineRule="auto"/>
      </w:pPr>
      <w:r>
        <w:t xml:space="preserve">8.7c The candidate’s research trajectory</w:t>
      </w:r>
    </w:p>
    <w:p>
      <w:pPr>
        <w:pStyle w:val="FirstParagraph"/>
        <w:spacing w:line="480" w:lineRule="auto"/>
      </w:pPr>
      <w:r>
        <w:t xml:space="preserve">For the candidate specifically, the project establishes a trajectory rather than a terminus. The corpus, the configuration files, the estimators, and the diagnosis of where the evidence gives out together form a platform that the next study can build on directly, without starting over</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immediate next project is already specified by the staged agenda: repair the citation source, enlarge and diversify the corpus with market-bearing documents, and move to validated document coding, in that order</w:t>
      </w:r>
      <w:r>
        <w:t xml:space="preserve"> </w:t>
      </w:r>
      <w:hyperlink w:anchor="ref-5">
        <w:r>
          <w:rPr>
            <w:rStyle w:val="Hyperlink"/>
          </w:rPr>
          <w:t xml:space="preserve">[5]</w:t>
        </w:r>
      </w:hyperlink>
      <w:r>
        <w:t xml:space="preserve"> </w:t>
      </w:r>
      <w:hyperlink w:anchor="ref-7">
        <w:r>
          <w:rPr>
            <w:rStyle w:val="Hyperlink"/>
          </w:rPr>
          <w:t xml:space="preserve">[7]</w:t>
        </w:r>
      </w:hyperlink>
      <w:r>
        <w:t xml:space="preserve">. Each stage is a discrete, fundable piece of work with a clear success criterion, which is the kind of well-posed research program a first doctoral project is meant to launch</w:t>
      </w:r>
      <w:r>
        <w:t xml:space="preserve"> </w:t>
      </w:r>
      <w:hyperlink w:anchor="ref-16">
        <w:r>
          <w:rPr>
            <w:rStyle w:val="Hyperlink"/>
          </w:rPr>
          <w:t xml:space="preserve">[16]</w:t>
        </w:r>
      </w:hyperlink>
      <w:r>
        <w:t xml:space="preserve">.</w:t>
      </w:r>
    </w:p>
    <w:p>
      <w:pPr>
        <w:pStyle w:val="BodyText"/>
        <w:spacing w:line="480" w:lineRule="auto"/>
        <w:ind w:firstLine="720"/>
      </w:pPr>
      <w:r>
        <w:t xml:space="preserve">The trajectory also positions the candidate to contribute to the broader shift in argumentative standard described above. Having built one end-to-end reproducible test of a space-market claim, the candidate is equipped to build others, and to hold the surrounding literature to the standard the dissertation demonstrates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That is a durable professional asset, and it is the kind of capability the program exists to develop: not a single finding, but a repeatable practice of turning confident narratives into checkable tests</w:t>
      </w:r>
      <w:r>
        <w:t xml:space="preserve"> </w:t>
      </w:r>
      <w:hyperlink w:anchor="ref-8">
        <w:r>
          <w:rPr>
            <w:rStyle w:val="Hyperlink"/>
          </w:rPr>
          <w:t xml:space="preserve">[8]</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dissertation therefore ends not with a claim about smallsat launch but with a demonstrated capacity to interrogate such claims rigorously, and that capacity is the seed of a longer program</w:t>
      </w:r>
      <w:r>
        <w:t xml:space="preserve"> </w:t>
      </w:r>
      <w:hyperlink w:anchor="ref-11">
        <w:r>
          <w:rPr>
            <w:rStyle w:val="Hyperlink"/>
          </w:rPr>
          <w:t xml:space="preserve">[11]</w:t>
        </w:r>
      </w:hyperlink>
      <w:r>
        <w:t xml:space="preserve">. Each future application will sharpen the method, and each honest null or hard-won positive will add to a body of reproducible knowledge about how space markets actually reveal themselves in their documentary records</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That accumulation, slow and checkable, is how a field replaces confident narrative with tested understanding, and it is the work this project begins</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In the end, the measure of this dissertation is not whether it found the maturation signal it looked for, but whether it looked for it in a way another scholar can inspect, repeat, and improve upon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On that measure, the project is complete. It asked one falsifiable question, built two transparent estimators, ran them over a fully documented corpus, and reported an honest null with a precise diagnosis and an ordered plan for doing better</w:t>
      </w:r>
      <w:r>
        <w:t xml:space="preserve"> </w:t>
      </w:r>
      <w:hyperlink w:anchor="ref-3">
        <w:r>
          <w:rPr>
            <w:rStyle w:val="Hyperlink"/>
          </w:rPr>
          <w:t xml:space="preserve">[3]</w:t>
        </w:r>
      </w:hyperlink>
      <w:r>
        <w:t xml:space="preserve"> </w:t>
      </w:r>
      <w:hyperlink w:anchor="ref-8">
        <w:r>
          <w:rPr>
            <w:rStyle w:val="Hyperlink"/>
          </w:rPr>
          <w:t xml:space="preserve">[8]</w:t>
        </w:r>
      </w:hyperlink>
      <w:r>
        <w:t xml:space="preserve">. A first doctoral contribution that leaves behind a reusable method, a mapped set of uncertainties, and a staged agenda for resolving them has done what such a contribution should do, and it has done it without a single claim the evidence cannot bear</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50"/>
    <w:bookmarkStart w:id="151" w:name="closing"/>
    <w:p>
      <w:pPr>
        <w:pStyle w:val="Heading2"/>
        <w:spacing w:line="480" w:lineRule="auto"/>
      </w:pPr>
      <w:r>
        <w:t xml:space="preserve">8.8 Closing</w:t>
      </w:r>
    </w:p>
    <w:p>
      <w:pPr>
        <w:pStyle w:val="FirstParagraph"/>
        <w:spacing w:line="480" w:lineRule="auto"/>
      </w:pPr>
      <w:r>
        <w:t xml:space="preserve">The dissertation ends where a doctoral project should: with an intuition replaced by an auditable pathway and a falsifiable result. It took a claim that is usually asserted and made it testable. It ran the test on real records with transparent estimators. It reported that the strong hypotheses did not survive, and it explained precisely why, distinguishing at every step a limit of the evidence from a fact about the world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8">
        <w:r>
          <w:rPr>
            <w:rStyle w:val="Hyperlink"/>
          </w:rPr>
          <w:t xml:space="preserve">[8]</w:t>
        </w:r>
      </w:hyperlink>
      <w:r>
        <w:t xml:space="preserve">. For the candidate, the work also lays a foundation. The next study inherits a documented corpus, a specified set of variables, a clear diagnosis of where the present data give out, and a concrete design for doing better</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That inheritance, more than any single coefficient, is the real product of the exercise, and it is offered to the field in the same spirit the whole project was conducted: plainly, checkably, and without a claim the evidence cannot bear</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51"/>
    <w:bookmarkStart w:id="178" w:name="references"/>
    <w:p>
      <w:pPr>
        <w:pStyle w:val="Heading2"/>
        <w:spacing w:line="480" w:lineRule="auto"/>
      </w:pPr>
      <w:r>
        <w:t xml:space="preserve">References</w:t>
      </w:r>
    </w:p>
    <w:p>
      <w:pPr>
        <w:pStyle w:val="FirstParagraph"/>
        <w:spacing w:line="480" w:lineRule="auto"/>
      </w:pPr>
      <w:bookmarkStart w:id="152" w:name="ref-1"/>
      <w:bookmarkEnd w:id="152"/>
      <w:r>
        <w:t xml:space="preserve">1. Makena Young, Aerospace Security Project. Trends in Global Space Situational Awareness (2021). [AMOS]</w:t>
      </w:r>
    </w:p>
    <w:p>
      <w:pPr>
        <w:pStyle w:val="BodyText"/>
        <w:spacing w:line="480" w:lineRule="auto"/>
        <w:ind w:firstLine="720"/>
      </w:pPr>
      <w:bookmarkStart w:id="153" w:name="ref-2"/>
      <w:bookmarkEnd w:id="153"/>
      <w:r>
        <w:t xml:space="preserve">2. Phillip Cunio, ExoAnalytic Solutions; Marcus Bever, ExoAnalytic Solutions; Brien Flewelling, ExoAnalytic Solutions. Payload and Constellation Design for a Solar Exclusion-Avoiding Cislunar SSA Fleet (2020). [AMOS]</w:t>
      </w:r>
    </w:p>
    <w:p>
      <w:pPr>
        <w:pStyle w:val="BodyText"/>
        <w:spacing w:line="480" w:lineRule="auto"/>
        <w:ind w:firstLine="720"/>
      </w:pPr>
      <w:bookmarkStart w:id="154" w:name="ref-3"/>
      <w:bookmarkEnd w:id="154"/>
      <w:r>
        <w:t xml:space="preserve">3.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155">
        <w:r>
          <w:rPr>
            <w:rStyle w:val="Hyperlink"/>
          </w:rPr>
          <w:t xml:space="preserve">10.64861/VZRK7654</w:t>
        </w:r>
      </w:hyperlink>
    </w:p>
    <w:p>
      <w:pPr>
        <w:pStyle w:val="BodyText"/>
        <w:spacing w:line="480" w:lineRule="auto"/>
        <w:ind w:firstLine="720"/>
      </w:pPr>
      <w:bookmarkStart w:id="156" w:name="ref-4"/>
      <w:bookmarkEnd w:id="156"/>
      <w:r>
        <w:t xml:space="preserve">4. Kelly Feirstine (Schafer Corporation), J.D. Yarbrough (Schafer Corporation), James Rosprim (Schafer Corporation), Leslie Vaughn (Air Force Research Laboratory, Space Vehicles Directorate), Geoffrey Jenkins (Air Force Research Laboratory, Space Vehicles Directorate), Michael Duggin (Air Force Research Laboratory, Space Vehicles Directorate). A Study of the Effects of Material Type and Configuration on Optical Cross Section (2012). [AMOS]</w:t>
      </w:r>
    </w:p>
    <w:p>
      <w:pPr>
        <w:pStyle w:val="BodyText"/>
        <w:spacing w:line="480" w:lineRule="auto"/>
        <w:ind w:firstLine="720"/>
      </w:pPr>
      <w:bookmarkStart w:id="157" w:name="ref-5"/>
      <w:bookmarkEnd w:id="157"/>
      <w:r>
        <w:t xml:space="preserve">5. Oswald Siegmund (University of California). Large Area Flat Panel Imaging Detectors for Astronomy and Night Time Sensing (2013). [AMOS]</w:t>
      </w:r>
    </w:p>
    <w:p>
      <w:pPr>
        <w:pStyle w:val="BodyText"/>
        <w:spacing w:line="480" w:lineRule="auto"/>
        <w:ind w:firstLine="720"/>
      </w:pPr>
      <w:bookmarkStart w:id="158" w:name="ref-6"/>
      <w:bookmarkEnd w:id="158"/>
      <w:r>
        <w:t xml:space="preserve">6. Sergei Khatipov (Moscow Engineering Physics Institute (State University). Simulated Aging of Spacecraft External Materials on Orbit (2006). [AMOS]</w:t>
      </w:r>
    </w:p>
    <w:p>
      <w:pPr>
        <w:pStyle w:val="BodyText"/>
        <w:spacing w:line="480" w:lineRule="auto"/>
        <w:ind w:firstLine="720"/>
      </w:pPr>
      <w:bookmarkStart w:id="159" w:name="ref-7"/>
      <w:bookmarkEnd w:id="159"/>
      <w:r>
        <w:t xml:space="preserve">7. Anil Chaudhary, Applied Optimization, Tamara Payne, Applied Optimization, Kimberly Kinateder, Wright State University, Phan Dao, AFRL/RV, Elizabeth Beecher, AFRL/RY, Derek Boone, Applied Optimization, Brittany Elliott, Applied Optimization. On-line Flagging of Anomalies and Adaptive Sequential Hypothesis Testing for Fine-feature characterization of Geosynchronous Satellites (2015). [AMOS]</w:t>
      </w:r>
    </w:p>
    <w:p>
      <w:pPr>
        <w:pStyle w:val="BodyText"/>
        <w:spacing w:line="480" w:lineRule="auto"/>
        <w:ind w:firstLine="720"/>
      </w:pPr>
      <w:bookmarkStart w:id="160" w:name="ref-8"/>
      <w:bookmarkEnd w:id="160"/>
      <w:r>
        <w:t xml:space="preserve">8. Emma Kerr, Dstl. An Update on the UK Cross-Government SDA Requirements, in Support of the UK’s SDA Strategy (2024). doi:</w:t>
      </w:r>
      <w:r>
        <w:t xml:space="preserve"> </w:t>
      </w:r>
      <w:hyperlink r:id="rId161">
        <w:r>
          <w:rPr>
            <w:rStyle w:val="Hyperlink"/>
          </w:rPr>
          <w:t xml:space="preserve">10.64861/QPJU8378</w:t>
        </w:r>
      </w:hyperlink>
    </w:p>
    <w:p>
      <w:pPr>
        <w:pStyle w:val="BodyText"/>
        <w:spacing w:line="480" w:lineRule="auto"/>
        <w:ind w:firstLine="720"/>
      </w:pPr>
      <w:bookmarkStart w:id="162" w:name="ref-9"/>
      <w:bookmarkEnd w:id="162"/>
      <w:r>
        <w:t xml:space="preserve">9. Iván Castro-Fernández; César Arza-González; Elisa Muñoz-Ramos; Víctor Prieto-Laso; Nicolás Pardina-Popp; César Pérez-García; José Antonio Rodríguez-Prieto; Amaia Santiago-Pé; José M. Encinas; José Carlos San Martín-Ursa; Víctor Aragón-Fernández; María Parrondo-Sempere; María Cebollero-Vidriales; Javier Iglesias-Méndez; Carlos Campuzano-Corrales; S. Rodriguez-Bustabad; Eva Vega-Carrasco. Formation flying of the ANSER cluster using differential-drag control (2026). doi:</w:t>
      </w:r>
      <w:r>
        <w:t xml:space="preserve"> </w:t>
      </w:r>
      <w:hyperlink r:id="rId163">
        <w:r>
          <w:rPr>
            <w:rStyle w:val="Hyperlink"/>
          </w:rPr>
          <w:t xml:space="preserve">10.1016/j.actaastro.2026.04.057</w:t>
        </w:r>
      </w:hyperlink>
    </w:p>
    <w:p>
      <w:pPr>
        <w:pStyle w:val="BodyText"/>
        <w:spacing w:line="480" w:lineRule="auto"/>
        <w:ind w:firstLine="720"/>
      </w:pPr>
      <w:bookmarkStart w:id="164" w:name="ref-10"/>
      <w:bookmarkEnd w:id="164"/>
      <w:r>
        <w:t xml:space="preserve">10. Hanjoon Shim; Changdon Kee. Enhancing RTK-based relative navigation for CubeSats rendezvous: An ADOP perspective on integer ambiguity resolution (2025). doi:</w:t>
      </w:r>
      <w:r>
        <w:t xml:space="preserve"> </w:t>
      </w:r>
      <w:hyperlink r:id="rId165">
        <w:r>
          <w:rPr>
            <w:rStyle w:val="Hyperlink"/>
          </w:rPr>
          <w:t xml:space="preserve">10.1016/j.actaastro.2025.08.001</w:t>
        </w:r>
      </w:hyperlink>
    </w:p>
    <w:p>
      <w:pPr>
        <w:pStyle w:val="BodyText"/>
        <w:spacing w:line="480" w:lineRule="auto"/>
        <w:ind w:firstLine="720"/>
      </w:pPr>
      <w:bookmarkStart w:id="166" w:name="ref-11"/>
      <w:bookmarkEnd w:id="166"/>
      <w:r>
        <w:t xml:space="preserve">11. Ben McKeown; Andrew G. Dempster; Serkan Saydam; Jeff Coulton. How should potential space resources markets be evaluated? (2026). doi:</w:t>
      </w:r>
      <w:r>
        <w:t xml:space="preserve"> </w:t>
      </w:r>
      <w:hyperlink r:id="rId167">
        <w:r>
          <w:rPr>
            <w:rStyle w:val="Hyperlink"/>
          </w:rPr>
          <w:t xml:space="preserve">10.1016/j.actaastro.2026.03.026</w:t>
        </w:r>
      </w:hyperlink>
    </w:p>
    <w:p>
      <w:pPr>
        <w:pStyle w:val="BodyText"/>
        <w:spacing w:line="480" w:lineRule="auto"/>
        <w:ind w:firstLine="720"/>
      </w:pPr>
      <w:bookmarkStart w:id="168" w:name="ref-12"/>
      <w:bookmarkEnd w:id="168"/>
      <w:r>
        <w:t xml:space="preserve">12. Hans Blättermann; Nils Gerrit Kottke; Max Vaupel; Martin Tajmar; Franz Georg Hey. Endurance testing and characterization of a novel candidate for CubeSat propulsion: The Advanced Cusp Field Thruster (ACFT) (2024). doi:</w:t>
      </w:r>
      <w:r>
        <w:t xml:space="preserve"> </w:t>
      </w:r>
      <w:hyperlink r:id="rId169">
        <w:r>
          <w:rPr>
            <w:rStyle w:val="Hyperlink"/>
          </w:rPr>
          <w:t xml:space="preserve">10.1016/j.actaastro.2024.03.074</w:t>
        </w:r>
      </w:hyperlink>
    </w:p>
    <w:p>
      <w:pPr>
        <w:pStyle w:val="BodyText"/>
        <w:spacing w:line="480" w:lineRule="auto"/>
        <w:ind w:firstLine="720"/>
      </w:pPr>
      <w:bookmarkStart w:id="170" w:name="ref-13"/>
      <w:bookmarkEnd w:id="170"/>
      <w:r>
        <w:t xml:space="preserve">13. Miguel Ortiz del Castillo; Jack McRobbie; Andrew Woods; Robert Mearns; Jonathan Morgan; Michele Trenti; Simon Barraclough; Yijie Tao; Clint Therakam; Eric Schoof; Airlie Chapman; Fabrizio Fiore; Y. Evangelista; A. Guzmán; Paul Hedderman. The SpIRIT Payload Management System: A paradigm for smallsats multi payload integration (2025). doi:</w:t>
      </w:r>
      <w:r>
        <w:t xml:space="preserve"> </w:t>
      </w:r>
      <w:hyperlink r:id="rId171">
        <w:r>
          <w:rPr>
            <w:rStyle w:val="Hyperlink"/>
          </w:rPr>
          <w:t xml:space="preserve">10.1016/j.actaastro.2025.06.050</w:t>
        </w:r>
      </w:hyperlink>
    </w:p>
    <w:p>
      <w:pPr>
        <w:pStyle w:val="BodyText"/>
        <w:spacing w:line="480" w:lineRule="auto"/>
        <w:ind w:firstLine="720"/>
      </w:pPr>
      <w:bookmarkStart w:id="172" w:name="ref-14"/>
      <w:bookmarkEnd w:id="172"/>
      <w:r>
        <w:t xml:space="preserve">14. Kevin McMullan; Jonathan Paxman; Robert M. Howie; Samuel Loffler. Design and performance of a compact rigid-flex PCB-based deployable solar array for cube satellites (2025). doi:</w:t>
      </w:r>
      <w:r>
        <w:t xml:space="preserve"> </w:t>
      </w:r>
      <w:hyperlink r:id="rId173">
        <w:r>
          <w:rPr>
            <w:rStyle w:val="Hyperlink"/>
          </w:rPr>
          <w:t xml:space="preserve">10.1016/j.actaastro.2025.10.046</w:t>
        </w:r>
      </w:hyperlink>
    </w:p>
    <w:p>
      <w:pPr>
        <w:pStyle w:val="BodyText"/>
        <w:spacing w:line="480" w:lineRule="auto"/>
        <w:ind w:firstLine="720"/>
      </w:pPr>
      <w:bookmarkStart w:id="174" w:name="ref-15"/>
      <w:bookmarkEnd w:id="174"/>
      <w:r>
        <w:t xml:space="preserve">15. Samuele Enzo; Giacomo Battaglia; Federico Basana; Francesca Filippini; M. G. Mozzato; Federico Marin; Luca Lion; Lorenzo Olivieri; Carlo Bettanini; Alessandro Francesconi. SPRISS: Scalable and precise resistive impact sensor for smallsats, architecture description and tests (2024). doi:</w:t>
      </w:r>
      <w:r>
        <w:t xml:space="preserve"> </w:t>
      </w:r>
      <w:hyperlink r:id="rId175">
        <w:r>
          <w:rPr>
            <w:rStyle w:val="Hyperlink"/>
          </w:rPr>
          <w:t xml:space="preserve">10.1016/j.actaastro.2024.06.033</w:t>
        </w:r>
      </w:hyperlink>
    </w:p>
    <w:p>
      <w:pPr>
        <w:pStyle w:val="BodyText"/>
        <w:spacing w:line="480" w:lineRule="auto"/>
        <w:ind w:firstLine="720"/>
      </w:pPr>
      <w:bookmarkStart w:id="176" w:name="ref-16"/>
      <w:bookmarkEnd w:id="176"/>
      <w:r>
        <w:t xml:space="preserve">16. Omar Diab; Christian Circi; Hongwei Yang; Shuang Li. Unsupervised approach to detect interconnections between unstable resonant orbits (2025). doi:</w:t>
      </w:r>
      <w:r>
        <w:t xml:space="preserve"> </w:t>
      </w:r>
      <w:hyperlink r:id="rId177">
        <w:r>
          <w:rPr>
            <w:rStyle w:val="Hyperlink"/>
          </w:rPr>
          <w:t xml:space="preserve">10.1016/j.actaastro.2025.04.039</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1a82ed39fee4cff4b560b2cbd7e878935ac9610"/>
    <w:p>
      <w:pPr>
        <w:pStyle w:val="Heading2"/>
        <w:spacing w:line="480" w:lineRule="auto"/>
      </w:pPr>
      <w:r>
        <w:t xml:space="preserve">A.1 Signal Intensity in Crossing the Chasm in Orbit a market-structure test of whether the smallsat lau: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2.4964</w:t>
            </w:r>
          </w:p>
        </w:tc>
        <w:tc>
          <w:tcPr>
            <w:tcW w:w="0" w:type="auto"/>
          </w:tcPr>
          <w:p>
            <w:pPr>
              <w:spacing w:line="240" w:lineRule="auto" w:before="0" w:after="0"/>
              <w:pStyle w:val="Compact"/>
            </w:pPr>
            <w:r>
              <w:rPr>
                <w:sz w:val="20"/>
                <w:szCs w:val="20"/>
              </w:rPr>
              <w:t xml:space="preserve">0.9159</w:t>
            </w:r>
          </w:p>
        </w:tc>
        <w:tc>
          <w:tcPr>
            <w:tcW w:w="0" w:type="auto"/>
          </w:tcPr>
          <w:p>
            <w:pPr>
              <w:spacing w:line="240" w:lineRule="auto" w:before="0" w:after="0"/>
              <w:pStyle w:val="Compact"/>
            </w:pPr>
            <w:r>
              <w:rPr>
                <w:sz w:val="20"/>
                <w:szCs w:val="20"/>
              </w:rPr>
              <w:t xml:space="preserve">2.7258</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[0.7014, 4.2914]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0.5402</w:t>
            </w:r>
          </w:p>
        </w:tc>
        <w:tc>
          <w:tcPr>
            <w:tcW w:w="0" w:type="auto"/>
          </w:tcPr>
          <w:p>
            <w:pPr>
              <w:spacing w:line="240" w:lineRule="auto" w:before="0" w:after="0"/>
              <w:pStyle w:val="Compact"/>
            </w:pPr>
            <w:r>
              <w:rPr>
                <w:sz w:val="20"/>
                <w:szCs w:val="20"/>
              </w:rPr>
              <w:t xml:space="preserve">0.589</w:t>
            </w:r>
          </w:p>
        </w:tc>
        <w:tc>
          <w:tcPr>
            <w:tcW w:w="0" w:type="auto"/>
          </w:tcPr>
          <w:p>
            <w:pPr>
              <w:spacing w:line="240" w:lineRule="auto" w:before="0" w:after="0"/>
              <w:pStyle w:val="Compact"/>
            </w:pPr>
            <w:r>
              <w:rPr>
                <w:sz w:val="20"/>
                <w:szCs w:val="20"/>
              </w:rPr>
              <w:t xml:space="preserve">[-0.1177, 0.2073]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-0.9752</w:t>
            </w:r>
          </w:p>
        </w:tc>
        <w:tc>
          <w:tcPr>
            <w:tcW w:w="0" w:type="auto"/>
          </w:tcPr>
          <w:p>
            <w:pPr>
              <w:spacing w:line="240" w:lineRule="auto" w:before="0" w:after="0"/>
              <w:pStyle w:val="Compact"/>
            </w:pPr>
            <w:r>
              <w:rPr>
                <w:sz w:val="20"/>
                <w:szCs w:val="20"/>
              </w:rPr>
              <w:t xml:space="preserve">0.3294</w:t>
            </w:r>
          </w:p>
        </w:tc>
        <w:tc>
          <w:tcPr>
            <w:tcW w:w="0" w:type="auto"/>
          </w:tcPr>
          <w:p>
            <w:pPr>
              <w:spacing w:line="240" w:lineRule="auto" w:before="0" w:after="0"/>
              <w:pStyle w:val="Compact"/>
            </w:pPr>
            <w:r>
              <w:rPr>
                <w:sz w:val="20"/>
                <w:szCs w:val="20"/>
              </w:rPr>
              <w:t xml:space="preserve">[-0.1811, 0.0608]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-0.0458</w:t>
            </w:r>
          </w:p>
        </w:tc>
        <w:tc>
          <w:tcPr>
            <w:tcW w:w="0" w:type="auto"/>
          </w:tcPr>
          <w:p>
            <w:pPr>
              <w:spacing w:line="240" w:lineRule="auto" w:before="0" w:after="0"/>
              <w:pStyle w:val="Compact"/>
            </w:pPr>
            <w:r>
              <w:rPr>
                <w:sz w:val="20"/>
                <w:szCs w:val="20"/>
              </w:rPr>
              <w:t xml:space="preserve">0.6594</w:t>
            </w:r>
          </w:p>
        </w:tc>
        <w:tc>
          <w:tcPr>
            <w:tcW w:w="0" w:type="auto"/>
          </w:tcPr>
          <w:p>
            <w:pPr>
              <w:spacing w:line="240" w:lineRule="auto" w:before="0" w:after="0"/>
              <w:pStyle w:val="Compact"/>
            </w:pPr>
            <w:r>
              <w:rPr>
                <w:sz w:val="20"/>
                <w:szCs w:val="20"/>
              </w:rPr>
              <w:t xml:space="preserve">-0.0694</w:t>
            </w:r>
          </w:p>
        </w:tc>
        <w:tc>
          <w:tcPr>
            <w:tcW w:w="0" w:type="auto"/>
          </w:tcPr>
          <w:p>
            <w:pPr>
              <w:spacing w:line="240" w:lineRule="auto" w:before="0" w:after="0"/>
              <w:pStyle w:val="Compact"/>
            </w:pPr>
            <w:r>
              <w:rPr>
                <w:sz w:val="20"/>
                <w:szCs w:val="20"/>
              </w:rPr>
              <w:t xml:space="preserve">0.9447</w:t>
            </w:r>
          </w:p>
        </w:tc>
        <w:tc>
          <w:tcPr>
            <w:tcW w:w="0" w:type="auto"/>
          </w:tcPr>
          <w:p>
            <w:pPr>
              <w:spacing w:line="240" w:lineRule="auto" w:before="0" w:after="0"/>
              <w:pStyle w:val="Compact"/>
            </w:pPr>
            <w:r>
              <w:rPr>
                <w:sz w:val="20"/>
                <w:szCs w:val="20"/>
              </w:rPr>
              <w:t xml:space="preserve">[-1.3383, 1.2467]</w:t>
            </w:r>
          </w:p>
        </w:tc>
      </w:tr>
    </w:tbl>
    <w:p>
      <w:pPr>
        <w:pStyle w:val="BodyText"/>
        <w:spacing w:line="480" w:lineRule="auto"/>
        <w:ind w:firstLine="720"/>
      </w:pPr>
      <w:r>
        <w:t xml:space="preserve">Fit: N = 30 R2 = 0.0242 R2_adj = -0.0884 F = 0.3462 F_p = 0.7922</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2" name="Picture"/>
            <a:graphic>
              <a:graphicData uri="http://schemas.openxmlformats.org/drawingml/2006/picture">
                <pic:pic>
                  <pic:nvPicPr>
                    <pic:cNvPr descr="D:/Claude_Code/brain/collegium/candidates/dissertations/SPACE_ECON_05/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https://amostech.space/year/2013/cycle-1-science-status-and-how-to-propose-time-on-sofia/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https://amostech.space/year/2012/a-study-of-the-effects-of-material-type-and-configuration-on-optical-cross-section/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https://amostech.space/year/2013/large-area-flat-panel-imaging-detectors-for-astronomy-and-night-time-sensing/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https://amostech.space/year/2006/simulated-aging-of-spacecraft-external-materials-on-orbit/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https://amostech.space/year/2011/an-update-on-ssa-in-australia/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10.64861/QPJU8378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https://amostech.space/year/2014/spacecraft-orbit-anomaly-representation-using-thrust-fourier-coefficients-with-orbit-determination-toolbox/</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10.1016/j.actaastro.2024.03.074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6"/>
    <w:bookmarkEnd w:id="187"/>
    <w:bookmarkStart w:id="195" w:name="X7520f5b3f5dfe964c3f4267d0903a4dcd39c884"/>
    <w:p>
      <w:pPr>
        <w:pStyle w:val="Heading2"/>
        <w:spacing w:line="480" w:lineRule="auto"/>
      </w:pPr>
      <w:r>
        <w:t xml:space="preserve">A.2 Attention Accumulation in Crossing the Chasm in Orbit a market-structure test of whether the smallsat lau: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0.7297</w:t>
            </w:r>
          </w:p>
        </w:tc>
        <w:tc>
          <w:tcPr>
            <w:tcW w:w="0" w:type="auto"/>
          </w:tcPr>
          <w:p>
            <w:pPr>
              <w:spacing w:line="240" w:lineRule="auto" w:before="0" w:after="0"/>
              <w:pStyle w:val="Compact"/>
            </w:pPr>
            <w:r>
              <w:rPr>
                <w:sz w:val="20"/>
                <w:szCs w:val="20"/>
              </w:rPr>
              <w:t xml:space="preserve">0.2747</w:t>
            </w:r>
          </w:p>
        </w:tc>
        <w:tc>
          <w:tcPr>
            <w:tcW w:w="0" w:type="auto"/>
          </w:tcPr>
          <w:p>
            <w:pPr>
              <w:spacing w:line="240" w:lineRule="auto" w:before="0" w:after="0"/>
              <w:pStyle w:val="Compact"/>
            </w:pPr>
            <w:r>
              <w:rPr>
                <w:sz w:val="20"/>
                <w:szCs w:val="20"/>
              </w:rPr>
              <w:t xml:space="preserve">2.656</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[0.1912, 1.2682]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-0.1666</w:t>
            </w:r>
          </w:p>
        </w:tc>
        <w:tc>
          <w:tcPr>
            <w:tcW w:w="0" w:type="auto"/>
          </w:tcPr>
          <w:p>
            <w:pPr>
              <w:spacing w:line="240" w:lineRule="auto" w:before="0" w:after="0"/>
              <w:pStyle w:val="Compact"/>
            </w:pPr>
            <w:r>
              <w:rPr>
                <w:sz w:val="20"/>
                <w:szCs w:val="20"/>
              </w:rPr>
              <w:t xml:space="preserve">0.1332</w:t>
            </w:r>
          </w:p>
        </w:tc>
        <w:tc>
          <w:tcPr>
            <w:tcW w:w="0" w:type="auto"/>
          </w:tcPr>
          <w:p>
            <w:pPr>
              <w:spacing w:line="240" w:lineRule="auto" w:before="0" w:after="0"/>
              <w:pStyle w:val="Compact"/>
            </w:pPr>
            <w:r>
              <w:rPr>
                <w:sz w:val="20"/>
                <w:szCs w:val="20"/>
              </w:rPr>
              <w:t xml:space="preserve">-1.2502</w:t>
            </w:r>
          </w:p>
        </w:tc>
        <w:tc>
          <w:tcPr>
            <w:tcW w:w="0" w:type="auto"/>
          </w:tcPr>
          <w:p>
            <w:pPr>
              <w:spacing w:line="240" w:lineRule="auto" w:before="0" w:after="0"/>
              <w:pStyle w:val="Compact"/>
            </w:pPr>
            <w:r>
              <w:rPr>
                <w:sz w:val="20"/>
                <w:szCs w:val="20"/>
              </w:rPr>
              <w:t xml:space="preserve">0.2112</w:t>
            </w:r>
          </w:p>
        </w:tc>
        <w:tc>
          <w:tcPr>
            <w:tcW w:w="0" w:type="auto"/>
          </w:tcPr>
          <w:p>
            <w:pPr>
              <w:spacing w:line="240" w:lineRule="auto" w:before="0" w:after="0"/>
              <w:pStyle w:val="Compact"/>
            </w:pPr>
            <w:r>
              <w:rPr>
                <w:sz w:val="20"/>
                <w:szCs w:val="20"/>
              </w:rPr>
              <w:t xml:space="preserve">[-0.4277, 0.0946]</w:t>
            </w:r>
          </w:p>
        </w:tc>
      </w:tr>
    </w:tbl>
    <w:p>
      <w:pPr>
        <w:pStyle w:val="BodyText"/>
        <w:spacing w:line="480" w:lineRule="auto"/>
        <w:ind w:firstLine="720"/>
      </w:pPr>
      <w:r>
        <w:t xml:space="preserve">Fit: N = 30 R2 = 0.0262 elasticity_b = -0.1666 progress_ratio_2^b = 0.891</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0" name="Picture"/>
            <a:graphic>
              <a:graphicData uri="http://schemas.openxmlformats.org/drawingml/2006/picture">
                <pic:pic>
                  <pic:nvPicPr>
                    <pic:cNvPr descr="D:/Claude_Code/brain/collegium/candidates/dissertations/SPACE_ECON_05/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https://amostech.space/year/2013/cycle-1-science-status-and-how-to-propose-time-on-sofia/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https://amostech.space/year/2012/a-study-of-the-effects-of-material-type-and-configuration-on-optical-cross-section/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https://amostech.space/year/2013/large-area-flat-panel-imaging-detectors-for-astronomy-and-night-time-sensing/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https://amostech.space/year/2006/simulated-aging-of-spacecraft-external-materials-on-orbit/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https://amostech.space/year/2011/an-update-on-ssa-in-australia/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10.64861/QPJU8378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https://amostech.space/year/2014/spacecraft-orbit-anomaly-representation-using-thrust-fourier-coefficients-with-orbit-determination-toolbox/</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10.1016/j.actaastro.2024.03.074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69" Type="http://schemas.openxmlformats.org/officeDocument/2006/relationships/hyperlink" Target="https://doi.org/10.1016/j.actaastro.2024.03.074" TargetMode="External"/><Relationship Id="rId175" Type="http://schemas.openxmlformats.org/officeDocument/2006/relationships/hyperlink" Target="https://doi.org/10.1016/j.actaastro.2024.06.033" TargetMode="External"/><Relationship Id="rId177" Type="http://schemas.openxmlformats.org/officeDocument/2006/relationships/hyperlink" Target="https://doi.org/10.1016/j.actaastro.2025.04.039" TargetMode="External"/><Relationship Id="rId171" Type="http://schemas.openxmlformats.org/officeDocument/2006/relationships/hyperlink" Target="https://doi.org/10.1016/j.actaastro.2025.06.050" TargetMode="External"/><Relationship Id="rId165" Type="http://schemas.openxmlformats.org/officeDocument/2006/relationships/hyperlink" Target="https://doi.org/10.1016/j.actaastro.2025.08.001" TargetMode="External"/><Relationship Id="rId173" Type="http://schemas.openxmlformats.org/officeDocument/2006/relationships/hyperlink" Target="https://doi.org/10.1016/j.actaastro.2025.10.046" TargetMode="External"/><Relationship Id="rId167" Type="http://schemas.openxmlformats.org/officeDocument/2006/relationships/hyperlink" Target="https://doi.org/10.1016/j.actaastro.2026.03.026" TargetMode="External"/><Relationship Id="rId163" Type="http://schemas.openxmlformats.org/officeDocument/2006/relationships/hyperlink" Target="https://doi.org/10.1016/j.actaastro.2026.04.057" TargetMode="External"/><Relationship Id="rId161" Type="http://schemas.openxmlformats.org/officeDocument/2006/relationships/hyperlink" Target="https://doi.org/10.64861/QPJU8378" TargetMode="External"/><Relationship Id="rId155" Type="http://schemas.openxmlformats.org/officeDocument/2006/relationships/hyperlink" Target="https://doi.org/10.64861/VZRK7654" TargetMode="External"/></Relationships>
</file>

<file path=word/_rels/footnotes.xml.rels><?xml version='1.0' encoding='UTF-8' standalone='yes'?>
<Relationships xmlns="http://schemas.openxmlformats.org/package/2006/relationships"><Relationship Id="rId169" Type="http://schemas.openxmlformats.org/officeDocument/2006/relationships/hyperlink" Target="https://doi.org/10.1016/j.actaastro.2024.03.074" TargetMode="External"/><Relationship Id="rId175" Type="http://schemas.openxmlformats.org/officeDocument/2006/relationships/hyperlink" Target="https://doi.org/10.1016/j.actaastro.2024.06.033" TargetMode="External"/><Relationship Id="rId177" Type="http://schemas.openxmlformats.org/officeDocument/2006/relationships/hyperlink" Target="https://doi.org/10.1016/j.actaastro.2025.04.039" TargetMode="External"/><Relationship Id="rId171" Type="http://schemas.openxmlformats.org/officeDocument/2006/relationships/hyperlink" Target="https://doi.org/10.1016/j.actaastro.2025.06.050" TargetMode="External"/><Relationship Id="rId165" Type="http://schemas.openxmlformats.org/officeDocument/2006/relationships/hyperlink" Target="https://doi.org/10.1016/j.actaastro.2025.08.001" TargetMode="External"/><Relationship Id="rId173" Type="http://schemas.openxmlformats.org/officeDocument/2006/relationships/hyperlink" Target="https://doi.org/10.1016/j.actaastro.2025.10.046" TargetMode="External"/><Relationship Id="rId167" Type="http://schemas.openxmlformats.org/officeDocument/2006/relationships/hyperlink" Target="https://doi.org/10.1016/j.actaastro.2026.03.026" TargetMode="External"/><Relationship Id="rId163" Type="http://schemas.openxmlformats.org/officeDocument/2006/relationships/hyperlink" Target="https://doi.org/10.1016/j.actaastro.2026.04.057" TargetMode="External"/><Relationship Id="rId161" Type="http://schemas.openxmlformats.org/officeDocument/2006/relationships/hyperlink" Target="https://doi.org/10.64861/QPJU8378" TargetMode="External"/><Relationship Id="rId155" Type="http://schemas.openxmlformats.org/officeDocument/2006/relationships/hyperlink" Target="https://doi.org/10.64861/VZRK7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Crossing the Chasm in Orbit: a market-structure test of whether the smallsat lau</dc:title>
  <dc:creator>Zara Patel (1B-ECO-185)</dc:creator>
  <cp:keywords/>
  <dcterms:created xsi:type="dcterms:W3CDTF">2026-07-02T22:41:41Z</dcterms:created>
  <dcterms:modified xsi:type="dcterms:W3CDTF">2026-07-02T22:41:41Z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